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43871d1_8k.htm"/>
      <w:bookmarkStart w:id="1" w:name="kstm243871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0_edei--DocumentType_c20240117__20"/>
      <w:bookmarkEnd w:id="2"/>
      <w:r>
        <w:rPr>
          <w:rFonts w:ascii="Times New Roman;Times;Serif" w:hAnsi="Times New Roman;Times;Serif"/>
          <w:b/>
          <w:i w:val="false"/>
          <w:caps w:val="false"/>
          <w:smallCaps w:val="false"/>
          <w:sz w:val="28"/>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January 17,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17195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71950" cy="1028700"/>
                    </a:xfrm>
                    <a:prstGeom prst="rect">
                      <a:avLst/>
                    </a:prstGeom>
                  </pic:spPr>
                </pic:pic>
              </a:graphicData>
            </a:graphic>
          </wp:inline>
        </w:drawing>
      </w:r>
    </w:p>
    <w:p>
      <w:pPr>
        <w:pStyle w:val="TextBody"/>
        <w:bidi w:val="0"/>
        <w:spacing w:before="0" w:after="283"/>
        <w:jc w:val="left"/>
        <w:rPr/>
      </w:pPr>
      <w:r>
        <w:rPr/>
        <w:t> </w:t>
      </w:r>
    </w:p>
    <w:tbl>
      <w:tblPr>
        <w:tblW w:w="4355" w:type="dxa"/>
        <w:jc w:val="left"/>
        <w:tblInd w:w="0" w:type="dxa"/>
        <w:tblLayout w:type="fixed"/>
        <w:tblCellMar>
          <w:top w:w="0" w:type="dxa"/>
          <w:left w:w="0" w:type="dxa"/>
          <w:bottom w:w="0" w:type="dxa"/>
          <w:right w:w="0" w:type="dxa"/>
        </w:tblCellMar>
      </w:tblPr>
      <w:tblGrid>
        <w:gridCol w:w="4355"/>
      </w:tblGrid>
      <w:tr>
        <w:trPr/>
        <w:tc>
          <w:tcPr>
            <w:tcW w:w="4355" w:type="dxa"/>
            <w:tcBorders/>
            <w:vAlign w:val="center"/>
          </w:tcPr>
          <w:p>
            <w:pPr>
              <w:pStyle w:val="TableContents"/>
              <w:bidi w:val="0"/>
              <w:spacing w:before="0" w:after="283"/>
              <w:jc w:val="center"/>
              <w:rPr>
                <w:rFonts w:ascii="Times New Roman;Times;Serif" w:hAnsi="Times New Roman;Times;Serif"/>
                <w:b/>
                <w:i w:val="false"/>
                <w:caps w:val="false"/>
                <w:smallCaps w:val="false"/>
                <w:sz w:val="36"/>
              </w:rPr>
            </w:pPr>
            <w:bookmarkStart w:id="4" w:name="xdx_905_edei--EntityRegistrantName_c2024"/>
            <w:bookmarkEnd w:id="4"/>
            <w:r>
              <w:rPr>
                <w:rFonts w:ascii="Times New Roman;Times;Serif" w:hAnsi="Times New Roman;Times;Serif"/>
                <w:b/>
                <w:i w:val="false"/>
                <w:caps w:val="false"/>
                <w:smallCaps w:val="false"/>
                <w:sz w:val="36"/>
              </w:rPr>
              <w:t>Winnebago Industries, Inc.</w:t>
            </w:r>
          </w:p>
        </w:tc>
      </w:tr>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8770" w:type="dxa"/>
        <w:jc w:val="left"/>
        <w:tblInd w:w="0" w:type="dxa"/>
        <w:tblLayout w:type="fixed"/>
        <w:tblCellMar>
          <w:top w:w="0" w:type="dxa"/>
          <w:left w:w="0" w:type="dxa"/>
          <w:bottom w:w="30" w:type="dxa"/>
          <w:right w:w="0" w:type="dxa"/>
        </w:tblCellMar>
      </w:tblPr>
      <w:tblGrid>
        <w:gridCol w:w="1760"/>
        <w:gridCol w:w="1115"/>
        <w:gridCol w:w="905"/>
        <w:gridCol w:w="2210"/>
        <w:gridCol w:w="2780"/>
      </w:tblGrid>
      <w:tr>
        <w:trPr/>
        <w:tc>
          <w:tcPr>
            <w:tcW w:w="3780" w:type="dxa"/>
            <w:gridSpan w:val="3"/>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Minnesota</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40117"/>
            <w:bookmarkEnd w:id="6"/>
            <w:r>
              <w:rPr>
                <w:rFonts w:ascii="Times New Roman;Times;Serif" w:hAnsi="Times New Roman;Times;Serif"/>
                <w:b/>
                <w:i w:val="false"/>
                <w:caps w:val="false"/>
                <w:smallCaps w:val="false"/>
                <w:sz w:val="20"/>
              </w:rPr>
              <w:t>001-06403</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42-0802678</w:t>
            </w:r>
          </w:p>
        </w:tc>
      </w:tr>
      <w:tr>
        <w:trPr/>
        <w:tc>
          <w:tcPr>
            <w:tcW w:w="3780" w:type="dxa"/>
            <w:gridSpan w:val="3"/>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r>
        <w:trPr/>
        <w:tc>
          <w:tcPr>
            <w:tcW w:w="176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pPr>
            <w:r>
              <w:rPr/>
              <w:t> </w:t>
            </w:r>
          </w:p>
        </w:tc>
        <w:tc>
          <w:tcPr>
            <w:tcW w:w="2780" w:type="dxa"/>
            <w:tcBorders/>
            <w:tcMar>
              <w:bottom w:w="0" w:type="dxa"/>
            </w:tcMar>
            <w:vAlign w:val="center"/>
          </w:tcPr>
          <w:p>
            <w:pPr>
              <w:pStyle w:val="TableContents"/>
              <w:bidi w:val="0"/>
              <w:spacing w:before="0" w:after="283"/>
              <w:jc w:val="center"/>
              <w:rPr/>
            </w:pPr>
            <w:r>
              <w:rPr/>
              <w:t> </w:t>
            </w:r>
          </w:p>
        </w:tc>
      </w:tr>
      <w:tr>
        <w:trPr/>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13200 Pioneer Trail</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Eden Prairie</w:t>
            </w:r>
          </w:p>
        </w:tc>
        <w:tc>
          <w:tcPr>
            <w:tcW w:w="9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5_edei--EntityAddressStateOrProvin"/>
            <w:bookmarkEnd w:id="10"/>
            <w:r>
              <w:rPr>
                <w:rFonts w:ascii="Times New Roman;Times;Serif" w:hAnsi="Times New Roman;Times;Serif"/>
                <w:b/>
                <w:i w:val="false"/>
                <w:caps w:val="false"/>
                <w:smallCaps w:val="false"/>
                <w:sz w:val="20"/>
              </w:rPr>
              <w:t>Minnesota</w:t>
            </w:r>
          </w:p>
        </w:tc>
        <w:tc>
          <w:tcPr>
            <w:tcW w:w="2210" w:type="dxa"/>
            <w:tcBorders/>
            <w:tcMar>
              <w:bottom w:w="0" w:type="dxa"/>
            </w:tcMar>
            <w:vAlign w:val="center"/>
          </w:tcPr>
          <w:p>
            <w:pPr>
              <w:pStyle w:val="TableContents"/>
              <w:bidi w:val="0"/>
              <w:spacing w:before="0" w:after="283"/>
              <w:jc w:val="center"/>
              <w:rPr/>
            </w:pPr>
            <w:r>
              <w:rPr/>
              <w:t> </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6_edei--EntityAddressPostalZipCode"/>
            <w:bookmarkEnd w:id="11"/>
            <w:r>
              <w:rPr>
                <w:rFonts w:ascii="Times New Roman;Times;Serif" w:hAnsi="Times New Roman;Times;Serif"/>
                <w:b/>
                <w:i w:val="false"/>
                <w:caps w:val="false"/>
                <w:smallCaps w:val="false"/>
                <w:sz w:val="20"/>
              </w:rPr>
              <w:t>55347</w:t>
            </w:r>
          </w:p>
        </w:tc>
      </w:tr>
      <w:tr>
        <w:trPr/>
        <w:tc>
          <w:tcPr>
            <w:tcW w:w="3780" w:type="dxa"/>
            <w:gridSpan w:val="3"/>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2210" w:type="dxa"/>
            <w:tcBorders/>
            <w:tcMar>
              <w:bottom w:w="0" w:type="dxa"/>
            </w:tcMar>
            <w:vAlign w:val="center"/>
          </w:tcPr>
          <w:p>
            <w:pPr>
              <w:pStyle w:val="TableContents"/>
              <w:bidi w:val="0"/>
              <w:spacing w:before="0" w:after="283"/>
              <w:jc w:val="center"/>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9_edei--CityAreaCode_c20240117__20"/>
      <w:bookmarkEnd w:id="12"/>
      <w:r>
        <w:rPr>
          <w:rFonts w:ascii="Times New Roman;Times;Serif" w:hAnsi="Times New Roman;Times;Serif"/>
          <w:b/>
          <w:i w:val="false"/>
          <w:caps w:val="false"/>
          <w:smallCaps w:val="false"/>
          <w:sz w:val="20"/>
        </w:rPr>
        <w:t>952-</w:t>
      </w:r>
      <w:bookmarkStart w:id="13" w:name="xdx_908_edei--LocalPhoneNumber_c20240117"/>
      <w:bookmarkEnd w:id="13"/>
      <w:r>
        <w:rPr>
          <w:rFonts w:ascii="Times New Roman;Times;Serif" w:hAnsi="Times New Roman;Times;Serif"/>
          <w:b/>
          <w:i w:val="false"/>
          <w:caps w:val="false"/>
          <w:smallCaps w:val="false"/>
          <w:sz w:val="20"/>
        </w:rPr>
        <w:t xml:space="preserve">829-8600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8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bookmarkStart w:id="15" w:name="xdx_90F_edei--SolicitingMaterial_c202401"/>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bookmarkStart w:id="16" w:name="xdx_909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bookmarkStart w:id="17" w:name="xdx_905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8535" w:type="dxa"/>
        <w:jc w:val="left"/>
        <w:tblInd w:w="-10" w:type="dxa"/>
        <w:tblLayout w:type="fixed"/>
        <w:tblCellMar>
          <w:top w:w="55" w:type="dxa"/>
          <w:left w:w="28" w:type="dxa"/>
          <w:bottom w:w="30" w:type="dxa"/>
          <w:right w:w="0" w:type="dxa"/>
        </w:tblCellMar>
      </w:tblPr>
      <w:tblGrid>
        <w:gridCol w:w="3410"/>
        <w:gridCol w:w="1535"/>
        <w:gridCol w:w="3590"/>
      </w:tblGrid>
      <w:tr>
        <w:trPr/>
        <w:tc>
          <w:tcPr>
            <w:tcW w:w="341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153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359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410"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C_edei--Security12bTitle_c20240117"/>
            <w:bookmarkEnd w:id="18"/>
            <w:r>
              <w:rPr>
                <w:rFonts w:ascii="Times New Roman;Times;Serif" w:hAnsi="Times New Roman;Times;Serif"/>
                <w:b w:val="false"/>
                <w:i w:val="false"/>
                <w:caps w:val="false"/>
                <w:smallCaps w:val="false"/>
                <w:sz w:val="20"/>
              </w:rPr>
              <w:t>Common Stock, $0.50 par value per share</w:t>
            </w:r>
          </w:p>
        </w:tc>
        <w:tc>
          <w:tcPr>
            <w:tcW w:w="153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TradingSymbol_c20240117__2"/>
            <w:bookmarkEnd w:id="19"/>
            <w:r>
              <w:rPr>
                <w:rFonts w:ascii="Times New Roman;Times;Serif" w:hAnsi="Times New Roman;Times;Serif"/>
                <w:b w:val="false"/>
                <w:i w:val="false"/>
                <w:caps w:val="false"/>
                <w:smallCaps w:val="false"/>
                <w:sz w:val="20"/>
              </w:rPr>
              <w:t>WGO</w:t>
            </w:r>
          </w:p>
        </w:tc>
        <w:tc>
          <w:tcPr>
            <w:tcW w:w="3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SecurityExchangeName_c2024"/>
            <w:bookmarkEnd w:id="20"/>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Exchange Act of 1934 (§240.12b-2 of this chapter).</w:t>
      </w:r>
    </w:p>
    <w:p>
      <w:pPr>
        <w:pStyle w:val="TextBody"/>
        <w:bidi w:val="0"/>
        <w:spacing w:before="0" w:after="0"/>
        <w:ind w:left="7740" w:right="0" w:hanging="0"/>
        <w:jc w:val="left"/>
        <w:rPr>
          <w:caps w:val="false"/>
          <w:smallCaps w:val="false"/>
        </w:rPr>
      </w:pPr>
      <w:r>
        <w:rPr>
          <w:caps w:val="false"/>
          <w:smallCaps w:val="false"/>
        </w:rPr>
        <w:t> </w:t>
      </w:r>
    </w:p>
    <w:p>
      <w:pPr>
        <w:pStyle w:val="TextBody"/>
        <w:bidi w:val="0"/>
        <w:spacing w:before="0" w:after="0"/>
        <w:ind w:left="72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Purchase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18, 2024, Winnebago Industries, Inc. (the “Company”) entered into a Purchase Agreement (the “Purchase Agreement”) with Goldman Sachs &amp; Co. LLC and BMO Capital Markets Corp., as the initial purchasers (collectively, the “Initial Purchasers”), relating to the sale of $300.0 million in aggregate principal amount of the Company’s 3.250% convertible senior notes due 2030 (the “Notes”) to the Initial Purchasers. The Company also granted the Initial Purchasers a 13-day option to purchase up to an additional $50.0 million in aggregate principal amount of Notes (the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19, 2024, the Initial Purchasers notified the Company of their election to purchase an additional $50.0 million in aggregate principal amount of Notes pursuant to the Option. A total of $350.0 million in aggregate principal amount of Notes was issued by the Company to the Initial Purchasers on January 23,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includes customary representations, warranties and covenants by the Company and customary closing conditions. Under the terms of the Purchase Agreement, the Company has agreed to indemnify the Initial Purchasers against certain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is qualified in its entirety by reference to the Purchase Agreement, which is filed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Indenture and the Notes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2024, the Company entered into an indenture relating to the issuance of the Notes (the “Indenture”) with U.S. Bank National Association, as trustee (the “Trustee”). The Notes will bear interest at the annual rate of 3.250%, payable on January 15 and July 15 of each year, beginning on July 15, 2024, and will mature on January 15, 2030, unless earlier repurchased, redeemed or converted in accordance with their terms prior to such date. The Company will settle conversions in cash and, if applicable, shares of its common stock, based on the applicable conversion rate(s). The initial conversion rate for the Notes is 11.3724 shares of common stock per $1,000 principal amount of the Notes, which is equal to an initial conversion price of approximately $87.93 per share. The initial conversion price of the Notes represents a premium of approximately 30.0% over the $67.64 per share closing price of the Company’s common stock on January 18, 2024. The conversion rate will be subject to adjustment upon the occurrence of events specified in the Indenture but will not be adjusted for accrued and unpaid interest on any Note being converted. In addition, upon the occurrence of a make-whole fundamental change (as defined in the Indenture) during the make-whole fundamental change conversion period (as defined in the Indenture), the Company will, in certain circumstances, increase the conversion rate by the number of additional shares described in the Indenture for a holder that elects to convert such holder’s Notes in connection with such make-whole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Notes may convert their Notes prior to the close of business on the business day immediately preceding July 15, 2029, only under the following circumstances: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during any calendar quarter commencing after the calendar quarter ending on March 31, 2024 (and only during such calendar quarter), if the “last reported sale price” (as defined in the Indenture) per share of the Company’s common stock for each of at least 20 trading days (whether or not consecutive) during a period of 30 consecutive trading days ending on, and including, the last trading day of the immediately preceding calendar quarter is greater than 130% of the “conversion price” (as defined in the Indenture) for the Notes on each applicable trading day;</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during the five consecutive business days immediately after any five consecutive trading day period (the “measurement period”) in which the “trading price” (as defined in the Indenture) per $1,000 principal amount of Notes for each trading day of the measurement period was less than 98% of the product of the last reported sale price per share of the Company’s common stock on such trading day and the conversion rate on such trading day; </w:t>
            </w:r>
          </w:p>
        </w:tc>
      </w:tr>
    </w:tbl>
    <w:tbl>
      <w:tblPr>
        <w:tblW w:w="7698" w:type="dxa"/>
        <w:jc w:val="left"/>
        <w:tblInd w:w="0" w:type="dxa"/>
        <w:tblLayout w:type="fixed"/>
        <w:tblCellMar>
          <w:top w:w="0" w:type="dxa"/>
          <w:left w:w="0" w:type="dxa"/>
          <w:bottom w:w="0" w:type="dxa"/>
          <w:right w:w="0" w:type="dxa"/>
        </w:tblCellMar>
      </w:tblPr>
      <w:tblGrid>
        <w:gridCol w:w="38"/>
        <w:gridCol w:w="125"/>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5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upon the occurrence of specified corporate events described in the Indenture; or</w:t>
            </w:r>
          </w:p>
        </w:tc>
      </w:tr>
    </w:tbl>
    <w:tbl>
      <w:tblPr>
        <w:tblW w:w="4773" w:type="dxa"/>
        <w:jc w:val="left"/>
        <w:tblInd w:w="0" w:type="dxa"/>
        <w:tblLayout w:type="fixed"/>
        <w:tblCellMar>
          <w:top w:w="0" w:type="dxa"/>
          <w:left w:w="0" w:type="dxa"/>
          <w:bottom w:w="0" w:type="dxa"/>
          <w:right w:w="0" w:type="dxa"/>
        </w:tblCellMar>
      </w:tblPr>
      <w:tblGrid>
        <w:gridCol w:w="38"/>
        <w:gridCol w:w="125"/>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6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if the Company calls such Notes for redemption.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July 15, 2029, until the close of business on the second scheduled trading day immediately preceding the maturity date, holders of the Notes may convert their Notes at any time regardless of the foregoing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redeemable, in whole or in part (subject to certain limitations), for cash at the Company’s option at any time, and from time to time, on or after January 15, 2028 and on or before the 40th scheduled trading day immediately before the maturity date, but only if the last reported sale price per share of the Company’s common stock exceeds 130% of the conversion price for a specified period of time. The redemption price will be equal to the principal amount of the Notes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undergoes a fundamental change, as described in the Indenture, prior to the maturity date of the Notes, holders of the Notes will, subject to specified conditions, have the right to require the Company to repurchase their Notes for cash at a repurchase price equal to the principal amount of the Notes to be repurchased, plus accrued and unpaid interest on such Notes to, but excluding, the “fundamental change repurchase date” (as defined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customary terms and covenants, including that upon certain events of default occurring and continuing, either the Trustee or the holders of at least 25% of the aggregate principal amount of the outstanding Notes may declare 100% of the principal of, and accrued and unpaid interest, if any, on, all the Notes then outstanding to be due and payable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is qualified in its entirety by reference to the text of the Indenture and the Form of 3.250% Convertible Senior Notes due 2030, which are attached as Exhibits 4.1 and 4.2, respectively, to this Current Report on Form 8-K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Repurchase of 2025 Notes and Unwind of Convertible Call Spread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used approximately $295.0 million of the net proceeds of the offering to repurchase (the “Note Repurchases”) approximately $240.7 million aggregate principal amount of its 1.50% Convertible Senior Notes due 2025 (the “2025 Notes”) concurrently with the pricing of the offering in separate and individually negotiated transactions with certain holders of the 2025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2019, in connection with issuing the 2025 Notes, the Company entered into convertible bond hedge transactions (the “Existing Hedge Transactions”) and warrant transactions (the “Existing Warrant Transactions,” and, together with the Existing Hedge Transactions, the “Existing Call Spread Transactions”) with certain financial institutions (the “Existing Option Counterparties”). In connection with the Note Repurchases, the Company entered into agreements with the Existing Option Counterparties to terminate a portion of the Existing Hedge Transactions and the Existing Warrant Transactions in notional amounts corresponding to the amount of 2025 Notes repurchased. In connection with such terminations, the Company received net proceeds from the Existing Option Counterparties equal to approximately $30.5 million, which it intends to use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Concurrent Convertible Note Hedge Transactions and Warrant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18, 2024, in connection with the pricing of the Notes, the Company entered into privately negotiated convertible bond hedge transactions (the “Base Hedge Transactions”) with Goldman Sachs &amp; Co. LLC, Bank of Montreal and J.P. Morgan Securities LLC (the “Hedge Option Counterparties”). On January 19, 2024, in connection with the Initial Purchasers’ exercise of their option to purchase additional Notes, the Company entered into additional convertible bond hedge transactions (the “Additional Hedge Transactions” and, together with the Base Hedge Transactions, the “Hedge Transactions”) with the Hedge Option Counterparties.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Hedge Transactions cover, subject to customary anti-dilution adjustments, the number of shares of the Company’s common stock that initially underlie the Notes, and are expected generally to reduce the potential dilution and/or offset any cash payments the Company is required to make in excess of the principal amount due, as the case may be, upon conversion of the Notes in the event that the market price of the Company’s common stock is greater than the strike price of the Hedge Transactions, which is initially $87.93 per share (subject to adjustment under the terms of the Hedge Transactions), corresponding to the initial conversion price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18, 2024, the Company also entered into separate, privately negotiated warrant transactions (the “Base Warrant Transactions”) with Goldman Sachs &amp; Co. LLC, Bank of Montreal and J.P. Morgan Chase Bank, National Association (the “Warrant Option Counterparties”) . On January 19, 2024, the Company entered into additional privately negotiated warrant transactions (the “Additional Warrant Transactions” and, together with the Base Warrant Transactions, the “Warrant Transactions”) with the Warrant Option Counterparties. Pursuant to the Warrant Transactions, the Company sold warrants at a higher strike price relating to the same number of shares of the Company’s common stock that initially underlie the Notes, subject to customary anti-dilution adjustments. The initial strike price of the warrants is $135.28 per share (subject to adjustment under the terms of the Warrant Transactions), which is approximately 100% above the last reported sale price of the Company’s common stock on January 18, 2024. The Warrant Transactions could have a dilutive effect to the Company’s stockholders to the extent that the market price per share of the Company’s common stock, as measured under the terms of the Warrant Transactions, exceeds the applicable strike price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approximately $37.4 million of the net proceeds of the offering of the Notes to pay the cost of the Hedge Transactions (after such cost was partially offset by the proceeds to the Company from the sale of warrants in the Warrant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Hedge Transactions and the Warrant Transactions are separate transactions, in each case, entered into by the Company with the Hedge Option Counterparties and the Warrant Option Counterparties, respectively, and are not part of the terms of the Notes and will not affect any holder’s rights under the Notes. Holders of the Notes will not have any rights with respect to the Hedge Transactions or the Warrant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Hedge Transactions and Warrant Transactions is qualified in its entirety by reference to the copies of the confirmations for the Hedge Transactions and the Warrant Transactions, which are attached as Exhibits 10.2 through 10.13 to this Current Report on Form 8-K and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43"/>
        <w:gridCol w:w="9324"/>
      </w:tblGrid>
      <w:tr>
        <w:trPr/>
        <w:tc>
          <w:tcPr>
            <w:tcW w:w="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b/>
              </w:rPr>
            </w:pPr>
            <w:r>
              <w:rPr>
                <w:b/>
              </w:rPr>
              <w:t>Item 2.03</w:t>
            </w:r>
          </w:p>
        </w:tc>
        <w:tc>
          <w:tcPr>
            <w:tcW w:w="9324" w:type="dxa"/>
            <w:tcBorders/>
            <w:vAlign w:val="center"/>
          </w:tcPr>
          <w:p>
            <w:pPr>
              <w:pStyle w:val="TableContents"/>
              <w:bidi w:val="0"/>
              <w:spacing w:before="0" w:after="283"/>
              <w:jc w:val="left"/>
              <w:rPr>
                <w:b/>
              </w:rPr>
            </w:pPr>
            <w:r>
              <w:rPr>
                <w:b/>
              </w:rPr>
              <w:t>Creation of a Direct Financial Obligation or an Obligation under and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the heading “Indenture and the Notes” under Item 1.01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96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3.02</w:t>
            </w:r>
          </w:p>
        </w:tc>
        <w:tc>
          <w:tcPr>
            <w:tcW w:w="4025" w:type="dxa"/>
            <w:tcBorders/>
            <w:vAlign w:val="center"/>
          </w:tcPr>
          <w:p>
            <w:pPr>
              <w:pStyle w:val="TableContents"/>
              <w:bidi w:val="0"/>
              <w:spacing w:before="0" w:after="283"/>
              <w:jc w:val="left"/>
              <w:rPr>
                <w:b/>
              </w:rPr>
            </w:pPr>
            <w:r>
              <w:rPr>
                <w:b/>
              </w:rPr>
              <w:t>Unregistered Sales of Equity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Item 1.01 of this Current Report on Form 8-K, on January 23, 2024, the Company issued $350.0 million aggregate principal amount of notes to the Initial Purchasers in a private placement pursuant to exemptions from the registration requirements of the Securities Act of 1933, as amended (the “Securities Act”), pursuant to the terms of the Purchase Agreement. The Company offered and sold the Notes to the Initial Purchasers in reliance on the exemption from registration provided by Section 4(a)(2) of the Securities Act, for resale by such Initial Purchasers to “qualified institutional buyers” pursuant to the exemption from registration provided by Rule 144A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described in Item 1.01 of this Current Report on Form 8-K, on January 18, 2024, the Company entered into the Base Warrant Transactions with the Warrant Option Counterparties, and on January 19, 2024, the Company entered into the Additional Warrant Transactions with the Warrant Option Counterparties. Pursuant to the Warrant Transactions, the Company issued warrants to the Warrant Option Counterparties relating to the same number of shares of the Company’s common stock initially underlying the Notes, with a strike price of $135.28 per share. The number of warrants and the strike price are subject to adjustment under certain circumstances described in the respective confirmations for the Warrant Transactions. The Company offered and sold the warrants in reliance on the exemption from registration requirements of the Securities Act afforded by Section 4(a)(2)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Notes and the warrants are not being registered under the Securities Act, or the securities laws of any other jurisdiction. Neither the Notes nor the warrants may be offered or sold in the United States except in transactions exempt from, or not subject to, the registration requirements of the Securities Act and any applicable state securities laws.</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2024, and January 18, 2024, the Company issued press releases announcing the launch and pricing of the Notes offering,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135c(d) under the Securities Act, copies of the press releases are attached as Exhibits 99.1 and 99.2 to this Current Report on Form 8-K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does not constitute an offer to sell or a solicitation of an offer to buy the securities described herein, nor shall there be any offer or sale of these securities in any state or jurisdiction in which such offer, solicitation or sale would be unlawful prior to registration or qualification under the securities laws of such jurisdiction.</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tbl>
      <w:tblPr>
        <w:tblW w:w="10205" w:type="dxa"/>
        <w:jc w:val="left"/>
        <w:tblInd w:w="0" w:type="dxa"/>
        <w:tblLayout w:type="fixed"/>
        <w:tblCellMar>
          <w:top w:w="0" w:type="dxa"/>
          <w:left w:w="0" w:type="dxa"/>
          <w:bottom w:w="0" w:type="dxa"/>
          <w:right w:w="0" w:type="dxa"/>
        </w:tblCellMar>
      </w:tblPr>
      <w:tblGrid>
        <w:gridCol w:w="75"/>
        <w:gridCol w:w="1107"/>
        <w:gridCol w:w="9023"/>
      </w:tblGrid>
      <w:tr>
        <w:trPr/>
        <w:tc>
          <w:tcPr>
            <w:tcW w:w="1020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90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hyperlink w:anchor="tm243871d1_ex4-1.htm">
              <w:r>
                <w:rPr>
                  <w:rStyle w:val="InternetLink"/>
                  <w:rFonts w:ascii="Times New Roman;Times;Serif" w:hAnsi="Times New Roman;Times;Serif"/>
                  <w:sz w:val="20"/>
                </w:rPr>
                <w:t>4.1</w:t>
              </w:r>
            </w:hyperlink>
          </w:p>
        </w:tc>
        <w:tc>
          <w:tcPr>
            <w:tcW w:w="9023" w:type="dxa"/>
            <w:tcBorders/>
            <w:vAlign w:val="center"/>
          </w:tcPr>
          <w:p>
            <w:pPr>
              <w:pStyle w:val="TableContents"/>
              <w:bidi w:val="0"/>
              <w:spacing w:before="0" w:after="283"/>
              <w:jc w:val="left"/>
              <w:rPr/>
            </w:pPr>
            <w:hyperlink w:anchor="tm243871d1_ex4-1.htm">
              <w:r>
                <w:rPr>
                  <w:rStyle w:val="InternetLink"/>
                  <w:rFonts w:ascii="Times New Roman;Times;Serif" w:hAnsi="Times New Roman;Times;Serif"/>
                  <w:sz w:val="20"/>
                </w:rPr>
                <w:t>Indenture, dated January 23, 2024, by and between Winnebago Industries, Inc. and U.S. Bank National Association.</w:t>
              </w:r>
            </w:hyperlink>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hyperlink w:anchor="tm243871d1_ex4-1.htm">
              <w:r>
                <w:rPr>
                  <w:rStyle w:val="InternetLink"/>
                  <w:rFonts w:ascii="Times New Roman;Times;Serif" w:hAnsi="Times New Roman;Times;Serif"/>
                  <w:sz w:val="20"/>
                </w:rPr>
                <w:t>4.2</w:t>
              </w:r>
            </w:hyperlink>
          </w:p>
        </w:tc>
        <w:tc>
          <w:tcPr>
            <w:tcW w:w="9023" w:type="dxa"/>
            <w:tcBorders/>
            <w:vAlign w:val="center"/>
          </w:tcPr>
          <w:p>
            <w:pPr>
              <w:pStyle w:val="TableContents"/>
              <w:bidi w:val="0"/>
              <w:spacing w:before="0" w:after="283"/>
              <w:jc w:val="left"/>
              <w:rPr/>
            </w:pPr>
            <w:hyperlink w:anchor="tm243871d1_ex4-1.htm">
              <w:r>
                <w:rPr>
                  <w:rStyle w:val="InternetLink"/>
                  <w:rFonts w:ascii="Times New Roman;Times;Serif" w:hAnsi="Times New Roman;Times;Serif"/>
                  <w:sz w:val="20"/>
                </w:rPr>
                <w:t>Form of 3.250% Convertible Senior Note due 2030 (included in Exhibit 4.1).</w:t>
              </w:r>
            </w:hyperlink>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hyperlink w:anchor="tm243871d1_ex10-1.htm">
              <w:r>
                <w:rPr>
                  <w:rStyle w:val="InternetLink"/>
                  <w:rFonts w:ascii="Times New Roman;Times;Serif" w:hAnsi="Times New Roman;Times;Serif"/>
                  <w:sz w:val="20"/>
                </w:rPr>
                <w:t>10.1</w:t>
              </w:r>
            </w:hyperlink>
          </w:p>
        </w:tc>
        <w:tc>
          <w:tcPr>
            <w:tcW w:w="9023" w:type="dxa"/>
            <w:tcBorders/>
            <w:vAlign w:val="center"/>
          </w:tcPr>
          <w:p>
            <w:pPr>
              <w:pStyle w:val="TableContents"/>
              <w:bidi w:val="0"/>
              <w:spacing w:before="0" w:after="283"/>
              <w:jc w:val="left"/>
              <w:rPr/>
            </w:pPr>
            <w:hyperlink w:anchor="tm243871d1_ex10-1.htm">
              <w:r>
                <w:rPr>
                  <w:rStyle w:val="InternetLink"/>
                  <w:rFonts w:ascii="Times New Roman;Times;Serif" w:hAnsi="Times New Roman;Times;Serif"/>
                  <w:sz w:val="20"/>
                </w:rPr>
                <w:t>Purchase Agreement, dated January 18, 2024, by and among Winnebago Industries, Inc., and Goldman Sachs &amp; Co. LLC and BMO Capital Markets Corp., as the initial purchasers.</w:t>
              </w:r>
            </w:hyperlink>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hyperlink w:anchor="tm243871d1_ex10-2.htm">
              <w:r>
                <w:rPr>
                  <w:rStyle w:val="InternetLink"/>
                  <w:rFonts w:ascii="Times New Roman;Times;Serif" w:hAnsi="Times New Roman;Times;Serif"/>
                  <w:sz w:val="20"/>
                </w:rPr>
                <w:t>10.2</w:t>
              </w:r>
            </w:hyperlink>
          </w:p>
        </w:tc>
        <w:tc>
          <w:tcPr>
            <w:tcW w:w="9023" w:type="dxa"/>
            <w:tcBorders/>
            <w:vAlign w:val="center"/>
          </w:tcPr>
          <w:p>
            <w:pPr>
              <w:pStyle w:val="TableContents"/>
              <w:bidi w:val="0"/>
              <w:spacing w:before="0" w:after="283"/>
              <w:jc w:val="left"/>
              <w:rPr/>
            </w:pPr>
            <w:hyperlink w:anchor="tm243871d1_ex10-2.htm">
              <w:r>
                <w:rPr>
                  <w:rStyle w:val="InternetLink"/>
                  <w:rFonts w:ascii="Times New Roman;Times;Serif" w:hAnsi="Times New Roman;Times;Serif"/>
                  <w:sz w:val="20"/>
                </w:rPr>
                <w:t>Base Convertible Bond Hedge Confirmation, dated January 18, 2024, between Winnebago Industries, Inc., and Goldman Sachs &amp; Co. LLC.</w:t>
              </w:r>
            </w:hyperlink>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hyperlink w:anchor="tm243871d1_ex10-3.htm">
              <w:r>
                <w:rPr>
                  <w:rStyle w:val="InternetLink"/>
                  <w:rFonts w:ascii="Times New Roman;Times;Serif" w:hAnsi="Times New Roman;Times;Serif"/>
                  <w:sz w:val="20"/>
                </w:rPr>
                <w:t>10.3</w:t>
              </w:r>
            </w:hyperlink>
          </w:p>
        </w:tc>
        <w:tc>
          <w:tcPr>
            <w:tcW w:w="9023" w:type="dxa"/>
            <w:tcBorders/>
            <w:vAlign w:val="center"/>
          </w:tcPr>
          <w:p>
            <w:pPr>
              <w:pStyle w:val="TableContents"/>
              <w:bidi w:val="0"/>
              <w:spacing w:before="0" w:after="283"/>
              <w:jc w:val="left"/>
              <w:rPr/>
            </w:pPr>
            <w:hyperlink w:anchor="tm243871d1_ex10-3.htm">
              <w:r>
                <w:rPr>
                  <w:rStyle w:val="InternetLink"/>
                  <w:rFonts w:ascii="Times New Roman;Times;Serif" w:hAnsi="Times New Roman;Times;Serif"/>
                  <w:sz w:val="20"/>
                </w:rPr>
                <w:t>Base Convertible Bond Hedge Confirmation, dated January 18, 2024, between Winnebago Industries, Inc., and BMO Capital Markets Corp.</w:t>
              </w:r>
            </w:hyperlink>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hyperlink w:anchor="tm243871d1_ex10-4.htm">
              <w:r>
                <w:rPr>
                  <w:rStyle w:val="InternetLink"/>
                  <w:rFonts w:ascii="Times New Roman;Times;Serif" w:hAnsi="Times New Roman;Times;Serif"/>
                  <w:sz w:val="20"/>
                </w:rPr>
                <w:t>10.4</w:t>
              </w:r>
            </w:hyperlink>
          </w:p>
        </w:tc>
        <w:tc>
          <w:tcPr>
            <w:tcW w:w="9023" w:type="dxa"/>
            <w:tcBorders/>
            <w:vAlign w:val="center"/>
          </w:tcPr>
          <w:p>
            <w:pPr>
              <w:pStyle w:val="TableContents"/>
              <w:bidi w:val="0"/>
              <w:spacing w:before="0" w:after="283"/>
              <w:jc w:val="left"/>
              <w:rPr/>
            </w:pPr>
            <w:hyperlink w:anchor="tm243871d1_ex10-4.htm">
              <w:r>
                <w:rPr>
                  <w:rStyle w:val="InternetLink"/>
                  <w:rFonts w:ascii="Times New Roman;Times;Serif" w:hAnsi="Times New Roman;Times;Serif"/>
                  <w:sz w:val="20"/>
                </w:rPr>
                <w:t>Base Convertible Bond Hedge Confirmation, dated January 18, 2024, between Winnebago Industries, Inc., and J.P. Morgan Securities LLC.</w:t>
              </w:r>
            </w:hyperlink>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hyperlink w:anchor="tm243871d1_ex10-5.htm">
              <w:r>
                <w:rPr>
                  <w:rStyle w:val="InternetLink"/>
                  <w:rFonts w:ascii="Times New Roman;Times;Serif" w:hAnsi="Times New Roman;Times;Serif"/>
                  <w:sz w:val="20"/>
                </w:rPr>
                <w:t>10.5</w:t>
              </w:r>
            </w:hyperlink>
          </w:p>
        </w:tc>
        <w:tc>
          <w:tcPr>
            <w:tcW w:w="9023" w:type="dxa"/>
            <w:tcBorders/>
            <w:vAlign w:val="center"/>
          </w:tcPr>
          <w:p>
            <w:pPr>
              <w:pStyle w:val="TableContents"/>
              <w:bidi w:val="0"/>
              <w:spacing w:before="0" w:after="283"/>
              <w:jc w:val="left"/>
              <w:rPr/>
            </w:pPr>
            <w:hyperlink w:anchor="tm243871d1_ex10-5.htm">
              <w:r>
                <w:rPr>
                  <w:rStyle w:val="InternetLink"/>
                  <w:rFonts w:ascii="Times New Roman;Times;Serif" w:hAnsi="Times New Roman;Times;Serif"/>
                  <w:sz w:val="20"/>
                </w:rPr>
                <w:t>Additional Convertible Bond Hedge Confirmation, dated January 19, 2024, between Winnebago Industries, Inc., and Goldman Sachs &amp; Co. LLC.</w:t>
              </w:r>
            </w:hyperlink>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hyperlink w:anchor="tm243871d1_ex10-6.htm">
              <w:r>
                <w:rPr>
                  <w:rStyle w:val="InternetLink"/>
                  <w:rFonts w:ascii="Times New Roman;Times;Serif" w:hAnsi="Times New Roman;Times;Serif"/>
                  <w:sz w:val="20"/>
                </w:rPr>
                <w:t>10.6</w:t>
              </w:r>
            </w:hyperlink>
          </w:p>
        </w:tc>
        <w:tc>
          <w:tcPr>
            <w:tcW w:w="9023" w:type="dxa"/>
            <w:tcBorders/>
            <w:vAlign w:val="center"/>
          </w:tcPr>
          <w:p>
            <w:pPr>
              <w:pStyle w:val="TableContents"/>
              <w:bidi w:val="0"/>
              <w:spacing w:before="0" w:after="283"/>
              <w:jc w:val="left"/>
              <w:rPr/>
            </w:pPr>
            <w:hyperlink w:anchor="tm243871d1_ex10-6.htm">
              <w:r>
                <w:rPr>
                  <w:rStyle w:val="InternetLink"/>
                  <w:rFonts w:ascii="Times New Roman;Times;Serif" w:hAnsi="Times New Roman;Times;Serif"/>
                  <w:sz w:val="20"/>
                </w:rPr>
                <w:t>Additional Convertible Bond Hedge Confirmation, dated January 19, 2024, between Winnebago Industries, Inc., and BMO Capital Markets Corp.</w:t>
              </w:r>
            </w:hyperlink>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hyperlink w:anchor="tm243871d1_ex10-7.htm">
              <w:r>
                <w:rPr>
                  <w:rStyle w:val="InternetLink"/>
                  <w:rFonts w:ascii="Times New Roman;Times;Serif" w:hAnsi="Times New Roman;Times;Serif"/>
                  <w:sz w:val="20"/>
                </w:rPr>
                <w:t>10.7</w:t>
              </w:r>
            </w:hyperlink>
          </w:p>
        </w:tc>
        <w:tc>
          <w:tcPr>
            <w:tcW w:w="9023" w:type="dxa"/>
            <w:tcBorders/>
            <w:vAlign w:val="center"/>
          </w:tcPr>
          <w:p>
            <w:pPr>
              <w:pStyle w:val="TableContents"/>
              <w:bidi w:val="0"/>
              <w:spacing w:before="0" w:after="283"/>
              <w:jc w:val="left"/>
              <w:rPr/>
            </w:pPr>
            <w:hyperlink w:anchor="tm243871d1_ex10-7.htm">
              <w:r>
                <w:rPr>
                  <w:rStyle w:val="InternetLink"/>
                  <w:rFonts w:ascii="Times New Roman;Times;Serif" w:hAnsi="Times New Roman;Times;Serif"/>
                  <w:sz w:val="20"/>
                </w:rPr>
                <w:t>Additional Convertible Bond Hedge Confirmation, dated January 19, 2024, between Winnebago Industries, Inc., and J.P. Morgan Securities LLC.</w:t>
              </w:r>
            </w:hyperlink>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hyperlink w:anchor="tm243871d1_ex10-8.htm">
              <w:r>
                <w:rPr>
                  <w:rStyle w:val="InternetLink"/>
                  <w:rFonts w:ascii="Times New Roman;Times;Serif" w:hAnsi="Times New Roman;Times;Serif"/>
                  <w:sz w:val="20"/>
                </w:rPr>
                <w:t>10.8</w:t>
              </w:r>
            </w:hyperlink>
          </w:p>
        </w:tc>
        <w:tc>
          <w:tcPr>
            <w:tcW w:w="9023" w:type="dxa"/>
            <w:tcBorders/>
            <w:vAlign w:val="center"/>
          </w:tcPr>
          <w:p>
            <w:pPr>
              <w:pStyle w:val="TableContents"/>
              <w:bidi w:val="0"/>
              <w:spacing w:before="0" w:after="283"/>
              <w:jc w:val="left"/>
              <w:rPr/>
            </w:pPr>
            <w:hyperlink w:anchor="tm243871d1_ex10-8.htm">
              <w:r>
                <w:rPr>
                  <w:rStyle w:val="InternetLink"/>
                  <w:rFonts w:ascii="Times New Roman;Times;Serif" w:hAnsi="Times New Roman;Times;Serif"/>
                  <w:sz w:val="20"/>
                </w:rPr>
                <w:t>Base Warrant Confirmation, dated January 18, 2024, between Winnebago Industries, Inc., and Goldman Sachs &amp; Co. LLC.</w:t>
              </w:r>
            </w:hyperlink>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hyperlink w:anchor="tm243871d1_ex10-9.htm">
              <w:r>
                <w:rPr>
                  <w:rStyle w:val="InternetLink"/>
                  <w:rFonts w:ascii="Times New Roman;Times;Serif" w:hAnsi="Times New Roman;Times;Serif"/>
                  <w:sz w:val="20"/>
                </w:rPr>
                <w:t>10.9</w:t>
              </w:r>
            </w:hyperlink>
          </w:p>
        </w:tc>
        <w:tc>
          <w:tcPr>
            <w:tcW w:w="9023" w:type="dxa"/>
            <w:tcBorders/>
            <w:vAlign w:val="center"/>
          </w:tcPr>
          <w:p>
            <w:pPr>
              <w:pStyle w:val="TableContents"/>
              <w:bidi w:val="0"/>
              <w:spacing w:before="0" w:after="283"/>
              <w:jc w:val="left"/>
              <w:rPr/>
            </w:pPr>
            <w:hyperlink w:anchor="tm243871d1_ex10-9.htm">
              <w:r>
                <w:rPr>
                  <w:rStyle w:val="InternetLink"/>
                  <w:rFonts w:ascii="Times New Roman;Times;Serif" w:hAnsi="Times New Roman;Times;Serif"/>
                  <w:sz w:val="20"/>
                </w:rPr>
                <w:t>Base Warrant Confirmation, dated January 18, 2024, between Winnebago Industries, Inc., and BMO Capital Markets Corp.</w:t>
              </w:r>
            </w:hyperlink>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hyperlink w:anchor="tm243871d1_ex10-10.htm">
              <w:r>
                <w:rPr>
                  <w:rStyle w:val="InternetLink"/>
                  <w:rFonts w:ascii="Times New Roman;Times;Serif" w:hAnsi="Times New Roman;Times;Serif"/>
                  <w:sz w:val="20"/>
                </w:rPr>
                <w:t>10.10</w:t>
              </w:r>
            </w:hyperlink>
          </w:p>
        </w:tc>
        <w:tc>
          <w:tcPr>
            <w:tcW w:w="9023" w:type="dxa"/>
            <w:tcBorders/>
            <w:vAlign w:val="center"/>
          </w:tcPr>
          <w:p>
            <w:pPr>
              <w:pStyle w:val="TableContents"/>
              <w:bidi w:val="0"/>
              <w:spacing w:before="0" w:after="283"/>
              <w:jc w:val="left"/>
              <w:rPr/>
            </w:pPr>
            <w:hyperlink w:anchor="tm243871d1_ex10-10.htm">
              <w:r>
                <w:rPr>
                  <w:rStyle w:val="InternetLink"/>
                  <w:rFonts w:ascii="Times New Roman;Times;Serif" w:hAnsi="Times New Roman;Times;Serif"/>
                  <w:sz w:val="20"/>
                </w:rPr>
                <w:t>Base Warrant Confirmation, dated January 18, 2024, between Winnebago Industries, Inc., and JPMorgan Chase Bank, National Association.</w:t>
              </w:r>
            </w:hyperlink>
          </w:p>
        </w:tc>
      </w:tr>
      <w:tr>
        <w:trPr/>
        <w:tc>
          <w:tcPr>
            <w:tcW w:w="75"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left"/>
              <w:rPr/>
            </w:pPr>
            <w:hyperlink w:anchor="tm243871d1_ex10-11.htm">
              <w:r>
                <w:rPr>
                  <w:rStyle w:val="InternetLink"/>
                  <w:rFonts w:ascii="Times New Roman;Times;Serif" w:hAnsi="Times New Roman;Times;Serif"/>
                  <w:sz w:val="20"/>
                </w:rPr>
                <w:t>10.11</w:t>
              </w:r>
            </w:hyperlink>
          </w:p>
        </w:tc>
        <w:tc>
          <w:tcPr>
            <w:tcW w:w="9023" w:type="dxa"/>
            <w:tcBorders/>
            <w:vAlign w:val="center"/>
          </w:tcPr>
          <w:p>
            <w:pPr>
              <w:pStyle w:val="TableContents"/>
              <w:bidi w:val="0"/>
              <w:spacing w:before="0" w:after="283"/>
              <w:jc w:val="left"/>
              <w:rPr/>
            </w:pPr>
            <w:hyperlink w:anchor="tm243871d1_ex10-11.htm">
              <w:r>
                <w:rPr>
                  <w:rStyle w:val="InternetLink"/>
                  <w:rFonts w:ascii="Times New Roman;Times;Serif" w:hAnsi="Times New Roman;Times;Serif"/>
                  <w:sz w:val="20"/>
                </w:rPr>
                <w:t>Additional Warrant Confirmation, dated January 19, 2024, between Winnebago Industries, Inc., and Goldman Sachs &amp; Co. LLC.</w:t>
              </w:r>
            </w:hyperlink>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hyperlink w:anchor="tm243871d1_ex10-12.htm">
              <w:r>
                <w:rPr>
                  <w:rStyle w:val="InternetLink"/>
                  <w:rFonts w:ascii="Times New Roman;Times;Serif" w:hAnsi="Times New Roman;Times;Serif"/>
                  <w:sz w:val="20"/>
                </w:rPr>
                <w:t>10.12</w:t>
              </w:r>
            </w:hyperlink>
          </w:p>
        </w:tc>
        <w:tc>
          <w:tcPr>
            <w:tcW w:w="9645" w:type="dxa"/>
            <w:tcBorders/>
            <w:vAlign w:val="center"/>
          </w:tcPr>
          <w:p>
            <w:pPr>
              <w:pStyle w:val="TableContents"/>
              <w:bidi w:val="0"/>
              <w:spacing w:before="0" w:after="283"/>
              <w:jc w:val="left"/>
              <w:rPr/>
            </w:pPr>
            <w:hyperlink w:anchor="tm243871d1_ex10-12.htm">
              <w:r>
                <w:rPr>
                  <w:rStyle w:val="InternetLink"/>
                  <w:rFonts w:ascii="Times New Roman;Times;Serif" w:hAnsi="Times New Roman;Times;Serif"/>
                  <w:sz w:val="20"/>
                </w:rPr>
                <w:t>Additional Warrant Confirmation, dated January 19, 2024, between Winnebago Industries, Inc., and BMO Capital Markets Corp.</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hyperlink w:anchor="tm243871d1_ex10-13.htm">
              <w:r>
                <w:rPr>
                  <w:rStyle w:val="InternetLink"/>
                  <w:rFonts w:ascii="Times New Roman;Times;Serif" w:hAnsi="Times New Roman;Times;Serif"/>
                  <w:sz w:val="20"/>
                </w:rPr>
                <w:t>10.13</w:t>
              </w:r>
            </w:hyperlink>
          </w:p>
        </w:tc>
        <w:tc>
          <w:tcPr>
            <w:tcW w:w="9645" w:type="dxa"/>
            <w:tcBorders/>
            <w:vAlign w:val="center"/>
          </w:tcPr>
          <w:p>
            <w:pPr>
              <w:pStyle w:val="TableContents"/>
              <w:bidi w:val="0"/>
              <w:spacing w:before="0" w:after="283"/>
              <w:jc w:val="left"/>
              <w:rPr/>
            </w:pPr>
            <w:hyperlink w:anchor="tm243871d1_ex10-13.htm">
              <w:r>
                <w:rPr>
                  <w:rStyle w:val="InternetLink"/>
                  <w:rFonts w:ascii="Times New Roman;Times;Serif" w:hAnsi="Times New Roman;Times;Serif"/>
                  <w:sz w:val="20"/>
                </w:rPr>
                <w:t>Additional Warrant Confirmation, dated January 19, 2024, between Winnebago Industries, Inc., and JPMorgan Chase Bank, National Association.</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hyperlink w:anchor="tm243871d1_ex99-1.htm">
              <w:r>
                <w:rPr>
                  <w:rStyle w:val="InternetLink"/>
                  <w:rFonts w:ascii="Times New Roman;Times;Serif" w:hAnsi="Times New Roman;Times;Serif"/>
                  <w:sz w:val="20"/>
                </w:rPr>
                <w:t>99.1</w:t>
              </w:r>
            </w:hyperlink>
          </w:p>
        </w:tc>
        <w:tc>
          <w:tcPr>
            <w:tcW w:w="9645" w:type="dxa"/>
            <w:tcBorders/>
            <w:vAlign w:val="center"/>
          </w:tcPr>
          <w:p>
            <w:pPr>
              <w:pStyle w:val="TableContents"/>
              <w:bidi w:val="0"/>
              <w:spacing w:before="0" w:after="283"/>
              <w:jc w:val="left"/>
              <w:rPr/>
            </w:pPr>
            <w:hyperlink w:anchor="tm243871d1_ex99-1.htm">
              <w:r>
                <w:rPr>
                  <w:rStyle w:val="InternetLink"/>
                  <w:rFonts w:ascii="Times New Roman;Times;Serif" w:hAnsi="Times New Roman;Times;Serif"/>
                  <w:sz w:val="20"/>
                </w:rPr>
                <w:t>Press release dated January 17, 2024</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hyperlink w:anchor="tm243871d1_ex99-2.htm">
              <w:r>
                <w:rPr>
                  <w:rStyle w:val="InternetLink"/>
                  <w:rFonts w:ascii="Times New Roman;Times;Serif" w:hAnsi="Times New Roman;Times;Serif"/>
                  <w:sz w:val="20"/>
                </w:rPr>
                <w:t>99.2</w:t>
              </w:r>
            </w:hyperlink>
          </w:p>
        </w:tc>
        <w:tc>
          <w:tcPr>
            <w:tcW w:w="9645" w:type="dxa"/>
            <w:tcBorders/>
            <w:vAlign w:val="center"/>
          </w:tcPr>
          <w:p>
            <w:pPr>
              <w:pStyle w:val="TableContents"/>
              <w:bidi w:val="0"/>
              <w:spacing w:before="0" w:after="283"/>
              <w:jc w:val="left"/>
              <w:rPr/>
            </w:pPr>
            <w:hyperlink w:anchor="tm243871d1_ex99-2.htm">
              <w:r>
                <w:rPr>
                  <w:rStyle w:val="InternetLink"/>
                  <w:rFonts w:ascii="Times New Roman;Times;Serif" w:hAnsi="Times New Roman;Times;Serif"/>
                  <w:sz w:val="20"/>
                </w:rPr>
                <w:t>Press release dated January 18, 2024</w:t>
              </w:r>
            </w:hyperlink>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the impact of the notes offering and the related repurchase on our financial position and the dilution of our stockholders, general economic uncertainty in key markets and a worsening of domestic and global economic conditions or low levels of economic growth; availability of financing for RV and marine dealers;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(“ESG”) matters, and our ability to meet our commitments; impairment of goodwill and trade names; and risks related to our Convertible and Senior Secured Notes including our ability to satisfy our obligations under these notes.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9090" w:type="dxa"/>
        <w:jc w:val="left"/>
        <w:tblInd w:w="0" w:type="dxa"/>
        <w:tblLayout w:type="fixed"/>
        <w:tblCellMar>
          <w:top w:w="0" w:type="dxa"/>
          <w:left w:w="0" w:type="dxa"/>
          <w:bottom w:w="0" w:type="dxa"/>
          <w:right w:w="0" w:type="dxa"/>
        </w:tblCellMar>
      </w:tblPr>
      <w:tblGrid>
        <w:gridCol w:w="2045"/>
        <w:gridCol w:w="545"/>
        <w:gridCol w:w="6500"/>
      </w:tblGrid>
      <w:tr>
        <w:trPr/>
        <w:tc>
          <w:tcPr>
            <w:tcW w:w="2045" w:type="dxa"/>
            <w:tcBorders/>
            <w:vAlign w:val="center"/>
          </w:tcPr>
          <w:p>
            <w:pPr>
              <w:pStyle w:val="TableContents"/>
              <w:bidi w:val="0"/>
              <w:spacing w:before="0" w:after="283"/>
              <w:jc w:val="left"/>
              <w:rPr/>
            </w:pPr>
            <w:r>
              <w:rPr/>
              <w:t> </w:t>
            </w:r>
          </w:p>
        </w:tc>
        <w:tc>
          <w:tcPr>
            <w:tcW w:w="7045" w:type="dxa"/>
            <w:gridSpan w:val="2"/>
            <w:tcBorders/>
            <w:vAlign w:val="center"/>
          </w:tcPr>
          <w:p>
            <w:pPr>
              <w:pStyle w:val="TableContents"/>
              <w:bidi w:val="0"/>
              <w:spacing w:before="0" w:after="283"/>
              <w:jc w:val="left"/>
              <w:rPr>
                <w:rFonts w:ascii="Times New Roman;Times;Serif" w:hAnsi="Times New Roman;Times;Serif"/>
                <w:smallCaps/>
              </w:rPr>
            </w:pPr>
            <w:r>
              <w:rPr>
                <w:rFonts w:ascii="Times New Roman;Times;Serif" w:hAnsi="Times New Roman;Times;Serif"/>
                <w:smallCaps/>
              </w:rPr>
              <w:t>W</w:t>
            </w:r>
            <w:r>
              <w:rPr>
                <w:rFonts w:ascii="Times New Roman;Times;Serif" w:hAnsi="Times New Roman;Times;Serif"/>
                <w:smallCaps/>
                <w:sz w:val="20"/>
              </w:rPr>
              <w:t>innebago Industries, Inc.</w:t>
            </w:r>
          </w:p>
        </w:tc>
      </w:tr>
      <w:tr>
        <w:trPr/>
        <w:tc>
          <w:tcPr>
            <w:tcW w:w="204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rFonts w:ascii="Times New Roman;Times;Serif" w:hAnsi="Times New Roman;Times;Serif"/>
                <w:sz w:val="20"/>
              </w:rPr>
              <w:t>Date:</w:t>
            </w:r>
            <w:r>
              <w:rPr/>
              <w:t xml:space="preserve">   </w:t>
            </w:r>
            <w:r>
              <w:rPr>
                <w:rFonts w:ascii="Times New Roman;Times;Serif" w:hAnsi="Times New Roman;Times;Serif"/>
                <w:sz w:val="20"/>
              </w:rPr>
              <w:t>January 23, 2024</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5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Stacy L. Bogart</w:t>
            </w:r>
          </w:p>
        </w:tc>
      </w:tr>
      <w:tr>
        <w:trPr/>
        <w:tc>
          <w:tcPr>
            <w:tcW w:w="204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Stacy L. Bogart</w:t>
            </w:r>
          </w:p>
        </w:tc>
      </w:tr>
      <w:tr>
        <w:trPr/>
        <w:tc>
          <w:tcPr>
            <w:tcW w:w="204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Secretary and Corporate Responsibility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43871d1_ex4-1.htm"/>
      <w:bookmarkStart w:id="23" w:name="kstm243871d1_ex41"/>
      <w:bookmarkEnd w:id="22"/>
      <w:bookmarkEnd w:id="23"/>
      <w:r>
        <w:rPr/>
        <w:t> </w:t>
      </w:r>
      <w:r>
        <w:br w:type="page"/>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Winnebago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U.S. Bank Trust Company,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January 23,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3.250% Convertible Senior Notes due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7"/>
        <w:gridCol w:w="8872"/>
        <w:gridCol w:w="246"/>
      </w:tblGrid>
      <w:tr>
        <w:trPr/>
        <w:tc>
          <w:tcPr>
            <w:tcW w:w="1087" w:type="dxa"/>
            <w:tcBorders/>
            <w:vAlign w:val="center"/>
          </w:tcPr>
          <w:p>
            <w:pPr>
              <w:pStyle w:val="TableContents"/>
              <w:bidi w:val="0"/>
              <w:spacing w:before="0" w:after="283"/>
              <w:ind w:left="0" w:right="0" w:hanging="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w:t>
            </w:r>
          </w:p>
        </w:tc>
        <w:tc>
          <w:tcPr>
            <w:tcW w:w="8872" w:type="dxa"/>
            <w:tcBorders/>
            <w:vAlign w:val="center"/>
          </w:tcPr>
          <w:p>
            <w:pPr>
              <w:pStyle w:val="TableContents"/>
              <w:bidi w:val="0"/>
              <w:spacing w:before="0" w:after="283"/>
              <w:jc w:val="left"/>
              <w:rPr>
                <w:sz w:val="20"/>
              </w:rPr>
            </w:pPr>
            <w:r>
              <w:rPr>
                <w:sz w:val="20"/>
              </w:rPr>
              <w:t>Definitions; Rules of Construction</w:t>
            </w:r>
          </w:p>
        </w:tc>
        <w:tc>
          <w:tcPr>
            <w:tcW w:w="246" w:type="dxa"/>
            <w:tcBorders/>
            <w:vAlign w:val="center"/>
          </w:tcPr>
          <w:p>
            <w:pPr>
              <w:pStyle w:val="TableContents"/>
              <w:bidi w:val="0"/>
              <w:spacing w:before="0" w:after="283"/>
              <w:jc w:val="right"/>
              <w:rPr>
                <w:sz w:val="20"/>
              </w:rPr>
            </w:pPr>
            <w:r>
              <w:rPr>
                <w:sz w:val="20"/>
              </w:rPr>
              <w:t>1</w:t>
            </w:r>
          </w:p>
        </w:tc>
      </w:tr>
      <w:tr>
        <w:trPr/>
        <w:tc>
          <w:tcPr>
            <w:tcW w:w="1087" w:type="dxa"/>
            <w:tcBorders/>
            <w:vAlign w:val="center"/>
          </w:tcPr>
          <w:p>
            <w:pPr>
              <w:pStyle w:val="TableContents"/>
              <w:bidi w:val="0"/>
              <w:spacing w:before="0" w:after="283"/>
              <w:jc w:val="left"/>
              <w:rPr>
                <w:caps w:val="false"/>
                <w:smallCaps w:val="false"/>
              </w:rPr>
            </w:pPr>
            <w:r>
              <w:rPr>
                <w:caps w:val="false"/>
                <w:smallCaps w:val="false"/>
              </w:rPr>
              <w:t> </w:t>
            </w:r>
          </w:p>
        </w:tc>
        <w:tc>
          <w:tcPr>
            <w:tcW w:w="8872"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440"/>
              <w:jc w:val="right"/>
              <w:rPr/>
            </w:pPr>
            <w:r>
              <w:rPr/>
              <w:t> </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Definitions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of Construction</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87" w:type="dxa"/>
            <w:tcBorders/>
            <w:vAlign w:val="center"/>
          </w:tcPr>
          <w:p>
            <w:pPr>
              <w:pStyle w:val="TableContents"/>
              <w:bidi w:val="0"/>
              <w:spacing w:before="0" w:after="283"/>
              <w:jc w:val="left"/>
              <w:rPr>
                <w:caps w:val="false"/>
                <w:smallCaps w:val="false"/>
              </w:rPr>
            </w:pPr>
            <w:r>
              <w:rPr>
                <w:caps w:val="false"/>
                <w:smallCaps w:val="false"/>
              </w:rPr>
              <w:t> </w:t>
            </w:r>
          </w:p>
        </w:tc>
        <w:tc>
          <w:tcPr>
            <w:tcW w:w="8872"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080"/>
              <w:jc w:val="right"/>
              <w:rPr/>
            </w:pPr>
            <w:r>
              <w:rPr/>
              <w:t> </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87" w:type="dxa"/>
            <w:tcBorders/>
            <w:vAlign w:val="center"/>
          </w:tcPr>
          <w:p>
            <w:pPr>
              <w:pStyle w:val="TableContents"/>
              <w:bidi w:val="0"/>
              <w:spacing w:before="0" w:after="283"/>
              <w:jc w:val="left"/>
              <w:rPr>
                <w:caps w:val="false"/>
                <w:smallCaps w:val="false"/>
              </w:rPr>
            </w:pPr>
            <w:r>
              <w:rPr>
                <w:caps w:val="false"/>
                <w:smallCaps w:val="false"/>
              </w:rPr>
              <w:t> </w:t>
            </w:r>
          </w:p>
        </w:tc>
        <w:tc>
          <w:tcPr>
            <w:tcW w:w="8872"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440"/>
              <w:jc w:val="right"/>
              <w:rPr/>
            </w:pPr>
            <w:r>
              <w:rPr/>
              <w:t> </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Dating and Denominations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Authentication and Delivery</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Notes and Additional Notes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Payment</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of Interest; Defaulted Amounts; When Payment Date is Not a Business Day</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Registrar, Paying Agent and Conversion Agent</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 and Conversion Agent to Hold Property in Trust</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Lists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Legends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and Exchanges; Certain Transfer Restrictions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and Cancellation of Notes to Be Converted or to Be Repurchased Pursuant to a Repurchase Upon Fundamental Change or Redemption</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Transfer Restrictions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Notes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Holders; Certain Rights with Respect to Global Notes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Held by the Company or its Affiliates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Temporary Notes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2.18.</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Notes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2.19.</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Repurchases by the Company</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2.20.</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and ISIN Numbers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087" w:type="dxa"/>
            <w:tcBorders/>
            <w:vAlign w:val="center"/>
          </w:tcPr>
          <w:p>
            <w:pPr>
              <w:pStyle w:val="TableContents"/>
              <w:bidi w:val="0"/>
              <w:spacing w:before="0" w:after="283"/>
              <w:jc w:val="left"/>
              <w:rPr>
                <w:caps w:val="false"/>
                <w:smallCaps w:val="false"/>
              </w:rPr>
            </w:pPr>
            <w:r>
              <w:rPr>
                <w:caps w:val="false"/>
                <w:smallCaps w:val="false"/>
              </w:rPr>
              <w:t> </w:t>
            </w:r>
          </w:p>
        </w:tc>
        <w:tc>
          <w:tcPr>
            <w:tcW w:w="8872"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080"/>
              <w:jc w:val="right"/>
              <w:rPr/>
            </w:pPr>
            <w:r>
              <w:rPr/>
              <w:t> </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3.</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087" w:type="dxa"/>
            <w:tcBorders/>
            <w:vAlign w:val="center"/>
          </w:tcPr>
          <w:p>
            <w:pPr>
              <w:pStyle w:val="TableContents"/>
              <w:bidi w:val="0"/>
              <w:spacing w:before="0" w:after="283"/>
              <w:jc w:val="left"/>
              <w:rPr>
                <w:caps w:val="false"/>
                <w:smallCaps w:val="false"/>
              </w:rPr>
            </w:pPr>
            <w:r>
              <w:rPr>
                <w:caps w:val="false"/>
                <w:smallCaps w:val="false"/>
              </w:rPr>
              <w:t> </w:t>
            </w:r>
          </w:p>
        </w:tc>
        <w:tc>
          <w:tcPr>
            <w:tcW w:w="8872"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440"/>
              <w:jc w:val="right"/>
              <w:rPr/>
            </w:pPr>
            <w:r>
              <w:rPr/>
              <w:t> </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on Notes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Reports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144A Information</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Interest</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and Default Certificates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Stay, Extension and Usury Laws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Existence</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 on Acquisition of Notes by the Company and its Affiliates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Instruments and Acts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87" w:type="dxa"/>
            <w:tcBorders/>
            <w:vAlign w:val="center"/>
          </w:tcPr>
          <w:p>
            <w:pPr>
              <w:pStyle w:val="TableContents"/>
              <w:bidi w:val="0"/>
              <w:spacing w:before="0" w:after="283"/>
              <w:jc w:val="left"/>
              <w:rPr>
                <w:caps w:val="false"/>
                <w:smallCaps w:val="false"/>
              </w:rPr>
            </w:pPr>
            <w:r>
              <w:rPr>
                <w:caps w:val="false"/>
                <w:smallCaps w:val="false"/>
              </w:rPr>
              <w:t> </w:t>
            </w:r>
          </w:p>
        </w:tc>
        <w:tc>
          <w:tcPr>
            <w:tcW w:w="8872"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080"/>
              <w:jc w:val="right"/>
              <w:rPr/>
            </w:pPr>
            <w:r>
              <w:rPr/>
              <w:t> </w:t>
            </w:r>
          </w:p>
        </w:tc>
      </w:tr>
      <w:tr>
        <w:trPr/>
        <w:tc>
          <w:tcPr>
            <w:tcW w:w="10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4.</w:t>
            </w:r>
          </w:p>
        </w:tc>
        <w:tc>
          <w:tcPr>
            <w:tcW w:w="88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and Redemption</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92"/>
        <w:gridCol w:w="8867"/>
        <w:gridCol w:w="246"/>
      </w:tblGrid>
      <w:tr>
        <w:trPr/>
        <w:tc>
          <w:tcPr>
            <w:tcW w:w="1092"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Sinking Fund</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Holders to Require the Company to Repurchase Notes upon a Fundamental Change</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the Company to Redeem the Notes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8867"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080"/>
              <w:jc w:val="righ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5.</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8867"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440"/>
              <w:jc w:val="righ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Convert</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Procedures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upon Conversion</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 and Status of Common Stock Issued upon Conversion</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the Conversion Rate</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Adjustments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the Conversion Rate in Connection with a Make-Whole Fundamental Change</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in Lieu of Conversion</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Common Stock Change Event</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8867"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080"/>
              <w:jc w:val="righ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6.</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8867"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440"/>
              <w:jc w:val="righ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Company May Merge, Etc</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Corporation Substituted</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8867"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080"/>
              <w:jc w:val="righ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7.</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and Remedies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8867"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440"/>
              <w:jc w:val="righ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Acceleration</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Remedy for a Failure to Report</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Remedies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 of Past Defaults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by Majority</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 on Suits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Absolute Right of Holders to Institute Suit for the Enforcement of the Right to Receive Payment and Conversion Consideration</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Suit by Trustee</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May File Proofs of Claim</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Priorities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Undertaking for Costs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8867"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080"/>
              <w:jc w:val="righ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8.</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Supplements and Waivers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8867"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440"/>
              <w:jc w:val="righ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Holders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of Holders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Amendments, Supplements and Waivers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Revocation, Effect and Solicitation of Consents; Special Record Dates; Etc</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Notations and Exchanges</w:t>
            </w:r>
          </w:p>
        </w:tc>
        <w:tc>
          <w:tcPr>
            <w:tcW w:w="246"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to Execute Supplemental Indentures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8867"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080"/>
              <w:jc w:val="righ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9.</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and Discharge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8867"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ind w:left="0" w:right="0" w:hanging="1440"/>
              <w:jc w:val="righ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8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Company’s Obligations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1205"/>
        <w:gridCol w:w="6785"/>
        <w:gridCol w:w="440"/>
      </w:tblGrid>
      <w:tr>
        <w:trPr/>
        <w:tc>
          <w:tcPr>
            <w:tcW w:w="1205" w:type="dxa"/>
            <w:tcBorders/>
            <w:vAlign w:val="center"/>
          </w:tcPr>
          <w:p>
            <w:pPr>
              <w:pStyle w:val="TableContents"/>
              <w:bidi w:val="0"/>
              <w:spacing w:before="0" w:after="283"/>
              <w:ind w:left="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to Company</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Reinstatement</w:t>
            </w:r>
          </w:p>
        </w:tc>
        <w:tc>
          <w:tcPr>
            <w:tcW w:w="4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678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ind w:left="0" w:right="0" w:hanging="1080"/>
              <w:jc w:val="right"/>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10.</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tc>
        <w:tc>
          <w:tcPr>
            <w:tcW w:w="4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678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ind w:left="0" w:right="0" w:hanging="1440"/>
              <w:jc w:val="right"/>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of the Trustee</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the Trustee</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Rights of the Trustee</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Disclaimer</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Defaults</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and Indemnity</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of the Trustee</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Trustee by Merger, Etc</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Disqualification</w:t>
            </w:r>
          </w:p>
        </w:tc>
        <w:tc>
          <w:tcPr>
            <w:tcW w:w="4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678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ind w:left="0" w:right="0" w:hanging="1080"/>
              <w:jc w:val="right"/>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c>
          <w:tcPr>
            <w:tcW w:w="4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678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ind w:left="0" w:right="0" w:hanging="1440"/>
              <w:jc w:val="right"/>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Officer’s Certificate and Opinion of Counsel as to Conditions Precedent</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Required in Officer’s Certificate and Opinion of Counsel</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Rules by the Trustee, the Registrar and the Paying Agent</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Personal Liability of Directors, Officers, Employees and Stockholders</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 Waiver of Jury Trial</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Jurisdiction</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11.08.</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Adverse Interpretation of Other Agreements</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11.09.</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11.10.</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11.11.</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PATRIOT Act</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11.12.</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Calculations</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11.13.</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11.14.</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11.15.</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 Headings, Etc</w:t>
            </w:r>
          </w:p>
        </w:tc>
        <w:tc>
          <w:tcPr>
            <w:tcW w:w="440" w:type="dxa"/>
            <w:tcBorders/>
            <w:vAlign w:val="center"/>
          </w:tcPr>
          <w:p>
            <w:pPr>
              <w:pStyle w:val="TableContents"/>
              <w:bidi w:val="0"/>
              <w:spacing w:before="0" w:after="283"/>
              <w:ind w:left="0" w:right="0" w:hanging="14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11.16.</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Taxes</w:t>
            </w:r>
          </w:p>
        </w:tc>
        <w:tc>
          <w:tcPr>
            <w:tcW w:w="4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678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r>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tc>
        <w:tc>
          <w:tcPr>
            <w:tcW w:w="678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r>
      <w:tr>
        <w:trPr/>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678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r>
      <w:tr>
        <w:trPr/>
        <w:tc>
          <w:tcPr>
            <w:tcW w:w="79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Form of Note      </w:t>
            </w:r>
          </w:p>
        </w:tc>
        <w:tc>
          <w:tcPr>
            <w:tcW w:w="440" w:type="dxa"/>
            <w:tcBorders/>
            <w:vAlign w:val="center"/>
          </w:tcPr>
          <w:p>
            <w:pPr>
              <w:pStyle w:val="TableContents"/>
              <w:bidi w:val="0"/>
              <w:spacing w:before="0" w:after="283"/>
              <w:jc w:val="right"/>
              <w:rPr>
                <w:sz w:val="20"/>
              </w:rPr>
            </w:pPr>
            <w:r>
              <w:rPr>
                <w:sz w:val="20"/>
              </w:rPr>
              <w:t>A-1</w:t>
            </w:r>
          </w:p>
        </w:tc>
      </w:tr>
      <w:tr>
        <w:trPr/>
        <w:tc>
          <w:tcPr>
            <w:tcW w:w="79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B-1: Form of Restricted Note Legend      </w:t>
            </w:r>
          </w:p>
        </w:tc>
        <w:tc>
          <w:tcPr>
            <w:tcW w:w="440" w:type="dxa"/>
            <w:tcBorders/>
            <w:vAlign w:val="center"/>
          </w:tcPr>
          <w:p>
            <w:pPr>
              <w:pStyle w:val="TableContents"/>
              <w:bidi w:val="0"/>
              <w:spacing w:before="0" w:after="283"/>
              <w:jc w:val="right"/>
              <w:rPr>
                <w:sz w:val="20"/>
              </w:rPr>
            </w:pPr>
            <w:r>
              <w:rPr>
                <w:sz w:val="20"/>
              </w:rPr>
              <w:t>B1-1</w:t>
            </w:r>
          </w:p>
        </w:tc>
      </w:tr>
      <w:tr>
        <w:trPr/>
        <w:tc>
          <w:tcPr>
            <w:tcW w:w="79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B-2: Form of Global Note Legend      </w:t>
            </w:r>
          </w:p>
        </w:tc>
        <w:tc>
          <w:tcPr>
            <w:tcW w:w="440" w:type="dxa"/>
            <w:tcBorders/>
            <w:vAlign w:val="center"/>
          </w:tcPr>
          <w:p>
            <w:pPr>
              <w:pStyle w:val="TableContents"/>
              <w:bidi w:val="0"/>
              <w:spacing w:before="0" w:after="283"/>
              <w:jc w:val="right"/>
              <w:rPr>
                <w:sz w:val="20"/>
              </w:rPr>
            </w:pPr>
            <w:r>
              <w:rPr>
                <w:sz w:val="20"/>
              </w:rPr>
              <w:t>B2-1</w:t>
            </w:r>
          </w:p>
        </w:tc>
      </w:tr>
      <w:tr>
        <w:trPr/>
        <w:tc>
          <w:tcPr>
            <w:tcW w:w="79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B-3: Form of Non-Affiliate Legend      </w:t>
            </w:r>
          </w:p>
        </w:tc>
        <w:tc>
          <w:tcPr>
            <w:tcW w:w="440" w:type="dxa"/>
            <w:tcBorders/>
            <w:vAlign w:val="center"/>
          </w:tcPr>
          <w:p>
            <w:pPr>
              <w:pStyle w:val="TableContents"/>
              <w:bidi w:val="0"/>
              <w:spacing w:before="0" w:after="283"/>
              <w:jc w:val="right"/>
              <w:rPr>
                <w:sz w:val="20"/>
              </w:rPr>
            </w:pPr>
            <w:r>
              <w:rPr>
                <w:sz w:val="20"/>
              </w:rPr>
              <w:t>B3-1</w:t>
            </w:r>
          </w:p>
        </w:tc>
      </w:tr>
      <w:tr>
        <w:trPr/>
        <w:tc>
          <w:tcPr>
            <w:tcW w:w="1205" w:type="dxa"/>
            <w:tcBorders/>
            <w:vAlign w:val="center"/>
          </w:tcPr>
          <w:p>
            <w:pPr>
              <w:pStyle w:val="TableContents"/>
              <w:bidi w:val="0"/>
              <w:spacing w:before="0" w:after="283"/>
              <w:jc w:val="left"/>
              <w:rPr>
                <w:caps w:val="false"/>
                <w:smallCaps w:val="false"/>
              </w:rPr>
            </w:pPr>
            <w:r>
              <w:rPr>
                <w:caps w:val="false"/>
                <w:smallCaps w:val="false"/>
              </w:rPr>
              <w:t> </w:t>
            </w:r>
          </w:p>
        </w:tc>
        <w:tc>
          <w:tcPr>
            <w:tcW w:w="678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sz w:val="20"/>
          <w:bdr w:val="single" w:sz="8" w:space="1" w:color="000000"/>
        </w:rPr>
      </w:pPr>
      <w:r>
        <w:rPr>
          <w:sz w:val="20"/>
          <w:bdr w:val="single" w:sz="8" w:space="1" w:color="000000"/>
        </w:rPr>
        <w:t>- iii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dated as of January 23, 2024, between Winnebago Industries, Inc., a Minnesota corporation, as issuer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U.S. Bank Trust Company,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this Indenture (as defined below) agrees as follows for the benefit of the other party and for the equal and ratable benefit of the Holders (as defined below) of the Company’s 3.250% Convertible Senior Notes due 2030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1.</w:t>
        <w:tab/>
        <w:t>     </w:t>
      </w:r>
      <w:r>
        <w:rPr>
          <w:rFonts w:ascii="Times New Roman;Times;Serif" w:hAnsi="Times New Roman;Times;Serif"/>
          <w:b/>
          <w:i w:val="false"/>
          <w:caps/>
          <w:sz w:val="20"/>
        </w:rPr>
        <w:t>Definitions; 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w:t>
      </w:r>
      <w:r>
        <w:rPr>
          <w:rFonts w:ascii="Times New Roman;Times;Serif" w:hAnsi="Times New Roman;Times;Serif"/>
          <w:b w:val="false"/>
          <w:i w:val="false"/>
          <w:smallCaps/>
          <w:sz w:val="20"/>
        </w:rPr>
        <w:t> </w:t>
      </w:r>
      <w:r>
        <w:rPr>
          <w:rFonts w:ascii="Times New Roman;Times;Serif" w:hAnsi="Times New Roman;Times;Serif"/>
          <w:b/>
          <w:i w:val="false"/>
          <w:smallCaps/>
          <w:sz w:val="20"/>
        </w:rPr>
        <w:t>1.01.</w:t>
        <w:tab/>
        <w:t>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Interest</w:t>
      </w:r>
      <w:r>
        <w:rPr>
          <w:rFonts w:ascii="Times New Roman;Times;Serif" w:hAnsi="Times New Roman;Times;Serif"/>
          <w:b w:val="false"/>
          <w:i w:val="false"/>
          <w:caps w:val="false"/>
          <w:smallCaps w:val="false"/>
          <w:sz w:val="20"/>
        </w:rPr>
        <w:t xml:space="preserve">” means any interest that accrues on any Note pursuant to </w:t>
      </w:r>
      <w:r>
        <w:rPr>
          <w:rFonts w:ascii="Times New Roman;Times;Serif" w:hAnsi="Times New Roman;Times;Serif"/>
          <w:b/>
          <w:i w:val="false"/>
          <w:caps w:val="false"/>
          <w:smallCaps w:val="false"/>
          <w:sz w:val="20"/>
        </w:rPr>
        <w:t>Section 3.04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has the meaning set forth in Rule 144 as in effect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Authorized Denomination</w:t>
      </w:r>
      <w:r>
        <w:rPr>
          <w:rFonts w:ascii="Times New Roman;Times;Serif" w:hAnsi="Times New Roman;Times;Serif"/>
          <w:b w:val="false"/>
          <w:i w:val="false"/>
          <w:caps w:val="false"/>
          <w:smallCaps w:val="false"/>
          <w:sz w:val="20"/>
        </w:rPr>
        <w:t>” means, with respect to a Note, a principal amount thereof equal to $1,000 or any integral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Law</w:t>
      </w:r>
      <w:r>
        <w:rPr>
          <w:rFonts w:ascii="Times New Roman;Times;Serif" w:hAnsi="Times New Roman;Times;Serif"/>
          <w:b w:val="false"/>
          <w:i w:val="false"/>
          <w:caps w:val="false"/>
          <w:smallCaps w:val="false"/>
          <w:sz w:val="20"/>
        </w:rPr>
        <w:t>” means Title 11, United States Code, or any similar U.S. federal or state or non-U.S.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Bid Solicitation Agent</w:t>
      </w:r>
      <w:r>
        <w:rPr>
          <w:rFonts w:ascii="Times New Roman;Times;Serif" w:hAnsi="Times New Roman;Times;Serif"/>
          <w:b w:val="false"/>
          <w:i w:val="false"/>
          <w:caps w:val="false"/>
          <w:smallCaps w:val="false"/>
          <w:sz w:val="20"/>
        </w:rPr>
        <w:t xml:space="preserve">” means the Person who is required to obtain bids for the Trading Price in accordance with </w:t>
      </w:r>
      <w:r>
        <w:rPr>
          <w:rFonts w:ascii="Times New Roman;Times;Serif" w:hAnsi="Times New Roman;Times;Serif"/>
          <w:b/>
          <w:i w:val="false"/>
          <w:caps w:val="false"/>
          <w:smallCaps w:val="false"/>
          <w:sz w:val="20"/>
        </w:rPr>
        <w:t>Section 5.01(C)(i)(2)</w:t>
      </w:r>
      <w:r>
        <w:rPr>
          <w:rFonts w:ascii="Times New Roman;Times;Serif" w:hAnsi="Times New Roman;Times;Serif"/>
          <w:b w:val="false"/>
          <w:i w:val="false"/>
          <w:caps w:val="false"/>
          <w:smallCaps w:val="false"/>
          <w:sz w:val="20"/>
        </w:rPr>
        <w:t xml:space="preserve"> and the definition of “Trading Price.” The initial Bid Solicitation Agent on the Issue Date will be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may appoint any other Person (including any of the Company’s Subsidiaries) to be the Bid Solicitation Agent at any time after the Issue Date without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the Company or a committee of such board duly authorized to act on behalf of such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any day on which the Federal Reserve Bank of New York is authorized or required by law or executive order to close or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of any Person means any and all shares of, interests in, rights to purchase, warrants or options for, participations in, or other equivalents of, in each case however designated, the equity of such Person, but excluding any debt securities convertible into, or exchangeable for, such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xml:space="preserve">” means the common stock, $0.50 par value per share, of the Company, subject to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Person named as such in the first paragraph of this Indenture and, subject to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request or order signed on behalf of the Company by one (1) of its Officers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means, with respect to a Note, the first Business Day on which the requirements set forth in </w:t>
      </w:r>
      <w:r>
        <w:rPr>
          <w:rFonts w:ascii="Times New Roman;Times;Serif" w:hAnsi="Times New Roman;Times;Serif"/>
          <w:b/>
          <w:i w:val="false"/>
          <w:caps w:val="false"/>
          <w:smallCaps w:val="false"/>
          <w:sz w:val="20"/>
        </w:rPr>
        <w:t>Section 5.02(A)</w:t>
      </w:r>
      <w:r>
        <w:rPr>
          <w:rFonts w:ascii="Times New Roman;Times;Serif" w:hAnsi="Times New Roman;Times;Serif"/>
          <w:b w:val="false"/>
          <w:i w:val="false"/>
          <w:caps w:val="false"/>
          <w:smallCaps w:val="false"/>
          <w:sz w:val="20"/>
        </w:rPr>
        <w:t xml:space="preserve"> to convert such Note are satisfied, subject to </w:t>
      </w:r>
      <w:r>
        <w:rPr>
          <w:rFonts w:ascii="Times New Roman;Times;Serif" w:hAnsi="Times New Roman;Times;Serif"/>
          <w:b/>
          <w:i w:val="false"/>
          <w:caps w:val="false"/>
          <w:smallCaps w:val="false"/>
          <w:sz w:val="20"/>
        </w:rPr>
        <w:t>Section 5.03(C)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xml:space="preserve">” means, as of any time, an amount equal to (A) one thousand dollars ($1,000)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(B) the Conversion Rate in effect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initially means 11.3724 shares of Common Stock per $1,000 principal amount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Conversion Rate is subject to adjustment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whenever this Indenture refers to the Conversion Rate as of a particular date without setting forth a particular time on such date, such reference will be deemed to be to the Conversion Rate immediately after the Close of Business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Share</w:t>
      </w:r>
      <w:r>
        <w:rPr>
          <w:rFonts w:ascii="Times New Roman;Times;Serif" w:hAnsi="Times New Roman;Times;Serif"/>
          <w:b w:val="false"/>
          <w:i w:val="false"/>
          <w:caps w:val="false"/>
          <w:smallCaps w:val="false"/>
          <w:sz w:val="20"/>
        </w:rPr>
        <w:t>” means any share of Common Stock issued or issuable upon conversion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 of the Trustee</w:t>
      </w:r>
      <w:r>
        <w:rPr>
          <w:rFonts w:ascii="Times New Roman;Times;Serif" w:hAnsi="Times New Roman;Times;Serif"/>
          <w:b w:val="false"/>
          <w:i w:val="false"/>
          <w:caps w:val="false"/>
          <w:smallCaps w:val="false"/>
          <w:sz w:val="20"/>
        </w:rPr>
        <w:t xml:space="preserve">” means the address of the Trustee specified in </w:t>
      </w:r>
      <w:r>
        <w:rPr>
          <w:rFonts w:ascii="Times New Roman;Times;Serif" w:hAnsi="Times New Roman;Times;Serif"/>
          <w:b/>
          <w:i w:val="false"/>
          <w:caps w:val="false"/>
          <w:smallCaps w:val="false"/>
          <w:sz w:val="20"/>
        </w:rPr>
        <w:t>Section 11.01</w:t>
      </w:r>
      <w:r>
        <w:rPr>
          <w:rFonts w:ascii="Times New Roman;Times;Serif" w:hAnsi="Times New Roman;Times;Serif"/>
          <w:b w:val="false"/>
          <w:i w:val="false"/>
          <w:caps w:val="false"/>
          <w:smallCaps w:val="false"/>
          <w:sz w:val="20"/>
        </w:rPr>
        <w:t xml:space="preserve"> or such other address as to which the Trustee may give notice to the Holders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Cash Amount</w:t>
      </w:r>
      <w:r>
        <w:rPr>
          <w:rFonts w:ascii="Times New Roman;Times;Serif" w:hAnsi="Times New Roman;Times;Serif"/>
          <w:b w:val="false"/>
          <w:i w:val="false"/>
          <w:caps w:val="false"/>
          <w:smallCaps w:val="false"/>
          <w:sz w:val="20"/>
        </w:rPr>
        <w:t>” means, with respect to any VWAP Trading Day, the lesser of (A) the applicable Daily Maximum Cash Amount; and (B) the Daily Conversion Value for such VWAP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Conversion Value</w:t>
      </w:r>
      <w:r>
        <w:rPr>
          <w:rFonts w:ascii="Times New Roman;Times;Serif" w:hAnsi="Times New Roman;Times;Serif"/>
          <w:b w:val="false"/>
          <w:i w:val="false"/>
          <w:caps w:val="false"/>
          <w:smallCaps w:val="false"/>
          <w:sz w:val="20"/>
        </w:rPr>
        <w:t>” means, with respect to any VWAP Trading Day, one-fortieth (1/40th) of the product of (A) the Conversion Rate on such VWAP Trading Day; and (B) the Daily VWAP per share of Common Stock on such VWAP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Maximum Cash Amount</w:t>
      </w:r>
      <w:r>
        <w:rPr>
          <w:rFonts w:ascii="Times New Roman;Times;Serif" w:hAnsi="Times New Roman;Times;Serif"/>
          <w:b w:val="false"/>
          <w:i w:val="false"/>
          <w:caps w:val="false"/>
          <w:smallCaps w:val="false"/>
          <w:sz w:val="20"/>
        </w:rPr>
        <w:t>” means, with respect to the conversion of any Note, the quotient obtained by dividing (A) the Specified Dollar Amount applicable to such conversion by (B) forty (40).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Share Amount</w:t>
      </w:r>
      <w:r>
        <w:rPr>
          <w:rFonts w:ascii="Times New Roman;Times;Serif" w:hAnsi="Times New Roman;Times;Serif"/>
          <w:b w:val="false"/>
          <w:i w:val="false"/>
          <w:caps w:val="false"/>
          <w:smallCaps w:val="false"/>
          <w:sz w:val="20"/>
        </w:rPr>
        <w:t>” means, with respect to any VWAP Trading Day, the quotient obtained by dividing (A) the excess, if any, of the Daily Conversion Value for such VWAP Trading Day over the applicable Daily Maximum Cash Amount by (B) the Daily VWAP for such VWAP Trading Day. For the avoidance of doubt, the Daily Share Amount will be zero for such VWAP Trading Day if such Daily Conversion Value does not exceed such Daily Maximum Cash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means, for any VWAP Trading Day, the per share volume-weighted average price of the Common Stock as displayed under the heading “Bloomberg VWAP” on Bloomberg page “WGO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which may include any of the Initial Purchasers). The Daily VWAP will be determined without regard to after-hours trading or any other trading outside of the regular trading session.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De-Legending Deadline Date</w:t>
      </w:r>
      <w:r>
        <w:rPr>
          <w:rFonts w:ascii="Times New Roman;Times;Serif" w:hAnsi="Times New Roman;Times;Serif"/>
          <w:b w:val="false"/>
          <w:i w:val="false"/>
          <w:caps w:val="false"/>
          <w:smallCaps w:val="false"/>
          <w:sz w:val="20"/>
        </w:rPr>
        <w:t xml:space="preserve">” means, with respect to any Note, the fifteenth (15th) day after the Free Trade Date of such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fifteenth (15th) day would be after a Regular Record Date and before the fifth (5th) Business Day immediately after the next Interest Payment Date, then the De-Legending Deadline Date for such Note will instead be the fifth (5th) Business Day immediately after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Settlement Method</w:t>
      </w:r>
      <w:r>
        <w:rPr>
          <w:rFonts w:ascii="Times New Roman;Times;Serif" w:hAnsi="Times New Roman;Times;Serif"/>
          <w:b w:val="false"/>
          <w:i w:val="false"/>
          <w:caps w:val="false"/>
          <w:smallCaps w:val="false"/>
          <w:sz w:val="20"/>
        </w:rPr>
        <w:t xml:space="preserve">” means Combination Settlement with a Specified Dollar Amount of $1,000 per $1,000 principal amount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(x) subject to </w:t>
      </w:r>
      <w:r>
        <w:rPr>
          <w:rFonts w:ascii="Times New Roman;Times;Serif" w:hAnsi="Times New Roman;Times;Serif"/>
          <w:b/>
          <w:i w:val="false"/>
          <w:caps w:val="false"/>
          <w:smallCaps w:val="false"/>
          <w:sz w:val="20"/>
        </w:rPr>
        <w:t>Section 5.03(A)(iii)</w:t>
      </w:r>
      <w:r>
        <w:rPr>
          <w:rFonts w:ascii="Times New Roman;Times;Serif" w:hAnsi="Times New Roman;Times;Serif"/>
          <w:b w:val="false"/>
          <w:i w:val="false"/>
          <w:caps w:val="false"/>
          <w:smallCaps w:val="false"/>
          <w:sz w:val="20"/>
        </w:rPr>
        <w:t xml:space="preserve">, the Company may, from time to time, change the Default Settlement Method, to any Settlement Method that the Company is then permitted to elect, by sending notice of the new Default Settlement Method to the Holders, the Trustee and the Conversion Agent; and (y) the Default Settlement Method will be subject to </w:t>
      </w:r>
      <w:r>
        <w:rPr>
          <w:rFonts w:ascii="Times New Roman;Times;Serif" w:hAnsi="Times New Roman;Times;Serif"/>
          <w:b/>
          <w:i w:val="false"/>
          <w:caps w:val="false"/>
          <w:smallCaps w:val="false"/>
          <w:sz w:val="20"/>
        </w:rPr>
        <w:t>Section 5.03(A)(ii)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The Depository Trust Company or its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 Participant</w:t>
      </w:r>
      <w:r>
        <w:rPr>
          <w:rFonts w:ascii="Times New Roman;Times;Serif" w:hAnsi="Times New Roman;Times;Serif"/>
          <w:b w:val="false"/>
          <w:i w:val="false"/>
          <w:caps w:val="false"/>
          <w:smallCaps w:val="false"/>
          <w:sz w:val="20"/>
        </w:rPr>
        <w:t>” means any member of, or participant in,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 Procedures</w:t>
      </w:r>
      <w:r>
        <w:rPr>
          <w:rFonts w:ascii="Times New Roman;Times;Serif" w:hAnsi="Times New Roman;Times;Serif"/>
          <w:b w:val="false"/>
          <w:i w:val="false"/>
          <w:caps w:val="false"/>
          <w:smallCaps w:val="false"/>
          <w:sz w:val="20"/>
        </w:rPr>
        <w:t>” means, with respect to any conversion, transfer, exchange or other transaction involving a Global Note or any beneficial interest therein, the rules and procedures of the Depositary applicable to such conversion, transfer, exchange or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Free Trade Date</w:t>
      </w:r>
      <w:r>
        <w:rPr>
          <w:rFonts w:ascii="Times New Roman;Times;Serif" w:hAnsi="Times New Roman;Times;Serif"/>
          <w:b w:val="false"/>
          <w:i w:val="false"/>
          <w:caps w:val="false"/>
          <w:smallCaps w:val="false"/>
          <w:sz w:val="20"/>
        </w:rPr>
        <w:t>” means, with respect to any Note, the date that is one (1) year after the Last Original Issue Date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Freely Tradable</w:t>
      </w:r>
      <w:r>
        <w:rPr>
          <w:rFonts w:ascii="Times New Roman;Times;Serif" w:hAnsi="Times New Roman;Times;Serif"/>
          <w:b w:val="false"/>
          <w:i w:val="false"/>
          <w:caps w:val="false"/>
          <w:smallCaps w:val="false"/>
          <w:sz w:val="20"/>
        </w:rPr>
        <w:t xml:space="preserve">” means, with respect to any Note, that such Note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from and after the Free Trade Date of such Note, such Note will not be “Freely Tradable” unless such Note (x) is not identified by a “restricted” CUSIP or ISIN number; and (y) is not represented by any certificate that bears the Restricted Note Legend. For the avoidance of doubt, whether a Note is deemed to be identified by a “restricted” CUSIP or ISIN number or to bear the Restricted Note Legend is subject to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w:t>
      </w:r>
      <w:r>
        <w:rPr>
          <w:rFonts w:ascii="Times New Roman;Times;Serif" w:hAnsi="Times New Roman;Times;Serif"/>
          <w:b w:val="false"/>
          <w:i w:val="false"/>
          <w:caps w:val="false"/>
          <w:smallCaps w:val="false"/>
          <w:sz w:val="20"/>
        </w:rPr>
        <w:t>” means any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or “group” (within the meaning of Section 13(d)(3) of the Exchange Act), other than the Company or its Wholly Owned Subsidiaries, has become the direct or indirect “beneficial owner” (as defined below) of shares of the Company’s common equity representing more than fifty percent (50%) of the voting power of all of the Company’s then-outstanding common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(i) any sale, lease or other transfer, in one transaction or a series of transactions, of all or substantially all of the assets of the Company and its Subsidiaries, taken as a whole, to any Person; or (ii) 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merger, consolidation, share exchange or combination of the Company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as applicable, or the parent thereof, in substantially the same proportions vis-à-vis each other as immediately before such transaction will be deemed not to be a Fundamental Change pursuant to this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Company’s stockholders approve any plan or proposal for the liquidation or dissolution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Common Stock ceases to be listed on any of The New York Stock Exchange, The NASDAQ Global Market or The NASDAQ Global Select Market (or any of their respective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transaction or event described in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stock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Common Stock Change Event whose Reference Property consists of such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this definition, (x) any transaction or event described in both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i w:val="false"/>
          <w:caps w:val="false"/>
          <w:smallCaps w:val="false"/>
          <w:sz w:val="20"/>
        </w:rPr>
        <w:t>clause (B)(i)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above (without regard to the proviso in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will be deemed to occur solely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above (subject to such proviso); and (y) whether a Person is a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and whether shares are “</w:t>
      </w:r>
      <w:r>
        <w:rPr>
          <w:rFonts w:ascii="Times New Roman;Times;Serif" w:hAnsi="Times New Roman;Times;Serif"/>
          <w:b/>
          <w:i w:val="false"/>
          <w:caps w:val="false"/>
          <w:smallCaps w:val="false"/>
          <w:sz w:val="20"/>
        </w:rPr>
        <w:t>beneficially owned</w:t>
      </w:r>
      <w:r>
        <w:rPr>
          <w:rFonts w:ascii="Times New Roman;Times;Serif" w:hAnsi="Times New Roman;Times;Serif"/>
          <w:b w:val="false"/>
          <w:i w:val="false"/>
          <w:caps w:val="false"/>
          <w:smallCaps w:val="false"/>
          <w:sz w:val="20"/>
        </w:rPr>
        <w:t>” will be determined in accordance with Rule 13d-3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means the date fixed for the repurchase of any Notes by the Company pursuant to a Repurchase Upon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xml:space="preserve">” means a notice (including a notice substantially in the form of the “Fundamental Change Repurchase Notice”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containing the information, or otherwise complying with the requirements, set forth in </w:t>
      </w:r>
      <w:r>
        <w:rPr>
          <w:rFonts w:ascii="Times New Roman;Times;Serif" w:hAnsi="Times New Roman;Times;Serif"/>
          <w:b/>
          <w:i w:val="false"/>
          <w:caps w:val="false"/>
          <w:smallCaps w:val="false"/>
          <w:sz w:val="20"/>
        </w:rPr>
        <w:t>Section 4.02(F)(i)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4.02(F)(ii)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xml:space="preserve">” means the cash price payable by the Company to repurchase any Note upon its Repurchase Upon Fundamental Change, calculated pursuant to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xml:space="preserve">” means a Note that is represented by a certificate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registered in the name of the Depositary or its nominee, duly executed by the Company and authenticated by the Trustee, and deposited with the Trustee, as custodian for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Note Legend</w:t>
      </w:r>
      <w:r>
        <w:rPr>
          <w:rFonts w:ascii="Times New Roman;Times;Serif" w:hAnsi="Times New Roman;Times;Serif"/>
          <w:b w:val="false"/>
          <w:i w:val="false"/>
          <w:caps w:val="false"/>
          <w:smallCaps w:val="false"/>
          <w:sz w:val="20"/>
        </w:rPr>
        <w:t xml:space="preserve">” means a legend substantially in the form set forth in </w:t>
      </w:r>
      <w:r>
        <w:rPr>
          <w:rFonts w:ascii="Times New Roman;Times;Serif" w:hAnsi="Times New Roman;Times;Serif"/>
          <w:b/>
          <w:i w:val="false"/>
          <w:caps w:val="false"/>
          <w:smallCaps w:val="false"/>
          <w:sz w:val="20"/>
        </w:rPr>
        <w:t>Exhibit B-2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 person in whose name a Note is registered on the Registrar’s books.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Indenture, as amended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Purchasers</w:t>
      </w:r>
      <w:r>
        <w:rPr>
          <w:rFonts w:ascii="Times New Roman;Times;Serif" w:hAnsi="Times New Roman;Times;Serif"/>
          <w:b w:val="false"/>
          <w:i w:val="false"/>
          <w:caps w:val="false"/>
          <w:smallCaps w:val="false"/>
          <w:sz w:val="20"/>
        </w:rPr>
        <w:t>” means Goldman Sachs &amp; Co. LLC and BMO Capital Markets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with respect to a Note, each January 15 and July 15 of each year, commencing on July 15, 2024 (or commencing on such other date specified in the certificate representing such Note). For the avoidance of doubt, the Maturity Date is an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 Date</w:t>
      </w:r>
      <w:r>
        <w:rPr>
          <w:rFonts w:ascii="Times New Roman;Times;Serif" w:hAnsi="Times New Roman;Times;Serif"/>
          <w:b w:val="false"/>
          <w:i w:val="false"/>
          <w:caps w:val="false"/>
          <w:smallCaps w:val="false"/>
          <w:sz w:val="20"/>
        </w:rPr>
        <w:t>” means January 23,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Last Original Issue Date</w:t>
      </w:r>
      <w:r>
        <w:rPr>
          <w:rFonts w:ascii="Times New Roman;Times;Serif" w:hAnsi="Times New Roman;Times;Serif"/>
          <w:b w:val="false"/>
          <w:i w:val="false"/>
          <w:caps w:val="false"/>
          <w:smallCaps w:val="false"/>
          <w:sz w:val="20"/>
        </w:rPr>
        <w:t xml:space="preserve">” means (A) with respect to any Notes issued pursuant to the Purchase Agreement and any Notes issued in exchange therefor or in substitution thereof, the Issue Date; and (B) with respect to any Notes issued pursuant to </w:t>
      </w:r>
      <w:r>
        <w:rPr>
          <w:rFonts w:ascii="Times New Roman;Times;Serif" w:hAnsi="Times New Roman;Times;Serif"/>
          <w:b/>
          <w:i w:val="false"/>
          <w:caps w:val="false"/>
          <w:smallCaps w:val="false"/>
          <w:sz w:val="20"/>
        </w:rPr>
        <w:t>Section 2.03(B)</w:t>
      </w:r>
      <w:r>
        <w:rPr>
          <w:rFonts w:ascii="Times New Roman;Times;Serif" w:hAnsi="Times New Roman;Times;Serif"/>
          <w:b w:val="false"/>
          <w:i w:val="false"/>
          <w:caps w:val="false"/>
          <w:smallCaps w:val="false"/>
          <w:sz w:val="20"/>
        </w:rPr>
        <w:t>,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 which may be any of the Initial Purchasers. Neither the Trustee nor the Conversion Agent will have any duty to determine the Last Reported Sale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w:t>
      </w:r>
      <w:r>
        <w:rPr>
          <w:rFonts w:ascii="Times New Roman;Times;Serif" w:hAnsi="Times New Roman;Times;Serif"/>
          <w:b w:val="false"/>
          <w:i w:val="false"/>
          <w:caps w:val="false"/>
          <w:smallCaps w:val="false"/>
          <w:sz w:val="20"/>
        </w:rPr>
        <w:t xml:space="preserve">” means (A) a Fundamental Change (determined after giving effect to the proviso immediately after </w:t>
      </w:r>
      <w:r>
        <w:rPr>
          <w:rFonts w:ascii="Times New Roman;Times;Serif" w:hAnsi="Times New Roman;Times;Serif"/>
          <w:b/>
          <w:i w:val="false"/>
          <w:caps w:val="false"/>
          <w:smallCaps w:val="false"/>
          <w:sz w:val="20"/>
        </w:rPr>
        <w:t>clause (D)</w:t>
      </w:r>
      <w:r>
        <w:rPr>
          <w:rFonts w:ascii="Times New Roman;Times;Serif" w:hAnsi="Times New Roman;Times;Serif"/>
          <w:b w:val="false"/>
          <w:i w:val="false"/>
          <w:caps w:val="false"/>
          <w:smallCaps w:val="false"/>
          <w:sz w:val="20"/>
        </w:rPr>
        <w:t xml:space="preserve"> of the definition thereof, but without regard to the proviso to </w:t>
      </w:r>
      <w:r>
        <w:rPr>
          <w:rFonts w:ascii="Times New Roman;Times;Serif" w:hAnsi="Times New Roman;Times;Serif"/>
          <w:b/>
          <w:i w:val="false"/>
          <w:caps w:val="false"/>
          <w:smallCaps w:val="false"/>
          <w:sz w:val="20"/>
        </w:rPr>
        <w:t>clause (B)(ii)</w:t>
      </w:r>
      <w:r>
        <w:rPr>
          <w:rFonts w:ascii="Times New Roman;Times;Serif" w:hAnsi="Times New Roman;Times;Serif"/>
          <w:b w:val="false"/>
          <w:i w:val="false"/>
          <w:caps w:val="false"/>
          <w:smallCaps w:val="false"/>
          <w:sz w:val="20"/>
        </w:rPr>
        <w:t xml:space="preserve"> of such definition); or (B) the sending of a Redemption Notice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subject to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 the sending of a Redemption Notice will constitute a Make-Whole Fundamental Change only with respect to the Notes called for Redemption pursuant to such Redemption Notice and not with respect to any other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 Conversion Period</w:t>
      </w:r>
      <w:r>
        <w:rPr>
          <w:rFonts w:ascii="Times New Roman;Times;Serif" w:hAnsi="Times New Roman;Times;Serif"/>
          <w:b w:val="false"/>
          <w:i w:val="false"/>
          <w:caps w:val="false"/>
          <w:smallCaps w:val="false"/>
          <w:sz w:val="20"/>
        </w:rPr>
        <w:t>” has the following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case of a Make-Whole Fundamental Change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of the definition thereof, the period from, and including, the Make-Whole Fundamental Change Effective Date of such Make-Whole Fundamental Change to, and including, the thirty fifth (35th) Trading Day after such Make-Whole Fundamental Change Effective Date (or, if such Make-Whole Fundamental Change also constitutes a Fundamental Change, to, but excluding, the related Fundamental Change Repurchase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a Make-Whole Fundamental Change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of the definition thereof, the period from, and including, the Redemption Notice Date for the related Redemption to, and including, the Business Day immediately before the related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Conversion Date for the conversion of a Note that has been called (or deemed, pursuant to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 xml:space="preserve">, to be called) for Redemption occurs during the Make-Whole Fundamental Change Conversion Period for both a Make-Whole Fundamental Change occurring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of the definition of “Make-Whole Fundamental Change” and a Make-Whole Fundamental Change resulting from such Redemption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such definition, then, notwithstanding anything to the contrary in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solely for purposes of such conversion, (x) such Conversion Date will be deemed to occur solely during the Make-Whole Fundamental Change Conversion Period for the Make-Whole Fundamental Change with the earlier Make-Whole Fundamental Change Effective Date; and (y) the Make-Whole Fundamental Change with the later Make-Whole Fundamental Change Effective Date will be deemed not to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 Effective Date</w:t>
      </w:r>
      <w:r>
        <w:rPr>
          <w:rFonts w:ascii="Times New Roman;Times;Serif" w:hAnsi="Times New Roman;Times;Serif"/>
          <w:b w:val="false"/>
          <w:i w:val="false"/>
          <w:caps w:val="false"/>
          <w:smallCaps w:val="false"/>
          <w:sz w:val="20"/>
        </w:rPr>
        <w:t xml:space="preserve">” means (A) with respect to a Make-Whole Fundamental Change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of the definition thereof, the date on which such Make-Whole Fundamental Change occurs or becomes effective; and (B) with respect to a Make-Whole Fundamental Change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of the definition thereof, the applicable Redemption Notice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January 15,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Non-Affiliate Legend</w:t>
      </w:r>
      <w:r>
        <w:rPr>
          <w:rFonts w:ascii="Times New Roman;Times;Serif" w:hAnsi="Times New Roman;Times;Serif"/>
          <w:b w:val="false"/>
          <w:i w:val="false"/>
          <w:caps w:val="false"/>
          <w:smallCaps w:val="false"/>
          <w:sz w:val="20"/>
        </w:rPr>
        <w:t xml:space="preserve">” means a legend substantially in the form set forth in </w:t>
      </w:r>
      <w:r>
        <w:rPr>
          <w:rFonts w:ascii="Times New Roman;Times;Serif" w:hAnsi="Times New Roman;Times;Serif"/>
          <w:b/>
          <w:i w:val="false"/>
          <w:caps w:val="false"/>
          <w:smallCaps w:val="false"/>
          <w:sz w:val="20"/>
        </w:rPr>
        <w:t>Exhibit B-3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Agent</w:t>
      </w:r>
      <w:r>
        <w:rPr>
          <w:rFonts w:ascii="Times New Roman;Times;Serif" w:hAnsi="Times New Roman;Times;Serif"/>
          <w:b w:val="false"/>
          <w:i w:val="false"/>
          <w:caps w:val="false"/>
          <w:smallCaps w:val="false"/>
          <w:sz w:val="20"/>
        </w:rPr>
        <w:t>” means any Registrar, Paying Agent or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means the 3.250% Convertible Senior Notes due 2030 issued by the Company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Observation Period</w:t>
      </w:r>
      <w:r>
        <w:rPr>
          <w:rFonts w:ascii="Times New Roman;Times;Serif" w:hAnsi="Times New Roman;Times;Serif"/>
          <w:b w:val="false"/>
          <w:i w:val="false"/>
          <w:caps w:val="false"/>
          <w:smallCaps w:val="false"/>
          <w:sz w:val="20"/>
        </w:rPr>
        <w:t xml:space="preserve">” means, with respect to any Note to be converted, (A) subject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below, if the Conversion Date for such Note occurs before the eighty-fifth (85th) Scheduled Trading Day immediately before the Maturity Date, the forty (40) consecutive VWAP Trading Days beginning on, and including, the third (3rd) VWAP Trading Day immediately after such Conversion Date; (B) if such Conversion Date occurs on or after the date the Company has sent a Redemption Notice calling all or any Notes for Redemption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and before the related Redemption Date, the forty (40) consecutive VWAP Trading Days beginning on, and including, the forty-first (41st) Scheduled Trading Day immediately before such Redemption Date; and (C) subject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above, if such Conversion Date occurs on or after the eighty-fifth (85th) Scheduled Trading Day immediately before the Maturity Date, the forty (40) consecutive VWAP Trading Days beginning on, and including, the forty-first (41st) Scheduled Trading Day immediately before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the Chairman of the Board of Directors, the Chief Executive Officer, the President, the Chief Operating Officer, the Chief Financial Officer, the Treasurer, any Assistant Treasurer, the Controller, the Secretary or any Senior Vice President or Vice President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xml:space="preserve">” means a certificate that is signed on behalf of the Company by one (1) of its Officers and that meets the requirements of </w:t>
      </w:r>
      <w:r>
        <w:rPr>
          <w:rFonts w:ascii="Times New Roman;Times;Serif" w:hAnsi="Times New Roman;Times;Serif"/>
          <w:b/>
          <w:i w:val="false"/>
          <w:caps w:val="false"/>
          <w:smallCaps w:val="false"/>
          <w:sz w:val="20"/>
        </w:rPr>
        <w:t>Section 11.03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xml:space="preserve">” means an opinion, from legal counsel (including an employee of, or counsel to, the Company or any of its Subsidiaries) reasonably acceptable to the Trustee, that meets the requirements of </w:t>
      </w:r>
      <w:r>
        <w:rPr>
          <w:rFonts w:ascii="Times New Roman;Times;Serif" w:hAnsi="Times New Roman;Times;Serif"/>
          <w:b/>
          <w:i w:val="false"/>
          <w:caps w:val="false"/>
          <w:smallCaps w:val="false"/>
          <w:sz w:val="20"/>
        </w:rPr>
        <w:t>Section 11.03</w:t>
      </w:r>
      <w:r>
        <w:rPr>
          <w:rFonts w:ascii="Times New Roman;Times;Serif" w:hAnsi="Times New Roman;Times;Serif"/>
          <w:b w:val="false"/>
          <w:i w:val="false"/>
          <w:caps w:val="false"/>
          <w:smallCaps w:val="false"/>
          <w:sz w:val="20"/>
        </w:rPr>
        <w:t>, subject to customary qualifications and exclusions.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joint-stock company, trust, unincorporated organization or government or other agency or political subdivision thereof. Any division or series of a limited liability company, limited partnership or trust will constitute a separate “person”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Physical Note</w:t>
      </w:r>
      <w:r>
        <w:rPr>
          <w:rFonts w:ascii="Times New Roman;Times;Serif" w:hAnsi="Times New Roman;Times;Serif"/>
          <w:b w:val="false"/>
          <w:i w:val="false"/>
          <w:caps w:val="false"/>
          <w:smallCaps w:val="false"/>
          <w:sz w:val="20"/>
        </w:rPr>
        <w:t xml:space="preserve">” means a Note (other than a Global Note) that is represented by a certificate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registered in the name of the Holder of such Note and duly executed by the Company and authenticated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means that certain Purchase Agreement, dated January 18, 2024, between the Company and the Initial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w:t>
      </w:r>
      <w:r>
        <w:rPr>
          <w:rFonts w:ascii="Times New Roman;Times;Serif" w:hAnsi="Times New Roman;Times;Serif"/>
          <w:b w:val="false"/>
          <w:i w:val="false"/>
          <w:caps w:val="false"/>
          <w:smallCaps w:val="false"/>
          <w:sz w:val="20"/>
        </w:rPr>
        <w:t xml:space="preserve">” means the repurchase of any Note by the Company pursuant to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xml:space="preserve">” means the date fixed, pursuant to </w:t>
      </w:r>
      <w:r>
        <w:rPr>
          <w:rFonts w:ascii="Times New Roman;Times;Serif" w:hAnsi="Times New Roman;Times;Serif"/>
          <w:b/>
          <w:i w:val="false"/>
          <w:caps w:val="false"/>
          <w:smallCaps w:val="false"/>
          <w:sz w:val="20"/>
        </w:rPr>
        <w:t>Section 4.03(D)</w:t>
      </w:r>
      <w:r>
        <w:rPr>
          <w:rFonts w:ascii="Times New Roman;Times;Serif" w:hAnsi="Times New Roman;Times;Serif"/>
          <w:b w:val="false"/>
          <w:i w:val="false"/>
          <w:caps w:val="false"/>
          <w:smallCaps w:val="false"/>
          <w:sz w:val="20"/>
        </w:rPr>
        <w:t>, for the settlement of the repurchase of any Notes by the Company pursuant to a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Notice Date</w:t>
      </w:r>
      <w:r>
        <w:rPr>
          <w:rFonts w:ascii="Times New Roman;Times;Serif" w:hAnsi="Times New Roman;Times;Serif"/>
          <w:b w:val="false"/>
          <w:i w:val="false"/>
          <w:caps w:val="false"/>
          <w:smallCaps w:val="false"/>
          <w:sz w:val="20"/>
        </w:rPr>
        <w:t xml:space="preserve">” means, with respect to a Redemption, the date on which the Company sends the Redemption Notice for such Redemption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xml:space="preserve">” means the cash price payable by the Company to redeem any Note upon its Redemption, calculated pursuant to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has the following meaning with respect to an Interest Payment Date: (A) if such Interest Payment Date occurs on January 15, the immediately preceding January 1; and (B) if such Interest Payment Date occurs on July 15, the immediately preceding July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Repurchase Upon Fundamental Change</w:t>
      </w:r>
      <w:r>
        <w:rPr>
          <w:rFonts w:ascii="Times New Roman;Times;Serif" w:hAnsi="Times New Roman;Times;Serif"/>
          <w:b w:val="false"/>
          <w:i w:val="false"/>
          <w:caps w:val="false"/>
          <w:smallCaps w:val="false"/>
          <w:sz w:val="20"/>
        </w:rPr>
        <w:t xml:space="preserve">” means the repurchase of any Note by the Company pursuant to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(A) any officer within the Corporate Trust Administration of the Trustee (or any successor group of the Trustee) or any other officer of the Trustee customarily performing functions similar to those performed by any of such officers; and (B) with respect to a particular corporate trust matter, any other officer to whom such matter is referred because of his or her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- 8 -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Note Legend</w:t>
      </w:r>
      <w:r>
        <w:rPr>
          <w:rFonts w:ascii="Times New Roman;Times;Serif" w:hAnsi="Times New Roman;Times;Serif"/>
          <w:b w:val="false"/>
          <w:i w:val="false"/>
          <w:caps w:val="false"/>
          <w:smallCaps w:val="false"/>
          <w:sz w:val="20"/>
        </w:rPr>
        <w:t xml:space="preserve">” means a legend substantially in the form set forth in </w:t>
      </w:r>
      <w:r>
        <w:rPr>
          <w:rFonts w:ascii="Times New Roman;Times;Serif" w:hAnsi="Times New Roman;Times;Serif"/>
          <w:b/>
          <w:i w:val="false"/>
          <w:caps w:val="false"/>
          <w:smallCaps w:val="false"/>
          <w:sz w:val="20"/>
        </w:rPr>
        <w:t>Exhibit B-1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Stock Legend</w:t>
      </w:r>
      <w:r>
        <w:rPr>
          <w:rFonts w:ascii="Times New Roman;Times;Serif" w:hAnsi="Times New Roman;Times;Serif"/>
          <w:b w:val="false"/>
          <w:i w:val="false"/>
          <w:caps w:val="false"/>
          <w:smallCaps w:val="false"/>
          <w:sz w:val="20"/>
        </w:rPr>
        <w:t>” means, with respect to any Conversion Share, a legend substantially to the effect that the offer and sale of such Conversion Share have not been registered under the Securities Act and that such Conversion Share cannot be sold or otherwise transferred except pursuant to a transaction that is registered under the Securities Act or that is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under the Securities Act (or any successor rule thereto), as the same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means Rule 144A under the Securities Act (or any successor rule thereto), as the same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any day that is scheduled to be a Trading Day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“Scheduled Trading Day”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means any Note or Conversion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Method</w:t>
      </w:r>
      <w:r>
        <w:rPr>
          <w:rFonts w:ascii="Times New Roman;Times;Serif" w:hAnsi="Times New Roman;Times;Serif"/>
          <w:b w:val="false"/>
          <w:i w:val="false"/>
          <w:caps w:val="false"/>
          <w:smallCaps w:val="false"/>
          <w:sz w:val="20"/>
        </w:rPr>
        <w:t>” means Cash Settlement or Combination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means, with respect to any Person, any Subsidiary of such Person that constitutes, or any group of Subsidiaries of such Person that, in the aggregate, would constitute, a “significant subsidiary” (as defined in Rule 1-02(w) of Regulation S-X under the Exchange Act)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Special Interest</w:t>
      </w:r>
      <w:r>
        <w:rPr>
          <w:rFonts w:ascii="Times New Roman;Times;Serif" w:hAnsi="Times New Roman;Times;Serif"/>
          <w:b w:val="false"/>
          <w:i w:val="false"/>
          <w:caps w:val="false"/>
          <w:smallCaps w:val="false"/>
          <w:sz w:val="20"/>
        </w:rPr>
        <w:t xml:space="preserve">” means any interest that accrues on any Note pursuant to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Dollar Amount</w:t>
      </w:r>
      <w:r>
        <w:rPr>
          <w:rFonts w:ascii="Times New Roman;Times;Serif" w:hAnsi="Times New Roman;Times;Serif"/>
          <w:b w:val="false"/>
          <w:i w:val="false"/>
          <w:caps w:val="false"/>
          <w:smallCaps w:val="false"/>
          <w:sz w:val="20"/>
        </w:rPr>
        <w:t xml:space="preserve">” means, with respect to the conversion of a Note to which Combination Settlement applies, the maximum cash amount per $1,000 principal amount of such Note deliverable upon such conversion (excluding cash in lieu of any fractional share of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event will the Specified Dollar Amount be less than $1,000 per $1,000 principal amount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- 9 -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 Price</w:t>
      </w:r>
      <w:r>
        <w:rPr>
          <w:rFonts w:ascii="Times New Roman;Times;Serif" w:hAnsi="Times New Roman;Times;Serif"/>
          <w:b w:val="false"/>
          <w:i w:val="false"/>
          <w:caps w:val="false"/>
          <w:smallCaps w:val="false"/>
          <w:sz w:val="20"/>
        </w:rPr>
        <w:t xml:space="preserve">” has the following meaning for any Make-Whole Fundamental Change: (A) if the holders of Common Stock receive only cash in consideration for their shares of Common Stock in such Make-Whole Fundamental Change and such Make-Whole Fundamental Change is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of the definition of “Fundamental Change,” then the Stock Price is the amount of cash paid per share of Common Stock in such Make-Whole Fundamental Change; and (B) in all other cases, the Stock Price is the average of the Last Reported Sale Prices per share of Common Stock for the five (5) consecutive Trading Days ending on, and including, the Trading Day immediately before the Make-Whole Fundamental Change Effective Date of such Make-Whole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Price</w:t>
      </w:r>
      <w:r>
        <w:rPr>
          <w:rFonts w:ascii="Times New Roman;Times;Serif" w:hAnsi="Times New Roman;Times;Serif"/>
          <w:b w:val="false"/>
          <w:i w:val="false"/>
          <w:caps w:val="false"/>
          <w:smallCaps w:val="false"/>
          <w:sz w:val="20"/>
        </w:rPr>
        <w:t xml:space="preserve">” of the Notes on any Trading Day means the average of the secondary market bid quotations, expressed as a cash amount per $1,000 principal amount of Notes, obtained by the Bid Solicitation Agent for one million dollars ($1,000,000) (or such lesser amount as may then be outstanding) in principal amount of Notes at approximately 3:30 p.m., New York City time, on such Trading Day from three (3) nationally recognized independent securities dealers selected by the Company, which may include any of the Initial Purchasers;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three (3) such bids cannot reasonably be obtained by the Bid Solicitation Agent but two (2) such bids are obtained, then the average of the two (2) bids will be used, and if only one (1) such bid can reasonably be obtained by the Bid Solicitation Agent, then that one (1) bid will be used. If, on any Trading Day, (A) the Bid Solicitation Agent cannot reasonably obtain at least one (1) bid for one million dollars ($1,000,000) (or such lesser amount as may then be outstanding) in principal amount of Notes from a nationally recognized independent securities dealer; (B) the Company is not acting as the Bid Solicitation Agent and the Company fails to instruct the Bid Solicitation Agent to obtain bids when required; or (C) the Bid Solicitation Agent fails to solicit bids when required, then, in each case, the Trading Price per $1,000 principal amount of Notes on such Trading Day will be deemed to be less than ninety eight percent (98%) of the product of the Last Reported Sale Price per share of Common Stock on such Trading Day and the Conversion Rate on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- 10 -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Transfer-Restricted Security</w:t>
      </w:r>
      <w:r>
        <w:rPr>
          <w:rFonts w:ascii="Times New Roman;Times;Serif" w:hAnsi="Times New Roman;Times;Serif"/>
          <w:b w:val="false"/>
          <w:i w:val="false"/>
          <w:caps w:val="false"/>
          <w:smallCaps w:val="false"/>
          <w:sz w:val="20"/>
        </w:rPr>
        <w:t xml:space="preserve">” means any Security that constitutes a “restricted security” (as defined in Rule 144);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Security will cease to be a Transfer-Restricted Security upon the earliest to occur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Security is sold or otherwise transferred to a Person (other than the Company or an Affiliate of the Company) pursuant to a registration statement that was effective under the Securities Act at the time of such sale or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Security is sold or otherwise transferred to a Person (other than the Company or an Affiliate of the Company) pursuant to an available exemption (including Rule 144) from the registration and prospectus-delivery requirements of, or in a transaction not subject to, the Securities Act and, immediately after such sale or transfer, such Security ceases to constitute a “restricted security” (as defined in Rule 144);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Security is eligible for resale, by a Person that is not an Affiliate of the Company and that has not been an Affiliate of the Company during the immediately preceding three (3) months, pursuant to Rule 144 without any limitations thereunder as to volume, manner of sale, availability of current public information 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under no obligation to determine whether any Security is a Transfer-Restricted Security and may conclusively rely on an Officer’s Certificate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U.S. Trust Indenture Act of 1939,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such in the first paragraph of this Indenture until a successor replaces it in accordance with the provisions of this Indenture and, thereafter, means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 Market Disruption Event</w:t>
      </w:r>
      <w:r>
        <w:rPr>
          <w:rFonts w:ascii="Times New Roman;Times;Serif" w:hAnsi="Times New Roman;Times;Serif"/>
          <w:b w:val="false"/>
          <w:i w:val="false"/>
          <w:caps w:val="false"/>
          <w:smallCaps w:val="false"/>
          <w:sz w:val="20"/>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- 11 -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 Trading Day</w:t>
      </w:r>
      <w:r>
        <w:rPr>
          <w:rFonts w:ascii="Times New Roman;Times;Serif" w:hAnsi="Times New Roman;Times;Serif"/>
          <w:b w:val="false"/>
          <w:i w:val="false"/>
          <w:caps w:val="false"/>
          <w:smallCaps w:val="false"/>
          <w:sz w:val="20"/>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 Owned Subsidiary</w:t>
      </w:r>
      <w:r>
        <w:rPr>
          <w:rFonts w:ascii="Times New Roman;Times;Serif" w:hAnsi="Times New Roman;Times;Serif"/>
          <w:b w:val="false"/>
          <w:i w:val="false"/>
          <w:caps w:val="false"/>
          <w:smallCaps w:val="false"/>
          <w:sz w:val="20"/>
        </w:rPr>
        <w:t>” of a Person means any Subsidiary of such Person all of the outstanding Capital Stock or other ownership interests of which (other than directors’ qualifying shares) are owned by such Person or one or more Wholly Owned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1.02.</w:t>
        <w:tab/>
        <w:t>     Other Definitions.</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455"/>
        <w:gridCol w:w="1550"/>
      </w:tblGrid>
      <w:tr>
        <w:trPr/>
        <w:tc>
          <w:tcPr>
            <w:tcW w:w="455"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w:t>
            </w:r>
          </w:p>
        </w:tc>
        <w:tc>
          <w:tcPr>
            <w:tcW w:w="15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in Section</w:t>
            </w:r>
          </w:p>
        </w:tc>
      </w:tr>
    </w:tbl>
    <w:p>
      <w:pPr>
        <w:pStyle w:val="TextBody"/>
        <w:bidi w:val="0"/>
        <w:spacing w:before="0" w:after="0"/>
        <w:ind w:left="0" w:right="0" w:hanging="0"/>
        <w:jc w:val="both"/>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3755"/>
        <w:gridCol w:w="1220"/>
      </w:tblGrid>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Shares”</w:t>
            </w:r>
          </w:p>
        </w:tc>
        <w:tc>
          <w:tcPr>
            <w:tcW w:w="1220" w:type="dxa"/>
            <w:tcBorders/>
            <w:vAlign w:val="center"/>
          </w:tcPr>
          <w:p>
            <w:pPr>
              <w:pStyle w:val="TableContents"/>
              <w:bidi w:val="0"/>
              <w:spacing w:before="0" w:after="283"/>
              <w:jc w:val="right"/>
              <w:rPr>
                <w:b/>
                <w:sz w:val="20"/>
              </w:rPr>
            </w:pPr>
            <w:r>
              <w:rPr>
                <w:b/>
                <w:sz w:val="20"/>
              </w:rPr>
              <w:t>5.07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Event”</w:t>
            </w:r>
          </w:p>
        </w:tc>
        <w:tc>
          <w:tcPr>
            <w:tcW w:w="1220" w:type="dxa"/>
            <w:tcBorders/>
            <w:vAlign w:val="center"/>
          </w:tcPr>
          <w:p>
            <w:pPr>
              <w:pStyle w:val="TableContents"/>
              <w:bidi w:val="0"/>
              <w:spacing w:before="0" w:after="283"/>
              <w:jc w:val="right"/>
              <w:rPr>
                <w:b/>
                <w:sz w:val="20"/>
              </w:rPr>
            </w:pPr>
            <w:r>
              <w:rPr>
                <w:b/>
                <w:sz w:val="20"/>
              </w:rPr>
              <w:t>6.01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Settlement”</w:t>
            </w:r>
          </w:p>
        </w:tc>
        <w:tc>
          <w:tcPr>
            <w:tcW w:w="1220" w:type="dxa"/>
            <w:tcBorders/>
            <w:vAlign w:val="center"/>
          </w:tcPr>
          <w:p>
            <w:pPr>
              <w:pStyle w:val="TableContents"/>
              <w:bidi w:val="0"/>
              <w:spacing w:before="0" w:after="283"/>
              <w:jc w:val="right"/>
              <w:rPr>
                <w:b/>
                <w:sz w:val="20"/>
              </w:rPr>
            </w:pPr>
            <w:r>
              <w:rPr>
                <w:b/>
                <w:sz w:val="20"/>
              </w:rPr>
              <w:t>5.03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Combination Settlement”</w:t>
            </w:r>
          </w:p>
        </w:tc>
        <w:tc>
          <w:tcPr>
            <w:tcW w:w="1220" w:type="dxa"/>
            <w:tcBorders/>
            <w:vAlign w:val="center"/>
          </w:tcPr>
          <w:p>
            <w:pPr>
              <w:pStyle w:val="TableContents"/>
              <w:bidi w:val="0"/>
              <w:spacing w:before="0" w:after="283"/>
              <w:jc w:val="right"/>
              <w:rPr>
                <w:b/>
                <w:sz w:val="20"/>
              </w:rPr>
            </w:pPr>
            <w:r>
              <w:rPr>
                <w:b/>
                <w:sz w:val="20"/>
              </w:rPr>
              <w:t>5.03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 Change Event”</w:t>
            </w:r>
          </w:p>
        </w:tc>
        <w:tc>
          <w:tcPr>
            <w:tcW w:w="1220" w:type="dxa"/>
            <w:tcBorders/>
            <w:vAlign w:val="center"/>
          </w:tcPr>
          <w:p>
            <w:pPr>
              <w:pStyle w:val="TableContents"/>
              <w:bidi w:val="0"/>
              <w:spacing w:before="0" w:after="283"/>
              <w:jc w:val="right"/>
              <w:rPr>
                <w:b/>
                <w:sz w:val="20"/>
              </w:rPr>
            </w:pPr>
            <w:r>
              <w:rPr>
                <w:b/>
                <w:sz w:val="20"/>
              </w:rPr>
              <w:t>5.09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Agent”</w:t>
            </w:r>
          </w:p>
        </w:tc>
        <w:tc>
          <w:tcPr>
            <w:tcW w:w="1220" w:type="dxa"/>
            <w:tcBorders/>
            <w:vAlign w:val="center"/>
          </w:tcPr>
          <w:p>
            <w:pPr>
              <w:pStyle w:val="TableContents"/>
              <w:bidi w:val="0"/>
              <w:spacing w:before="0" w:after="283"/>
              <w:jc w:val="right"/>
              <w:rPr>
                <w:b/>
                <w:sz w:val="20"/>
              </w:rPr>
            </w:pPr>
            <w:r>
              <w:rPr>
                <w:b/>
                <w:sz w:val="20"/>
              </w:rPr>
              <w:t>2.06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Consideration”</w:t>
            </w:r>
          </w:p>
        </w:tc>
        <w:tc>
          <w:tcPr>
            <w:tcW w:w="1220" w:type="dxa"/>
            <w:tcBorders/>
            <w:vAlign w:val="center"/>
          </w:tcPr>
          <w:p>
            <w:pPr>
              <w:pStyle w:val="TableContents"/>
              <w:bidi w:val="0"/>
              <w:spacing w:before="0" w:after="283"/>
              <w:jc w:val="right"/>
              <w:rPr>
                <w:b/>
                <w:sz w:val="20"/>
              </w:rPr>
            </w:pPr>
            <w:r>
              <w:rPr>
                <w:b/>
                <w:sz w:val="20"/>
              </w:rPr>
              <w:t>5.03 (B)</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Dividend Threshold”</w:t>
            </w:r>
          </w:p>
        </w:tc>
        <w:tc>
          <w:tcPr>
            <w:tcW w:w="1220" w:type="dxa"/>
            <w:tcBorders/>
            <w:vAlign w:val="center"/>
          </w:tcPr>
          <w:p>
            <w:pPr>
              <w:pStyle w:val="TableContents"/>
              <w:bidi w:val="0"/>
              <w:spacing w:before="0" w:after="283"/>
              <w:jc w:val="right"/>
              <w:rPr>
                <w:b/>
                <w:sz w:val="20"/>
              </w:rPr>
            </w:pPr>
            <w:r>
              <w:rPr>
                <w:b/>
                <w:sz w:val="20"/>
              </w:rPr>
              <w:t>5.05 (A)(iv)</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 Interest”</w:t>
            </w:r>
          </w:p>
        </w:tc>
        <w:tc>
          <w:tcPr>
            <w:tcW w:w="1220" w:type="dxa"/>
            <w:tcBorders/>
            <w:vAlign w:val="center"/>
          </w:tcPr>
          <w:p>
            <w:pPr>
              <w:pStyle w:val="TableContents"/>
              <w:bidi w:val="0"/>
              <w:spacing w:before="0" w:after="283"/>
              <w:jc w:val="right"/>
              <w:rPr>
                <w:b/>
                <w:sz w:val="20"/>
              </w:rPr>
            </w:pPr>
            <w:r>
              <w:rPr>
                <w:b/>
                <w:sz w:val="20"/>
              </w:rPr>
              <w:t>2.05 (B)</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Defaulted Amount”</w:t>
            </w:r>
          </w:p>
        </w:tc>
        <w:tc>
          <w:tcPr>
            <w:tcW w:w="1220" w:type="dxa"/>
            <w:tcBorders/>
            <w:vAlign w:val="center"/>
          </w:tcPr>
          <w:p>
            <w:pPr>
              <w:pStyle w:val="TableContents"/>
              <w:bidi w:val="0"/>
              <w:spacing w:before="0" w:after="283"/>
              <w:jc w:val="right"/>
              <w:rPr>
                <w:b/>
                <w:sz w:val="20"/>
              </w:rPr>
            </w:pPr>
            <w:r>
              <w:rPr>
                <w:b/>
                <w:sz w:val="20"/>
              </w:rPr>
              <w:t>2.05 (B)</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p>
        </w:tc>
        <w:tc>
          <w:tcPr>
            <w:tcW w:w="1220" w:type="dxa"/>
            <w:tcBorders/>
            <w:vAlign w:val="center"/>
          </w:tcPr>
          <w:p>
            <w:pPr>
              <w:pStyle w:val="TableContents"/>
              <w:bidi w:val="0"/>
              <w:spacing w:before="0" w:after="283"/>
              <w:jc w:val="right"/>
              <w:rPr>
                <w:b/>
                <w:sz w:val="20"/>
              </w:rPr>
            </w:pPr>
            <w:r>
              <w:rPr>
                <w:b/>
                <w:sz w:val="20"/>
              </w:rPr>
              <w:t>7.01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Election”</w:t>
            </w:r>
          </w:p>
        </w:tc>
        <w:tc>
          <w:tcPr>
            <w:tcW w:w="1220" w:type="dxa"/>
            <w:tcBorders/>
            <w:vAlign w:val="center"/>
          </w:tcPr>
          <w:p>
            <w:pPr>
              <w:pStyle w:val="TableContents"/>
              <w:bidi w:val="0"/>
              <w:spacing w:before="0" w:after="283"/>
              <w:jc w:val="right"/>
              <w:rPr>
                <w:sz w:val="20"/>
              </w:rPr>
            </w:pPr>
            <w:r>
              <w:rPr>
                <w:sz w:val="20"/>
              </w:rPr>
              <w:t xml:space="preserve">Section </w:t>
            </w:r>
            <w:r>
              <w:rPr>
                <w:b/>
                <w:sz w:val="20"/>
              </w:rPr>
              <w:t>5.08</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Expiration Date”</w:t>
            </w:r>
          </w:p>
        </w:tc>
        <w:tc>
          <w:tcPr>
            <w:tcW w:w="1220" w:type="dxa"/>
            <w:tcBorders/>
            <w:vAlign w:val="center"/>
          </w:tcPr>
          <w:p>
            <w:pPr>
              <w:pStyle w:val="TableContents"/>
              <w:bidi w:val="0"/>
              <w:spacing w:before="0" w:after="283"/>
              <w:jc w:val="right"/>
              <w:rPr>
                <w:b/>
                <w:sz w:val="20"/>
              </w:rPr>
            </w:pPr>
            <w:r>
              <w:rPr>
                <w:b/>
                <w:sz w:val="20"/>
              </w:rPr>
              <w:t>5.05 (A)(v)</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Expiration Time”</w:t>
            </w:r>
          </w:p>
        </w:tc>
        <w:tc>
          <w:tcPr>
            <w:tcW w:w="1220" w:type="dxa"/>
            <w:tcBorders/>
            <w:vAlign w:val="center"/>
          </w:tcPr>
          <w:p>
            <w:pPr>
              <w:pStyle w:val="TableContents"/>
              <w:bidi w:val="0"/>
              <w:spacing w:before="0" w:after="283"/>
              <w:jc w:val="right"/>
              <w:rPr>
                <w:b/>
                <w:sz w:val="20"/>
              </w:rPr>
            </w:pPr>
            <w:r>
              <w:rPr>
                <w:b/>
                <w:sz w:val="20"/>
              </w:rPr>
              <w:t>5.05 (A)(v)</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Notice”</w:t>
            </w:r>
          </w:p>
        </w:tc>
        <w:tc>
          <w:tcPr>
            <w:tcW w:w="1220" w:type="dxa"/>
            <w:tcBorders/>
            <w:vAlign w:val="center"/>
          </w:tcPr>
          <w:p>
            <w:pPr>
              <w:pStyle w:val="TableContents"/>
              <w:bidi w:val="0"/>
              <w:spacing w:before="0" w:after="283"/>
              <w:jc w:val="right"/>
              <w:rPr>
                <w:b/>
                <w:sz w:val="20"/>
              </w:rPr>
            </w:pPr>
            <w:r>
              <w:rPr>
                <w:b/>
                <w:sz w:val="20"/>
              </w:rPr>
              <w:t>4.02 (E)</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Right”</w:t>
            </w:r>
          </w:p>
        </w:tc>
        <w:tc>
          <w:tcPr>
            <w:tcW w:w="1220" w:type="dxa"/>
            <w:tcBorders/>
            <w:vAlign w:val="center"/>
          </w:tcPr>
          <w:p>
            <w:pPr>
              <w:pStyle w:val="TableContents"/>
              <w:bidi w:val="0"/>
              <w:spacing w:before="0" w:after="283"/>
              <w:jc w:val="right"/>
              <w:rPr>
                <w:b/>
                <w:sz w:val="20"/>
              </w:rPr>
            </w:pPr>
            <w:r>
              <w:rPr>
                <w:b/>
                <w:sz w:val="20"/>
              </w:rPr>
              <w:t>4.02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Notes”</w:t>
            </w:r>
          </w:p>
        </w:tc>
        <w:tc>
          <w:tcPr>
            <w:tcW w:w="1220" w:type="dxa"/>
            <w:tcBorders/>
            <w:vAlign w:val="center"/>
          </w:tcPr>
          <w:p>
            <w:pPr>
              <w:pStyle w:val="TableContents"/>
              <w:bidi w:val="0"/>
              <w:spacing w:before="0" w:after="283"/>
              <w:jc w:val="right"/>
              <w:rPr>
                <w:b/>
                <w:sz w:val="20"/>
              </w:rPr>
            </w:pPr>
            <w:r>
              <w:rPr>
                <w:b/>
                <w:sz w:val="20"/>
              </w:rPr>
              <w:t>2.03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Measurement Period”</w:t>
            </w:r>
          </w:p>
        </w:tc>
        <w:tc>
          <w:tcPr>
            <w:tcW w:w="1220" w:type="dxa"/>
            <w:tcBorders/>
            <w:vAlign w:val="center"/>
          </w:tcPr>
          <w:p>
            <w:pPr>
              <w:pStyle w:val="TableContents"/>
              <w:bidi w:val="0"/>
              <w:spacing w:before="0" w:after="283"/>
              <w:jc w:val="right"/>
              <w:rPr>
                <w:b/>
                <w:sz w:val="20"/>
              </w:rPr>
            </w:pPr>
            <w:r>
              <w:rPr>
                <w:b/>
                <w:sz w:val="20"/>
              </w:rPr>
              <w:t>5.01 (C)(i)(2)</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Paying Agent”</w:t>
            </w:r>
          </w:p>
        </w:tc>
        <w:tc>
          <w:tcPr>
            <w:tcW w:w="1220" w:type="dxa"/>
            <w:tcBorders/>
            <w:vAlign w:val="center"/>
          </w:tcPr>
          <w:p>
            <w:pPr>
              <w:pStyle w:val="TableContents"/>
              <w:bidi w:val="0"/>
              <w:spacing w:before="0" w:after="283"/>
              <w:jc w:val="right"/>
              <w:rPr>
                <w:b/>
                <w:sz w:val="20"/>
              </w:rPr>
            </w:pPr>
            <w:r>
              <w:rPr>
                <w:b/>
                <w:sz w:val="20"/>
              </w:rPr>
              <w:t>2.06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Notice”</w:t>
            </w:r>
          </w:p>
        </w:tc>
        <w:tc>
          <w:tcPr>
            <w:tcW w:w="1220" w:type="dxa"/>
            <w:tcBorders/>
            <w:vAlign w:val="center"/>
          </w:tcPr>
          <w:p>
            <w:pPr>
              <w:pStyle w:val="TableContents"/>
              <w:bidi w:val="0"/>
              <w:spacing w:before="0" w:after="283"/>
              <w:jc w:val="right"/>
              <w:rPr>
                <w:b/>
                <w:sz w:val="20"/>
              </w:rPr>
            </w:pPr>
            <w:r>
              <w:rPr>
                <w:b/>
                <w:sz w:val="20"/>
              </w:rPr>
              <w:t>4.03 (F)</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w:t>
            </w:r>
          </w:p>
        </w:tc>
        <w:tc>
          <w:tcPr>
            <w:tcW w:w="1220" w:type="dxa"/>
            <w:tcBorders/>
            <w:vAlign w:val="center"/>
          </w:tcPr>
          <w:p>
            <w:pPr>
              <w:pStyle w:val="TableContents"/>
              <w:bidi w:val="0"/>
              <w:spacing w:before="0" w:after="283"/>
              <w:jc w:val="right"/>
              <w:rPr>
                <w:b/>
                <w:sz w:val="20"/>
              </w:rPr>
            </w:pPr>
            <w:r>
              <w:rPr>
                <w:b/>
                <w:sz w:val="20"/>
              </w:rPr>
              <w:t>5.09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 Unit”</w:t>
            </w:r>
          </w:p>
        </w:tc>
        <w:tc>
          <w:tcPr>
            <w:tcW w:w="1220" w:type="dxa"/>
            <w:tcBorders/>
            <w:vAlign w:val="center"/>
          </w:tcPr>
          <w:p>
            <w:pPr>
              <w:pStyle w:val="TableContents"/>
              <w:bidi w:val="0"/>
              <w:spacing w:before="0" w:after="283"/>
              <w:jc w:val="right"/>
              <w:rPr>
                <w:b/>
                <w:sz w:val="20"/>
              </w:rPr>
            </w:pPr>
            <w:r>
              <w:rPr>
                <w:b/>
                <w:sz w:val="20"/>
              </w:rPr>
              <w:t>5.09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w:t>
            </w:r>
          </w:p>
        </w:tc>
        <w:tc>
          <w:tcPr>
            <w:tcW w:w="1220" w:type="dxa"/>
            <w:tcBorders/>
            <w:vAlign w:val="center"/>
          </w:tcPr>
          <w:p>
            <w:pPr>
              <w:pStyle w:val="TableContents"/>
              <w:bidi w:val="0"/>
              <w:spacing w:before="0" w:after="283"/>
              <w:jc w:val="right"/>
              <w:rPr>
                <w:b/>
                <w:sz w:val="20"/>
              </w:rPr>
            </w:pPr>
            <w:r>
              <w:rPr>
                <w:b/>
                <w:sz w:val="20"/>
              </w:rPr>
              <w:t>2.06 (B)</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Registrar”</w:t>
            </w:r>
          </w:p>
        </w:tc>
        <w:tc>
          <w:tcPr>
            <w:tcW w:w="1220" w:type="dxa"/>
            <w:tcBorders/>
            <w:vAlign w:val="center"/>
          </w:tcPr>
          <w:p>
            <w:pPr>
              <w:pStyle w:val="TableContents"/>
              <w:bidi w:val="0"/>
              <w:spacing w:before="0" w:after="283"/>
              <w:jc w:val="right"/>
              <w:rPr>
                <w:b/>
                <w:sz w:val="20"/>
              </w:rPr>
            </w:pPr>
            <w:r>
              <w:rPr>
                <w:b/>
                <w:sz w:val="20"/>
              </w:rPr>
              <w:t>2.06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Reporting Event of Default”</w:t>
            </w:r>
          </w:p>
        </w:tc>
        <w:tc>
          <w:tcPr>
            <w:tcW w:w="1220" w:type="dxa"/>
            <w:tcBorders/>
            <w:vAlign w:val="center"/>
          </w:tcPr>
          <w:p>
            <w:pPr>
              <w:pStyle w:val="TableContents"/>
              <w:bidi w:val="0"/>
              <w:spacing w:before="0" w:after="283"/>
              <w:jc w:val="right"/>
              <w:rPr>
                <w:b/>
                <w:sz w:val="20"/>
              </w:rPr>
            </w:pPr>
            <w:r>
              <w:rPr>
                <w:b/>
                <w:sz w:val="20"/>
              </w:rPr>
              <w:t>7.03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Courts”</w:t>
            </w:r>
          </w:p>
        </w:tc>
        <w:tc>
          <w:tcPr>
            <w:tcW w:w="1220" w:type="dxa"/>
            <w:tcBorders/>
            <w:vAlign w:val="center"/>
          </w:tcPr>
          <w:p>
            <w:pPr>
              <w:pStyle w:val="TableContents"/>
              <w:bidi w:val="0"/>
              <w:spacing w:before="0" w:after="283"/>
              <w:jc w:val="right"/>
              <w:rPr>
                <w:b/>
                <w:sz w:val="20"/>
              </w:rPr>
            </w:pPr>
            <w:r>
              <w:rPr>
                <w:b/>
                <w:sz w:val="20"/>
              </w:rPr>
              <w:t>11.07</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Spin-Off”</w:t>
            </w:r>
          </w:p>
        </w:tc>
        <w:tc>
          <w:tcPr>
            <w:tcW w:w="1220" w:type="dxa"/>
            <w:tcBorders/>
            <w:vAlign w:val="center"/>
          </w:tcPr>
          <w:p>
            <w:pPr>
              <w:pStyle w:val="TableContents"/>
              <w:bidi w:val="0"/>
              <w:spacing w:before="0" w:after="283"/>
              <w:jc w:val="right"/>
              <w:rPr>
                <w:b/>
                <w:sz w:val="20"/>
              </w:rPr>
            </w:pPr>
            <w:r>
              <w:rPr>
                <w:b/>
                <w:sz w:val="20"/>
              </w:rPr>
              <w:t>5.05 (A)(iii)(2)</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Spin-Off Valuation Period”</w:t>
            </w:r>
          </w:p>
        </w:tc>
        <w:tc>
          <w:tcPr>
            <w:tcW w:w="1220" w:type="dxa"/>
            <w:tcBorders/>
            <w:vAlign w:val="center"/>
          </w:tcPr>
          <w:p>
            <w:pPr>
              <w:pStyle w:val="TableContents"/>
              <w:bidi w:val="0"/>
              <w:spacing w:before="0" w:after="283"/>
              <w:jc w:val="right"/>
              <w:rPr>
                <w:b/>
                <w:sz w:val="20"/>
              </w:rPr>
            </w:pPr>
            <w:r>
              <w:rPr>
                <w:b/>
                <w:sz w:val="20"/>
              </w:rPr>
              <w:t>5.05 (A)(iii)(2)</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Stated Interest”</w:t>
            </w:r>
          </w:p>
        </w:tc>
        <w:tc>
          <w:tcPr>
            <w:tcW w:w="1220" w:type="dxa"/>
            <w:tcBorders/>
            <w:vAlign w:val="center"/>
          </w:tcPr>
          <w:p>
            <w:pPr>
              <w:pStyle w:val="TableContents"/>
              <w:bidi w:val="0"/>
              <w:spacing w:before="0" w:after="283"/>
              <w:jc w:val="right"/>
              <w:rPr>
                <w:b/>
                <w:sz w:val="20"/>
              </w:rPr>
            </w:pPr>
            <w:r>
              <w:rPr>
                <w:b/>
                <w:sz w:val="20"/>
              </w:rPr>
              <w:t>2.05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Successor Corporation”</w:t>
            </w:r>
          </w:p>
        </w:tc>
        <w:tc>
          <w:tcPr>
            <w:tcW w:w="1220" w:type="dxa"/>
            <w:tcBorders/>
            <w:vAlign w:val="center"/>
          </w:tcPr>
          <w:p>
            <w:pPr>
              <w:pStyle w:val="TableContents"/>
              <w:bidi w:val="0"/>
              <w:spacing w:before="0" w:after="283"/>
              <w:jc w:val="right"/>
              <w:rPr>
                <w:b/>
                <w:sz w:val="20"/>
              </w:rPr>
            </w:pPr>
            <w:r>
              <w:rPr>
                <w:b/>
                <w:sz w:val="20"/>
              </w:rPr>
              <w:t>6.01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Successor Person”</w:t>
            </w:r>
          </w:p>
        </w:tc>
        <w:tc>
          <w:tcPr>
            <w:tcW w:w="1220" w:type="dxa"/>
            <w:tcBorders/>
            <w:vAlign w:val="center"/>
          </w:tcPr>
          <w:p>
            <w:pPr>
              <w:pStyle w:val="TableContents"/>
              <w:bidi w:val="0"/>
              <w:spacing w:before="0" w:after="283"/>
              <w:jc w:val="right"/>
              <w:rPr>
                <w:b/>
                <w:sz w:val="20"/>
              </w:rPr>
            </w:pPr>
            <w:r>
              <w:rPr>
                <w:b/>
                <w:sz w:val="20"/>
              </w:rPr>
              <w:t>5.09 (A)</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Tender/Exchange Offer Valuation Period”</w:t>
            </w:r>
          </w:p>
        </w:tc>
        <w:tc>
          <w:tcPr>
            <w:tcW w:w="1220" w:type="dxa"/>
            <w:tcBorders/>
            <w:vAlign w:val="center"/>
          </w:tcPr>
          <w:p>
            <w:pPr>
              <w:pStyle w:val="TableContents"/>
              <w:bidi w:val="0"/>
              <w:spacing w:before="0" w:after="283"/>
              <w:jc w:val="right"/>
              <w:rPr>
                <w:b/>
                <w:sz w:val="20"/>
              </w:rPr>
            </w:pPr>
            <w:r>
              <w:rPr>
                <w:b/>
                <w:sz w:val="20"/>
              </w:rPr>
              <w:t>5.05 (A)(v)</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Price Condition”</w:t>
            </w:r>
          </w:p>
        </w:tc>
        <w:tc>
          <w:tcPr>
            <w:tcW w:w="1220" w:type="dxa"/>
            <w:tcBorders/>
            <w:vAlign w:val="center"/>
          </w:tcPr>
          <w:p>
            <w:pPr>
              <w:pStyle w:val="TableContents"/>
              <w:bidi w:val="0"/>
              <w:spacing w:before="0" w:after="283"/>
              <w:jc w:val="right"/>
              <w:rPr>
                <w:b/>
                <w:sz w:val="20"/>
              </w:rPr>
            </w:pPr>
            <w:r>
              <w:rPr>
                <w:b/>
                <w:sz w:val="20"/>
              </w:rPr>
              <w:t>5.01 (C)(i)(2)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- 12 -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1.03.</w:t>
        <w:tab/>
        <w:t>     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“or”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“including” means “including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“will” expresses a command;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“average” of a set of numerical values refers to the arithmetic average of such numerical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merger involving, or a transfer of assets by, a limited liability company, limited partnership or trust will be deemed to include any division of or by, or an allocation of assets to a series of, such limited liability company, limited partnership or trust, or any unwinding of any such division or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words in the singular include the plural and in the plural include the singular,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“herein,” “hereof” and other words of similar import refer to this Indenture as a whole and not to any particular Article, Section or other subdivision of this Indenture,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references to currency mean the lawful currency of the United States of America,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exhibits, schedules and other attachments to this Indenture are deemed to form part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term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when used with respect to a Note, includes any Default Interest, Additional Interest and Special Interest,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2.</w:t>
        <w:tab/>
        <w:t>     </w:t>
      </w:r>
      <w:r>
        <w:rPr>
          <w:rFonts w:ascii="Times New Roman;Times;Serif" w:hAnsi="Times New Roman;Times;Serif"/>
          <w:b/>
          <w:i w:val="false"/>
          <w:caps/>
          <w:sz w:val="20"/>
        </w:rPr>
        <w:t>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2.01.</w:t>
        <w:tab/>
        <w:t>     Form, Dating and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and the Trustee’s certificate of authentication will be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The Notes will bear the legends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xml:space="preserve"> and may bear notations, legends or endorsements required by law, stock exchange rule or usage or the Depositary. Each Note will be dated as of the date of its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to the extent otherwise provided in a Company Order delivered to the Trustee in connection with the issuance and authentication thereof, the Notes will be issued initially in the form of one or more Global Notes. Global Notes may be exchanged for Physical Notes, and Physical Notes may be exchanged for Global Notes, only as provided in </w:t>
      </w:r>
      <w:r>
        <w:rPr>
          <w:rFonts w:ascii="Times New Roman;Times;Serif" w:hAnsi="Times New Roman;Times;Serif"/>
          <w:b/>
          <w:i w:val="false"/>
          <w:caps w:val="false"/>
          <w:smallCaps w:val="false"/>
          <w:sz w:val="20"/>
        </w:rPr>
        <w:t>Section 2.10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- 13 -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issuable only in registered form without interest coupons and only in Authorized Denominations.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representing a Note will bear a unique registration number that is not affixed to any other certificate representing another outstanding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contained in the Notes constitute part of this Indenture, and, to the extent applicable, the Company and the Trustee, by their execution and delivery of this Indenture, agree to such terms and to be bound thereby;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the extent that any provision of any Note conflicts with the provisions of this Indenture, the provisions of this Indenture will control for purposes of this Indenture and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2.02.</w:t>
        <w:tab/>
        <w:t>     Execution, Authentication and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Due Execution by the Company</w:t>
      </w:r>
      <w:r>
        <w:rPr>
          <w:rFonts w:ascii="Times New Roman;Times;Serif" w:hAnsi="Times New Roman;Times;Serif"/>
          <w:b w:val="false"/>
          <w:i w:val="false"/>
          <w:caps w:val="false"/>
          <w:smallCaps w:val="false"/>
          <w:sz w:val="20"/>
        </w:rPr>
        <w:t>. At least one (1) duly authorized Officer will sign the Notes on behalf of the Company by manual or facsimile signature. A Note’s validity will not be affected by the failure of any Officer whose signature is on any Note to hold, at the time such Note is authenticated, the same or any other office at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Authentication by the Trustee and Delivery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Trustee will cause an authorized signatory of the Trustee (or a duly appointed authenticating agent) to manually sign the certificate of authentication of a Note only if (1) the Company delivers such Note to the Trustee; (2) such Note is executed by the Company in accordance with </w:t>
      </w:r>
      <w:r>
        <w:rPr>
          <w:rFonts w:ascii="Times New Roman;Times;Serif" w:hAnsi="Times New Roman;Times;Serif"/>
          <w:b/>
          <w:i w:val="false"/>
          <w:caps w:val="false"/>
          <w:smallCaps w:val="false"/>
          <w:sz w:val="20"/>
        </w:rPr>
        <w:t>Section 2.02(A)</w:t>
      </w:r>
      <w:r>
        <w:rPr>
          <w:rFonts w:ascii="Times New Roman;Times;Serif" w:hAnsi="Times New Roman;Times;Serif"/>
          <w:b w:val="false"/>
          <w:i w:val="false"/>
          <w:caps w:val="false"/>
          <w:smallCaps w:val="false"/>
          <w:sz w:val="20"/>
        </w:rPr>
        <w:t xml:space="preserve">; and (3) the Company delivers a Company Order to the Trustee that (a) requests the Trustee to authenticate such Note; and (b) sets forth the name of the Holder of such Note and the date as of which such Note is to be authenticated, together with the documents contemplated by </w:t>
      </w:r>
      <w:r>
        <w:rPr>
          <w:rFonts w:ascii="Times New Roman;Times;Serif" w:hAnsi="Times New Roman;Times;Serif"/>
          <w:b/>
          <w:i w:val="false"/>
          <w:caps w:val="false"/>
          <w:smallCaps w:val="false"/>
          <w:sz w:val="20"/>
        </w:rPr>
        <w:t>Section 11.02</w:t>
      </w:r>
      <w:r>
        <w:rPr>
          <w:rFonts w:ascii="Times New Roman;Times;Serif" w:hAnsi="Times New Roman;Times;Serif"/>
          <w:b w:val="false"/>
          <w:i w:val="false"/>
          <w:caps w:val="false"/>
          <w:smallCaps w:val="false"/>
          <w:sz w:val="20"/>
        </w:rPr>
        <w:t>. If such Company Order also requests the Trustee to deliver such Note to any Holder or to the Depositary, then the Trustee will promptly deliver such Note in accordance with such Company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may appoint an authenticating agent acceptable to the Company to authenticate Notes. A duly appointed authenticating agent may authenticate Notes whenever the Trustee may do so under this Indenture, and a Note authenticated as provided in this Indenture by such an agent will be deemed, for purposes of this Indenture, to be authenticated by the Trustee. Each duly appointed authenticating agent will have the same rights to deal with the Company as the Trustee would have if it were performing the duties that the authentication agent was validly appointed to undertake.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- 14 -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2.03.</w:t>
        <w:tab/>
        <w:t>     Initial Notes and Additional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Initial Notes</w:t>
      </w:r>
      <w:r>
        <w:rPr>
          <w:rFonts w:ascii="Times New Roman;Times;Serif" w:hAnsi="Times New Roman;Times;Serif"/>
          <w:b w:val="false"/>
          <w:i w:val="false"/>
          <w:caps w:val="false"/>
          <w:smallCaps w:val="false"/>
          <w:sz w:val="20"/>
        </w:rPr>
        <w:t xml:space="preserve">. On the Issue Date, there will be originally issued three hundred fifty million dollars ($350,000,000) aggregate principal amount of Notes, subject to the provisions of this Indenture (including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Notes issued pursuant to this </w:t>
      </w:r>
      <w:r>
        <w:rPr>
          <w:rFonts w:ascii="Times New Roman;Times;Serif" w:hAnsi="Times New Roman;Times;Serif"/>
          <w:b/>
          <w:i w:val="false"/>
          <w:caps w:val="false"/>
          <w:smallCaps w:val="false"/>
          <w:sz w:val="20"/>
        </w:rPr>
        <w:t>Section 2.03(A)</w:t>
      </w:r>
      <w:r>
        <w:rPr>
          <w:rFonts w:ascii="Times New Roman;Times;Serif" w:hAnsi="Times New Roman;Times;Serif"/>
          <w:b w:val="false"/>
          <w:i w:val="false"/>
          <w:caps w:val="false"/>
          <w:smallCaps w:val="false"/>
          <w:sz w:val="20"/>
        </w:rPr>
        <w:t>, and any Notes issued in exchange therefor or in substitution thereof, are referred to in this Indenture as the “</w:t>
      </w:r>
      <w:r>
        <w:rPr>
          <w:rFonts w:ascii="Times New Roman;Times;Serif" w:hAnsi="Times New Roman;Times;Serif"/>
          <w:b/>
          <w:i w:val="false"/>
          <w:caps w:val="false"/>
          <w:smallCaps w:val="false"/>
          <w:sz w:val="20"/>
        </w:rPr>
        <w:t>Initial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Additional Notes</w:t>
      </w:r>
      <w:r>
        <w:rPr>
          <w:rFonts w:ascii="Times New Roman;Times;Serif" w:hAnsi="Times New Roman;Times;Serif"/>
          <w:b w:val="false"/>
          <w:i w:val="false"/>
          <w:caps w:val="false"/>
          <w:smallCaps w:val="false"/>
          <w:sz w:val="20"/>
        </w:rPr>
        <w:t xml:space="preserve">. The Company may, subject to the provisions of this Indenture (including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originally issue additional Notes with the same terms as the Initial Notes (except, to the extent applicable, with respect to the date as of which interest begins to accrue on such additional Notes and the first Interest Payment Date and the Last Original Issue Date of such additional Notes), which additional Notes will, subject to the foregoing, be considered to be part of the same series of, and rank equally and ratably with all other, Notes issued under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such additional Notes are not fungible with other Notes issued under this Indenture for federal income tax or federal securities laws purposes, then such additional Notes will be identified by a separate CUSIP number or by no 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2.04.</w:t>
        <w:tab/>
        <w:t>     Method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The Company will pay, or cause the Paying Agent to pay, the principal (whether due upon maturity on the Maturity Date, Redemption on a Redemption Date or repurchase on a Fundamental Change Repurchase Date or otherwise) of, interest on, and any cash Conversion Consideration for, any Global Note to the Depositary by wire transfer of immediately available funds no later than the time the same is due as provided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The Company will pay, or cause the Paying Agent to pay, the principal (whether due upon maturity on the Maturity Date, Redemption on a Redemption Date or repurchase on a Fundamental Change Repurchase Date or otherwise) of, interest on, and any cash Conversion Consideration for, any Physical Note no later than the time the same is due as provided in this Indenture as follows: (i) if the principal amount of such Physical Note is at least five million dollars ($5,000,000) (or such lower amount as the Company may choose in its sole and absolute discretion) and the Holder of such Physical Note entitled to such payment has delivered to the Paying Agent or the Trustee, no later than the time set forth in the immediately following sentence, a written request that the Company make such payment by wire transfer to an account of such Holder within the United States, by wire transfer of immediately available funds to such account; and (ii) in all other cases, by check mailed to the address of the Holder of such Physical Note entitled to such payment as set forth in the Register. To be timely, such written request must be so delivered no later than the Close of Business on the following date: (x) with respect to the payment of any interest due on an Interest Payment Date, the immediately preceding Regular Record Date; (y) with respect to any cash Conversion Consideration, the relevant Conversion Date; and (z) with respect to any other payment, the date that is fifteen (15) calendar days immediately before the date such payment is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- 15 -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2.05.</w:t>
        <w:tab/>
        <w:t>     Accrual of Interest; Defaulted Amounts; When Payment Date is Not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Accrual of Interest</w:t>
      </w:r>
      <w:r>
        <w:rPr>
          <w:rFonts w:ascii="Times New Roman;Times;Serif" w:hAnsi="Times New Roman;Times;Serif"/>
          <w:b w:val="false"/>
          <w:i w:val="false"/>
          <w:caps w:val="false"/>
          <w:smallCaps w:val="false"/>
          <w:sz w:val="20"/>
        </w:rPr>
        <w:t>. Each Note will accrue interest at a rate per annum equal to 3.250% (the “</w:t>
      </w:r>
      <w:r>
        <w:rPr>
          <w:rFonts w:ascii="Times New Roman;Times;Serif" w:hAnsi="Times New Roman;Times;Serif"/>
          <w:b/>
          <w:i w:val="false"/>
          <w:caps w:val="false"/>
          <w:smallCaps w:val="false"/>
          <w:sz w:val="20"/>
        </w:rPr>
        <w:t>Stated Interest</w:t>
      </w:r>
      <w:r>
        <w:rPr>
          <w:rFonts w:ascii="Times New Roman;Times;Serif" w:hAnsi="Times New Roman;Times;Serif"/>
          <w:b w:val="false"/>
          <w:i w:val="false"/>
          <w:caps w:val="false"/>
          <w:smallCaps w:val="false"/>
          <w:sz w:val="20"/>
        </w:rPr>
        <w:t xml:space="preserve">”), plus any Additional Interest and Special Interest that may accrue pursuant to </w:t>
      </w:r>
      <w:r>
        <w:rPr>
          <w:rFonts w:ascii="Times New Roman;Times;Serif" w:hAnsi="Times New Roman;Times;Serif"/>
          <w:b/>
          <w:i w:val="false"/>
          <w:caps w:val="false"/>
          <w:smallCaps w:val="false"/>
          <w:sz w:val="20"/>
        </w:rPr>
        <w:t>Sections 3.04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7.03</w:t>
      </w:r>
      <w:r>
        <w:rPr>
          <w:rFonts w:ascii="Times New Roman;Times;Serif" w:hAnsi="Times New Roman;Times;Serif"/>
          <w:b w:val="false"/>
          <w:i w:val="false"/>
          <w:caps w:val="false"/>
          <w:smallCaps w:val="false"/>
          <w:sz w:val="20"/>
        </w:rPr>
        <w:t xml:space="preserve">, respectively. Stated Interest on each Note will (i) accrue from, and including, the most recent date to which Stated Interest has been paid or duly provided for (or, if no Stated Interest has theretofore been paid or duly provided for, the date set forth in the certificate representing such Note as the date from, and including, which Stated Interest will begin to accrue in such circumstance) to, but excluding, the date of payment of such Stated Interest; and (ii) be, subject to </w:t>
      </w:r>
      <w:r>
        <w:rPr>
          <w:rFonts w:ascii="Times New Roman;Times;Serif" w:hAnsi="Times New Roman;Times;Serif"/>
          <w:b/>
          <w:i w:val="false"/>
          <w:caps w:val="false"/>
          <w:smallCaps w:val="false"/>
          <w:sz w:val="20"/>
        </w:rPr>
        <w:t>Sections 4.02(D)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4.03(E)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(but without duplication of any payment of interest), payable semi-annually in arrears on each Interest Payment Date, beginning on the first Interest Payment Date set forth in the certificate representing such Note, to the Holder of such Note as of the Close of Business on the immediately preceding Regular Record Date. Stated Interest, and, if applicable, Additional Interest and Special Interest, on the Notes will be computed on the basis of a 360-day year comprised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Defaulted Amounts</w:t>
      </w:r>
      <w:r>
        <w:rPr>
          <w:rFonts w:ascii="Times New Roman;Times;Serif" w:hAnsi="Times New Roman;Times;Serif"/>
          <w:b w:val="false"/>
          <w:i w:val="false"/>
          <w:caps w:val="false"/>
          <w:smallCaps w:val="false"/>
          <w:sz w:val="20"/>
        </w:rPr>
        <w:t>. If the Company fails to pay any amount (a “</w:t>
      </w:r>
      <w:r>
        <w:rPr>
          <w:rFonts w:ascii="Times New Roman;Times;Serif" w:hAnsi="Times New Roman;Times;Serif"/>
          <w:b/>
          <w:i w:val="false"/>
          <w:caps w:val="false"/>
          <w:smallCaps w:val="false"/>
          <w:sz w:val="20"/>
        </w:rPr>
        <w:t>Defaulted Amount</w:t>
      </w:r>
      <w:r>
        <w:rPr>
          <w:rFonts w:ascii="Times New Roman;Times;Serif" w:hAnsi="Times New Roman;Times;Serif"/>
          <w:b w:val="false"/>
          <w:i w:val="false"/>
          <w:caps w:val="false"/>
          <w:smallCaps w:val="false"/>
          <w:sz w:val="20"/>
        </w:rPr>
        <w:t>”) payable on a Note on or before the due date therefor as provided in this Indenture, then, regardless of whether such failure constitutes an Event of Default, (i) such Defaulted Amount will forthwith cease to be payable to the Holder of such Note otherwise entitled to such payment; (ii) to the extent lawful, interest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xml:space="preserve">”) will accrue on such Defaulted Amount at a rate per annum equal to the rate per annum at which Stated Interest accrues from, and including, such due date to, but excluding, the date of payment of such Defaulted Amount and Default Interest; (iii) such Defaulted Amount and Default Interest will be paid on a payment date selected by the Company to the Holder of such Note as of the Close of Business on a special record date selected by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special record date must be no more than fifteen (15), nor less than ten (10), calendar days before such payment date; and (iv) at least fifteen (15) calendar days before such special record date, the Company will send notice to the Trustee and the Holders that states such special record date, such payment date and the amount of such Defaulted Amount and Default Interest to be paid on such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Delay of Payment when Payment Date is Not a Business Day</w:t>
      </w:r>
      <w:r>
        <w:rPr>
          <w:rFonts w:ascii="Times New Roman;Times;Serif" w:hAnsi="Times New Roman;Times;Serif"/>
          <w:b w:val="false"/>
          <w:i w:val="false"/>
          <w:caps w:val="false"/>
          <w:smallCaps w:val="false"/>
          <w:sz w:val="20"/>
        </w:rPr>
        <w:t>. If the due date for a payment on a Note as provided in this Indenture is not a Business Day, then, notwithstanding anything to the contrary in this Indenture or the Notes, such payment may be made on the immediately following Business Day and no interest will accrue on such payment as a result of the related delay. Solely for purposes of the immediately preceding sentence, a day on which the applicable place of payment is authorized or required by law or executive order to close or be closed will be deemed not to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2.06.</w:t>
        <w:tab/>
        <w:t>     Registrar, Paying Agent and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maintain (i) an office or agency in the continental United States where Notes may be presented for registration of transfer or for exchange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(ii) an office or agency in the continental United States where Notes may be presented for payment (the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and (iii) an office or agency in the continental United States where Notes may be presented for conversion (the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If the Company fails to maintain a Registrar, Paying Agent or Conversion Agent, then the Trustee will act as such. For the avoidance of doubt, the Company or any of its Subsidiaries may act as Registrar, Paying Agent or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- 16 -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Duties of the Registrar</w:t>
      </w:r>
      <w:r>
        <w:rPr>
          <w:rFonts w:ascii="Times New Roman;Times;Serif" w:hAnsi="Times New Roman;Times;Serif"/>
          <w:b w:val="false"/>
          <w:i w:val="false"/>
          <w:caps w:val="false"/>
          <w:smallCaps w:val="false"/>
          <w:sz w:val="20"/>
        </w:rPr>
        <w:t>. The Registrar will keep a record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of the names and addresses of the Holders, the Notes held by each Holder and the transfer, exchange, repurchase, Redemption and conversion of Notes. Absent manifest error, the entries in the Register will be conclusive and the Company and the Trustee may treat each Person whose name is recorded as a Holder in the Register as a Holder for all purposes. The Register will be in written form or in any form capable of being converted into written form reasonably promptly.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Co-Agents; Company’s Right to Appoint Successor Registrars, Paying Agents and Conversion Agents</w:t>
      </w:r>
      <w:r>
        <w:rPr>
          <w:rFonts w:ascii="Times New Roman;Times;Serif" w:hAnsi="Times New Roman;Times;Serif"/>
          <w:b w:val="false"/>
          <w:i w:val="false"/>
          <w:caps w:val="false"/>
          <w:smallCaps w:val="false"/>
          <w:sz w:val="20"/>
        </w:rPr>
        <w:t xml:space="preserve">. The Company may appoint one or more co-Registrars, co-Paying Agents and co-Conversion Agents, each of whom will be deemed to be a Registrar, Paying Agent or Conversion Agent, as applicable, under this Indenture. Subject to </w:t>
      </w:r>
      <w:r>
        <w:rPr>
          <w:rFonts w:ascii="Times New Roman;Times;Serif" w:hAnsi="Times New Roman;Times;Serif"/>
          <w:b/>
          <w:i w:val="false"/>
          <w:caps w:val="false"/>
          <w:smallCaps w:val="false"/>
          <w:sz w:val="20"/>
        </w:rPr>
        <w:t>Section 2.06(A)</w:t>
      </w:r>
      <w:r>
        <w:rPr>
          <w:rFonts w:ascii="Times New Roman;Times;Serif" w:hAnsi="Times New Roman;Times;Serif"/>
          <w:b w:val="false"/>
          <w:i w:val="false"/>
          <w:caps w:val="false"/>
          <w:smallCaps w:val="false"/>
          <w:sz w:val="20"/>
        </w:rPr>
        <w:t>, the Company may change any Registrar, Paying Agent or Conversion Agent (including appointing itself or any of its Subsidiaries to act in such capacity) without notice to any Holder. The Company will notify the Trustee (and, upon request, any Holder) of the name and address of each Note Agent, if any, not a party to this Indenture and will enter into an appropriate agency agreement with each such Note Agent, which agreement will implement the provisions of this Indenture that relate to such Note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Initial Appointments</w:t>
      </w:r>
      <w:r>
        <w:rPr>
          <w:rFonts w:ascii="Times New Roman;Times;Serif" w:hAnsi="Times New Roman;Times;Serif"/>
          <w:b w:val="false"/>
          <w:i w:val="false"/>
          <w:caps w:val="false"/>
          <w:smallCaps w:val="false"/>
          <w:sz w:val="20"/>
        </w:rPr>
        <w:t>. The Company appoints the Trustee as the initial Paying Agent, the initial Registrar and the initial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2.07.</w:t>
        <w:tab/>
        <w:t>     Paying Agent and Conversion Agent to Hold Property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require each Paying Agent or Conversion Agent that is not the Trustee to agree in writing that such Note Agent will (A) hold in trust for the benefit of Holders or the Trustee all money and other property held by such Note Agent for payment or delivery due on the Notes; and (B) notify the Trustee of any default by the Company in making any such payment or delivery. The Company, at any time, may, and the Trustee, while any Default continues, may, require a Paying Agent or Conversion Agent to pay or deliver, as applicable, all money and other property held by it to the Trustee, after which payment or delivery, as applicable, such Note Agent (if not the Company or any of its Subsidiaries) will have no further liability for such money or property. If the Company or any of its Subsidiaries acts as Paying Agent or Conversion Agent, then (A) it will segregate and hold in a separate trust fund for the benefit of the Holders or the Trustee all money and other property held by it as Paying Agent or Conversion Agent; and (B) references in this Indenture or the Notes to the Paying Agent or Conversion Agent holding cash or other property, or to the delivery of cash or other property to the Paying Agent or Conversion Agent, in each case for payment or delivery to any Holders or the Trustee or with respect to the Notes, will be deemed to refer to cash or other property so segregated and held separately, or to the segregation and separate holding of such cash or other property, respectively. Upon the occurrence of any event pursuant to </w:t>
      </w:r>
      <w:r>
        <w:rPr>
          <w:rFonts w:ascii="Times New Roman;Times;Serif" w:hAnsi="Times New Roman;Times;Serif"/>
          <w:b/>
          <w:i w:val="false"/>
          <w:caps w:val="false"/>
          <w:smallCaps w:val="false"/>
          <w:sz w:val="20"/>
        </w:rPr>
        <w:t>clause (ix)</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(x)</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with respect to the Company (or with respect to any Subsidiary of the Company acting as Paying Agent or Conversion Agent), the Trustee will serve as the Paying Agent or Conversion Agent, as applicable,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- 17 -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2.08.</w:t>
        <w:tab/>
        <w:t>     Holder Lists.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is not the Registrar, the Company will furnish to the Trustee, no later than seven (7) Business Days before each Interest Payment Date, and at such other times as the Trustee may request, a list, in such form and as of such date or time as the Trustee may reasonably require, of the names and addresses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2.09.</w:t>
        <w:tab/>
        <w:t>     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Global Note Legend</w:t>
      </w:r>
      <w:r>
        <w:rPr>
          <w:rFonts w:ascii="Times New Roman;Times;Serif" w:hAnsi="Times New Roman;Times;Serif"/>
          <w:b w:val="false"/>
          <w:i w:val="false"/>
          <w:caps w:val="false"/>
          <w:smallCaps w:val="false"/>
          <w:sz w:val="20"/>
        </w:rPr>
        <w:t>. Each Global Note will bear the Global Note Legend (or any similar legend, not inconsistent with this Indenture, required by the Depositary for such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Non-Affiliate Legend</w:t>
      </w:r>
      <w:r>
        <w:rPr>
          <w:rFonts w:ascii="Times New Roman;Times;Serif" w:hAnsi="Times New Roman;Times;Serif"/>
          <w:b w:val="false"/>
          <w:i w:val="false"/>
          <w:caps w:val="false"/>
          <w:smallCaps w:val="false"/>
          <w:sz w:val="20"/>
        </w:rPr>
        <w:t>. Each Note will bear the Non-Affiliate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Restricted Note Legend</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Note that is a Transfer-Restricted Security will bear the Restricted Note Legend;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Note is issued in exchange for, in substitution of, or to effect a partial conversion of, another Note (such other Note being referred to as the “old Note” for purposes of this </w:t>
      </w:r>
      <w:r>
        <w:rPr>
          <w:rFonts w:ascii="Times New Roman;Times;Serif" w:hAnsi="Times New Roman;Times;Serif"/>
          <w:b/>
          <w:i w:val="false"/>
          <w:caps w:val="false"/>
          <w:smallCaps w:val="false"/>
          <w:sz w:val="20"/>
        </w:rPr>
        <w:t>Section 2.09(C)(ii)</w:t>
      </w:r>
      <w:r>
        <w:rPr>
          <w:rFonts w:ascii="Times New Roman;Times;Serif" w:hAnsi="Times New Roman;Times;Serif"/>
          <w:b w:val="false"/>
          <w:i w:val="false"/>
          <w:caps w:val="false"/>
          <w:smallCaps w:val="false"/>
          <w:sz w:val="20"/>
        </w:rPr>
        <w:t>), including pursuant to Section </w:t>
      </w:r>
      <w:r>
        <w:rPr>
          <w:rFonts w:ascii="Times New Roman;Times;Serif" w:hAnsi="Times New Roman;Times;Serif"/>
          <w:b/>
          <w:i w:val="false"/>
          <w:caps w:val="false"/>
          <w:smallCaps w:val="false"/>
          <w:sz w:val="20"/>
        </w:rPr>
        <w:t>2.10(B)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2.10(C)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2.13</w:t>
      </w:r>
      <w:r>
        <w:rPr>
          <w:rFonts w:ascii="Times New Roman;Times;Serif" w:hAnsi="Times New Roman;Times;Serif"/>
          <w:b w:val="false"/>
          <w:i w:val="false"/>
          <w:caps w:val="false"/>
          <w:smallCaps w:val="false"/>
          <w:sz w:val="20"/>
        </w:rPr>
        <w:t xml:space="preserve">, such Note will bear the Restricted Note Legend if such old Note bore the Restricted Note Legend at the time of such exchange or substitution, or on the related Conversion Date with respect to such conversion,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Note need not bear the Restricted Note Legend if such Note does not constitute a Transfer-Restricted Security immediately after such exchange or substitution, or as of such Conversion Date,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Other Legends</w:t>
      </w:r>
      <w:r>
        <w:rPr>
          <w:rFonts w:ascii="Times New Roman;Times;Serif" w:hAnsi="Times New Roman;Times;Serif"/>
          <w:b w:val="false"/>
          <w:i w:val="false"/>
          <w:caps w:val="false"/>
          <w:smallCaps w:val="false"/>
          <w:sz w:val="20"/>
        </w:rPr>
        <w:t>. A Note may bear any other legend or text, not inconsistent with this Indenture, as may be required by applicable law or by any securities exchange or automated quotation system on which such Note is traded or quoted.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Acknowledgement and Agreement by the Holders</w:t>
      </w:r>
      <w:r>
        <w:rPr>
          <w:rFonts w:ascii="Times New Roman;Times;Serif" w:hAnsi="Times New Roman;Times;Serif"/>
          <w:b w:val="false"/>
          <w:i w:val="false"/>
          <w:caps w:val="false"/>
          <w:smallCaps w:val="false"/>
          <w:sz w:val="20"/>
        </w:rPr>
        <w:t xml:space="preserve">. A Holder’s acceptance of any Note bearing any legend required by this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xml:space="preserve"> will constitute such Holder’s acknowledgement of, and agreement to comply with, the restrictions set forth in such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Restricted Stock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Conversion Share will bear the Restricted Stock Legend if the Note upon the conversion of which such Conversion Share was issued was (or would have been had it not been converted) a Transfer-Restricted Security at the time such Conversion Share was issued;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Conversion Share need not bear the Restricted Stock Legend if the Company determines, in its reasonable discretion, that such Conversion Share need not bear the Restricted Stock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- 18 -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in this </w:t>
      </w:r>
      <w:r>
        <w:rPr>
          <w:rFonts w:ascii="Times New Roman;Times;Serif" w:hAnsi="Times New Roman;Times;Serif"/>
          <w:b/>
          <w:i w:val="false"/>
          <w:caps w:val="false"/>
          <w:smallCaps w:val="false"/>
          <w:sz w:val="20"/>
        </w:rPr>
        <w:t>Section 2.09(F)</w:t>
      </w:r>
      <w:r>
        <w:rPr>
          <w:rFonts w:ascii="Times New Roman;Times;Serif" w:hAnsi="Times New Roman;Times;Serif"/>
          <w:b w:val="false"/>
          <w:i w:val="false"/>
          <w:caps w:val="false"/>
          <w:smallCaps w:val="false"/>
          <w:sz w:val="20"/>
        </w:rPr>
        <w:t xml:space="preserve">, a Conversion Share need not bear a Restricted Stock Legend if such Conversion Share is issued in an uncertificated form that does not permit affixing legends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Company takes measures (including the assignment thereto of a “restricted” CUSIP number) that it reasonably deems appropriate to enforce the transfer restrictions referred to in the Restricted Stock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Section 2.10.</w:t>
        <w:tab/>
        <w:t>     Transfers and Exchanges; Certain Transfer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Provisions Applicable to All Transfers and Exchanges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this </w:t>
      </w:r>
      <w:r>
        <w:rPr>
          <w:rFonts w:ascii="Times New Roman;Times;Serif" w:hAnsi="Times New Roman;Times;Serif"/>
          <w:b/>
          <w:i w:val="false"/>
          <w:caps w:val="false"/>
          <w:smallCaps w:val="false"/>
          <w:sz w:val="20"/>
        </w:rPr>
        <w:t>Section 2.10</w:t>
      </w:r>
      <w:r>
        <w:rPr>
          <w:rFonts w:ascii="Times New Roman;Times;Serif" w:hAnsi="Times New Roman;Times;Serif"/>
          <w:b w:val="false"/>
          <w:i w:val="false"/>
          <w:caps w:val="false"/>
          <w:smallCaps w:val="false"/>
          <w:sz w:val="20"/>
        </w:rPr>
        <w:t>, Physical Notes and beneficial interests in Global Notes may be transferred or exchanged from time to time and the Registrar will record each such transfer or exchange in the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Note issued upon transfer or exchange of any other Note (such other Note being referred to as the “old Note” for purposes of this </w:t>
      </w:r>
      <w:r>
        <w:rPr>
          <w:rFonts w:ascii="Times New Roman;Times;Serif" w:hAnsi="Times New Roman;Times;Serif"/>
          <w:b/>
          <w:i w:val="false"/>
          <w:caps w:val="false"/>
          <w:smallCaps w:val="false"/>
          <w:sz w:val="20"/>
        </w:rPr>
        <w:t>Section 2.10(A)(ii)</w:t>
      </w:r>
      <w:r>
        <w:rPr>
          <w:rFonts w:ascii="Times New Roman;Times;Serif" w:hAnsi="Times New Roman;Times;Serif"/>
          <w:b w:val="false"/>
          <w:i w:val="false"/>
          <w:caps w:val="false"/>
          <w:smallCaps w:val="false"/>
          <w:sz w:val="20"/>
        </w:rPr>
        <w:t>) or portion thereof in accordance with this Indenture will be the valid obligation of the Company, evidencing the same indebtedness, and entitled to the same benefits under this Indenture, as such old Note or portion thereof,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Company, the Trustee and the Note Agents will not impose any service charge on any Holder for any transfer, exchange or conversion of Notes, but the Company, the Trustee, the Registrar and the Conversion Agent may require payment of a sum sufficient to cover any transfer tax or similar governmental charge that may be imposed in connection with any transfer, exchange or conversion of Notes, other than exchanges pursuant to </w:t>
      </w:r>
      <w:r>
        <w:rPr>
          <w:rFonts w:ascii="Times New Roman;Times;Serif" w:hAnsi="Times New Roman;Times;Serif"/>
          <w:b/>
          <w:i w:val="false"/>
          <w:caps w:val="false"/>
          <w:smallCaps w:val="false"/>
          <w:sz w:val="20"/>
        </w:rPr>
        <w:t>Sections 2.11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2.17</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8.05</w:t>
      </w:r>
      <w:r>
        <w:rPr>
          <w:rFonts w:ascii="Times New Roman;Times;Serif" w:hAnsi="Times New Roman;Times;Serif"/>
          <w:b w:val="false"/>
          <w:i w:val="false"/>
          <w:caps w:val="false"/>
          <w:smallCaps w:val="false"/>
          <w:sz w:val="20"/>
        </w:rPr>
        <w:t xml:space="preserve"> not involving any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Notwithstanding anything to the contrary in this Indenture or the Notes, a Note may not be transferred or exchanged in part unless the portion to be so transferred or exchanged is in an Authorized Denomination.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Trustee will have no obligation or duty to monitor, determine or inquire as to compliance with any transfer restrictions imposed under this Indenture or applicable law with respect to any Security, other than to require the delivery of such certificates or other documentation or evidence as expressly required by this Indenture and to examine the same to determine substantial compliance as to form with the requirements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Each Note issued upon transfer of, or in exchange for, another Note will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Upon satisfaction of the requirements of this Indenture to effect a transfer or exchange of any Note, the Company will cause such transfer or exchange to be effected as soon as reasonably practicable but in no event later than the second (2nd) Business Day after the date of such satisfaction.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For the avoidance of doubt, and subject to the terms of this Indenture, as used in this </w:t>
      </w:r>
      <w:r>
        <w:rPr>
          <w:rFonts w:ascii="Times New Roman;Times;Serif" w:hAnsi="Times New Roman;Times;Serif"/>
          <w:b/>
          <w:i w:val="false"/>
          <w:caps w:val="false"/>
          <w:smallCaps w:val="false"/>
          <w:sz w:val="20"/>
        </w:rPr>
        <w:t>Section 2.10</w:t>
      </w:r>
      <w:r>
        <w:rPr>
          <w:rFonts w:ascii="Times New Roman;Times;Serif" w:hAnsi="Times New Roman;Times;Serif"/>
          <w:b w:val="false"/>
          <w:i w:val="false"/>
          <w:caps w:val="false"/>
          <w:smallCaps w:val="false"/>
          <w:sz w:val="20"/>
        </w:rPr>
        <w:t>, an “exchange” of a Global Note or a Physical Note includes (x) an exchange effected for the sole purpose of removing any Restricted Note Legend affixed to such Global Note or Physical Note; and (y) if such Global Note or a Physical Note is identified by a “restricted” CUSIP number, an exchange effected for the sole purpose of causing such Global Note or a Physical Note to be identified by an “unrestricted” 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- 19 -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Transfers and Exchanges of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the immediately following sentence, no Global Note may be transferred or exchanged in whole except (x) by the Depositary to a nominee of the Depositary; (y) by a nominee of the Depositary to the Depositary or to another nominee of the Depositary; or (z) by the Depositary or any such nominee to a successor Depositary or a nominee of such successor Depositary. No Global Note (or any portion thereof) may be transferred to, or exchanged for, a Physical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Global Note will be exchanged, pursuant to customary procedures, for one or more Physical Notes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(x) the Depositary notifies the Company or the Trustee that the Depositary is unwilling or unable to continue as depositary for such Global Note or (y) the Depositary ceases to be a “clearing agency” registered under Section 17A of the Exchange Act and, in each case, the Company fails to appoint a successor Depositary within ninety (90) days of such notice or cessation;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Event of Default has occurred and is continuing and the Company, the Trustee or the Registrar has received a written request from the Depositary, or from a holder of a beneficial interest in such Global Note, to exchange such Global Note or beneficial interest, as applicable, for one or more Physical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in its sole discretion, permits the exchange of any beneficial interest in such Global Note for one or more Physical Notes at the request of the owner of such beneficial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satisfaction of the requirements of this Indenture to effect a transfer or exchange of any Global Note (or any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Trustee will reflect any resulting decrease of the principal amount of such Global Note by notation on the “Schedule of Exchanges of Interests in the Global Note” forming part of such Global Note (and, if such notation results in such Global Note having a principal amount of zero, the Company may (but is not required to) instruct the Trustee to cancel such Global Note pursuant to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required to effect such transfer or exchange, then the Trustee will reflect any resulting increase of the principal amount of any other Global Note by notation on the “Schedule of Exchanges of Interests in the Global Note” forming part of such other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- 20 -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required to effect such transfer or exchange, then the Company will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a new Global Note bearing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if such Global Note (or such portion thereof), or any beneficial interest therein, is to be exchanged for one or more Physical Notes, then the Company will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one or more Physical Notes that are in Authorized Denominations (not to exceed, in the aggregate, the principal amount of such Global Note to be so exchanged), are registered in such name(s) as the Depositary specifies (or as otherwise determined pursuant to customary procedures) and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transfer or exchange of a beneficial interest in any Global Note will be made in accordance with the Depositary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Transfers and Exchanges of Physical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this </w:t>
      </w:r>
      <w:r>
        <w:rPr>
          <w:rFonts w:ascii="Times New Roman;Times;Serif" w:hAnsi="Times New Roman;Times;Serif"/>
          <w:b/>
          <w:i w:val="false"/>
          <w:caps w:val="false"/>
          <w:smallCaps w:val="false"/>
          <w:sz w:val="20"/>
        </w:rPr>
        <w:t>Section 2.10</w:t>
      </w:r>
      <w:r>
        <w:rPr>
          <w:rFonts w:ascii="Times New Roman;Times;Serif" w:hAnsi="Times New Roman;Times;Serif"/>
          <w:b w:val="false"/>
          <w:i w:val="false"/>
          <w:caps w:val="false"/>
          <w:smallCaps w:val="false"/>
          <w:sz w:val="20"/>
        </w:rPr>
        <w:t xml:space="preserve">, a Holder of a Physical Note may (x) transfer such Physical Note (or any portion thereof in an Authorized Denomination) to one or more other Person(s); (y) exchange such Physical Note (or any portion thereof in an Authorized Denomination) for one or more other Physical Notes in Authorized Denominations having an aggregate principal amount equal to the aggregate principal amount of the Physical Note (or portion thereof) to be so exchanged; and (z) if then permitted by the Depositary Procedures, transfer such Physical Note (or any portion thereof in an Authorized Denomination) in exchange for a beneficial interest in one or more Global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effect any such transfer or exchange, such Holder must: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surrender such Physical Note to be transferred or exchanged to the office of the Registrar, together with any endorsements or transfer instruments reasonably required by the Company, the Trustee or the Registrar;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deliver such certificates, documentation or evidence as may be required pursuant to </w:t>
      </w:r>
      <w:r>
        <w:rPr>
          <w:rFonts w:ascii="Times New Roman;Times;Serif" w:hAnsi="Times New Roman;Times;Serif"/>
          <w:b/>
          <w:i w:val="false"/>
          <w:caps w:val="false"/>
          <w:smallCaps w:val="false"/>
          <w:sz w:val="20"/>
        </w:rPr>
        <w:t>Section 2.10(D)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Upon the satisfaction of the requirements of this Indenture to effect a transfer or exchange of any Physical Note (such Physical Note being referred to as the “old Physical Note” for purposes of this </w:t>
      </w:r>
      <w:r>
        <w:rPr>
          <w:rFonts w:ascii="Times New Roman;Times;Serif" w:hAnsi="Times New Roman;Times;Serif"/>
          <w:b/>
          <w:i w:val="false"/>
          <w:caps w:val="false"/>
          <w:smallCaps w:val="false"/>
          <w:sz w:val="20"/>
        </w:rPr>
        <w:t>Section 2.10(C)(ii)</w:t>
      </w:r>
      <w:r>
        <w:rPr>
          <w:rFonts w:ascii="Times New Roman;Times;Serif" w:hAnsi="Times New Roman;Times;Serif"/>
          <w:b w:val="false"/>
          <w:i w:val="false"/>
          <w:caps w:val="false"/>
          <w:smallCaps w:val="false"/>
          <w:sz w:val="20"/>
        </w:rPr>
        <w:t>) of a Holder (or any portion of such old Physical Note in an Authorized Denomination):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such old Physical Note will be promptly cancelled pursuant to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such old Physical Note is to be transferred or exchanged only in part, then the Company will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one or more Physical Notes that (x) are in Authorized Denominations and have an aggregate principal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- 21 -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 equal to the principal amount of such old Physical Note not to be transferred or exchanged; (y) are registered in the name of such Holder; and (z)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the Depositary or a nominee thereof that will hold its interest in such old Physical Note (or such portion thereof) to be so transferred in the form of one or more Global Notes, the Trustee will reflect an increase of the principal amount of one or more existing Global Notes by notation on the “Schedule of Exchanges of Interests in the Global Note” forming part of such Global Note(s), which increase(s) are in Authorized Denominations and aggregate to the principal amount to be so transferred, and which Global Note(s)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transfer cannot be so effected by notation on one or more existing Global Notes (whether because no Global Notes bearing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xml:space="preserve"> then exist, because any such increase will result in any Global Note having an aggregate principal amount exceeding the maximum aggregate principal amount permitted by the Depositary or otherwise), then the Company will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one or more Global Notes that (x) are in Authorized Denominations and have an aggregate principal amount equal to the principal amount to be so transferred; and (y)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a transferee that will hold its interest in such old Physical Note (or such portion thereof) to be so transferred in the form of one or more Physical Notes, the Company will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one or more Physical Notes that (x) are in Authorized Denominations and have an aggregate principal amount equal to the principal amount to be so transferred; (y) are registered in the name of such transferee; and (z)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in the case of an exchange, the Company will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one or more Physical Notes that (x) are in Authorized Denominations and have an aggregate principal amount equal to the principal amount to be so exchanged; (y) are registered in the name of the Person to whom such old Physical Note was registered; and (z)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Requirement to Deliver Documentation and Other Evidence</w:t>
      </w:r>
      <w:r>
        <w:rPr>
          <w:rFonts w:ascii="Times New Roman;Times;Serif" w:hAnsi="Times New Roman;Times;Serif"/>
          <w:b w:val="false"/>
          <w:i w:val="false"/>
          <w:caps w:val="false"/>
          <w:smallCaps w:val="false"/>
          <w:sz w:val="20"/>
        </w:rPr>
        <w:t>. If a Holder of any Note that is identified by a “restricted” CUSIP number or that bears a Restricted Note Legend or is a Transfer-Restricted Security requests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such Note to be identified by an “unrestricted” 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- 22 -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remove such Restricted Note Legend;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register the transfer of such Note to the name of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the Company, the Trustee and the Registrar may refuse to effect such identification, removal or transfer, as applicable, unless there is delivered to the Company, the Trustee and the Registrar such certificates or other documentation or evidence as the Company may reasonably require to determine that such identification, removal or transfer, as applicable, complies with the Securities Act and other applicable securities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certificates, documentation or evidence need be so delivered on and after the Free Trade Date with respect to such Note unless the Company determines, in its reasonable discretion, that such Note is not eligible to be offered, sold or otherwise transferred pursuant to Rule 144 or otherwise without any requirements as to volume, manner of sale, availability of current public information or notice under the Securities Act. Neither the Trustee nor the Registrar will have any responsibility to determine whether any transfer complies with the Securities Act and other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Transfers of Notes Subject to Redemption, Repurchase or Conversion</w:t>
      </w:r>
      <w:r>
        <w:rPr>
          <w:rFonts w:ascii="Times New Roman;Times;Serif" w:hAnsi="Times New Roman;Times;Serif"/>
          <w:b w:val="false"/>
          <w:i w:val="false"/>
          <w:caps w:val="false"/>
          <w:smallCaps w:val="false"/>
          <w:sz w:val="20"/>
        </w:rPr>
        <w:t xml:space="preserve">. Notwithstanding anything to the contrary in this Indenture or the Notes, the Company, the Trustee and the Registrar will not be required to register the transfer of or exchange any Note that (i) has been surrendered for conversion, except to the extent that any portion of such Note is not subject to conversion; (ii) is subject to a Fundamental Change Repurchase Notice validly delivered, and not withdrawn, pursuant to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 except to the extent that any portion of such Note is not subject to such notice or the Company fails to pay the applicable Fundamental Change Repurchase Price when due; or (iii) has been selected for Redemption pursuant to a Redemption Notice, except to the extent that any portion of such Note is not subject to Redemption or the Company fails to pay the applicable Redemption Price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2.11.</w:t>
      </w:r>
      <w:r>
        <w:rPr>
          <w:rFonts w:ascii="Times New Roman;Times;Serif" w:hAnsi="Times New Roman;Times;Serif"/>
          <w:b/>
          <w:i w:val="false"/>
          <w:smallCaps/>
          <w:sz w:val="20"/>
        </w:rPr>
        <w:tab/>
        <w:t>     Exchange and Cancellation of Notes to Be Converted or to Be Repurchased Pursuant to a Repurchase Upon Fundamental Change 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Partial Conversions of Physical Notes and Partial Repurchases of Physical Notes Pursuant to a Repurchase Upon Fundamental Change or Redemption</w:t>
      </w:r>
      <w:r>
        <w:rPr>
          <w:rFonts w:ascii="Times New Roman;Times;Serif" w:hAnsi="Times New Roman;Times;Serif"/>
          <w:b w:val="false"/>
          <w:i w:val="false"/>
          <w:caps w:val="false"/>
          <w:smallCaps w:val="false"/>
          <w:sz w:val="20"/>
        </w:rPr>
        <w:t xml:space="preserve">. If only a portion of a Physical Note of a Holder is to be converted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or repurchased pursuant to a Repurchase Upon Fundamental Change or Redemption, then, as soon as reasonably practicable after such Physical Note is surrendered for such conversion or repurchase, as applicable, the Company will cause such Physical Note to be exchanged, pursuant and subject to </w:t>
      </w:r>
      <w:r>
        <w:rPr>
          <w:rFonts w:ascii="Times New Roman;Times;Serif" w:hAnsi="Times New Roman;Times;Serif"/>
          <w:b/>
          <w:i w:val="false"/>
          <w:caps w:val="false"/>
          <w:smallCaps w:val="false"/>
          <w:sz w:val="20"/>
        </w:rPr>
        <w:t>Section 2.10(C)</w:t>
      </w:r>
      <w:r>
        <w:rPr>
          <w:rFonts w:ascii="Times New Roman;Times;Serif" w:hAnsi="Times New Roman;Times;Serif"/>
          <w:b w:val="false"/>
          <w:i w:val="false"/>
          <w:caps w:val="false"/>
          <w:smallCaps w:val="false"/>
          <w:sz w:val="20"/>
        </w:rPr>
        <w:t xml:space="preserve">, for (i) one or more Physical Notes that are in Authorized Denominations and have an aggregate principal amount equal to the principal amount of such Physical Note that is not to be so converted or repurchased, as applicable, and deliver such Physical Note(s) to such Holder; and (ii) a Physical Note having a principal amount equal to the principal amount to be so converted or repurchased, as applicable, which Physical Note will be converted or repurchased, as applicable, pursuant to the terms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Physical Note referred to in this </w:t>
      </w:r>
      <w:r>
        <w:rPr>
          <w:rFonts w:ascii="Times New Roman;Times;Serif" w:hAnsi="Times New Roman;Times;Serif"/>
          <w:b/>
          <w:i w:val="false"/>
          <w:caps w:val="false"/>
          <w:smallCaps w:val="false"/>
          <w:sz w:val="20"/>
        </w:rPr>
        <w:t>clause (ii)</w:t>
      </w:r>
      <w:r>
        <w:rPr>
          <w:rFonts w:ascii="Times New Roman;Times;Serif" w:hAnsi="Times New Roman;Times;Serif"/>
          <w:b w:val="false"/>
          <w:i w:val="false"/>
          <w:caps w:val="false"/>
          <w:smallCaps w:val="false"/>
          <w:sz w:val="20"/>
        </w:rPr>
        <w:t xml:space="preserve"> need not be issued at any time after which such principal amount subject to such conversion or repurchase, as applicable, is deemed to cease to be outstanding pursuant to </w:t>
      </w:r>
      <w:r>
        <w:rPr>
          <w:rFonts w:ascii="Times New Roman;Times;Serif" w:hAnsi="Times New Roman;Times;Serif"/>
          <w:b/>
          <w:i w:val="false"/>
          <w:caps w:val="false"/>
          <w:smallCaps w:val="false"/>
          <w:sz w:val="20"/>
        </w:rPr>
        <w:t>Section 2.18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Cancellation of Notes that Are Converted and Notes that Are Repurchased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- 23 -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Pursuant to a Repurchase Upon Fundamental Change or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xml:space="preserve">. If a Physical Note (or any portion thereof that has not theretofore been exchanged pursuant to </w:t>
      </w:r>
      <w:r>
        <w:rPr>
          <w:rFonts w:ascii="Times New Roman;Times;Serif" w:hAnsi="Times New Roman;Times;Serif"/>
          <w:b/>
          <w:i w:val="false"/>
          <w:caps w:val="false"/>
          <w:smallCaps w:val="false"/>
          <w:sz w:val="20"/>
        </w:rPr>
        <w:t>Section 2.11(A)</w:t>
      </w:r>
      <w:r>
        <w:rPr>
          <w:rFonts w:ascii="Times New Roman;Times;Serif" w:hAnsi="Times New Roman;Times;Serif"/>
          <w:b w:val="false"/>
          <w:i w:val="false"/>
          <w:caps w:val="false"/>
          <w:smallCaps w:val="false"/>
          <w:sz w:val="20"/>
        </w:rPr>
        <w:t xml:space="preserve">) of a Holder is to be converted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or repurchased pursuant to a Repurchase Upon Fundamental Change or Redemption, then, promptly after the later of the time such Physical Note (or such portion) is deemed to cease to be outstanding pursuant to </w:t>
      </w:r>
      <w:r>
        <w:rPr>
          <w:rFonts w:ascii="Times New Roman;Times;Serif" w:hAnsi="Times New Roman;Times;Serif"/>
          <w:b/>
          <w:i w:val="false"/>
          <w:caps w:val="false"/>
          <w:smallCaps w:val="false"/>
          <w:sz w:val="20"/>
        </w:rPr>
        <w:t>Section 2.18</w:t>
      </w:r>
      <w:r>
        <w:rPr>
          <w:rFonts w:ascii="Times New Roman;Times;Serif" w:hAnsi="Times New Roman;Times;Serif"/>
          <w:b w:val="false"/>
          <w:i w:val="false"/>
          <w:caps w:val="false"/>
          <w:smallCaps w:val="false"/>
          <w:sz w:val="20"/>
        </w:rPr>
        <w:t xml:space="preserve"> and the time such Physical Note is surrendered for such conversion or repurchase, as applicable, (1) such Physical Note will be cancelled pursuant to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 xml:space="preserve">; and (2) in the case of a partial conversion or repurchase, as applicable, the Company will issue, execute and deliver to such Holder,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one or more Physical Notes that (x) are in Authorized Denominations and have an aggregate principal amount equal to the principal amount of such Physical Note that is not to be so converted or repurchased, as applicable; (y) are registered in the name of such Holder; and (z) bear each legend, if any, required by </w:t>
      </w:r>
      <w:r>
        <w:rPr>
          <w:rFonts w:ascii="Times New Roman;Times;Serif" w:hAnsi="Times New Roman;Times;Serif"/>
          <w:b/>
          <w:i w:val="false"/>
          <w:caps w:val="false"/>
          <w:smallCaps w:val="false"/>
          <w:sz w:val="20"/>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xml:space="preserve">. If a Global Note (or any portion thereof) is to be converted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or repurchased pursuant to a Repurchase Upon Fundamental Change or Redemption, then, promptly after the time such Note (or such portion) is deemed to cease to be outstanding pursuant to </w:t>
      </w:r>
      <w:r>
        <w:rPr>
          <w:rFonts w:ascii="Times New Roman;Times;Serif" w:hAnsi="Times New Roman;Times;Serif"/>
          <w:b/>
          <w:i w:val="false"/>
          <w:caps w:val="false"/>
          <w:smallCaps w:val="false"/>
          <w:sz w:val="20"/>
        </w:rPr>
        <w:t>Section 2.18</w:t>
      </w:r>
      <w:r>
        <w:rPr>
          <w:rFonts w:ascii="Times New Roman;Times;Serif" w:hAnsi="Times New Roman;Times;Serif"/>
          <w:b w:val="false"/>
          <w:i w:val="false"/>
          <w:caps w:val="false"/>
          <w:smallCaps w:val="false"/>
          <w:sz w:val="20"/>
        </w:rPr>
        <w:t xml:space="preserve">, the Trustee will reflect a decrease of the principal amount of such Global Note in an amount equal to the principal amount of such Global Note to be so converted or repurchased, as applicable, by notation on the “Schedule of Exchanges of Interests in the Global Note” forming part of such Global Note (and, if the principal amount of such Global Note is zero following such notation, cancel such Global Note pursuant to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2.12.</w:t>
      </w:r>
      <w:r>
        <w:rPr>
          <w:rFonts w:ascii="Times New Roman;Times;Serif" w:hAnsi="Times New Roman;Times;Serif"/>
          <w:b/>
          <w:i w:val="false"/>
          <w:smallCaps/>
          <w:sz w:val="20"/>
        </w:rPr>
        <w:tab/>
        <w:t>     Removal of Transfer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any other provision of this Indenture (including </w:t>
      </w:r>
      <w:r>
        <w:rPr>
          <w:rFonts w:ascii="Times New Roman;Times;Serif" w:hAnsi="Times New Roman;Times;Serif"/>
          <w:b/>
          <w:i w:val="false"/>
          <w:caps w:val="false"/>
          <w:smallCaps w:val="false"/>
          <w:sz w:val="20"/>
        </w:rPr>
        <w:t>Section 3.04</w:t>
      </w:r>
      <w:r>
        <w:rPr>
          <w:rFonts w:ascii="Times New Roman;Times;Serif" w:hAnsi="Times New Roman;Times;Serif"/>
          <w:b w:val="false"/>
          <w:i w:val="false"/>
          <w:caps w:val="false"/>
          <w:smallCaps w:val="false"/>
          <w:sz w:val="20"/>
        </w:rPr>
        <w:t xml:space="preserve">), the Restricted Note Legend affixed to any Note will be deemed, pursuant to this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 xml:space="preserve"> and the footnote to such Restricted Note Legend, to be removed therefrom upon the Company’s delivery to the Trustee of notice and an Officer’s Certificate, signed on behalf of the Company by one (1) of its Officers, to such effect (and, for the avoidance of doubt, such notice need not be accompanied by an Opinion of Counsel in order to be effective to cause such Restricted Note Legend to be deemed to be removed from such Note). If such Note bears a “restricted” CUSIP or ISIN number at the time of such delivery, then, upon such delivery, such Note will be deemed, pursuant to this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 xml:space="preserve"> and the footnotes to the CUSIP and ISIN numbers set forth on the face of the certificate representing such Note, to thereafter bear the “unrestricted” CUSIP and ISIN numbers identified in such footnotes;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 (ii) for purposes of </w:t>
      </w:r>
      <w:r>
        <w:rPr>
          <w:rFonts w:ascii="Times New Roman;Times;Serif" w:hAnsi="Times New Roman;Times;Serif"/>
          <w:b/>
          <w:i w:val="false"/>
          <w:caps w:val="false"/>
          <w:smallCaps w:val="false"/>
          <w:sz w:val="20"/>
        </w:rPr>
        <w:t>Section 3.04</w:t>
      </w:r>
      <w:r>
        <w:rPr>
          <w:rFonts w:ascii="Times New Roman;Times;Serif" w:hAnsi="Times New Roman;Times;Serif"/>
          <w:b w:val="false"/>
          <w:i w:val="false"/>
          <w:caps w:val="false"/>
          <w:smallCaps w:val="false"/>
          <w:sz w:val="20"/>
        </w:rPr>
        <w:t xml:space="preserve"> and the definition of Freely Tradable, such Global Note will not be deemed to be identified by “unrestricted” CUSIP and ISIN numbers until such time as such exchange or procedure is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- 24 -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2.13.</w:t>
      </w:r>
      <w:r>
        <w:rPr>
          <w:rFonts w:ascii="Times New Roman;Times;Serif" w:hAnsi="Times New Roman;Times;Serif"/>
          <w:b/>
          <w:i w:val="false"/>
          <w:smallCaps/>
          <w:sz w:val="20"/>
        </w:rPr>
        <w:tab/>
        <w:t>     Replacement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Holder of any Note claims that such Note has been mutilated, lost, destroyed or wrongfully taken, then the Company will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a replacement Note upon surrender to the Trustee of such mutilated Note, or upon delivery to the Trustee of evidence of such loss, destruction or wrongful taking reasonably satisfactory to the Trustee and the Company. In the case of a lost, destroyed or wrongfully taken Note, the Company and the Trustee may require the Holder thereof to provide such security or indemnity that is reasonably satisfactory to the Company and the Trustee to protect the Company and the Trustee from any loss that any of them may suffer if such Note is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replacement Note issued pursuant to this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 xml:space="preserve"> will be an additional obligation of the Company and will be entitled to all of the benefits of this Indenture equally and ratably with all other Notes issued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2.14.</w:t>
      </w:r>
      <w:r>
        <w:rPr>
          <w:rFonts w:ascii="Times New Roman;Times;Serif" w:hAnsi="Times New Roman;Times;Serif"/>
          <w:b/>
          <w:i w:val="false"/>
          <w:smallCaps/>
          <w:sz w:val="20"/>
        </w:rPr>
        <w:tab/>
        <w:t>     Registered Holders; Certain Rights with Respect to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the Holder of a Note will have rights under this Indenture as the owner of such Note. Without limiting the generality of the foregoing, Depositary Participants will have no rights as such under this Indenture with respect to any Global Note held on their behalf by the Depositary or its nominee, or by the Trustee as its custodian, and the Company, the Trustee and the Note Agents, and their respective agents, may treat the Depositary as the absolute owner of such Global Note for all purposes whatsoever;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the Holder of any Global Note may grant proxies and otherwise authorize any Person, including Depositary Participants and Persons that hold interests in Notes through Depositary Participants, to take any action that such Holder is entitled to take with respect to such Global Note under this Indenture or the Notes; and (B) the Company and the Trustee, and their respective agents, may give effect to any written certification, proxy or other authorization furnished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2.15.</w:t>
      </w:r>
      <w:r>
        <w:rPr>
          <w:rFonts w:ascii="Times New Roman;Times;Serif" w:hAnsi="Times New Roman;Times;Serif"/>
          <w:b/>
          <w:i w:val="false"/>
          <w:smallCaps/>
          <w:sz w:val="20"/>
        </w:rPr>
        <w:tab/>
        <w:t>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w:t>
      </w:r>
      <w:r>
        <w:rPr>
          <w:rFonts w:ascii="Times New Roman;Times;Serif" w:hAnsi="Times New Roman;Times;Serif"/>
          <w:b/>
          <w:i w:val="false"/>
          <w:caps w:val="false"/>
          <w:smallCaps w:val="false"/>
          <w:sz w:val="20"/>
        </w:rPr>
        <w:t>Section 3.08</w:t>
      </w:r>
      <w:r>
        <w:rPr>
          <w:rFonts w:ascii="Times New Roman;Times;Serif" w:hAnsi="Times New Roman;Times;Serif"/>
          <w:b w:val="false"/>
          <w:i w:val="false"/>
          <w:caps w:val="false"/>
          <w:smallCaps w:val="false"/>
          <w:sz w:val="20"/>
        </w:rPr>
        <w:t xml:space="preserve">, the Company may at any time deliver Notes to the Trustee for cancellation. The Registrar, the Paying Agent and the Conversion Agent will forward to the Trustee each Note duly surrendered to them for transfer, exchange, payment or conversion. The Trustee will promptly cancel all Notes so surrendered to it in accordance with its customary procedures. Without limiting the generality of </w:t>
      </w:r>
      <w:r>
        <w:rPr>
          <w:rFonts w:ascii="Times New Roman;Times;Serif" w:hAnsi="Times New Roman;Times;Serif"/>
          <w:b/>
          <w:i w:val="false"/>
          <w:caps w:val="false"/>
          <w:smallCaps w:val="false"/>
          <w:sz w:val="20"/>
        </w:rPr>
        <w:t>Section 2.03(B)</w:t>
      </w:r>
      <w:r>
        <w:rPr>
          <w:rFonts w:ascii="Times New Roman;Times;Serif" w:hAnsi="Times New Roman;Times;Serif"/>
          <w:b w:val="false"/>
          <w:i w:val="false"/>
          <w:caps w:val="false"/>
          <w:smallCaps w:val="false"/>
          <w:sz w:val="20"/>
        </w:rPr>
        <w:t>, the Company may not originally issue new Notes to replace Notes that it has paid or that have been cancelled upon transfer, exchange, payment or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2.16.</w:t>
      </w:r>
      <w:r>
        <w:rPr>
          <w:rFonts w:ascii="Times New Roman;Times;Serif" w:hAnsi="Times New Roman;Times;Serif"/>
          <w:b/>
          <w:i w:val="false"/>
          <w:smallCaps/>
          <w:sz w:val="20"/>
        </w:rPr>
        <w:tab/>
        <w:t>     Notes Held by the Company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w:t>
      </w:r>
      <w:r>
        <w:rPr>
          <w:rFonts w:ascii="Times New Roman;Times;Serif" w:hAnsi="Times New Roman;Times;Serif"/>
          <w:b/>
          <w:i w:val="false"/>
          <w:caps w:val="false"/>
          <w:smallCaps w:val="false"/>
          <w:sz w:val="20"/>
        </w:rPr>
        <w:t>Section 3.08</w:t>
      </w:r>
      <w:r>
        <w:rPr>
          <w:rFonts w:ascii="Times New Roman;Times;Serif" w:hAnsi="Times New Roman;Times;Serif"/>
          <w:b w:val="false"/>
          <w:i w:val="false"/>
          <w:caps w:val="false"/>
          <w:smallCaps w:val="false"/>
          <w:sz w:val="20"/>
        </w:rPr>
        <w:t xml:space="preserve">, in determining whether the Holders of the required aggregate principal amount of Notes have concurred in any direction, waiver or consent, Notes owned by the Company or any of its Affiliates will be deemed not to be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determining whether the Trustee is protected in relying on any such direction, waiver or consent, only Notes that the Trustee knows are so owned will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- 25 -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2.17.</w:t>
      </w:r>
      <w:r>
        <w:rPr>
          <w:rFonts w:ascii="Times New Roman;Times;Serif" w:hAnsi="Times New Roman;Times;Serif"/>
          <w:b/>
          <w:i w:val="false"/>
          <w:smallCaps/>
          <w:sz w:val="20"/>
        </w:rPr>
        <w:tab/>
        <w:t>     Temporary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Until definitive Notes are ready for delivery, the Company may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temporary Notes. Temporary Notes will be substantially in the form of definitive Notes but may have variations that the Company considers appropriate for temporary Notes. The Company will promptly prepare,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definitive Notes in exchange for temporary Notes. Until so exchanged, each temporary Note will in all respects be entitled to the same benefits under this Indenture as definitive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2.18.</w:t>
      </w:r>
      <w:r>
        <w:rPr>
          <w:rFonts w:ascii="Times New Roman;Times;Serif" w:hAnsi="Times New Roman;Times;Serif"/>
          <w:b/>
          <w:i w:val="false"/>
          <w:smallCaps/>
          <w:sz w:val="20"/>
        </w:rPr>
        <w:tab/>
        <w:t>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The Notes that are outstanding at any time will be deemed to be those Notes that, at such time, have been duly executed and authenticated, excluding those Notes (or portions thereof) that have theretofore been (i) cancelled by the Trustee or delivered to the Trustee for cancellation in accordance with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 xml:space="preserve">; (ii) assigned a principal amount of zero by notation on the “Schedule of Exchanges of Interests in the Global Note” forming part of any a Global Note representing such Note; (iii) paid in full in accordance with this Indenture; or (iv) deemed to cease to be outstanding to the extent provided in, and subject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i w:val="false"/>
          <w:caps w:val="false"/>
          <w:smallCaps w:val="false"/>
          <w:sz w:val="20"/>
        </w:rPr>
        <w:t>Section 2.18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Replaced Notes</w:t>
      </w:r>
      <w:r>
        <w:rPr>
          <w:rFonts w:ascii="Times New Roman;Times;Serif" w:hAnsi="Times New Roman;Times;Serif"/>
          <w:b w:val="false"/>
          <w:i w:val="false"/>
          <w:caps w:val="false"/>
          <w:smallCaps w:val="false"/>
          <w:sz w:val="20"/>
        </w:rPr>
        <w:t xml:space="preserve">. If a Note is replaced pursuant to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 then such Note will cease to be outstanding at the time of its replacement, unless the Trustee and the Company receive proof reasonably satisfactory to them that such Note is held by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purchaser”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Maturing Notes and Notes Called for Redemption or Subject to Repurchase</w:t>
      </w:r>
      <w:r>
        <w:rPr>
          <w:rFonts w:ascii="Times New Roman;Times;Serif" w:hAnsi="Times New Roman;Times;Serif"/>
          <w:b w:val="false"/>
          <w:i w:val="false"/>
          <w:caps w:val="false"/>
          <w:smallCaps w:val="false"/>
          <w:sz w:val="20"/>
        </w:rPr>
        <w:t xml:space="preserve">. If, on a Redemption Date, a Fundamental Change Repurchase Date or the Maturity Date, the Paying Agent holds money sufficient to pay the aggregate Redemption Price, Fundamental Change Repurchase Price or principal amount, respectively, together, in each case, with the aggregate interest, in each case due on such date, then (unless there occurs a Default in the payment of any such amount) (i) the Notes (or portions thereof) to be redeemed or repurchased, or that mature, on such date will be deemed, as of such date, to cease to be outstanding, except to the extent provided in </w:t>
      </w:r>
      <w:r>
        <w:rPr>
          <w:rFonts w:ascii="Times New Roman;Times;Serif" w:hAnsi="Times New Roman;Times;Serif"/>
          <w:b/>
          <w:i w:val="false"/>
          <w:caps w:val="false"/>
          <w:smallCaps w:val="false"/>
          <w:sz w:val="20"/>
        </w:rPr>
        <w:t>Sections 4.02(D)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4.03(E)</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and (ii) the rights of the Holders of such Notes (or such portions thereof), as such, will terminate with respect to such Notes (or such portions thereof), other than the right to receive the Redemption Price, Fundamental Change Repurchase Price or principal amount, as applicable, of, and accrued and unpaid interest on, such Notes (or such portions thereof), in each case as provided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Notes to Be Converted</w:t>
      </w:r>
      <w:r>
        <w:rPr>
          <w:rFonts w:ascii="Times New Roman;Times;Serif" w:hAnsi="Times New Roman;Times;Serif"/>
          <w:b w:val="false"/>
          <w:i w:val="false"/>
          <w:caps w:val="false"/>
          <w:smallCaps w:val="false"/>
          <w:sz w:val="20"/>
        </w:rPr>
        <w:t xml:space="preserve">. At the Close of Business on the Conversion Date for any Note (or any portion thereof) to be converted, such Note (or such portion) will (unless there occurs a Default in the delivery of the Conversion Consideration or interest due, pursuant to </w:t>
      </w:r>
      <w:r>
        <w:rPr>
          <w:rFonts w:ascii="Times New Roman;Times;Serif" w:hAnsi="Times New Roman;Times;Serif"/>
          <w:b/>
          <w:i w:val="false"/>
          <w:caps w:val="false"/>
          <w:smallCaps w:val="false"/>
          <w:sz w:val="20"/>
        </w:rPr>
        <w:t>Section 5.03(B)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upon such conversion) be deemed to cease to be outstanding, except to the extent provided in </w:t>
      </w:r>
      <w:r>
        <w:rPr>
          <w:rFonts w:ascii="Times New Roman;Times;Serif" w:hAnsi="Times New Roman;Times;Serif"/>
          <w:b/>
          <w:i w:val="false"/>
          <w:caps w:val="false"/>
          <w:smallCaps w:val="false"/>
          <w:sz w:val="20"/>
        </w:rPr>
        <w:t>Section 5.02(D) or Section 5.08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- 26 -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Cessation of Accrual of Interest</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i w:val="false"/>
          <w:caps w:val="false"/>
          <w:smallCaps w:val="false"/>
          <w:sz w:val="20"/>
        </w:rPr>
        <w:t>Sections 4.02(D)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4.03(E)</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xml:space="preserve">, interest will cease to accrue on each Note from, and including, the date that such Note is deemed, pursuant to this </w:t>
      </w:r>
      <w:r>
        <w:rPr>
          <w:rFonts w:ascii="Times New Roman;Times;Serif" w:hAnsi="Times New Roman;Times;Serif"/>
          <w:b/>
          <w:i w:val="false"/>
          <w:caps w:val="false"/>
          <w:smallCaps w:val="false"/>
          <w:sz w:val="20"/>
        </w:rPr>
        <w:t>Section 2.18</w:t>
      </w:r>
      <w:r>
        <w:rPr>
          <w:rFonts w:ascii="Times New Roman;Times;Serif" w:hAnsi="Times New Roman;Times;Serif"/>
          <w:b w:val="false"/>
          <w:i w:val="false"/>
          <w:caps w:val="false"/>
          <w:smallCaps w:val="false"/>
          <w:sz w:val="20"/>
        </w:rPr>
        <w:t>, to cease to be outstanding, unless there occurs a default in the payment or delivery of any cash or other property due on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2.19.</w:t>
      </w:r>
      <w:r>
        <w:rPr>
          <w:rFonts w:ascii="Times New Roman;Times;Serif" w:hAnsi="Times New Roman;Times;Serif"/>
          <w:b/>
          <w:i w:val="false"/>
          <w:smallCaps/>
          <w:sz w:val="20"/>
        </w:rPr>
        <w:tab/>
        <w:t>     Repurchases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the generality of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 the Company may, from time to time, repurchase Notes in open market purchases or in negotiated transactions without delivering prior notice to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2.20.</w:t>
      </w:r>
      <w:r>
        <w:rPr>
          <w:rFonts w:ascii="Times New Roman;Times;Serif" w:hAnsi="Times New Roman;Times;Serif"/>
          <w:b/>
          <w:i w:val="false"/>
          <w:smallCaps/>
          <w:sz w:val="20"/>
        </w:rPr>
        <w:tab/>
        <w:t>     CUSIP and ISIN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i w:val="false"/>
          <w:caps w:val="false"/>
          <w:smallCaps w:val="false"/>
          <w:sz w:val="20"/>
        </w:rPr>
        <w:t>Section 2.12</w:t>
      </w:r>
      <w:r>
        <w:rPr>
          <w:rFonts w:ascii="Times New Roman;Times;Serif" w:hAnsi="Times New Roman;Times;Serif"/>
          <w:b w:val="false"/>
          <w:i w:val="false"/>
          <w:caps w:val="false"/>
          <w:smallCaps w:val="false"/>
          <w:sz w:val="20"/>
        </w:rPr>
        <w:t xml:space="preserve">, the Company may use one or more CUSIP or ISIN numbers to identify any of the Notes, and, if so, the Company and the Trustee will use such CUSIP or ISIN number(s) in notices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such notices state that the Trustee makes no representation as to the correctness or accuracy of any such CUSIP or ISIN number; and (ii) the effectiveness of any such notice will not be affected by any defect in, or omission of, any such CUSIP or ISIN number. The Company will promptly notify the Trustee of any change in the CUSIP or ISIN number(s) identifying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3.</w:t>
        <w:tab/>
        <w:t>     </w:t>
      </w:r>
      <w:r>
        <w:rPr>
          <w:rFonts w:ascii="Times New Roman;Times;Serif" w:hAnsi="Times New Roman;Times;Serif"/>
          <w:b/>
          <w:i w:val="false"/>
          <w:caps/>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3.01.</w:t>
      </w:r>
      <w:r>
        <w:rPr>
          <w:rFonts w:ascii="Times New Roman;Times;Serif" w:hAnsi="Times New Roman;Times;Serif"/>
          <w:b/>
          <w:i w:val="false"/>
          <w:smallCaps/>
          <w:sz w:val="20"/>
        </w:rPr>
        <w:tab/>
        <w:t>     Payment on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pay or cause to be paid all the principal of, the Fundamental Change Repurchase Price and Redemption Price for, interest on, and other amounts due with respect to, the Notes on the dates and in the manner set forth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Deposit of Funds</w:t>
      </w:r>
      <w:r>
        <w:rPr>
          <w:rFonts w:ascii="Times New Roman;Times;Serif" w:hAnsi="Times New Roman;Times;Serif"/>
          <w:b w:val="false"/>
          <w:i w:val="false"/>
          <w:caps w:val="false"/>
          <w:smallCaps w:val="false"/>
          <w:sz w:val="20"/>
        </w:rPr>
        <w:t>. Before 10:00 A.M., New York City time, on each Redemption Date, Fundamental Change Repurchase Date or Interest Payment Date, and on the Maturity Date or any other date on which any cash amount is due on the Notes, the Company will deposit, or will cause there to be deposited, with the Paying Agent cash, in funds immediately available on such date, sufficient to pay the cash amount due on the applicable Notes on such date. The Paying Agent will return to the Company, as soon as practicable, upon written request, any money not required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3.02.</w:t>
      </w:r>
      <w:r>
        <w:rPr>
          <w:rFonts w:ascii="Times New Roman;Times;Serif" w:hAnsi="Times New Roman;Times;Serif"/>
          <w:b/>
          <w:i w:val="false"/>
          <w:smallCaps/>
          <w:sz w:val="20"/>
        </w:rPr>
        <w:tab/>
        <w:t>     Exchange Act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The Company will send to the Trustee copies of all reports that the Company is required to file with the SEC pursuant to Section 13(a) or 15(d) of the Exchange Act within fifteen (15) calendar days after the date that the Company is required to file the same (after giving effect to all applicable grace periods under the Exchange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need not send to the Trustee any material for which the Company has received, or is seeking in good faith and has not been denied, confidential treatment by the SEC. Any report that the Company files with the SEC through the EDGAR system (or any successor thereto) will be deemed to be sent to the Trustee at the time such report is so filed via the EDGAR system (or such successor). Upon the request of any Holder, the Trustee will provide to such Holder a copy of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- 27 -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report that the Company has sent the Trustee pursuant to this </w:t>
      </w:r>
      <w:r>
        <w:rPr>
          <w:rFonts w:ascii="Times New Roman;Times;Serif" w:hAnsi="Times New Roman;Times;Serif"/>
          <w:b/>
          <w:i w:val="false"/>
          <w:caps w:val="false"/>
          <w:smallCaps w:val="false"/>
          <w:sz w:val="20"/>
        </w:rPr>
        <w:t>Section 3.02(A)</w:t>
      </w:r>
      <w:r>
        <w:rPr>
          <w:rFonts w:ascii="Times New Roman;Times;Serif" w:hAnsi="Times New Roman;Times;Serif"/>
          <w:b w:val="false"/>
          <w:i w:val="false"/>
          <w:caps w:val="false"/>
          <w:smallCaps w:val="false"/>
          <w:sz w:val="20"/>
        </w:rPr>
        <w:t>, other than a report that is deemed to be sent to the Trustee pursuant to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Trustee’s Disclaimer</w:t>
      </w:r>
      <w:r>
        <w:rPr>
          <w:rFonts w:ascii="Times New Roman;Times;Serif" w:hAnsi="Times New Roman;Times;Serif"/>
          <w:b w:val="false"/>
          <w:i w:val="false"/>
          <w:caps w:val="false"/>
          <w:smallCaps w:val="false"/>
          <w:sz w:val="20"/>
        </w:rPr>
        <w:t>. The Trustee need not determine whether the Company has filed any material via the EDGAR system (or such successor). Delivery of reports, information and documents to the Trustee is for informational purposes only, and the Trustee’s receipt of the same will not constitute constructive or actual notice of any information contained therein or determinable from information contained therein, including the Company’s compliance with any of its covenants under this Indenture (as to which the Trustee is entitled to rely exclusively on Officer’s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3.03.</w:t>
      </w:r>
      <w:r>
        <w:rPr>
          <w:rFonts w:ascii="Times New Roman;Times;Serif" w:hAnsi="Times New Roman;Times;Serif"/>
          <w:b/>
          <w:i w:val="false"/>
          <w:smallCaps/>
          <w:sz w:val="20"/>
        </w:rPr>
        <w:tab/>
        <w:t>     Rule 144A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subject to Section 13 or 15(d) of the Exchange Act at any time when any Notes or shares of Common Stock issuable upon conversion of the Notes are outstanding and constitute “restricted securities” (as defined in Rule 144), then the Company (or its successor) will promptly provide, to the Trustee and, upon written request, to any Holder, beneficial owner or prospective purchaser of such Notes or shares, the information required to be delivered pursuant to Rule 144A(d)(4) under the Securities Act to facilitate the resale of such Notes or shares pursuant to Rule 144A. The Company (or its successor) will take such further action as any Holder or beneficial owner of such Notes or shares may reasonably request to enable such Holder or beneficial owner to sell such Notes or shares pursuant to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3.04.</w:t>
      </w:r>
      <w:r>
        <w:rPr>
          <w:rFonts w:ascii="Times New Roman;Times;Serif" w:hAnsi="Times New Roman;Times;Serif"/>
          <w:b/>
          <w:i w:val="false"/>
          <w:smallCaps/>
          <w:sz w:val="20"/>
        </w:rPr>
        <w:tab/>
        <w:t>     Additional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Accrual of Additional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at any time during the six (6) month period beginning on, and including, the date that is six (6) months after the Last Original Issue Date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fails to timely file any report (other than Form 8-K reports) that the Company is required to file with the SEC pursuant to Section 13 or 15(d) of the Exchange Act (after giving effect to all applicable grace periods thereunder);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Note is not otherwise Freely Tradable,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Additional Interest will accrue on such Note for each day during such period on which such failure is continuing or such Note is not Freely Tradable.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addition, Additional Interest will accrue on a Note on each day on which such Note is not Freely Tradable on or after the De-Legending Deadline Date for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Amount and Payment of Additional Interest</w:t>
      </w:r>
      <w:r>
        <w:rPr>
          <w:rFonts w:ascii="Times New Roman;Times;Serif" w:hAnsi="Times New Roman;Times;Serif"/>
          <w:b w:val="false"/>
          <w:i w:val="false"/>
          <w:caps w:val="false"/>
          <w:smallCaps w:val="false"/>
          <w:sz w:val="20"/>
        </w:rPr>
        <w:t xml:space="preserve">. Any Additional Interest that accrues on a Note pursuant to </w:t>
      </w:r>
      <w:r>
        <w:rPr>
          <w:rFonts w:ascii="Times New Roman;Times;Serif" w:hAnsi="Times New Roman;Times;Serif"/>
          <w:b/>
          <w:i w:val="false"/>
          <w:caps w:val="false"/>
          <w:smallCaps w:val="false"/>
          <w:sz w:val="20"/>
        </w:rPr>
        <w:t>Section 3.04(A)</w:t>
      </w:r>
      <w:r>
        <w:rPr>
          <w:rFonts w:ascii="Times New Roman;Times;Serif" w:hAnsi="Times New Roman;Times;Serif"/>
          <w:b w:val="false"/>
          <w:i w:val="false"/>
          <w:caps w:val="false"/>
          <w:smallCaps w:val="false"/>
          <w:sz w:val="20"/>
        </w:rPr>
        <w:t> will be payable on the same dates and in the same manner as the Stated Interest on such Note and will accrue at a rate per annum equal to one quarter of one percent (0.25%) of the principal amount thereof for the first ninety (90) days on which Additional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- 28 -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accrues and, thereafter, at a rate per annum equal to one half of one percent (0.50%) of the principal amount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event will Additional Interest, together with any Special Interest, accrue on any day on a Note at a combined rate per annum that exceeds one half of one percent (0.50%), regardless of the number of events or circumstances giving rise to requirements to pay such Additional Interest or Special Interest. For the avoidance of doubt, any Additional Interest that accrues on a Note will be in addition to the Stated Interest that accrues on such Note and, subject to the proviso of the immediately preceding sentence, in addition to any Special Interest that accrues on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Notice of Accrual of Additional Interest; Trustee’s Disclaimer</w:t>
      </w:r>
      <w:r>
        <w:rPr>
          <w:rFonts w:ascii="Times New Roman;Times;Serif" w:hAnsi="Times New Roman;Times;Serif"/>
          <w:b w:val="false"/>
          <w:i w:val="false"/>
          <w:caps w:val="false"/>
          <w:smallCaps w:val="false"/>
          <w:sz w:val="20"/>
        </w:rPr>
        <w:t>. The Company will send notice to the Holder of each Note, and to the Trustee, of the commencement and termination of any period in which Additional Interest accrues on such Note. In addition, if Additional Interest accrues on any Note, then, no later than five (5) Business Days before each date on which such Additional Interest is to be paid, the Company will deliver an Officer’s Certificate to the Trustee and the Paying Agent stating (i) that the Company is obligated to pay Additional Interest on such Note on such date of payment; and (ii) the amount of such Additional Interest that is payable on such date of payment. The Trustee will have no duty to determine whether any Additional Interest is payable or the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3.05.</w:t>
      </w:r>
      <w:r>
        <w:rPr>
          <w:rFonts w:ascii="Times New Roman;Times;Serif" w:hAnsi="Times New Roman;Times;Serif"/>
          <w:b/>
          <w:i w:val="false"/>
          <w:smallCaps/>
          <w:sz w:val="20"/>
        </w:rPr>
        <w:tab/>
        <w:t>     Compliance and Default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Annual Compliance Certificate</w:t>
      </w:r>
      <w:r>
        <w:rPr>
          <w:rFonts w:ascii="Times New Roman;Times;Serif" w:hAnsi="Times New Roman;Times;Serif"/>
          <w:b w:val="false"/>
          <w:i w:val="false"/>
          <w:caps w:val="false"/>
          <w:smallCaps w:val="false"/>
          <w:sz w:val="20"/>
        </w:rPr>
        <w:t>. Within ninety (90) days after the last day of each fiscal year of the Company, beginning with the first such fiscal year ending after the date of this Indenture, the Company will deliver an Officer’s Certificate to the Trustee stating (i) that the signatory thereto has supervised a review of the activities of the Company and its Subsidiaries during such fiscal year with a view towards determining whether any Default or Event of Default has occurred; and (ii) whether, to such signatory’s knowledge, a Default or Event of Default has occurred or is continuing (and, if so, describing all such Defaults or Events of Default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Default Certificate</w:t>
      </w:r>
      <w:r>
        <w:rPr>
          <w:rFonts w:ascii="Times New Roman;Times;Serif" w:hAnsi="Times New Roman;Times;Serif"/>
          <w:b w:val="false"/>
          <w:i w:val="false"/>
          <w:caps w:val="false"/>
          <w:smallCaps w:val="false"/>
          <w:sz w:val="20"/>
        </w:rPr>
        <w:t>. If a Default or Event of Default occurs, then the Company will promptly deliver an Officer’s Certificate to the Trustee describing the same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3.06.</w:t>
      </w:r>
      <w:r>
        <w:rPr>
          <w:rFonts w:ascii="Times New Roman;Times;Serif" w:hAnsi="Times New Roman;Times;Serif"/>
          <w:b/>
          <w:i w:val="false"/>
          <w:smallCaps/>
          <w:sz w:val="20"/>
        </w:rPr>
        <w:tab/>
        <w:t>     Stay, Extension and Usury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Indenture; and (B) expressly waives all benefits or advantages of any such law and agrees that it will not, by resort to any such law, hinder, delay or impede the execution of any power granted to the Trustee by this Indenture, but will suffer and permit the execution of every such power as though no such law has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3.07.</w:t>
      </w:r>
      <w:r>
        <w:rPr>
          <w:rFonts w:ascii="Times New Roman;Times;Serif" w:hAnsi="Times New Roman;Times;Serif"/>
          <w:b/>
          <w:i w:val="false"/>
          <w:smallCaps/>
          <w:sz w:val="20"/>
        </w:rPr>
        <w:tab/>
        <w:t>     Corporate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the Company will cause to preserve and keep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- 29 -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its corporate existence in accordance with the organizational documents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material rights (charter and statutory), licenses and franchises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need not preserve or keep in full force and effect any such license or franchise if the Board of Directors determines that (x) the preservation thereof is no longer desirable in the conduct of the business of the Company and its Subsidiaries, taken as a whole; and (y) the loss thereof is not, individually or in the aggregate, materially adverse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3.08.</w:t>
      </w:r>
      <w:r>
        <w:rPr>
          <w:rFonts w:ascii="Times New Roman;Times;Serif" w:hAnsi="Times New Roman;Times;Serif"/>
          <w:b/>
          <w:i w:val="false"/>
          <w:smallCaps/>
          <w:sz w:val="20"/>
        </w:rPr>
        <w:tab/>
        <w:t>     Restriction on Acquisition of Notes by the Company and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promptly deliver to the Trustee for cancellation all Notes that the Company or any of its Subsidiaries have purchased or otherwise acquired. The Company will use commercially reasonable efforts to prevent any of its controlled Affiliates from acquiring any Note (or any beneficial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3.09.</w:t>
      </w:r>
      <w:r>
        <w:rPr>
          <w:rFonts w:ascii="Times New Roman;Times;Serif" w:hAnsi="Times New Roman;Times;Serif"/>
          <w:b/>
          <w:i w:val="false"/>
          <w:smallCaps/>
          <w:sz w:val="20"/>
        </w:rPr>
        <w:tab/>
        <w:t>     Further Instruments and 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Trustee’s request, the Company will execute and deliver such further instruments and do such further acts as may be reasonably necessary or proper to more effectively carry out the purposes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4.</w:t>
        <w:tab/>
        <w:t>     </w:t>
      </w:r>
      <w:r>
        <w:rPr>
          <w:rFonts w:ascii="Times New Roman;Times;Serif" w:hAnsi="Times New Roman;Times;Serif"/>
          <w:b/>
          <w:i w:val="false"/>
          <w:caps/>
          <w:sz w:val="20"/>
        </w:rPr>
        <w:t>Repurchase and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4.01.</w:t>
      </w:r>
      <w:r>
        <w:rPr>
          <w:rFonts w:ascii="Times New Roman;Times;Serif" w:hAnsi="Times New Roman;Times;Serif"/>
          <w:b/>
          <w:i w:val="false"/>
          <w:smallCaps/>
          <w:sz w:val="20"/>
        </w:rPr>
        <w:tab/>
        <w:t>     No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sinking fund is required to be provided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4.02.</w:t>
      </w:r>
      <w:r>
        <w:rPr>
          <w:rFonts w:ascii="Times New Roman;Times;Serif" w:hAnsi="Times New Roman;Times;Serif"/>
          <w:b/>
          <w:i w:val="false"/>
          <w:smallCaps/>
          <w:sz w:val="20"/>
        </w:rPr>
        <w:tab/>
        <w:t>     Right of Holders to Require the Company to Repurchase Notes upon a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Right of Holders to Require the Company to Repurchase Notes Upon a Fundamental Change</w:t>
      </w:r>
      <w:r>
        <w:rPr>
          <w:rFonts w:ascii="Times New Roman;Times;Serif" w:hAnsi="Times New Roman;Times;Serif"/>
          <w:b w:val="false"/>
          <w:i w:val="false"/>
          <w:caps w:val="false"/>
          <w:smallCaps w:val="false"/>
          <w:sz w:val="20"/>
        </w:rPr>
        <w:t xml:space="preserve">. Subject to the other terms of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if a Fundamental Change occurs, then each Holder will have the right (the “</w:t>
      </w:r>
      <w:r>
        <w:rPr>
          <w:rFonts w:ascii="Times New Roman;Times;Serif" w:hAnsi="Times New Roman;Times;Serif"/>
          <w:b/>
          <w:i w:val="false"/>
          <w:caps w:val="false"/>
          <w:smallCaps w:val="false"/>
          <w:sz w:val="20"/>
        </w:rPr>
        <w:t>Fundamental Change Repurchase Right</w:t>
      </w:r>
      <w:r>
        <w:rPr>
          <w:rFonts w:ascii="Times New Roman;Times;Serif" w:hAnsi="Times New Roman;Times;Serif"/>
          <w:b w:val="false"/>
          <w:i w:val="false"/>
          <w:caps w:val="false"/>
          <w:smallCaps w:val="false"/>
          <w:sz w:val="20"/>
        </w:rPr>
        <w:t>”) to require the Company to repurchase such Holder’s Notes (or any portion thereof in an Authorized Denomination) on the Fundamental Change Repurchase Date for such Fundamental Change for a cash purchase price equal to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Repurchase Prohibited in Certain Circumstances</w:t>
      </w:r>
      <w:r>
        <w:rPr>
          <w:rFonts w:ascii="Times New Roman;Times;Serif" w:hAnsi="Times New Roman;Times;Serif"/>
          <w:b w:val="false"/>
          <w:i w:val="false"/>
          <w:caps w:val="false"/>
          <w:smallCaps w:val="false"/>
          <w:sz w:val="20"/>
        </w:rPr>
        <w:t>. If the principal amount of the Notes has been accelerated and such acceleration has not been rescinded on or before the Fundamental Change Repurchase Date for a Repurchase Upon Fundamental Change (including as a result of the payment of the related Fundamental Change Repurchase Price, and any related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- 30 -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pursuant to the proviso to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xml:space="preserve">, on such Fundamental Change Repurchase Date), then (i) the Company may not repurchase any Notes pursuant to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and (ii) the Company will cause any Notes theretofore surrendered for such Repurchase upon Fundamental Change to be returned to the Holders thereof (or, if applicable with respect to Global Notes, cancel any instructions for book-entry transfer to the Company, the Trustee or the Paying Agent of the applicable beneficial interest in such Notes in accordance with the Depositary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Fundamental Change Repurchase Date</w:t>
      </w:r>
      <w:r>
        <w:rPr>
          <w:rFonts w:ascii="Times New Roman;Times;Serif" w:hAnsi="Times New Roman;Times;Serif"/>
          <w:b w:val="false"/>
          <w:i w:val="false"/>
          <w:caps w:val="false"/>
          <w:smallCaps w:val="false"/>
          <w:sz w:val="20"/>
        </w:rPr>
        <w:t xml:space="preserve">. The Fundamental Change Repurchase Date for any Fundamental Change will be a Business Day of the Company’s choosing that is no more than thirty five (35), nor less than twenty (20), Business Days after the date the Company sends the related Fundamental Change Notice pursuant to </w:t>
      </w:r>
      <w:r>
        <w:rPr>
          <w:rFonts w:ascii="Times New Roman;Times;Serif" w:hAnsi="Times New Roman;Times;Serif"/>
          <w:b/>
          <w:i w:val="false"/>
          <w:caps w:val="false"/>
          <w:smallCaps w:val="false"/>
          <w:sz w:val="20"/>
        </w:rPr>
        <w:t>Section 4.02(E)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Fundamental Change Repurchase Price</w:t>
      </w:r>
      <w:r>
        <w:rPr>
          <w:rFonts w:ascii="Times New Roman;Times;Serif" w:hAnsi="Times New Roman;Times;Serif"/>
          <w:b w:val="false"/>
          <w:i w:val="false"/>
          <w:caps w:val="false"/>
          <w:smallCaps w:val="false"/>
          <w:sz w:val="20"/>
        </w:rPr>
        <w:t xml:space="preserve">. The Fundamental Change Repurchase Price for any Note to be repurchased upon a Repurchase Upon Fundamental Change following a Fundamental Change is an amount in cash equal to the principal amount of such Note plus accrued and unpaid interest on such Note to, but excluding, the Fundamental Change Repurchase Date for such Fundamental Change;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Fundamental Change Repurchase Date is after a Regular Record Date and on or before the next Interest Payment Date, then (i) the Holder of such Note at the Close of Business on such Regular Record Date will be entitled, notwithstanding such Repurchase Upon Fundamental Change,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Fundamental Change Repurchase Date is before such Interest Payment Date); and (ii) the Fundamental Change Repurchase Price will not include accrued and unpaid interest on such Note to, but excluding, such Fundamental Change Repurchase Date. For the avoidance of doubt, if an Interest Payment Date is not a Business Day within the meaning of </w:t>
      </w:r>
      <w:r>
        <w:rPr>
          <w:rFonts w:ascii="Times New Roman;Times;Serif" w:hAnsi="Times New Roman;Times;Serif"/>
          <w:b/>
          <w:i w:val="false"/>
          <w:caps w:val="false"/>
          <w:smallCaps w:val="false"/>
          <w:sz w:val="20"/>
        </w:rPr>
        <w:t>Section 2.05(C)</w:t>
      </w:r>
      <w:r>
        <w:rPr>
          <w:rFonts w:ascii="Times New Roman;Times;Serif" w:hAnsi="Times New Roman;Times;Serif"/>
          <w:b w:val="false"/>
          <w:i w:val="false"/>
          <w:caps w:val="false"/>
          <w:smallCaps w:val="false"/>
          <w:sz w:val="20"/>
        </w:rPr>
        <w:t xml:space="preserve"> and such Fundamental Change Repurchase Date occurs on the Business Day immediately after such Interest Payment Date, then (x) accrued and unpaid interest on Notes to, but excluding, such Interest Payment Date will be paid, in accordance with </w:t>
      </w:r>
      <w:r>
        <w:rPr>
          <w:rFonts w:ascii="Times New Roman;Times;Serif" w:hAnsi="Times New Roman;Times;Serif"/>
          <w:b/>
          <w:i w:val="false"/>
          <w:caps w:val="false"/>
          <w:smallCaps w:val="false"/>
          <w:sz w:val="20"/>
        </w:rPr>
        <w:t>Section 2.05(C)</w:t>
      </w:r>
      <w:r>
        <w:rPr>
          <w:rFonts w:ascii="Times New Roman;Times;Serif" w:hAnsi="Times New Roman;Times;Serif"/>
          <w:b w:val="false"/>
          <w:i w:val="false"/>
          <w:caps w:val="false"/>
          <w:smallCaps w:val="false"/>
          <w:sz w:val="20"/>
        </w:rPr>
        <w:t>, on the next Business Day to Holders as of the Close of Business on the immediately preceding Regular Record Date; and (y) the Fundamental Change Repurchase Price will include interest on Notes to be repurchased from, and including,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Fundamental Change Notice</w:t>
      </w:r>
      <w:r>
        <w:rPr>
          <w:rFonts w:ascii="Times New Roman;Times;Serif" w:hAnsi="Times New Roman;Times;Serif"/>
          <w:b w:val="false"/>
          <w:i w:val="false"/>
          <w:caps w:val="false"/>
          <w:smallCaps w:val="false"/>
          <w:sz w:val="20"/>
        </w:rPr>
        <w:t>. On or before the twentieth (20th) calendar day after the occurrence of a Fundamental Change, the Company will send to each Holder, the Trustee and the Paying Agent a notice of such Fundamental Change (a “</w:t>
      </w:r>
      <w:r>
        <w:rPr>
          <w:rFonts w:ascii="Times New Roman;Times;Serif" w:hAnsi="Times New Roman;Times;Serif"/>
          <w:b/>
          <w:i w:val="false"/>
          <w:caps w:val="false"/>
          <w:smallCaps w:val="false"/>
          <w:sz w:val="20"/>
        </w:rPr>
        <w:t>Fundamental Change Notice</w:t>
      </w:r>
      <w:r>
        <w:rPr>
          <w:rFonts w:ascii="Times New Roman;Times;Serif" w:hAnsi="Times New Roman;Times;Serif"/>
          <w:b w:val="false"/>
          <w:i w:val="false"/>
          <w:caps w:val="false"/>
          <w:smallCaps w:val="false"/>
          <w:sz w:val="20"/>
        </w:rPr>
        <w:t>”). Substantially contemporaneously therewith, the Company will issue a press release through such national newswire service as the Company then uses (or publish the same through such other widely disseminated public medium as the Company then uses, including its website) containing the information set forth in the Fundamental Change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Fundamental Change Notice must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briefly, the events causing such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such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- 31 -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procedures that a Holder must follow to require the Company to repurchase its Notes pursuant to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including the deadline for exercising the Fundamental Change Repurchase Right and the procedures for submitting and withdrawing a Fundamental Change Repurchase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Fundamental Change Repurchase Date for such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Fundamental Change Repurchase Price per $1,000 principal amount of Notes for such Fundamental Change (and, if such Fundamental Change Repurchase Date is after a Regular Record Date and on or before the next Interest Payment Date, the amount, manner and timing of the interest payment payable pursuant to the proviso to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Paying Agent and the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the Conversion Rate in effect on the date of such Fundamental Change Notice and a description and quantification of any adjustments to the Conversion Rate that may result from such Fundamental Change (including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Notes for which a Fundamental Change Repurchase Notice has been duly tendered and not duly withdrawn must be delivered to the Paying Agent for the Holder thereof to be entitled to receive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that Notes (or any portion thereof) that are subject to a Fundamental Change Repurchase Notice that has been duly tendered may be converted only if such Fundamental Change Repurchase Notice is withdrawn in accordance with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CUSIP and ISIN numbers, if any,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Procedures to Exercise the Fundamental Change Repurchase Right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Delivery of Fundamental Change Repurchase Notice and Notes to Be Repurchased</w:t>
      </w:r>
      <w:r>
        <w:rPr>
          <w:rFonts w:ascii="Times New Roman;Times;Serif" w:hAnsi="Times New Roman;Times;Serif"/>
          <w:b w:val="false"/>
          <w:i w:val="false"/>
          <w:caps w:val="false"/>
          <w:smallCaps w:val="false"/>
          <w:sz w:val="20"/>
        </w:rPr>
        <w:t>. To exercise its Fundamental Change Repurchase Right for a Note following a Fundamental Change, the Holder thereof must deliver to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before the Close of Business on the Business Day immediately before the related Fundamental Change Repurchase Date (or such later time as may be required by law), a duly completed, written Fundamental Change Repurchase Notice with respect to such Note;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Note, duly endorsed for transfer (if such Note is a Physical Note) or by book-entry transfer (if such Note is a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- 32 -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will promptly deliver to the Company a copy of each Fundamental Change Repurchase Notice that it receives.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Contents of Fundamental Change Repurchase Notices</w:t>
      </w:r>
      <w:r>
        <w:rPr>
          <w:rFonts w:ascii="Times New Roman;Times;Serif" w:hAnsi="Times New Roman;Times;Serif"/>
          <w:b w:val="false"/>
          <w:i w:val="false"/>
          <w:caps w:val="false"/>
          <w:smallCaps w:val="false"/>
          <w:sz w:val="20"/>
        </w:rPr>
        <w:t>. Each Fundamental Change Repurchase Notice with respect to a Note must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such Note is a Physical Note, the certificate number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principal amount of such Note to be repurchased, which must be an Authorized Denomination;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such Holder is exercising its Fundamental Change Repurchase Right with respect to such principal amount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Note is a Global Note, then such Fundamental Change Repurchase Notice must comply with the Depositary Procedures (and any such Fundamental Change Repurchase Notice delivered in compliance with the Depositary Procedures will be deemed to satisfy the requirements of this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Withdrawal of Fundamental Change Repurchase Notice</w:t>
      </w:r>
      <w:r>
        <w:rPr>
          <w:rFonts w:ascii="Times New Roman;Times;Serif" w:hAnsi="Times New Roman;Times;Serif"/>
          <w:b w:val="false"/>
          <w:i w:val="false"/>
          <w:caps w:val="false"/>
          <w:smallCaps w:val="false"/>
          <w:sz w:val="20"/>
        </w:rPr>
        <w:t>. A Holder that has delivered a Fundamental Change Repurchase Notice with respect to a Note may withdraw such Fundamental Change Repurchase Notice by delivering a written notice of withdrawal to the Paying Agent at any time before the Close of Business on the Business Day immediately before the related Fundamental Change Repurchase Date. Such withdrawal notice must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such Note is a Physical Note, the certificate number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principal amount of such Note to be withdrawn, which must be an Authorized Denomination;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principal amount of such Note, if any, that remains subject to such Fundamental Change Repurchase Notice, which must be an Authorized Denomination;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Note is a Global Note, then such withdrawal notice must comply with the Depositary Procedures (and any such withdrawal notice delivered in compliance with the Depositary Procedures will be deemed to satisfy the requirements of this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receipt of any such withdrawal notice with respect to a Note (or any portion thereof), the Paying Agent will (x) promptly deliver a copy of such withdrawal notice to the Company; and (y) if such Note is surrendered to the Paying Agent, cause such Note (or such portion thereof in accordance with </w:t>
      </w:r>
      <w:r>
        <w:rPr>
          <w:rFonts w:ascii="Times New Roman;Times;Serif" w:hAnsi="Times New Roman;Times;Serif"/>
          <w:b/>
          <w:i w:val="false"/>
          <w:caps w:val="false"/>
          <w:smallCaps w:val="false"/>
          <w:sz w:val="20"/>
        </w:rPr>
        <w:t>Section 2.11</w:t>
      </w:r>
      <w:r>
        <w:rPr>
          <w:rFonts w:ascii="Times New Roman;Times;Serif" w:hAnsi="Times New Roman;Times;Serif"/>
          <w:b w:val="false"/>
          <w:i w:val="false"/>
          <w:caps w:val="false"/>
          <w:smallCaps w:val="false"/>
          <w:sz w:val="20"/>
        </w:rPr>
        <w:t>, treating such Note as having been then surrendered for partial repurchase in the amount set forth in such withdrawal notice as remaining subject to repurchase) to be returned to the Holder thereof (or, if applicable with respect to any Global Note, cancel any instructions for book-entry transfer to the Company, the Trustee or the Paying Agent of the applicable beneficial interest in such Note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- 33 -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Depositary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Payment of the Fundamental Change Repurchase Price</w:t>
      </w:r>
      <w:r>
        <w:rPr>
          <w:rFonts w:ascii="Times New Roman;Times;Serif" w:hAnsi="Times New Roman;Times;Serif"/>
          <w:b w:val="false"/>
          <w:i w:val="false"/>
          <w:caps w:val="false"/>
          <w:smallCaps w:val="false"/>
          <w:sz w:val="20"/>
        </w:rPr>
        <w:t xml:space="preserve">. Without limiting the Company’s obligation to deposit the Fundamental Change Repurchase Price within the time proscribed by </w:t>
      </w:r>
      <w:r>
        <w:rPr>
          <w:rFonts w:ascii="Times New Roman;Times;Serif" w:hAnsi="Times New Roman;Times;Serif"/>
          <w:b/>
          <w:i w:val="false"/>
          <w:caps w:val="false"/>
          <w:smallCaps w:val="false"/>
          <w:sz w:val="20"/>
        </w:rPr>
        <w:t>Section 3.01(B)</w:t>
      </w:r>
      <w:r>
        <w:rPr>
          <w:rFonts w:ascii="Times New Roman;Times;Serif" w:hAnsi="Times New Roman;Times;Serif"/>
          <w:b w:val="false"/>
          <w:i w:val="false"/>
          <w:caps w:val="false"/>
          <w:smallCaps w:val="false"/>
          <w:sz w:val="20"/>
        </w:rPr>
        <w:t xml:space="preserve">, the Company will cause the Fundamental Change Repurchase Price for a Note (or portion thereof) to be repurchased pursuant to a Repurchase Upon Fundamental Change to be paid to the Holder thereof on or before the later of (i) the applicable Fundamental Change Repurchase Date; and (ii) the date (x) such Note is delivered to the Paying Agent (in the case of a Physical Note) or (y) the Depositary Procedures relating to the repurchase, and the delivery to the Paying Agent, of such Holder’s beneficial interest in such Note to be repurchased are complied with (in the case of a Global Note). For the avoidance of doubt, interest payable pursuant to the proviso to </w:t>
      </w:r>
      <w:r>
        <w:rPr>
          <w:rFonts w:ascii="Times New Roman;Times;Serif" w:hAnsi="Times New Roman;Times;Serif"/>
          <w:b/>
          <w:i w:val="false"/>
          <w:caps w:val="false"/>
          <w:smallCaps w:val="false"/>
          <w:sz w:val="20"/>
        </w:rPr>
        <w:t>Section 4.02(D)</w:t>
      </w:r>
      <w:r>
        <w:rPr>
          <w:rFonts w:ascii="Times New Roman;Times;Serif" w:hAnsi="Times New Roman;Times;Serif"/>
          <w:b w:val="false"/>
          <w:i w:val="false"/>
          <w:caps w:val="false"/>
          <w:smallCaps w:val="false"/>
          <w:sz w:val="20"/>
        </w:rPr>
        <w:t xml:space="preserve"> on any Note to be repurchased pursuant to a Repurchase Upon Fundamental Change must be paid pursuant to such proviso regardless of whether such Note is delivered or such Depositary Procedures are complied with pursuant to the first sentence of this </w:t>
      </w:r>
      <w:r>
        <w:rPr>
          <w:rFonts w:ascii="Times New Roman;Times;Serif" w:hAnsi="Times New Roman;Times;Serif"/>
          <w:b/>
          <w:i w:val="false"/>
          <w:caps w:val="false"/>
          <w:smallCaps w:val="false"/>
          <w:sz w:val="20"/>
        </w:rPr>
        <w:t>Section 4.02(G)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Compliance with Applicable Securities Laws</w:t>
      </w:r>
      <w:r>
        <w:rPr>
          <w:rFonts w:ascii="Times New Roman;Times;Serif" w:hAnsi="Times New Roman;Times;Serif"/>
          <w:b w:val="false"/>
          <w:i w:val="false"/>
          <w:caps w:val="false"/>
          <w:smallCaps w:val="false"/>
          <w:sz w:val="20"/>
        </w:rPr>
        <w:t xml:space="preserve">. To the extent applicable, the Company will comply with all federal and state securities laws in connection with a Repurchase Upon Fundamental Change (including complying with Rules 13e-4 and 14e-1 under the Exchange Act and filing any required Schedule TO, to the extent applicable) so as to permit effecting such Repurchase Upon Fundamental Change in the manner set forth in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to the extent that the Company’s obligations pursuant to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conflict with any law or regulation that is applicable to the Company and enacted after the Issue Date, the Company’s compliance with such law or regulation will not be considered to be a Default of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Repurchase in Part</w:t>
      </w:r>
      <w:r>
        <w:rPr>
          <w:rFonts w:ascii="Times New Roman;Times;Serif" w:hAnsi="Times New Roman;Times;Serif"/>
          <w:b w:val="false"/>
          <w:i w:val="false"/>
          <w:caps w:val="false"/>
          <w:smallCaps w:val="false"/>
          <w:sz w:val="20"/>
        </w:rPr>
        <w:t xml:space="preserve">. Subject to the terms of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Notes may be repurchased pursuant to a Repurchase Upon Fundamental Change in part, but only in Authorized Denominations. Provisions of this </w:t>
      </w:r>
      <w:r>
        <w:rPr>
          <w:rFonts w:ascii="Times New Roman;Times;Serif" w:hAnsi="Times New Roman;Times;Serif"/>
          <w:b/>
          <w:i w:val="false"/>
          <w:caps w:val="false"/>
          <w:smallCaps w:val="false"/>
          <w:sz w:val="20"/>
        </w:rPr>
        <w:t>Section 4.02</w:t>
      </w:r>
      <w:r>
        <w:rPr>
          <w:rFonts w:ascii="Times New Roman;Times;Serif" w:hAnsi="Times New Roman;Times;Serif"/>
          <w:b w:val="false"/>
          <w:i w:val="false"/>
          <w:caps w:val="false"/>
          <w:smallCaps w:val="false"/>
          <w:sz w:val="20"/>
        </w:rPr>
        <w:t xml:space="preserve"> applying to the repurchase of a Note in whole will equally apply to the repurchase of a permitted portion of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4.03.</w:t>
      </w:r>
      <w:r>
        <w:rPr>
          <w:rFonts w:ascii="Times New Roman;Times;Serif" w:hAnsi="Times New Roman;Times;Serif"/>
          <w:b/>
          <w:i w:val="false"/>
          <w:smallCaps/>
          <w:sz w:val="20"/>
        </w:rPr>
        <w:tab/>
        <w:t>     Right of the Company to Redeem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 Right to Redeem Before January 15, 2028.</w:t>
      </w:r>
      <w:r>
        <w:rPr>
          <w:rFonts w:ascii="Times New Roman;Times;Serif" w:hAnsi="Times New Roman;Times;Serif"/>
          <w:b w:val="false"/>
          <w:i w:val="false"/>
          <w:caps w:val="false"/>
          <w:smallCaps w:val="false"/>
          <w:sz w:val="20"/>
        </w:rPr>
        <w:t xml:space="preserve"> The Company may not redeem the Notes at its option at any time before January 15,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Right to Redeem the Notes on or After January 15, 2028.</w:t>
      </w:r>
      <w:r>
        <w:rPr>
          <w:rFonts w:ascii="Times New Roman;Times;Serif" w:hAnsi="Times New Roman;Times;Serif"/>
          <w:b w:val="false"/>
          <w:i w:val="false"/>
          <w:caps w:val="false"/>
          <w:smallCaps w:val="false"/>
          <w:sz w:val="20"/>
        </w:rPr>
        <w:t xml:space="preserve"> Subject to the terms of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the Company has the right, at its election, to redeem all, or any portion in an Authorized Denomination, of the Notes, at any time, and from time to time, on a Redemption Date on or after January 15, 2028 and on or before the fortieth (40th) Scheduled Trading Day immediately before the Maturity Date, for a cash purchase price equal to the Redemption Price, but only if the Last Reported Sale Price per share of Common Stock exceeds one hundred and thirty percent (130%) of the Conversion Price on (x) each of at least twenty (20) Trading Days (whether or not consecutive) during the thirty (30) consecutive Trading Days ending on, and including, the Trading Day immediately before the Redemption Notice Date for such Redemption; and (y) the Trading Day immediately before such Redemption Notice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not be entitled to call less than all of the outstanding Notes for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- 34 -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excess of the principal amount of Notes outstanding as of the time the Company sends the related Redemption Notice over the aggregate principal amount of Notes set forth in such Redemption Notice as being subject to such Redemption is at least one hundred million dollars ($100,000,000). For the avoidance of doubt, the calling of any Notes for Redemption will constitute a Make-Whole Fundamental Change with respect to such Notes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of the definition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Redemption Prohibited in Certain Circumstances</w:t>
      </w:r>
      <w:r>
        <w:rPr>
          <w:rFonts w:ascii="Times New Roman;Times;Serif" w:hAnsi="Times New Roman;Times;Serif"/>
          <w:b w:val="false"/>
          <w:i w:val="false"/>
          <w:caps w:val="false"/>
          <w:smallCaps w:val="false"/>
          <w:sz w:val="20"/>
        </w:rPr>
        <w:t xml:space="preserve">. If the principal amount of the Notes has been accelerated and such acceleration has not been rescinded on or before the Redemption Date (including as a result of the payment of the related Redemption Price, and any related interest pursuant to the proviso to the first sentence of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 xml:space="preserve">, on such Redemption Date), then (i) the Company may not call for Redemption or otherwise redeem any Notes pursuant to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and (ii) the Company will cause any Notes theretofore surrendered for such Redemption to be returned to the Holders thereof (or, if applicable with respect to Global Notes, cancel any instructions for book-entry transfer to the Company, the Trustee or the Paying Agent of the applicable beneficial interests in such Notes in accordance with the Depositary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Redemption Date</w:t>
      </w:r>
      <w:r>
        <w:rPr>
          <w:rFonts w:ascii="Times New Roman;Times;Serif" w:hAnsi="Times New Roman;Times;Serif"/>
          <w:b w:val="false"/>
          <w:i w:val="false"/>
          <w:caps w:val="false"/>
          <w:smallCaps w:val="false"/>
          <w:sz w:val="20"/>
        </w:rPr>
        <w:t>. The Redemption Date for any Redemption will be a Business Day of the Company’s choosing that is no more than sixty five (65), nor less than forty five (45), Scheduled Trading Days after the Redemption Notice Date for such Redemption. If the Company elects to redeem Notes, it shall furnish to the Trustee, at least 5 days but not more than 10 days before the Redemption Notice Date (unless a shorter notice period shall be satisfactory to the Trustee), an Officer’s Certificate setting forth the Section of this Indenture pursuant to which the redemption shall occur, the Redemption Date, the principal amount of Notes to be redeemed and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Redemption Price</w:t>
      </w:r>
      <w:r>
        <w:rPr>
          <w:rFonts w:ascii="Times New Roman;Times;Serif" w:hAnsi="Times New Roman;Times;Serif"/>
          <w:b w:val="false"/>
          <w:i w:val="false"/>
          <w:caps w:val="false"/>
          <w:smallCaps w:val="false"/>
          <w:sz w:val="20"/>
        </w:rPr>
        <w:t xml:space="preserve">. The Redemption Price for any Note called for Redemption is an amount in cash equal to the principal amount of such Note plus accrued and unpaid interest on such Note to, but excluding, the Redemption Date for such Redemption;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Redemption Date is after a Regular Record Date and on or before the next Interest Payment Date, then (i) the Holder of such Note at the Close of Business on such Regular Record Date will be entitled, notwithstanding such Redemption,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if such Redemption Date is before such Interest Payment Date); and (ii) the Redemption Price will not include accrued and unpaid interest on such Note to, but excluding, such Redemption Date. For the avoidance of doubt, if an Interest Payment Date is not a Business Day within the meaning of </w:t>
      </w:r>
      <w:r>
        <w:rPr>
          <w:rFonts w:ascii="Times New Roman;Times;Serif" w:hAnsi="Times New Roman;Times;Serif"/>
          <w:b/>
          <w:i w:val="false"/>
          <w:caps w:val="false"/>
          <w:smallCaps w:val="false"/>
          <w:sz w:val="20"/>
        </w:rPr>
        <w:t>Section 2.05(C)</w:t>
      </w:r>
      <w:r>
        <w:rPr>
          <w:rFonts w:ascii="Times New Roman;Times;Serif" w:hAnsi="Times New Roman;Times;Serif"/>
          <w:b w:val="false"/>
          <w:i w:val="false"/>
          <w:caps w:val="false"/>
          <w:smallCaps w:val="false"/>
          <w:sz w:val="20"/>
        </w:rPr>
        <w:t xml:space="preserve"> and such Redemption Date occurs on the Business Day immediately after such Interest Payment Date, then (x) accrued and unpaid interest on Notes to, but excluding, such Interest Payment Date will be paid, in accordance with </w:t>
      </w:r>
      <w:r>
        <w:rPr>
          <w:rFonts w:ascii="Times New Roman;Times;Serif" w:hAnsi="Times New Roman;Times;Serif"/>
          <w:b/>
          <w:i w:val="false"/>
          <w:caps w:val="false"/>
          <w:smallCaps w:val="false"/>
          <w:sz w:val="20"/>
        </w:rPr>
        <w:t>Section 2.05(C)</w:t>
      </w:r>
      <w:r>
        <w:rPr>
          <w:rFonts w:ascii="Times New Roman;Times;Serif" w:hAnsi="Times New Roman;Times;Serif"/>
          <w:b w:val="false"/>
          <w:i w:val="false"/>
          <w:caps w:val="false"/>
          <w:smallCaps w:val="false"/>
          <w:sz w:val="20"/>
        </w:rPr>
        <w:t>, on the next Business Day to Holders as of the Close of Business on the immediately preceding Regular Record Date; and (y) the Redemption Price will include interest on Notes to be redeemed from, and including, such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Redemption Notice</w:t>
      </w:r>
      <w:r>
        <w:rPr>
          <w:rFonts w:ascii="Times New Roman;Times;Serif" w:hAnsi="Times New Roman;Times;Serif"/>
          <w:b w:val="false"/>
          <w:i w:val="false"/>
          <w:caps w:val="false"/>
          <w:smallCaps w:val="false"/>
          <w:sz w:val="20"/>
        </w:rPr>
        <w:t>. To call any Notes for Redemption, the Company must send to each Holder of such Notes and the Trustee a written notice of such Redemption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Substantially contemporaneously, the Company will issue a press release through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- 35 -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newswire service as the Company then uses (or publish the same through such other widely disseminated public medium as the Company then uses, including its website) containing the information required by this Indenture to be set forth in the Redemption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Redemption Notice must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such Notes have been called for Redemption, briefly describing the Company’s Redemption right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Date for such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Redemption Price per $1,000 principal amount of Notes for such Redemption (and, if the Redemption Date is after a Regular Record Date and on or before the next Interest Payment Date, the amount, manner and timing of the interest payment payable pursuant to the proviso to the first sentence of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name and address of the Paying Agent and the Conversion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Notes called for Redemption may be converted at any time before the Close of Business on the Business Day immediately before the Redemption Date (or, if the Company fails to pay the Redemption Price due on such Redemption Date in full, at any time until such time as the Company pays such Redemption Price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Conversion Rate in effect on the Redemption Notice Date for such Redemption and a description and quantification of any adjustments to the Conversion Rate that may result from such Redemption (including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Settlement Method that will apply to all conversions of Notes with a Conversion Date that occurs on or after such Redemption Notice Date and before such Redemption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CUSIP and ISIN numbers, if any,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Redemption Notice Date, the Company will send a copy of such Redemption Notice to the Trustee, the Conversion Agent and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Selection and Conversion of Notes to Be Redeemed in Part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less than all Notes then outstanding are called for Redemption, then the Notes to be redeemed will be selected by the Company as follows: (1) in the case of Global Notes, in accordance with the Depositary Procedures; and (2) in the case of Physical Notes, pro rata, by lot or by such other method the Company considers fair and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only a portion of a Note is subject to Redemption and such Note is converted in part, then the converted portion of such Note will be deemed to be from the portion of such Note that was subject to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Payment of the Redemption Price</w:t>
      </w:r>
      <w:r>
        <w:rPr>
          <w:rFonts w:ascii="Times New Roman;Times;Serif" w:hAnsi="Times New Roman;Times;Serif"/>
          <w:b w:val="false"/>
          <w:i w:val="false"/>
          <w:caps w:val="false"/>
          <w:smallCaps w:val="false"/>
          <w:sz w:val="20"/>
        </w:rPr>
        <w:t>. Without limiting the Company’s obligation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- 36 -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the Redemption Price by the time proscribed by </w:t>
      </w:r>
      <w:r>
        <w:rPr>
          <w:rFonts w:ascii="Times New Roman;Times;Serif" w:hAnsi="Times New Roman;Times;Serif"/>
          <w:b/>
          <w:i w:val="false"/>
          <w:caps w:val="false"/>
          <w:smallCaps w:val="false"/>
          <w:sz w:val="20"/>
        </w:rPr>
        <w:t>Section 3.01(B)</w:t>
      </w:r>
      <w:r>
        <w:rPr>
          <w:rFonts w:ascii="Times New Roman;Times;Serif" w:hAnsi="Times New Roman;Times;Serif"/>
          <w:b w:val="false"/>
          <w:i w:val="false"/>
          <w:caps w:val="false"/>
          <w:smallCaps w:val="false"/>
          <w:sz w:val="20"/>
        </w:rPr>
        <w:t xml:space="preserve">, the Company will cause the Redemption Price for a Note (or portion thereof) subject to Redemption to be paid to the Holder thereof on or before the applicable Redemption Date. For the avoidance of doubt, interest payable pursuant to the proviso to the first sentence of </w:t>
      </w:r>
      <w:r>
        <w:rPr>
          <w:rFonts w:ascii="Times New Roman;Times;Serif" w:hAnsi="Times New Roman;Times;Serif"/>
          <w:b/>
          <w:i w:val="false"/>
          <w:caps w:val="false"/>
          <w:smallCaps w:val="false"/>
          <w:sz w:val="20"/>
        </w:rPr>
        <w:t>Section 4.03(E)</w:t>
      </w:r>
      <w:r>
        <w:rPr>
          <w:rFonts w:ascii="Times New Roman;Times;Serif" w:hAnsi="Times New Roman;Times;Serif"/>
          <w:b w:val="false"/>
          <w:i w:val="false"/>
          <w:caps w:val="false"/>
          <w:smallCaps w:val="false"/>
          <w:sz w:val="20"/>
        </w:rPr>
        <w:t> on any Note (or portion thereof) subject to Redemption must be paid pursuant to such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Special Provisions for Partial Calls</w:t>
      </w:r>
      <w:r>
        <w:rPr>
          <w:rFonts w:ascii="Times New Roman;Times;Serif" w:hAnsi="Times New Roman;Times;Serif"/>
          <w:b w:val="false"/>
          <w:i w:val="false"/>
          <w:caps w:val="false"/>
          <w:smallCaps w:val="false"/>
          <w:sz w:val="20"/>
        </w:rPr>
        <w:t xml:space="preserve">. If the Company elects to redeem less than all of the outstanding Notes pursuant to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and the Holder of any Note, or any owner of a beneficial interest in any Global Note, is reasonably not able to determine, before the Close of Business on the forty second (42nd) Scheduled Trading Day immediately before the Redemption Date for such Redemption, whether such Note or beneficial interest, as applicable, is to be redeemed pursuant to such Redemption, then such Holder or owner, as applicable, will be entitled to convert such Note or beneficial interest, as applicable, at any time before the Close of Business on the Business Day immediately before such Redemption Date, and each such conversion will be deemed to be of a Note called for Redemption for purposes of this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Sections 5.01(C)(i)(4)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5.07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5.</w:t>
        <w:tab/>
        <w:t>     </w:t>
      </w:r>
      <w:r>
        <w:rPr>
          <w:rFonts w:ascii="Times New Roman;Times;Serif" w:hAnsi="Times New Roman;Times;Serif"/>
          <w:b/>
          <w:i w:val="false"/>
          <w:caps/>
          <w:sz w:val="20"/>
        </w:rPr>
        <w:t>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5.01.</w:t>
      </w:r>
      <w:r>
        <w:rPr>
          <w:rFonts w:ascii="Times New Roman;Times;Serif" w:hAnsi="Times New Roman;Times;Serif"/>
          <w:b/>
          <w:i w:val="false"/>
          <w:smallCaps/>
          <w:sz w:val="20"/>
        </w:rPr>
        <w:tab/>
        <w:t>     Right to Convert.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the provisions of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each Holder may, at its option, convert such Holder’s Notes into Conversion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Conversions in Part</w:t>
      </w:r>
      <w:r>
        <w:rPr>
          <w:rFonts w:ascii="Times New Roman;Times;Serif" w:hAnsi="Times New Roman;Times;Serif"/>
          <w:b w:val="false"/>
          <w:i w:val="false"/>
          <w:caps w:val="false"/>
          <w:smallCaps w:val="false"/>
          <w:sz w:val="20"/>
        </w:rPr>
        <w:t xml:space="preserve">. Subject to the terms of this Indenture, Notes may be converted in part, but only in Authorized Denominations. Provisions of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applying to the conversion of a Note in whole will equally apply to conversions of a permitted portion of a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When Notes May Be Converted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 5.01(C)(ii)</w:t>
      </w:r>
      <w:r>
        <w:rPr>
          <w:rFonts w:ascii="Times New Roman;Times;Serif" w:hAnsi="Times New Roman;Times;Serif"/>
          <w:b w:val="false"/>
          <w:i w:val="false"/>
          <w:caps w:val="false"/>
          <w:smallCaps w:val="false"/>
          <w:sz w:val="20"/>
        </w:rPr>
        <w:t>, a Note may be converted only in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Conversion upon Satisfaction of Common Stock Sale Price Condition</w:t>
      </w:r>
      <w:r>
        <w:rPr>
          <w:rFonts w:ascii="Times New Roman;Times;Serif" w:hAnsi="Times New Roman;Times;Serif"/>
          <w:b w:val="false"/>
          <w:i w:val="false"/>
          <w:caps w:val="false"/>
          <w:smallCaps w:val="false"/>
          <w:sz w:val="20"/>
        </w:rPr>
        <w:t>. A Holder may convert its Notes during any calendar quarter commencing after the calendar quarter ending on March 31, 2024 (and only during such calendar quarter) , if the Last Reported Sale Price per share of Common Stock exceeds one hundred and thirty percent (130%) of the Conversion Price for each of at least twenty (20) Trading Days (whether or not consecutive) during the thirty (30) consecutive Trading Days ending on, and including, the last Trading Day of the immediately preceding calendar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Conversion upon Satisfaction of Note Trading Price Condition</w:t>
      </w:r>
      <w:r>
        <w:rPr>
          <w:rFonts w:ascii="Times New Roman;Times;Serif" w:hAnsi="Times New Roman;Times;Serif"/>
          <w:b w:val="false"/>
          <w:i w:val="false"/>
          <w:caps w:val="false"/>
          <w:smallCaps w:val="false"/>
          <w:sz w:val="20"/>
        </w:rPr>
        <w:t>. A Holder may convert its Notes during the five (5) consecutive Business Days immediately after any five (5) consecutive Trading Day period (such five (5) consecutive Trading Day period, the “</w:t>
      </w:r>
      <w:r>
        <w:rPr>
          <w:rFonts w:ascii="Times New Roman;Times;Serif" w:hAnsi="Times New Roman;Times;Serif"/>
          <w:b/>
          <w:i w:val="false"/>
          <w:caps w:val="false"/>
          <w:smallCaps w:val="false"/>
          <w:sz w:val="20"/>
        </w:rPr>
        <w:t>Measurement Period</w:t>
      </w:r>
      <w:r>
        <w:rPr>
          <w:rFonts w:ascii="Times New Roman;Times;Serif" w:hAnsi="Times New Roman;Times;Serif"/>
          <w:b w:val="false"/>
          <w:i w:val="false"/>
          <w:caps w:val="false"/>
          <w:smallCaps w:val="false"/>
          <w:sz w:val="20"/>
        </w:rPr>
        <w:t>”) if the Trading Price per $1,000 principal amount of Notes, as determined following a request by a Holder in accordance with the procedures set forth below, for each Trading Day 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sz w:val="20"/>
          <w:bdr w:val="single" w:sz="8" w:space="1" w:color="000000"/>
        </w:rPr>
      </w:pPr>
      <w:r>
        <w:rPr>
          <w:sz w:val="20"/>
          <w:bdr w:val="single" w:sz="8" w:space="1" w:color="000000"/>
        </w:rPr>
        <w:t>- 37 - </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Period was less than ninety eight percent (98%) of the product of the Last Reported Sale Price per share of Common Stock on such Trading Day and the Conversion Rate on such Trading Day. The condition set forth in the preceding sentence is referred to in this Indenture as the “</w:t>
      </w:r>
      <w:r>
        <w:rPr>
          <w:rFonts w:ascii="Times New Roman;Times;Serif" w:hAnsi="Times New Roman;Times;Serif"/>
          <w:b/>
          <w:i w:val="false"/>
          <w:caps w:val="false"/>
          <w:smallCaps w:val="false"/>
          <w:sz w:val="20"/>
        </w:rPr>
        <w:t>Trading Price Condition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Trading Price will be determined by the Bid Solicitation Agent pursuant to this </w:t>
      </w:r>
      <w:r>
        <w:rPr>
          <w:rFonts w:ascii="Times New Roman;Times;Serif" w:hAnsi="Times New Roman;Times;Serif"/>
          <w:b/>
          <w:i w:val="false"/>
          <w:caps w:val="false"/>
          <w:smallCaps w:val="false"/>
          <w:sz w:val="20"/>
        </w:rPr>
        <w:t>Section 5.01(C)(i)(2)</w:t>
      </w:r>
      <w:r>
        <w:rPr>
          <w:rFonts w:ascii="Times New Roman;Times;Serif" w:hAnsi="Times New Roman;Times;Serif"/>
          <w:b w:val="false"/>
          <w:i w:val="false"/>
          <w:caps w:val="false"/>
          <w:smallCaps w:val="false"/>
          <w:sz w:val="20"/>
        </w:rPr>
        <w:t> and the definition of “Trading Price.” The Bid Solicitation Agent (if not the Company) will have no obligation to determine the Trading Price of the Notes unless the Company has requested such determination in writing, and the Company will have no obligation to make such request (or seek bids itself) unless a Holder provides the Company with reasonable evidence that the Trading Price per $1,000 principal amount of Notes would be less than ninety eight percent (98%) of the product of the Last Reported Sale Price per share of Common Stock and the Conversion Rate. If a Holder provides such evidence, then the Company will (if acting as Bid Solicitation Agent), or will instruct the Bid Solicitation Agent to, determine the Trading Price of the Notes beginning on the next Trading Day and on each successive Trading Day until the Trading Price per $1,000 principal amount of Notes is greater than or equal to ninety eight percent (98%) of the product of the Last Reported Sale Price per share of Common Stock on such Trading Day and the Conversion Rate on such Trading Day. If the Trading Price Condition has been met as set forth above, then the Company will notify the Holders, the Trustee and the Conversion Agent of the same. If, on any Trading Day after the Trading Price Condition has been met as set forth above, the Trading Price per $1,000 principal amount of Notes is greater than or equal to ninety eight percent (98%) of the product of the Last Reported Sale Price per share of Common Stock on such Trading Day and the Conversion Rate on such Trading Day, then the Company will notify the Holders, the Trustee and the Conversion Agent of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Conversion upon Specified Corporate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Certain Distributions</w:t>
      </w:r>
      <w:r>
        <w:rPr>
          <w:rFonts w:ascii="Times New Roman;Times;Serif" w:hAnsi="Times New Roman;Times;Serif"/>
          <w:b w:val="false"/>
          <w:i w:val="false"/>
          <w:caps w:val="false"/>
          <w:smallCaps w:val="false"/>
          <w:sz w:val="20"/>
        </w:rPr>
        <w:t>. If the Company elects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distribute, to all or substantially all holders of Common Stock, any rights, options or warrants (other than rights issued pursuant to a stockholder rights plan, so long as such rights have not separated from the Common Stock and are not exercisable until the occurrence of a triggering event, except that such rights will be deemed to be distributed under this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upon their separation from the Common Stock or upon the occurrence of such triggering event) entitling them, for a period of not more than sixty (60) calendar days after the record date of such distribution, to subscribe for or purchase shares of Common Stock at a price per share that is less than the average of the Last Reported Sale Prices per share of Common Stock for the ten (10) consecutive Trading Days ending on, and including, the Trading Day immediately before the date such distribution is announced (determined in the manner set forth in the third paragraph of </w:t>
      </w:r>
      <w:r>
        <w:rPr>
          <w:rFonts w:ascii="Times New Roman;Times;Serif" w:hAnsi="Times New Roman;Times;Serif"/>
          <w:b/>
          <w:i w:val="false"/>
          <w:caps w:val="false"/>
          <w:smallCaps w:val="false"/>
          <w:sz w:val="20"/>
        </w:rPr>
        <w:t>Section 5.05(A)(ii)</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- 38 -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distribute, to all or substantially all holders of Common Stock, assets or securities of the Company or rights to purchase the Company’s securities, which distribution per share of Common Stock has a value, as reasonably determined by the Board of Directors, exceeding ten percent (10%) of the Last Reported Sale Price per share of Common Stock on the Trading Day immediately before the date such distribution is announced,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either case, (x) the Company will send notice of such distribution, and of the related right to convert Notes, to Holders, the Trustee and the Conversion Agent at least forty-five (45) Scheduled Trading Days before the Ex-Dividend Date for such distribution (or, if later in the case of any such separation of rights issued pursuant to a stockholder rights plan or the occurrence of any such triggering event under a stockholder rights plan, as soon as reasonably practicable after the Company becomes aware that such separation or triggering event has occurred or will occur); and (y) once the Company has sent such notice, Holders may convert their Notes at any time until the earlier of the Close of Business on the Business Day immediately before such Ex-Dividend Date and the Company’s announcement that such distribution will not take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Certain Corporate Events</w:t>
      </w:r>
      <w:r>
        <w:rPr>
          <w:rFonts w:ascii="Times New Roman;Times;Serif" w:hAnsi="Times New Roman;Times;Serif"/>
          <w:b w:val="false"/>
          <w:i w:val="false"/>
          <w:caps w:val="false"/>
          <w:smallCaps w:val="false"/>
          <w:sz w:val="20"/>
        </w:rPr>
        <w:t xml:space="preserve">. If a Fundamental Change, Make-Whole Fundamental Change (other than a Make-Whole Fundamental Change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thereof) or Common Stock Change Event occurs, then, in each case, Holders may convert their Notes at any time from, and including, the effective date of such transaction or event to, and including, the thirty fifth (35th) Trading Day after such effective date (or, if such transaction or event also constitutes a Fundamental Change, to, but excluding, the related Fundamental Change Repurchase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does not provide the notice referred to in the immediately following sentence by such effective date, then the last day on which the Notes are convertible pursuant to this sentence will be extended by the number of Business Days from, and including, such effective date to, but excluding, the date the Company provides such notice. No later than such effective date, the Company will send notice to the Holders, the Trustee and the Conversion Agent of such transaction or event, such effective date and the related right to convert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Conversion Upon Redemption</w:t>
      </w:r>
      <w:r>
        <w:rPr>
          <w:rFonts w:ascii="Times New Roman;Times;Serif" w:hAnsi="Times New Roman;Times;Serif"/>
          <w:b w:val="false"/>
          <w:i w:val="false"/>
          <w:caps w:val="false"/>
          <w:smallCaps w:val="false"/>
          <w:sz w:val="20"/>
        </w:rPr>
        <w:t>. If the Company calls any Note for Redemption, then the Holder of such Note may convert such Note at any time before the Close of Business on the Business Day immediately before the related Redemption Date (or, if the Company fails to pay the Redemption Price due on such Redemption Date in full, at any time until such time as the Company pays such Redemption Price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Conversions During Free Convertibility Period</w:t>
      </w:r>
      <w:r>
        <w:rPr>
          <w:rFonts w:ascii="Times New Roman;Times;Serif" w:hAnsi="Times New Roman;Times;Serif"/>
          <w:b w:val="false"/>
          <w:i w:val="false"/>
          <w:caps w:val="false"/>
          <w:smallCaps w:val="false"/>
          <w:sz w:val="20"/>
        </w:rPr>
        <w:t>. A Holder may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sz w:val="20"/>
          <w:bdr w:val="single" w:sz="8" w:space="1" w:color="000000"/>
        </w:rPr>
      </w:pPr>
      <w:r>
        <w:rPr>
          <w:sz w:val="20"/>
          <w:bdr w:val="single" w:sz="8" w:space="1" w:color="000000"/>
        </w:rPr>
        <w:t>- 39 - </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its Notes at any time from, and including, July 15, 2029 until the Close of Business on the second (2nd) Scheduled Trading Day immediately before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the Notes may become convertible pursuant to any one or more of the preceding sub-paragraphs of this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 xml:space="preserve"> and the Notes ceasing to be convertible pursuant to a particular sub-paragraph of this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 xml:space="preserve"> will not preclude the Notes from being convertible pursuant to any other sub-paragraph of this </w:t>
      </w:r>
      <w:r>
        <w:rPr>
          <w:rFonts w:ascii="Times New Roman;Times;Serif" w:hAnsi="Times New Roman;Times;Serif"/>
          <w:b/>
          <w:i w:val="false"/>
          <w:caps w:val="false"/>
          <w:smallCaps w:val="false"/>
          <w:sz w:val="20"/>
        </w:rPr>
        <w:t>Section 5.01(C)(i)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Limitations and Closed Periods</w:t>
      </w:r>
      <w:r>
        <w:rPr>
          <w:rFonts w:ascii="Times New Roman;Times;Serif" w:hAnsi="Times New Roman;Times;Serif"/>
          <w:b w:val="false"/>
          <w:i w:val="false"/>
          <w:caps w:val="false"/>
          <w:smallCaps w:val="false"/>
          <w:sz w:val="20"/>
        </w:rPr>
        <w:t>. Notwithstanding anything to the contrary in this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Notes may be surrendered for conversion only after the Open of Business and before the Close of Business on a day that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no event may any Note be converted after the Close of Business on the second (2nd) Scheduled Trading Day immediately before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the Company calls any Note for Redemption pursuant to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then the Holder of such Note may not convert such Note after the Close of Business on the Business Day immediately before the applicable Redemption Date, except to the extent the Company fails to pay the Redemption Price for such Note in accordance with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if a Fundamental Change Repurchase Notice is validly delivered pursuant to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 xml:space="preserve"> with respect to any Note, then such Note may not be converted, except to the extent (a) such Note is not subject to such notice; (b) such notice is withdrawn in accordance with </w:t>
      </w:r>
      <w:r>
        <w:rPr>
          <w:rFonts w:ascii="Times New Roman;Times;Serif" w:hAnsi="Times New Roman;Times;Serif"/>
          <w:b/>
          <w:i w:val="false"/>
          <w:caps w:val="false"/>
          <w:smallCaps w:val="false"/>
          <w:sz w:val="20"/>
        </w:rPr>
        <w:t>Section 4.02(F)</w:t>
      </w:r>
      <w:r>
        <w:rPr>
          <w:rFonts w:ascii="Times New Roman;Times;Serif" w:hAnsi="Times New Roman;Times;Serif"/>
          <w:b w:val="false"/>
          <w:i w:val="false"/>
          <w:caps w:val="false"/>
          <w:smallCaps w:val="false"/>
          <w:sz w:val="20"/>
        </w:rPr>
        <w:t>; or (c) the Company fails to pay the Fundamental Change Repurchase Price for such Note in accordance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5.02.</w:t>
      </w:r>
      <w:r>
        <w:rPr>
          <w:rFonts w:ascii="Times New Roman;Times;Serif" w:hAnsi="Times New Roman;Times;Serif"/>
          <w:b/>
          <w:i w:val="false"/>
          <w:smallCaps/>
          <w:sz w:val="20"/>
        </w:rPr>
        <w:tab/>
        <w:t>     Conversion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xml:space="preserve">. To convert a beneficial interest in a Global Note that is convertible pursuant to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xml:space="preserve">, the owner of such beneficial interest must (1) comply with the Depositary Procedures for converting such beneficial interest (at which time such conversion will become irrevocable); and (2) pay any amounts due pursuant to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Physical Notes</w:t>
      </w:r>
      <w:r>
        <w:rPr>
          <w:rFonts w:ascii="Times New Roman;Times;Serif" w:hAnsi="Times New Roman;Times;Serif"/>
          <w:b w:val="false"/>
          <w:i w:val="false"/>
          <w:caps w:val="false"/>
          <w:smallCaps w:val="false"/>
          <w:sz w:val="20"/>
        </w:rPr>
        <w:t xml:space="preserve">. To convert all or a portion of a Physical Note that is convertible pursuant to </w:t>
      </w:r>
      <w:r>
        <w:rPr>
          <w:rFonts w:ascii="Times New Roman;Times;Serif" w:hAnsi="Times New Roman;Times;Serif"/>
          <w:b/>
          <w:i w:val="false"/>
          <w:caps w:val="false"/>
          <w:smallCaps w:val="false"/>
          <w:sz w:val="20"/>
        </w:rPr>
        <w:t>Section 5.01(C)</w:t>
      </w:r>
      <w:r>
        <w:rPr>
          <w:rFonts w:ascii="Times New Roman;Times;Serif" w:hAnsi="Times New Roman;Times;Serif"/>
          <w:b w:val="false"/>
          <w:i w:val="false"/>
          <w:caps w:val="false"/>
          <w:smallCaps w:val="false"/>
          <w:sz w:val="20"/>
        </w:rPr>
        <w:t>, the Holder of such Note must (1) complete, manually sign and deliver to the Conversion Agent the conversion notice attached to such Physical Note or a facsimile of such conversion notice; (2) deliver such Physical Note to the Conversion Agent (at which time such conversion will become irrevocable); (3) furnish any endorsements and transfer documents that the Company or the Conversion Agent may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- 40 -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require; and (4) pay any amounts due pursuant to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Effect of Converting a Note</w:t>
      </w:r>
      <w:r>
        <w:rPr>
          <w:rFonts w:ascii="Times New Roman;Times;Serif" w:hAnsi="Times New Roman;Times;Serif"/>
          <w:b w:val="false"/>
          <w:i w:val="false"/>
          <w:caps w:val="false"/>
          <w:smallCaps w:val="false"/>
          <w:sz w:val="20"/>
        </w:rPr>
        <w:t xml:space="preserve">. At the Close of Business on the Conversion Date for a Note (or any portion thereof), such Note (or such portion thereof) will (unless there occurs a Default in the delivery of the Conversion Consideration or interest due, pursuant to </w:t>
      </w:r>
      <w:r>
        <w:rPr>
          <w:rFonts w:ascii="Times New Roman;Times;Serif" w:hAnsi="Times New Roman;Times;Serif"/>
          <w:b/>
          <w:i w:val="false"/>
          <w:caps w:val="false"/>
          <w:smallCaps w:val="false"/>
          <w:sz w:val="20"/>
        </w:rPr>
        <w:t>Section 5.03(B)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5.02(D)</w:t>
      </w:r>
      <w:r>
        <w:rPr>
          <w:rFonts w:ascii="Times New Roman;Times;Serif" w:hAnsi="Times New Roman;Times;Serif"/>
          <w:b w:val="false"/>
          <w:i w:val="false"/>
          <w:caps w:val="false"/>
          <w:smallCaps w:val="false"/>
          <w:sz w:val="20"/>
        </w:rPr>
        <w:t xml:space="preserve">, upon such conversion) be deemed to cease to be outstanding (and, for the avoidance of doubt, no Person will be deemed to be a Holder of such Note (or such portion thereof) as of the Close of Business on such Conversion Date), except to the extent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Holder of Record of Conversion Shares</w:t>
      </w:r>
      <w:r>
        <w:rPr>
          <w:rFonts w:ascii="Times New Roman;Times;Serif" w:hAnsi="Times New Roman;Times;Serif"/>
          <w:b w:val="false"/>
          <w:i w:val="false"/>
          <w:caps w:val="false"/>
          <w:smallCaps w:val="false"/>
          <w:sz w:val="20"/>
        </w:rPr>
        <w:t>. The Person in whose name any share of Common Stock is issuable upon conversion of any Note will be deemed to become the holder of record of such share as of the Close of Business on the last VWAP Trading Day of the Observation Period for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Interest Payable upon Conversion in Certain Circumstances</w:t>
      </w:r>
      <w:r>
        <w:rPr>
          <w:rFonts w:ascii="Times New Roman;Times;Serif" w:hAnsi="Times New Roman;Times;Serif"/>
          <w:b w:val="false"/>
          <w:i w:val="false"/>
          <w:caps w:val="false"/>
          <w:smallCaps w:val="false"/>
          <w:sz w:val="20"/>
        </w:rPr>
        <w:t xml:space="preserve">. If the Conversion Date of a Note is after a Regular Record Date and before the next Interest Payment Date, then (i) the Holder of such Note at the Close of Business on such Regular Record Date will be entitled, notwithstanding such conversion (and, for the avoidance of doubt, notwithstanding anything set forth in the proviso to this sentence), to receive, on or, at the Company’s election, before such Interest Payment Date, the unpaid interest that would have accrued on such Note to, but excluding, such Interest Payment Date (assuming, solely for these purposes, that such Note remained outstanding through such Interest Payment Date); and (ii) the Holder surrendering such Note for conversion must deliver to the Conversion Agent, at the time of such surrender, an amount of cash equal to the amount of such interest referred to in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Holder surrendering such Note for conversion need not deliver such cash (v) if the Company has specified a Redemption Date that is after such Regular Record Date and on or before the Business Day immediately after such Interest Payment Date; (w) if such Conversion Date occurs after the Regular Record Date immediately before the Maturity Date; (x) if the Company has specified a Fundamental Change Repurchase Date that is after such Regular Record Date and on or before the Business Day immediately after such Interest Payment Date; or (y) to the extent of any Additional Interest, Special Interest, overdue interest or interest that has accrued on any overdue interest. For the avoidance of doubt, as a result of, and without limiting the generality of, the foregoing, if a Note is converted with a Conversion Date that is after the Regular Record Date immediately before the Maturity Date, then the Company will pay, as provided above, the interest that would have accrued on such Note to, but excluding, the Maturity Date. For the avoidance of doubt, if the Conversion Date of a Note to be converted is on an Interest Payment Date, then the Holder of such Note at the Close of Business on the Regular Record Date immediately before such Interest Payment Date will be entitled to receive, on such Interest Payment Date, the unpaid interest that has accrued on such Note to, but excluding, such Interest Payment Date, and such Note, when surrendered for conversion, need not be accompanied by any cash amount pursuant to the first sentence of this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Taxes and Duties</w:t>
      </w:r>
      <w:r>
        <w:rPr>
          <w:rFonts w:ascii="Times New Roman;Times;Serif" w:hAnsi="Times New Roman;Times;Serif"/>
          <w:b w:val="false"/>
          <w:i w:val="false"/>
          <w:caps w:val="false"/>
          <w:smallCaps w:val="false"/>
          <w:sz w:val="20"/>
        </w:rPr>
        <w:t xml:space="preserve">. If a Holder converts a Note, the Company will pay any documentary, stamp or similar issue or transfer tax or duty due on the issue of any shares of Common Stock upon such conversion;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tax or duty is due because such Holder requested such shares to be registered in a name other than such Holder’s name, then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- 41 -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Holder will pay such tax or duty and, until having received a sum sufficient to pay such tax or duty, the Conversion Agent may refuse to deliver any such shares to be issued in a name other than that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Conversion Agent to Notify Company of Conversions</w:t>
      </w:r>
      <w:r>
        <w:rPr>
          <w:rFonts w:ascii="Times New Roman;Times;Serif" w:hAnsi="Times New Roman;Times;Serif"/>
          <w:b w:val="false"/>
          <w:i w:val="false"/>
          <w:caps w:val="false"/>
          <w:smallCaps w:val="false"/>
          <w:sz w:val="20"/>
        </w:rPr>
        <w:t>. If any Note is submitted for conversion to the Conversion Agent or the Conversion Agent receives any notice of conversion with respect to a Note, then the Conversion Agent will promptly notify the Company and the Trustee of such occurrence, together with any other information reasonably requested by the Company, and will cooperate with the Company to determine the Conversion Date for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5.03.</w:t>
      </w:r>
      <w:r>
        <w:rPr>
          <w:rFonts w:ascii="Times New Roman;Times;Serif" w:hAnsi="Times New Roman;Times;Serif"/>
          <w:b/>
          <w:i w:val="false"/>
          <w:smallCaps/>
          <w:sz w:val="20"/>
        </w:rPr>
        <w:tab/>
        <w:t>     Settlement upon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Settlement Method</w:t>
      </w:r>
      <w:r>
        <w:rPr>
          <w:rFonts w:ascii="Times New Roman;Times;Serif" w:hAnsi="Times New Roman;Times;Serif"/>
          <w:b w:val="false"/>
          <w:i w:val="false"/>
          <w:caps w:val="false"/>
          <w:smallCaps w:val="false"/>
          <w:sz w:val="20"/>
        </w:rPr>
        <w:t xml:space="preserve">. Upon the conversion of any Note, the Company will settle such conversion by paying or delivering, as applicable and as provided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either (x) solely cash as provided in </w:t>
      </w:r>
      <w:r>
        <w:rPr>
          <w:rFonts w:ascii="Times New Roman;Times;Serif" w:hAnsi="Times New Roman;Times;Serif"/>
          <w:b/>
          <w:i w:val="false"/>
          <w:caps w:val="false"/>
          <w:smallCaps w:val="false"/>
          <w:sz w:val="20"/>
        </w:rPr>
        <w:t>Section 5.03(B)(i)(1)</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Cash Settlement</w:t>
      </w:r>
      <w:r>
        <w:rPr>
          <w:rFonts w:ascii="Times New Roman;Times;Serif" w:hAnsi="Times New Roman;Times;Serif"/>
          <w:b w:val="false"/>
          <w:i w:val="false"/>
          <w:caps w:val="false"/>
          <w:smallCaps w:val="false"/>
          <w:sz w:val="20"/>
        </w:rPr>
        <w:t xml:space="preserve">”); or (y) a combination of cash and shares of Common Stock, together, if applicable, with cash in lieu of fractional shares as provided in </w:t>
      </w:r>
      <w:r>
        <w:rPr>
          <w:rFonts w:ascii="Times New Roman;Times;Serif" w:hAnsi="Times New Roman;Times;Serif"/>
          <w:b/>
          <w:i w:val="false"/>
          <w:caps w:val="false"/>
          <w:smallCaps w:val="false"/>
          <w:sz w:val="20"/>
        </w:rPr>
        <w:t>Section 5.03(B)(i)(2)</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Combination Settlement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The Company’s Right to Elect Settlement Method</w:t>
      </w:r>
      <w:r>
        <w:rPr>
          <w:rFonts w:ascii="Times New Roman;Times;Serif" w:hAnsi="Times New Roman;Times;Serif"/>
          <w:b w:val="false"/>
          <w:i w:val="false"/>
          <w:caps w:val="false"/>
          <w:smallCaps w:val="false"/>
          <w:sz w:val="20"/>
        </w:rPr>
        <w:t xml:space="preserve">. The Company will have the right to elect the Settlement Method applicable to any conversion of a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subject to </w:t>
      </w:r>
      <w:r>
        <w:rPr>
          <w:rFonts w:ascii="Times New Roman;Times;Serif" w:hAnsi="Times New Roman;Times;Serif"/>
          <w:b/>
          <w:i w:val="false"/>
          <w:caps w:val="false"/>
          <w:smallCaps w:val="false"/>
          <w:sz w:val="20"/>
        </w:rPr>
        <w:t>clause (3)</w:t>
      </w:r>
      <w:r>
        <w:rPr>
          <w:rFonts w:ascii="Times New Roman;Times;Serif" w:hAnsi="Times New Roman;Times;Serif"/>
          <w:b w:val="false"/>
          <w:i w:val="false"/>
          <w:caps w:val="false"/>
          <w:smallCaps w:val="false"/>
          <w:sz w:val="20"/>
        </w:rPr>
        <w:t> below, all conversions of Notes with a Conversion Date that occurs on or after the eighty-fifth (85th) Scheduled Trading Day immediately before the Maturity Date will be settled using the same Settlement Method, and the Company will send notice of such Settlement Method to Holders and the Conversion Agent no later than the Open of Business on the eighty-fifth (85th) Scheduled Trading Day immediately before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subject to </w:t>
      </w:r>
      <w:r>
        <w:rPr>
          <w:rFonts w:ascii="Times New Roman;Times;Serif" w:hAnsi="Times New Roman;Times;Serif"/>
          <w:b/>
          <w:i w:val="false"/>
          <w:caps w:val="false"/>
          <w:smallCaps w:val="false"/>
          <w:sz w:val="20"/>
        </w:rPr>
        <w:t>clause (3)</w:t>
      </w:r>
      <w:r>
        <w:rPr>
          <w:rFonts w:ascii="Times New Roman;Times;Serif" w:hAnsi="Times New Roman;Times;Serif"/>
          <w:b w:val="false"/>
          <w:i w:val="false"/>
          <w:caps w:val="false"/>
          <w:smallCaps w:val="false"/>
          <w:sz w:val="20"/>
        </w:rPr>
        <w:t> below, if the Company elects a Settlement Method with respect to the conversion of any Note whose Conversion Date occurs before the eighty-fifth (85th) Scheduled Trading Day immediately before the Maturity Date, then the Company will send notice of such Settlement Method to the Holder of such Note and the Conversion Agent no later than the Close of Business on the Business Day immediately after such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any Notes are called for Redemption, then (a) the Company will specify, in the related Redemption Notice (and, in the case of a Redemption of less than all outstanding Notes, in a notice simultaneously sent to all Holders of Notes not called for Redemption) sent pursuant to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 xml:space="preserve">, the Settlement Method that will apply to all conversions of Notes with a Conversion Date that occurs on or after the related Redemption Notice Date and before the related Redemption Date; and (b) if such Redemption Date occurs on or after the eighty-fifth (85th) Scheduled Trading Day immediately before the Maturity Date, then such Settlement Method must be the same Settlement Method that, pursuant to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above, applies to all conversions of Notes with a Conversion Date that occurs on or after the eighty-fifth (85th) Scheduled Trading Day immediately before the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sz w:val="20"/>
          <w:bdr w:val="single" w:sz="8" w:space="1" w:color="000000"/>
        </w:rPr>
      </w:pPr>
      <w:r>
        <w:rPr>
          <w:sz w:val="20"/>
          <w:bdr w:val="single" w:sz="8" w:space="1" w:color="000000"/>
        </w:rPr>
        <w:t>- 42 - </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Company will use the same Settlement Method for all conversions of Notes with a Conversion Date that occurs on the same day (and, for the avoidance of doubt, the Company will not be obligated to use the same Settlement Method with respect to conversions of Notes whose Conversion Dates occur on different days, except as provided in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if the Company does not timely elect a Settlement Method with respect to the conversion of a Note, then the Company will be deemed to have elected the Default Settlement Method (and, for the avoidance of doubt, the failure to timely make such election will not constitute a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if the Company timely elects Combination Settlement with respect to the conversion of a Note but does not timely notify the Holder of such Note of the applicable Specified Dollar Amount, then the Specified Dollar Amount for such conversion will be deemed to be $1,000 per $1,000 principal amount of Notes (and, for the avoidance of doubt, the failure to timely send such notification will not constitute a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The Company’s Right to Irrevocably Fix or Eliminate Settlement Methods</w:t>
      </w:r>
      <w:r>
        <w:rPr>
          <w:rFonts w:ascii="Times New Roman;Times;Serif" w:hAnsi="Times New Roman;Times;Serif"/>
          <w:b w:val="false"/>
          <w:i w:val="false"/>
          <w:caps w:val="false"/>
          <w:smallCaps w:val="false"/>
          <w:sz w:val="20"/>
        </w:rPr>
        <w:t xml:space="preserve">. The Company will have the right, exercisable at its election by sending notice of such exercise to the Holders (with a copy to the Trustee and the Conversion Agent), to (1) irrevocably fix the Settlement Method that will apply to all conversions of Notes with a Conversion Date that occurs on or after the date such notice is sent to Holders; or (2) irrevocably eliminate any one or more (but not all) Settlement Methods (including eliminating Combination Settlement with a particular Specified Dollar Amount or range of Specified Dollar Amounts) with respect to all conversions of Notes with a Conversion Date that occurs on or after the date such notice is sent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in each case, that (v) in no event will the Company elect (whether directly or by eliminating all other Settlement Methods) Combination Settlement with a Specified Dollar Amount that is less than $1,000 per $1,000 principal amount of Notes; (w) the Settlement Method so elected pursuant to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above, or the Settlement Method(s) remaining after any elimination pursuant to </w:t>
      </w:r>
      <w:r>
        <w:rPr>
          <w:rFonts w:ascii="Times New Roman;Times;Serif" w:hAnsi="Times New Roman;Times;Serif"/>
          <w:b/>
          <w:i w:val="false"/>
          <w:caps w:val="false"/>
          <w:smallCaps w:val="false"/>
          <w:sz w:val="20"/>
        </w:rPr>
        <w:t>clause (2)</w:t>
      </w:r>
      <w:r>
        <w:rPr>
          <w:rFonts w:ascii="Times New Roman;Times;Serif" w:hAnsi="Times New Roman;Times;Serif"/>
          <w:b w:val="false"/>
          <w:i w:val="false"/>
          <w:caps w:val="false"/>
          <w:smallCaps w:val="false"/>
          <w:sz w:val="20"/>
        </w:rPr>
        <w:t xml:space="preserve"> above, as applicable, must be a Settlement Method or Settlement Method(s), as applicable, that the Company is then permitted to elect (for the avoidance of doubt, including pursuant to, and subject to, the other provisions of this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 xml:space="preserve">); (x) no such irrevocable election will affect any Settlement Method theretofore elected (or deemed to be elected) with respect to any Note pursuant to this Indenture (including pursuant to </w:t>
      </w:r>
      <w:r>
        <w:rPr>
          <w:rFonts w:ascii="Times New Roman;Times;Serif" w:hAnsi="Times New Roman;Times;Serif"/>
          <w:b/>
          <w:i w:val="false"/>
          <w:caps w:val="false"/>
          <w:smallCaps w:val="false"/>
          <w:sz w:val="20"/>
        </w:rPr>
        <w:t>Section 8.01(G)</w:t>
      </w:r>
      <w:r>
        <w:rPr>
          <w:rFonts w:ascii="Times New Roman;Times;Serif" w:hAnsi="Times New Roman;Times;Serif"/>
          <w:b w:val="false"/>
          <w:i w:val="false"/>
          <w:caps w:val="false"/>
          <w:smallCaps w:val="false"/>
          <w:sz w:val="20"/>
        </w:rPr>
        <w:t xml:space="preserve"> or this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 xml:space="preserve">); (y) upon any such irrevocable election pursuant to </w:t>
      </w:r>
      <w:r>
        <w:rPr>
          <w:rFonts w:ascii="Times New Roman;Times;Serif" w:hAnsi="Times New Roman;Times;Serif"/>
          <w:b/>
          <w:i w:val="false"/>
          <w:caps w:val="false"/>
          <w:smallCaps w:val="false"/>
          <w:sz w:val="20"/>
        </w:rPr>
        <w:t>clause (1)</w:t>
      </w:r>
      <w:r>
        <w:rPr>
          <w:rFonts w:ascii="Times New Roman;Times;Serif" w:hAnsi="Times New Roman;Times;Serif"/>
          <w:b w:val="false"/>
          <w:i w:val="false"/>
          <w:caps w:val="false"/>
          <w:smallCaps w:val="false"/>
          <w:sz w:val="20"/>
        </w:rPr>
        <w:t xml:space="preserve"> above, the Default Settlement Method will automatically be deemed to be set to the Settlement Method so fixed; and (z) upon any such irrevocable election pursuant to </w:t>
      </w:r>
      <w:r>
        <w:rPr>
          <w:rFonts w:ascii="Times New Roman;Times;Serif" w:hAnsi="Times New Roman;Times;Serif"/>
          <w:b/>
          <w:i w:val="false"/>
          <w:caps w:val="false"/>
          <w:smallCaps w:val="false"/>
          <w:sz w:val="20"/>
        </w:rPr>
        <w:t>clause (2)</w:t>
      </w:r>
      <w:r>
        <w:rPr>
          <w:rFonts w:ascii="Times New Roman;Times;Serif" w:hAnsi="Times New Roman;Times;Serif"/>
          <w:b w:val="false"/>
          <w:i w:val="false"/>
          <w:caps w:val="false"/>
          <w:smallCaps w:val="false"/>
          <w:sz w:val="20"/>
        </w:rPr>
        <w:t> above, the Company will, if needed, simultaneously change the Default Settlement Method to a Settlement Method that is consistent with such irrevocable election. Such notice, if sent, must set forth the applicable Settlement Method(s) so elected or eliminated, as applicable, and the Default Settlement Method applicable immediately after such election, and expressly state that the election is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- 43 -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irrevocable and applicable to all conversions of Notes with a Conversion Date that occurs on or after the date such notice is sent to Holders. For the avoidance of doubt, such an irrevocable election, if made, will be effective without the need to amend this Indenture or the Notes, including pursuant to </w:t>
      </w:r>
      <w:r>
        <w:rPr>
          <w:rFonts w:ascii="Times New Roman;Times;Serif" w:hAnsi="Times New Roman;Times;Serif"/>
          <w:b/>
          <w:i w:val="false"/>
          <w:caps w:val="false"/>
          <w:smallCaps w:val="false"/>
          <w:sz w:val="20"/>
        </w:rPr>
        <w:t>Section 8.01(G)</w:t>
      </w:r>
      <w:r>
        <w:rPr>
          <w:rFonts w:ascii="Times New Roman;Times;Serif" w:hAnsi="Times New Roman;Times;Serif"/>
          <w:b w:val="false"/>
          <w:i w:val="false"/>
          <w:caps w:val="false"/>
          <w:smallCaps w:val="false"/>
          <w:sz w:val="20"/>
        </w:rPr>
        <w:t> (it being understood, however, that the Company may nonetheless choose to execute such an amendment at its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Requirement to Publicly Disclose the Fixed or Default Settlement Method.</w:t>
      </w:r>
      <w:r>
        <w:rPr>
          <w:rFonts w:ascii="Times New Roman;Times;Serif" w:hAnsi="Times New Roman;Times;Serif"/>
          <w:b w:val="false"/>
          <w:i w:val="false"/>
          <w:caps w:val="false"/>
          <w:smallCaps w:val="false"/>
          <w:sz w:val="20"/>
        </w:rPr>
        <w:t xml:space="preserve"> If the Company changes the Default Settlement Method pursuant to </w:t>
      </w:r>
      <w:r>
        <w:rPr>
          <w:rFonts w:ascii="Times New Roman;Times;Serif" w:hAnsi="Times New Roman;Times;Serif"/>
          <w:b/>
          <w:i w:val="false"/>
          <w:caps w:val="false"/>
          <w:smallCaps w:val="false"/>
          <w:sz w:val="20"/>
        </w:rPr>
        <w:t>clause (x)</w:t>
      </w:r>
      <w:r>
        <w:rPr>
          <w:rFonts w:ascii="Times New Roman;Times;Serif" w:hAnsi="Times New Roman;Times;Serif"/>
          <w:b w:val="false"/>
          <w:i w:val="false"/>
          <w:caps w:val="false"/>
          <w:smallCaps w:val="false"/>
          <w:sz w:val="20"/>
        </w:rPr>
        <w:t xml:space="preserve"> of the proviso to the definition of such term or irrevocably fixes the Settlement Method(s) pursuant to </w:t>
      </w:r>
      <w:r>
        <w:rPr>
          <w:rFonts w:ascii="Times New Roman;Times;Serif" w:hAnsi="Times New Roman;Times;Serif"/>
          <w:b/>
          <w:i w:val="false"/>
          <w:caps w:val="false"/>
          <w:smallCaps w:val="false"/>
          <w:sz w:val="20"/>
        </w:rPr>
        <w:t>Section 5.03(A)(ii)</w:t>
      </w:r>
      <w:r>
        <w:rPr>
          <w:rFonts w:ascii="Times New Roman;Times;Serif" w:hAnsi="Times New Roman;Times;Serif"/>
          <w:b w:val="false"/>
          <w:i w:val="false"/>
          <w:caps w:val="false"/>
          <w:smallCaps w:val="false"/>
          <w:sz w:val="20"/>
        </w:rPr>
        <w:t>, then the Company will either post the Default Settlement Method or fixed Settlement Method(s), as applicable, on its website or disclose the same in a Current Report on Form 8-K (or any successor form) that is filed with, or furnished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Conversion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Sections 5.03(B)(ii)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5.03(B)(iii)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5.09(A)(2)</w:t>
      </w:r>
      <w:r>
        <w:rPr>
          <w:rFonts w:ascii="Times New Roman;Times;Serif" w:hAnsi="Times New Roman;Times;Serif"/>
          <w:b w:val="false"/>
          <w:i w:val="false"/>
          <w:caps w:val="false"/>
          <w:smallCaps w:val="false"/>
          <w:sz w:val="20"/>
        </w:rPr>
        <w:t>, the type and amount of consideration (the “</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due in respect of each $1,000 principal amount of a Note to be converted will be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Cash Settlement applies to such conversion, cash in an amount equal to the sum of the Daily Conversion Values for each VWAP Trading Day in the Observation Period for such conversion;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Combination Settlement applies to such conversion, consideration consisting of (a) a number of shares of Common Stock equal to the sum of the Daily Share Amounts for each VWAP Trading Day in the Observation Period for such conversion; and (b) an amount of cash equal to the sum of the Daily Cash Amounts for each VWAP Trading Day in such Observation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Cash in Lieu of Fractional Shares</w:t>
      </w:r>
      <w:r>
        <w:rPr>
          <w:rFonts w:ascii="Times New Roman;Times;Serif" w:hAnsi="Times New Roman;Times;Serif"/>
          <w:b w:val="false"/>
          <w:i w:val="false"/>
          <w:caps w:val="false"/>
          <w:smallCaps w:val="false"/>
          <w:sz w:val="20"/>
        </w:rPr>
        <w:t xml:space="preserve">. If Combination Settlement applies to the conversion of any Note and the number of shares of Common Stock deliverable pursuant to </w:t>
      </w:r>
      <w:r>
        <w:rPr>
          <w:rFonts w:ascii="Times New Roman;Times;Serif" w:hAnsi="Times New Roman;Times;Serif"/>
          <w:b/>
          <w:i w:val="false"/>
          <w:caps w:val="false"/>
          <w:smallCaps w:val="false"/>
          <w:sz w:val="20"/>
        </w:rPr>
        <w:t>Section 5.03(B)(i)</w:t>
      </w:r>
      <w:r>
        <w:rPr>
          <w:rFonts w:ascii="Times New Roman;Times;Serif" w:hAnsi="Times New Roman;Times;Serif"/>
          <w:b w:val="false"/>
          <w:i w:val="false"/>
          <w:caps w:val="false"/>
          <w:smallCaps w:val="false"/>
          <w:sz w:val="20"/>
        </w:rPr>
        <w:t> upon such conversion is not a whole number, then such number will be rounded down to the nearest whole number and the Company will deliver, in addition to the other consideration due upon such conversion, cash in lieu of the related fractional share in an amount equal to the product of (1) such fraction and (2) the Daily VWAP on the last VWAP Trading Day of the Observation Period for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Conversion of Multiple Notes by a Single Holder</w:t>
      </w:r>
      <w:r>
        <w:rPr>
          <w:rFonts w:ascii="Times New Roman;Times;Serif" w:hAnsi="Times New Roman;Times;Serif"/>
          <w:b w:val="false"/>
          <w:i w:val="false"/>
          <w:caps w:val="false"/>
          <w:smallCaps w:val="false"/>
          <w:sz w:val="20"/>
        </w:rPr>
        <w:t>. If a Holder converts more than one (1) Note on a single Conversion Date, then the Conversion Consideration due in respect of such conversion will (in the case of any Global Note, to the extent permitted by, and practicable under, the Depositary Procedures) be computed based on the total principal amount of Notes converted on such Conversion Date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Notice of Calculation of Conversion Consideration</w:t>
      </w:r>
      <w:r>
        <w:rPr>
          <w:rFonts w:ascii="Times New Roman;Times;Serif" w:hAnsi="Times New Roman;Times;Serif"/>
          <w:b w:val="false"/>
          <w:i w:val="false"/>
          <w:caps w:val="false"/>
          <w:smallCaps w:val="false"/>
          <w:sz w:val="20"/>
        </w:rPr>
        <w:t>. If any Note is to be converted, then the Company will determine the Conversion Consideration due thereupon promptly following the last VWAP Trading Day of the applicable Observation Period and will promptly thereafter send notice to the Trustee and the Conversion Agent of the same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- 44 -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calculation thereof in reasonable detail. Neither the Trustee nor the Conversion Agent will have any duty to make any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Delivery of the Conversion Consideration</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i w:val="false"/>
          <w:caps w:val="false"/>
          <w:smallCaps w:val="false"/>
          <w:sz w:val="20"/>
        </w:rPr>
        <w:t>Section</w:t>
      </w:r>
      <w:r>
        <w:rPr>
          <w:rFonts w:ascii="Times New Roman;Times;Serif" w:hAnsi="Times New Roman;Times;Serif"/>
          <w:b w:val="false"/>
          <w:i w:val="false"/>
          <w:caps w:val="false"/>
          <w:smallCaps w:val="false"/>
          <w:sz w:val="20"/>
        </w:rPr>
        <w:t xml:space="preserve">s </w:t>
      </w:r>
      <w:r>
        <w:rPr>
          <w:rFonts w:ascii="Times New Roman;Times;Serif" w:hAnsi="Times New Roman;Times;Serif"/>
          <w:b/>
          <w:i w:val="false"/>
          <w:caps w:val="false"/>
          <w:smallCaps w:val="false"/>
          <w:sz w:val="20"/>
        </w:rPr>
        <w:t>5.05(D)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5.09</w:t>
      </w:r>
      <w:r>
        <w:rPr>
          <w:rFonts w:ascii="Times New Roman;Times;Serif" w:hAnsi="Times New Roman;Times;Serif"/>
          <w:b w:val="false"/>
          <w:i w:val="false"/>
          <w:caps w:val="false"/>
          <w:smallCaps w:val="false"/>
          <w:sz w:val="20"/>
        </w:rPr>
        <w:t>, the Company will pay or deliver, as applicable, the Conversion Consideration due upon the conversion of any Note to the Holder on the second (2nd) Business Day immediately after the last VWAP Trading Day of the Observation Period for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Deemed Payment of Principal and Interest; Settlement of Accrued Interest Notwithstanding Conversion</w:t>
      </w:r>
      <w:r>
        <w:rPr>
          <w:rFonts w:ascii="Times New Roman;Times;Serif" w:hAnsi="Times New Roman;Times;Serif"/>
          <w:b w:val="false"/>
          <w:i w:val="false"/>
          <w:caps w:val="false"/>
          <w:smallCaps w:val="false"/>
          <w:sz w:val="20"/>
        </w:rPr>
        <w:t xml:space="preserve">. If a Holder converts a Note, then the Company will not adjust the Conversion Rate to account for any accrued and unpaid interest on such Note, and, except as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the Company’s payment or delivery of the Conversion Consideration due in respect of such conversion will be deemed to fully satisfy and discharge the Company’s obligation to pay the principal of, and accrued and unpaid interest, if any, on, such Note to, but excluding the Conversion Date. As a result, except as provided in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xml:space="preserve">, any accrued and unpaid interest on a converted Note will be deemed to be paid in full rather than cancelled, extinguished or forfeited. In addition, subject to </w:t>
      </w:r>
      <w:r>
        <w:rPr>
          <w:rFonts w:ascii="Times New Roman;Times;Serif" w:hAnsi="Times New Roman;Times;Serif"/>
          <w:b/>
          <w:i w:val="false"/>
          <w:caps w:val="false"/>
          <w:smallCaps w:val="false"/>
          <w:sz w:val="20"/>
        </w:rPr>
        <w:t>Section 5.02(D)</w:t>
      </w:r>
      <w:r>
        <w:rPr>
          <w:rFonts w:ascii="Times New Roman;Times;Serif" w:hAnsi="Times New Roman;Times;Serif"/>
          <w:b w:val="false"/>
          <w:i w:val="false"/>
          <w:caps w:val="false"/>
          <w:smallCaps w:val="false"/>
          <w:sz w:val="20"/>
        </w:rPr>
        <w:t>, if the Conversion Consideration for a Note consists of both cash and shares of the Common Stock, then accrued and unpaid interest that is deemed to be paid therewith will be deemed to be paid first out of such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5.04.</w:t>
      </w:r>
      <w:r>
        <w:rPr>
          <w:rFonts w:ascii="Times New Roman;Times;Serif" w:hAnsi="Times New Roman;Times;Serif"/>
          <w:b/>
          <w:i w:val="false"/>
          <w:smallCaps/>
          <w:sz w:val="20"/>
        </w:rPr>
        <w:tab/>
        <w:t>     Reserve and Status of Common Stock Issued upon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Stock Reserve</w:t>
      </w:r>
      <w:r>
        <w:rPr>
          <w:rFonts w:ascii="Times New Roman;Times;Serif" w:hAnsi="Times New Roman;Times;Serif"/>
          <w:b w:val="false"/>
          <w:i w:val="false"/>
          <w:caps w:val="false"/>
          <w:smallCaps w:val="false"/>
          <w:sz w:val="20"/>
        </w:rPr>
        <w:t xml:space="preserve">. At all times when any Notes are outstanding, the Company will reserve (out of its authorized and not outstanding shares of Common Stock that are not reserved for other purposes) a number of shares of Common Stock equal to the product of (i) the aggregate principal amount (expressed in thousands) of all then-outstanding Notes; and (ii) the Conversion Rate then in effect (assuming, for these purposes, that the Conversion Rate is increased by the maximum amount pursuant to which the Conversion Rate may be increased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xml:space="preserve">). To the extent the Company delivers shares of Common Stock held in its treasury in settlement of the conversion of any Notes, each reference in this Indenture or the Notes to the issuance of shares of Common Stock in connection therewith will be deemed to include such delivery,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Status of Conversion Shares; Listing</w:t>
      </w:r>
      <w:r>
        <w:rPr>
          <w:rFonts w:ascii="Times New Roman;Times;Serif" w:hAnsi="Times New Roman;Times;Serif"/>
          <w:b w:val="false"/>
          <w:i w:val="false"/>
          <w:caps w:val="false"/>
          <w:smallCaps w:val="false"/>
          <w:sz w:val="20"/>
        </w:rPr>
        <w:t xml:space="preserve">. Each Conversion Share, if any, delivered upon conversion of any Note will be a newly issued or treasury share (except that any Conversion Share delivered by a designated financial institution pursuant to </w:t>
      </w:r>
      <w:r>
        <w:rPr>
          <w:rFonts w:ascii="Times New Roman;Times;Serif" w:hAnsi="Times New Roman;Times;Serif"/>
          <w:b/>
          <w:i w:val="false"/>
          <w:caps w:val="false"/>
          <w:smallCaps w:val="false"/>
          <w:sz w:val="20"/>
        </w:rPr>
        <w:t>Section 5.08</w:t>
      </w:r>
      <w:r>
        <w:rPr>
          <w:rFonts w:ascii="Times New Roman;Times;Serif" w:hAnsi="Times New Roman;Times;Serif"/>
          <w:b w:val="false"/>
          <w:i w:val="false"/>
          <w:caps w:val="false"/>
          <w:smallCaps w:val="false"/>
          <w:sz w:val="20"/>
        </w:rPr>
        <w:t xml:space="preserve"> need not be a newly issued or treasury share) and will be duly and validly issued, fully paid, non-assessable, free from preemptive rights and free of any lien or adverse claim (except to the extent of any lien or adverse claim created by the action or inaction of the Holder of such Note or the Person to whom such Conversion Share will be delivered). If the Common Stock is then listed on any securities exchange, or quoted on any inter-dealer quotation system, then the Company will cause each Conversion Share, when delivered upon conversion of any Note, to be admitted for listing on such exchange or quotation on such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5.05.</w:t>
      </w:r>
      <w:r>
        <w:rPr>
          <w:rFonts w:ascii="Times New Roman;Times;Serif" w:hAnsi="Times New Roman;Times;Serif"/>
          <w:b/>
          <w:i w:val="false"/>
          <w:smallCaps/>
          <w:sz w:val="20"/>
        </w:rPr>
        <w:tab/>
        <w:t>     Adjustments to the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Events Requiring an Adjustment to the Conversion Rate</w:t>
      </w:r>
      <w:r>
        <w:rPr>
          <w:rFonts w:ascii="Times New Roman;Times;Serif" w:hAnsi="Times New Roman;Times;Serif"/>
          <w:b w:val="false"/>
          <w:i w:val="false"/>
          <w:caps w:val="false"/>
          <w:smallCaps w:val="false"/>
          <w:sz w:val="20"/>
        </w:rPr>
        <w:t>. The Conversion Rate 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- 45 -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adjusted from time to time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Stock Dividends, Splits and Combinations</w:t>
      </w:r>
      <w:r>
        <w:rPr>
          <w:rFonts w:ascii="Times New Roman;Times;Serif" w:hAnsi="Times New Roman;Times;Serif"/>
          <w:b w:val="false"/>
          <w:i w:val="false"/>
          <w:caps w:val="false"/>
          <w:smallCaps w:val="false"/>
          <w:sz w:val="20"/>
        </w:rPr>
        <w:t xml:space="preserve">. If the Company issues solely shares of Common Stock as a dividend or distribution on all or substantially all shares of the Common Stock, or if the Company effects a stock split or a stock combination of the Common Stock (in each case excluding an issuance solely pursuant to a Common Stock Change Event, as to which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will apply), then the Conversion Rate will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635635" cy="2787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5635" cy="27876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155"/>
        <w:gridCol w:w="9610"/>
      </w:tblGrid>
      <w:tr>
        <w:trPr/>
        <w:tc>
          <w:tcPr>
            <w:tcW w:w="44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CR</w:t>
            </w:r>
            <w:r>
              <w:rPr>
                <w:rFonts w:ascii="Times New Roman;Times;Serif" w:hAnsi="Times New Roman;Times;Serif"/>
                <w:i/>
                <w:position w:val="-2"/>
                <w:sz w:val="19"/>
              </w:rPr>
              <w:t>0</w:t>
            </w:r>
          </w:p>
        </w:tc>
        <w:tc>
          <w:tcPr>
            <w:tcW w:w="155" w:type="dxa"/>
            <w:tcBorders/>
            <w:vAlign w:val="center"/>
          </w:tcPr>
          <w:p>
            <w:pPr>
              <w:pStyle w:val="TableContents"/>
              <w:bidi w:val="0"/>
              <w:spacing w:before="0" w:after="283"/>
              <w:jc w:val="both"/>
              <w:rPr/>
            </w:pPr>
            <w:r>
              <w:rPr/>
              <w:t>=</w:t>
            </w:r>
          </w:p>
        </w:tc>
        <w:tc>
          <w:tcPr>
            <w:tcW w:w="9610" w:type="dxa"/>
            <w:tcBorders/>
            <w:vAlign w:val="center"/>
          </w:tcPr>
          <w:p>
            <w:pPr>
              <w:pStyle w:val="TableContents"/>
              <w:bidi w:val="0"/>
              <w:spacing w:before="0" w:after="283"/>
              <w:jc w:val="both"/>
              <w:rPr/>
            </w:pPr>
            <w:r>
              <w:rPr/>
              <w:t>the Conversion Rate in effect immediately before the Open of Business on the Ex-Dividend Date for such dividend or distribution, or immediately before the Open of Business on the effective date of such stock split or stock combination,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155"/>
        <w:gridCol w:w="9610"/>
      </w:tblGrid>
      <w:tr>
        <w:trPr/>
        <w:tc>
          <w:tcPr>
            <w:tcW w:w="44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CR</w:t>
            </w:r>
            <w:r>
              <w:rPr>
                <w:rFonts w:ascii="Times New Roman;Times;Serif" w:hAnsi="Times New Roman;Times;Serif"/>
                <w:i/>
                <w:position w:val="-2"/>
                <w:sz w:val="19"/>
              </w:rPr>
              <w:t>1</w:t>
            </w:r>
          </w:p>
        </w:tc>
        <w:tc>
          <w:tcPr>
            <w:tcW w:w="155" w:type="dxa"/>
            <w:tcBorders/>
            <w:vAlign w:val="center"/>
          </w:tcPr>
          <w:p>
            <w:pPr>
              <w:pStyle w:val="TableContents"/>
              <w:bidi w:val="0"/>
              <w:spacing w:before="0" w:after="283"/>
              <w:jc w:val="both"/>
              <w:rPr/>
            </w:pPr>
            <w:r>
              <w:rPr/>
              <w:t>=</w:t>
            </w:r>
          </w:p>
        </w:tc>
        <w:tc>
          <w:tcPr>
            <w:tcW w:w="9610" w:type="dxa"/>
            <w:tcBorders/>
            <w:vAlign w:val="center"/>
          </w:tcPr>
          <w:p>
            <w:pPr>
              <w:pStyle w:val="TableContents"/>
              <w:bidi w:val="0"/>
              <w:spacing w:before="0" w:after="283"/>
              <w:jc w:val="both"/>
              <w:rPr/>
            </w:pPr>
            <w:r>
              <w:rPr/>
              <w:t>the Conversion Rate in effect immediately after the Open of Business on such Ex-Dividend Date or the Open of Business on such effective date,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
        <w:gridCol w:w="155"/>
        <w:gridCol w:w="9625"/>
      </w:tblGrid>
      <w:tr>
        <w:trPr/>
        <w:tc>
          <w:tcPr>
            <w:tcW w:w="42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OS</w:t>
            </w:r>
            <w:r>
              <w:rPr>
                <w:rFonts w:ascii="Times New Roman;Times;Serif" w:hAnsi="Times New Roman;Times;Serif"/>
                <w:i/>
                <w:position w:val="-2"/>
                <w:sz w:val="19"/>
              </w:rPr>
              <w:t>0</w:t>
            </w:r>
          </w:p>
        </w:tc>
        <w:tc>
          <w:tcPr>
            <w:tcW w:w="155" w:type="dxa"/>
            <w:tcBorders/>
            <w:vAlign w:val="center"/>
          </w:tcPr>
          <w:p>
            <w:pPr>
              <w:pStyle w:val="TableContents"/>
              <w:bidi w:val="0"/>
              <w:spacing w:before="0" w:after="283"/>
              <w:jc w:val="both"/>
              <w:rPr/>
            </w:pPr>
            <w:r>
              <w:rPr/>
              <w:t>=</w:t>
            </w:r>
          </w:p>
        </w:tc>
        <w:tc>
          <w:tcPr>
            <w:tcW w:w="9625" w:type="dxa"/>
            <w:tcBorders/>
            <w:vAlign w:val="center"/>
          </w:tcPr>
          <w:p>
            <w:pPr>
              <w:pStyle w:val="TableContents"/>
              <w:bidi w:val="0"/>
              <w:spacing w:before="0" w:after="283"/>
              <w:jc w:val="both"/>
              <w:rPr/>
            </w:pPr>
            <w:r>
              <w:rPr/>
              <w:t>the number of shares of Common Stock outstanding immediately before the Open of Business on such Ex-Dividend Date or effective date, as applicable, without giving effect to such dividend, distribution, stock split or stock combination;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
        <w:gridCol w:w="155"/>
        <w:gridCol w:w="9625"/>
      </w:tblGrid>
      <w:tr>
        <w:trPr/>
        <w:tc>
          <w:tcPr>
            <w:tcW w:w="425"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OS</w:t>
            </w:r>
            <w:r>
              <w:rPr>
                <w:rFonts w:ascii="Times New Roman;Times;Serif" w:hAnsi="Times New Roman;Times;Serif"/>
                <w:i/>
                <w:position w:val="-2"/>
                <w:sz w:val="19"/>
              </w:rPr>
              <w:t>1</w:t>
            </w:r>
          </w:p>
        </w:tc>
        <w:tc>
          <w:tcPr>
            <w:tcW w:w="155" w:type="dxa"/>
            <w:tcBorders/>
            <w:vAlign w:val="center"/>
          </w:tcPr>
          <w:p>
            <w:pPr>
              <w:pStyle w:val="TableContents"/>
              <w:bidi w:val="0"/>
              <w:spacing w:before="0" w:after="283"/>
              <w:jc w:val="both"/>
              <w:rPr/>
            </w:pPr>
            <w:r>
              <w:rPr/>
              <w:t>=</w:t>
            </w:r>
          </w:p>
        </w:tc>
        <w:tc>
          <w:tcPr>
            <w:tcW w:w="9625" w:type="dxa"/>
            <w:tcBorders/>
            <w:vAlign w:val="center"/>
          </w:tcPr>
          <w:p>
            <w:pPr>
              <w:pStyle w:val="TableContents"/>
              <w:bidi w:val="0"/>
              <w:spacing w:before="0" w:after="283"/>
              <w:jc w:val="both"/>
              <w:rPr/>
            </w:pPr>
            <w:r>
              <w:rPr/>
              <w:t>the number of shares of Common Stock outstanding immediately after giving effect to such dividend, distribution, stock split or stock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each adjustment to the Conversion Rate made pursuant to this </w:t>
      </w:r>
      <w:r>
        <w:rPr>
          <w:rFonts w:ascii="Times New Roman;Times;Serif" w:hAnsi="Times New Roman;Times;Serif"/>
          <w:b/>
          <w:i w:val="false"/>
          <w:caps w:val="false"/>
          <w:smallCaps w:val="false"/>
          <w:sz w:val="20"/>
        </w:rPr>
        <w:t>Section 5.05(A)(i) </w:t>
      </w:r>
      <w:r>
        <w:rPr>
          <w:rFonts w:ascii="Times New Roman;Times;Serif" w:hAnsi="Times New Roman;Times;Serif"/>
          <w:b w:val="false"/>
          <w:i w:val="false"/>
          <w:caps w:val="false"/>
          <w:smallCaps w:val="false"/>
          <w:sz w:val="20"/>
        </w:rPr>
        <w:t>will become effective as of the time set forth in the preceding definition of CR</w:t>
      </w: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 xml:space="preserve">. If any dividend, distribution, stock split or stock combination of the type described in this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Rights, Options and Warrants</w:t>
      </w:r>
      <w:r>
        <w:rPr>
          <w:rFonts w:ascii="Times New Roman;Times;Serif" w:hAnsi="Times New Roman;Times;Serif"/>
          <w:b w:val="false"/>
          <w:i w:val="false"/>
          <w:caps w:val="false"/>
          <w:smallCaps w:val="false"/>
          <w:sz w:val="20"/>
        </w:rPr>
        <w:t xml:space="preserve">. If the Company distributes, to all or substantially all holders of Common Stock, rights, options or warrants (other than rights issued or otherwise distributed pursuant to a stockholder rights plan, as to which the provisions set forth in </w:t>
      </w:r>
      <w:r>
        <w:rPr>
          <w:rFonts w:ascii="Times New Roman;Times;Serif" w:hAnsi="Times New Roman;Times;Serif"/>
          <w:b/>
          <w:i w:val="false"/>
          <w:caps w:val="false"/>
          <w:smallCaps w:val="false"/>
          <w:sz w:val="20"/>
        </w:rPr>
        <w:t>Sections 5.05(A)(iii)(1)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5.05(F)</w:t>
      </w:r>
      <w:r>
        <w:rPr>
          <w:rFonts w:ascii="Times New Roman;Times;Serif" w:hAnsi="Times New Roman;Times;Serif"/>
          <w:b w:val="false"/>
          <w:i w:val="false"/>
          <w:caps w:val="false"/>
          <w:smallCaps w:val="false"/>
          <w:sz w:val="20"/>
        </w:rPr>
        <w:t> will apply) entitling such holders, for a period of not more than sixty (60) calendar days after the record date of such distribution, to subscribe for or purchase shares of Common Stock at a price per share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- 46 -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less than the average of the Last Reported Sale Prices per share of Common Stock for the ten (10) consecutive Trading Days ending on, and including, the Trading Day immediately before the date such distribution is announced, then the Conversion Rate will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514475"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14475" cy="485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125" w:type="dxa"/>
        <w:jc w:val="left"/>
        <w:tblInd w:w="0" w:type="dxa"/>
        <w:tblLayout w:type="fixed"/>
        <w:tblCellMar>
          <w:top w:w="0" w:type="dxa"/>
          <w:left w:w="0" w:type="dxa"/>
          <w:bottom w:w="0" w:type="dxa"/>
          <w:right w:w="0" w:type="dxa"/>
        </w:tblCellMar>
      </w:tblPr>
      <w:tblGrid>
        <w:gridCol w:w="410"/>
        <w:gridCol w:w="125"/>
        <w:gridCol w:w="9590"/>
      </w:tblGrid>
      <w:tr>
        <w:trPr/>
        <w:tc>
          <w:tcPr>
            <w:tcW w:w="41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CR</w:t>
            </w:r>
            <w:r>
              <w:rPr>
                <w:rFonts w:ascii="Times New Roman;Times;Serif" w:hAnsi="Times New Roman;Times;Serif"/>
                <w:i/>
                <w:position w:val="-2"/>
                <w:sz w:val="16"/>
                <w:sz w:val="20"/>
              </w:rPr>
              <w:t xml:space="preserve">0 </w:t>
            </w:r>
          </w:p>
        </w:tc>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Rate in effect immediately before the Open of Business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tbl>
      <w:tblPr>
        <w:tblW w:w="8445" w:type="dxa"/>
        <w:jc w:val="left"/>
        <w:tblInd w:w="0" w:type="dxa"/>
        <w:tblLayout w:type="fixed"/>
        <w:tblCellMar>
          <w:top w:w="0" w:type="dxa"/>
          <w:left w:w="0" w:type="dxa"/>
          <w:bottom w:w="0" w:type="dxa"/>
          <w:right w:w="0" w:type="dxa"/>
        </w:tblCellMar>
      </w:tblPr>
      <w:tblGrid>
        <w:gridCol w:w="75"/>
        <w:gridCol w:w="365"/>
        <w:gridCol w:w="125"/>
        <w:gridCol w:w="78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w:t>
            </w:r>
            <w:r>
              <w:rPr>
                <w:rFonts w:ascii="Times New Roman;Times;Serif" w:hAnsi="Times New Roman;Times;Serif"/>
                <w:b w:val="false"/>
                <w:i/>
                <w:caps w:val="false"/>
                <w:smallCaps w:val="false"/>
                <w:position w:val="-2"/>
                <w:sz w:val="16"/>
                <w:sz w:val="20"/>
              </w:rPr>
              <w:t>1</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in effect immediately after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125"/>
        <w:gridCol w:w="9782"/>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OS</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outstanding immediately before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8573" w:type="dxa"/>
        <w:jc w:val="left"/>
        <w:tblInd w:w="0" w:type="dxa"/>
        <w:tblLayout w:type="fixed"/>
        <w:tblCellMar>
          <w:top w:w="0" w:type="dxa"/>
          <w:left w:w="0" w:type="dxa"/>
          <w:bottom w:w="0" w:type="dxa"/>
          <w:right w:w="0" w:type="dxa"/>
        </w:tblCellMar>
      </w:tblPr>
      <w:tblGrid>
        <w:gridCol w:w="38"/>
        <w:gridCol w:w="140"/>
        <w:gridCol w:w="125"/>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Common Stock issuable pursuant to such rights, options or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25"/>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shares of Common Stock obtained by dividing (x) the aggregate price payable to exercise such rights, options or warrants by (y) the average of the Last Reported Sale Prices per share of Common Stock for the ten (10) consecutive Trading Days ending on, and including, the Trading Day immediately before the date such distribution is announced.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rights, options or warrants are not so distributed, the Conversion Rate will be readjusted to the Conversion Rate that would then be in effect had the increase to the Conversion Rate for such distribution been made on the basis of only the rights, options or warrants, if any, actually distributed. In addition, to the extent that shares of Common Stock are not delivered after the expiration of such rights, options or warrants (including as a result of such rights, options or warrants not being exercised), the Conversion Rate will be readjusted to the Conversion Rate that would then be in effect had the increase to the Conversion Rate for such distribution been made on the basis of delivery of only the number of shares of Common Stock actually delivered upon exercise of such rights, option 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each adjustment to the Conversion Rate made pursuant to this </w:t>
      </w:r>
      <w:r>
        <w:rPr>
          <w:rFonts w:ascii="Times New Roman;Times;Serif" w:hAnsi="Times New Roman;Times;Serif"/>
          <w:b/>
          <w:i w:val="false"/>
          <w:caps w:val="false"/>
          <w:smallCaps w:val="false"/>
          <w:sz w:val="20"/>
        </w:rPr>
        <w:t>Section 5.05(A)(ii) </w:t>
      </w:r>
      <w:r>
        <w:rPr>
          <w:rFonts w:ascii="Times New Roman;Times;Serif" w:hAnsi="Times New Roman;Times;Serif"/>
          <w:b w:val="false"/>
          <w:i w:val="false"/>
          <w:caps w:val="false"/>
          <w:smallCaps w:val="false"/>
          <w:sz w:val="20"/>
        </w:rPr>
        <w:t>will become effective as of the time set forth in the preceding definition of CR</w:t>
      </w: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i w:val="false"/>
          <w:caps w:val="false"/>
          <w:smallCaps w:val="false"/>
          <w:sz w:val="20"/>
        </w:rPr>
        <w:t>Section 5.05(A)(ii)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5.01(C)(i)(3)(a)(I)</w:t>
      </w:r>
      <w:r>
        <w:rPr>
          <w:rFonts w:ascii="Times New Roman;Times;Serif" w:hAnsi="Times New Roman;Times;Serif"/>
          <w:b w:val="false"/>
          <w:i w:val="false"/>
          <w:caps w:val="false"/>
          <w:smallCaps w:val="false"/>
          <w:sz w:val="20"/>
        </w:rPr>
        <w:t>, in determining whether any rights, options or warrants entitle holders of Common Stock to subscribe for or purchase shares of Common Stock at a price per share that is less than the average of the Last Reported Sale Prices per share of Common Stock for the ten (10) consecutive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- 47 -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Days ending on, and including, the Trading Day immediately before the date the distribution of such rights, options or warrants is announced, and in determining the aggregate price payable to exercise such rights, options or warrants, there will be taken into account any consideration the Company receives for such rights, options or warrants and any amount payable on exercise thereof, with the value of such consideration, if not cash, to be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Spin-Offs and Other Distributed Property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Distributions Other than Spin-Offs</w:t>
      </w:r>
      <w:r>
        <w:rPr>
          <w:rFonts w:ascii="Times New Roman;Times;Serif" w:hAnsi="Times New Roman;Times;Serif"/>
          <w:b w:val="false"/>
          <w:i w:val="false"/>
          <w:caps w:val="false"/>
          <w:smallCaps w:val="false"/>
          <w:sz w:val="20"/>
        </w:rPr>
        <w:t>. If the Company distributes shares of its Capital Stock, evidences of its indebtedness or other assets or property of the Company, or rights, options or warrants to acquire Capital Stock of the Company or other securities, to all or substantially all holders of the Common Stock, excluding: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dividends, distributions, rights, options or warrants for which an adjustment to the Conversion Rate is required (or would be required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5.05(A)(ii)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dividends or distributions paid exclusively in cash for which an adjustment to the Conversion Rate is required (or would be required assuming the Dividend Threshold were zero and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val="false"/>
          <w:caps w:val="false"/>
          <w:smallCaps w:val="false"/>
          <w:sz w:val="20"/>
        </w:rPr>
        <w:t>Section 5.05(A)(iv)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rights issued or otherwise distributed pursuant to a stockholder rights plan, except to the extent provided in </w:t>
      </w:r>
      <w:r>
        <w:rPr>
          <w:rFonts w:ascii="Times New Roman;Times;Serif" w:hAnsi="Times New Roman;Times;Serif"/>
          <w:b/>
          <w:i w:val="false"/>
          <w:caps w:val="false"/>
          <w:smallCaps w:val="false"/>
          <w:sz w:val="20"/>
        </w:rPr>
        <w:t>Section 5.05(F)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Spin-Offs for which an adjustment to the Conversion Rate is required (or would be required without regard to </w:t>
      </w:r>
      <w:r>
        <w:rPr>
          <w:rFonts w:ascii="Times New Roman;Times;Serif" w:hAnsi="Times New Roman;Times;Serif"/>
          <w:b/>
          <w:i w:val="false"/>
          <w:caps w:val="false"/>
          <w:smallCaps w:val="false"/>
          <w:sz w:val="20"/>
        </w:rPr>
        <w:t>Section 5.05(C)</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a distribution solely pursuant to a tender offer or exchange offer for shares of Common Stock, as to which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will apply;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a distribution solely pursuant to a Common Stock Change Event, as to which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will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Conversion Rate will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52600" cy="533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52600" cy="5334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75"/>
        <w:gridCol w:w="440"/>
        <w:gridCol w:w="155"/>
        <w:gridCol w:w="5855"/>
      </w:tblGrid>
      <w:tr>
        <w:trPr/>
        <w:tc>
          <w:tcPr>
            <w:tcW w:w="75" w:type="dxa"/>
            <w:tcBorders/>
            <w:vAlign w:val="center"/>
          </w:tcPr>
          <w:p>
            <w:pPr>
              <w:pStyle w:val="TableContents"/>
              <w:bidi w:val="0"/>
              <w:spacing w:before="0" w:after="283"/>
              <w:ind w:left="0" w:right="0" w:hanging="0"/>
              <w:jc w:val="both"/>
              <w:rPr/>
            </w:pPr>
            <w:r>
              <w:rPr/>
              <w:t> </w:t>
            </w:r>
          </w:p>
        </w:tc>
        <w:tc>
          <w:tcPr>
            <w:tcW w:w="440" w:type="dxa"/>
            <w:tcBorders/>
            <w:vAlign w:val="center"/>
          </w:tcPr>
          <w:p>
            <w:pPr>
              <w:pStyle w:val="TableContents"/>
              <w:bidi w:val="0"/>
              <w:spacing w:before="0" w:after="283"/>
              <w:ind w:left="0" w:right="0" w:hanging="0"/>
              <w:jc w:val="both"/>
              <w:rPr>
                <w:rFonts w:ascii="Times New Roman;Times;Serif" w:hAnsi="Times New Roman;Times;Serif"/>
                <w:i/>
              </w:rPr>
            </w:pPr>
            <w:r>
              <w:rPr>
                <w:rFonts w:ascii="Times New Roman;Times;Serif" w:hAnsi="Times New Roman;Times;Serif"/>
                <w:i/>
              </w:rPr>
              <w:t>CR</w:t>
            </w:r>
            <w:r>
              <w:rPr>
                <w:rFonts w:ascii="Times New Roman;Times;Serif" w:hAnsi="Times New Roman;Times;Serif"/>
                <w:i/>
                <w:position w:val="-2"/>
                <w:sz w:val="19"/>
              </w:rPr>
              <w:t>0</w:t>
            </w:r>
          </w:p>
        </w:tc>
        <w:tc>
          <w:tcPr>
            <w:tcW w:w="155" w:type="dxa"/>
            <w:tcBorders/>
            <w:vAlign w:val="center"/>
          </w:tcPr>
          <w:p>
            <w:pPr>
              <w:pStyle w:val="TableContents"/>
              <w:bidi w:val="0"/>
              <w:spacing w:before="0" w:after="283"/>
              <w:ind w:left="0" w:right="0" w:hanging="0"/>
              <w:jc w:val="both"/>
              <w:rPr/>
            </w:pPr>
            <w:r>
              <w:rPr/>
              <w:t>=</w:t>
            </w:r>
          </w:p>
        </w:tc>
        <w:tc>
          <w:tcPr>
            <w:tcW w:w="5855" w:type="dxa"/>
            <w:tcBorders/>
            <w:vAlign w:val="center"/>
          </w:tcPr>
          <w:p>
            <w:pPr>
              <w:pStyle w:val="TableContents"/>
              <w:bidi w:val="0"/>
              <w:spacing w:before="0" w:after="283"/>
              <w:jc w:val="both"/>
              <w:rPr/>
            </w:pPr>
            <w:r>
              <w:rPr/>
              <w:t>the Conversion Rate in effect immediately before the Open of</w:t>
            </w:r>
          </w:p>
        </w:tc>
      </w:tr>
    </w:tbl>
    <w:p>
      <w:pPr>
        <w:pStyle w:val="TextBody"/>
        <w:bidi w:val="0"/>
        <w:spacing w:before="0" w:after="0"/>
        <w:ind w:left="2880" w:right="0" w:hanging="1440"/>
        <w:jc w:val="both"/>
        <w:rPr>
          <w:caps w:val="false"/>
          <w:smallCaps w:val="false"/>
        </w:rPr>
      </w:pPr>
      <w:r>
        <w:rPr>
          <w:caps w:val="false"/>
          <w:smallCaps w:val="false"/>
        </w:rPr>
        <w:t> </w:t>
      </w:r>
    </w:p>
    <w:p>
      <w:pPr>
        <w:pStyle w:val="TextBody"/>
        <w:bidi w:val="0"/>
        <w:spacing w:before="0" w:after="0"/>
        <w:ind w:left="2880" w:right="0" w:hanging="1440"/>
        <w:jc w:val="center"/>
        <w:rPr>
          <w:sz w:val="20"/>
          <w:bdr w:val="single" w:sz="8" w:space="1" w:color="000000"/>
        </w:rPr>
      </w:pPr>
      <w:r>
        <w:rPr>
          <w:sz w:val="20"/>
          <w:bdr w:val="single" w:sz="8" w:space="1" w:color="000000"/>
        </w:rPr>
        <w:t>- 48 - </w:t>
      </w:r>
    </w:p>
    <w:p>
      <w:pPr>
        <w:pStyle w:val="TextBody"/>
        <w:bidi w:val="0"/>
        <w:spacing w:before="0" w:after="0"/>
        <w:ind w:left="0" w:right="0" w:hanging="0"/>
        <w:jc w:val="left"/>
        <w:rPr/>
      </w:pPr>
      <w:r>
        <w:rPr/>
        <w:t> </w:t>
      </w:r>
    </w:p>
    <w:p>
      <w:pPr>
        <w:pStyle w:val="TextBody"/>
        <w:bidi w:val="0"/>
        <w:spacing w:before="0" w:after="0"/>
        <w:ind w:left="2880" w:right="0" w:hanging="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on the Ex-Dividend Date for such distribution;</w:t>
      </w:r>
    </w:p>
    <w:p>
      <w:pPr>
        <w:pStyle w:val="TextBody"/>
        <w:bidi w:val="0"/>
        <w:spacing w:before="0" w:after="0"/>
        <w:ind w:left="0" w:right="0" w:hanging="0"/>
        <w:jc w:val="left"/>
        <w:rPr>
          <w:caps w:val="false"/>
          <w:smallCaps w:val="false"/>
        </w:rPr>
      </w:pPr>
      <w:r>
        <w:rPr>
          <w:caps w:val="false"/>
          <w:smallCaps w:val="false"/>
        </w:rPr>
        <w:t>  </w:t>
      </w:r>
    </w:p>
    <w:tbl>
      <w:tblPr>
        <w:tblW w:w="9900" w:type="dxa"/>
        <w:jc w:val="left"/>
        <w:tblInd w:w="0" w:type="dxa"/>
        <w:tblLayout w:type="fixed"/>
        <w:tblCellMar>
          <w:top w:w="0" w:type="dxa"/>
          <w:left w:w="0" w:type="dxa"/>
          <w:bottom w:w="0" w:type="dxa"/>
          <w:right w:w="0" w:type="dxa"/>
        </w:tblCellMar>
      </w:tblPr>
      <w:tblGrid>
        <w:gridCol w:w="75"/>
        <w:gridCol w:w="440"/>
        <w:gridCol w:w="155"/>
        <w:gridCol w:w="9230"/>
      </w:tblGrid>
      <w:tr>
        <w:trPr/>
        <w:tc>
          <w:tcPr>
            <w:tcW w:w="7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CR</w:t>
            </w:r>
            <w:r>
              <w:rPr>
                <w:rFonts w:ascii="Times New Roman;Times;Serif" w:hAnsi="Times New Roman;Times;Serif"/>
                <w:i/>
                <w:position w:val="-2"/>
                <w:sz w:val="19"/>
              </w:rPr>
              <w:t>1</w:t>
            </w:r>
          </w:p>
        </w:tc>
        <w:tc>
          <w:tcPr>
            <w:tcW w:w="155" w:type="dxa"/>
            <w:tcBorders/>
            <w:vAlign w:val="center"/>
          </w:tcPr>
          <w:p>
            <w:pPr>
              <w:pStyle w:val="TableContents"/>
              <w:bidi w:val="0"/>
              <w:spacing w:before="0" w:after="283"/>
              <w:jc w:val="both"/>
              <w:rPr/>
            </w:pPr>
            <w:r>
              <w:rPr/>
              <w:t>=</w:t>
            </w:r>
          </w:p>
        </w:tc>
        <w:tc>
          <w:tcPr>
            <w:tcW w:w="9230" w:type="dxa"/>
            <w:tcBorders/>
            <w:vAlign w:val="center"/>
          </w:tcPr>
          <w:p>
            <w:pPr>
              <w:pStyle w:val="TableContents"/>
              <w:bidi w:val="0"/>
              <w:spacing w:before="0" w:after="283"/>
              <w:jc w:val="both"/>
              <w:rPr/>
            </w:pPr>
            <w:r>
              <w:rPr/>
              <w:t>the Conversion Rate in effect immediately after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155"/>
        <w:gridCol w:w="9722"/>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SP</w:t>
            </w:r>
          </w:p>
        </w:tc>
        <w:tc>
          <w:tcPr>
            <w:tcW w:w="155" w:type="dxa"/>
            <w:tcBorders/>
            <w:vAlign w:val="center"/>
          </w:tcPr>
          <w:p>
            <w:pPr>
              <w:pStyle w:val="TableContents"/>
              <w:bidi w:val="0"/>
              <w:spacing w:before="0" w:after="283"/>
              <w:jc w:val="both"/>
              <w:rPr/>
            </w:pPr>
            <w:r>
              <w:rPr/>
              <w:t>=</w:t>
            </w:r>
          </w:p>
        </w:tc>
        <w:tc>
          <w:tcPr>
            <w:tcW w:w="9722" w:type="dxa"/>
            <w:tcBorders/>
            <w:vAlign w:val="center"/>
          </w:tcPr>
          <w:p>
            <w:pPr>
              <w:pStyle w:val="TableContents"/>
              <w:bidi w:val="0"/>
              <w:spacing w:before="0" w:after="283"/>
              <w:jc w:val="both"/>
              <w:rPr/>
            </w:pPr>
            <w:r>
              <w:rPr/>
              <w:t>the average of the Last Reported Sale Prices per share of Common Stock for the ten (10) consecutive Trading Days ending on, and including, the Trading Day immediately before such Ex-Dividend Date;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15"/>
        <w:gridCol w:w="155"/>
        <w:gridCol w:w="9497"/>
      </w:tblGrid>
      <w:tr>
        <w:trPr/>
        <w:tc>
          <w:tcPr>
            <w:tcW w:w="3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FMV</w:t>
            </w:r>
          </w:p>
        </w:tc>
        <w:tc>
          <w:tcPr>
            <w:tcW w:w="155" w:type="dxa"/>
            <w:tcBorders/>
            <w:vAlign w:val="center"/>
          </w:tcPr>
          <w:p>
            <w:pPr>
              <w:pStyle w:val="TableContents"/>
              <w:bidi w:val="0"/>
              <w:spacing w:before="0" w:after="283"/>
              <w:jc w:val="both"/>
              <w:rPr/>
            </w:pPr>
            <w:r>
              <w:rPr/>
              <w:t>=</w:t>
            </w:r>
          </w:p>
        </w:tc>
        <w:tc>
          <w:tcPr>
            <w:tcW w:w="9497" w:type="dxa"/>
            <w:tcBorders/>
            <w:vAlign w:val="center"/>
          </w:tcPr>
          <w:p>
            <w:pPr>
              <w:pStyle w:val="TableContents"/>
              <w:bidi w:val="0"/>
              <w:spacing w:before="0" w:after="283"/>
              <w:jc w:val="both"/>
              <w:rPr/>
            </w:pPr>
            <w:r>
              <w:rPr/>
              <w:t>the fair market value (as determined by the Board of Directors), as of such Ex-Dividend Date, of the shares of Capital Stock, evidences of indebtedness, assets, property, rights, options or warrants distributed per share of Common Stock pursuant to such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w:t>
      </w:r>
      <w:r>
        <w:rPr>
          <w:rFonts w:ascii="Times New Roman;Times;Serif" w:hAnsi="Times New Roman;Times;Serif"/>
          <w:b w:val="false"/>
          <w:i/>
          <w:caps w:val="false"/>
          <w:smallCaps w:val="false"/>
          <w:sz w:val="20"/>
        </w:rPr>
        <w:t>FMV</w:t>
      </w:r>
      <w:r>
        <w:rPr>
          <w:rFonts w:ascii="Times New Roman;Times;Serif" w:hAnsi="Times New Roman;Times;Serif"/>
          <w:b w:val="false"/>
          <w:i w:val="false"/>
          <w:caps w:val="false"/>
          <w:smallCaps w:val="false"/>
          <w:sz w:val="20"/>
        </w:rPr>
        <w:t xml:space="preserve"> is equal to or greater than </w:t>
      </w: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sz w:val="20"/>
        </w:rPr>
        <w:t>, then, in lieu of the foregoing adjustment to the Conversion Rate, each Holder will receive, for each $1,000 principal amount of Notes held by such Holder on the record date for such distribution, at the same time and on the same terms as holders of Common Stock, the amount and kind of shares of Capital Stock, evidences of indebtedness, assets, property, rights, options or warrants that such Holder would have received if such Holder had owned, on such record date, a number of shares of Common Stock equal to the Conversion Rate in effect on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distribution is not so paid or made, the Conversion Rate will be readjusted to the Conversion Rate that would then be in effect had the adjustment been made on the basis of only the distribution, if any, actually made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each adjustment to the Conversion Rate made pursuant to this </w:t>
      </w:r>
      <w:r>
        <w:rPr>
          <w:rFonts w:ascii="Times New Roman;Times;Serif" w:hAnsi="Times New Roman;Times;Serif"/>
          <w:b/>
          <w:i w:val="false"/>
          <w:caps w:val="false"/>
          <w:smallCaps w:val="false"/>
          <w:sz w:val="20"/>
        </w:rPr>
        <w:t>Section 5.05(A)(iii)(1)</w:t>
      </w:r>
      <w:r>
        <w:rPr>
          <w:rFonts w:ascii="Times New Roman;Times;Serif" w:hAnsi="Times New Roman;Times;Serif"/>
          <w:b w:val="false"/>
          <w:i w:val="false"/>
          <w:caps w:val="false"/>
          <w:smallCaps w:val="false"/>
          <w:sz w:val="20"/>
        </w:rPr>
        <w:t> will become effective as of the time set forth in the preceding definition of CR</w:t>
      </w: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Spin-Offs</w:t>
      </w:r>
      <w:r>
        <w:rPr>
          <w:rFonts w:ascii="Times New Roman;Times;Serif" w:hAnsi="Times New Roman;Times;Serif"/>
          <w:b w:val="false"/>
          <w:i w:val="false"/>
          <w:caps w:val="false"/>
          <w:smallCaps w:val="false"/>
          <w:sz w:val="20"/>
        </w:rPr>
        <w:t xml:space="preserve">. If the Company distributes or dividends shares of Capital Stock of any class or series, or similar equity interests, of or relating to an Affiliate, a Subsidiary or other business unit of the Company to all or substantially all holders of the Common Stock (other than solely pursuant to (x) a Common Stock Change Event, as to which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will apply; or (y) a tender offer or exchange offer for shares of Common Stock, as to which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will apply), and such Capital Stock or equity interests are listed or quoted (or will be listed or quoted upon the consummation of the transaction) on a U.S. national securities exchange (a “</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then the Conversion Rate will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714500"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14500" cy="561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- 49 -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0"/>
        <w:gridCol w:w="155"/>
        <w:gridCol w:w="9535"/>
      </w:tblGrid>
      <w:tr>
        <w:trPr/>
        <w:tc>
          <w:tcPr>
            <w:tcW w:w="7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CR</w:t>
            </w:r>
            <w:r>
              <w:rPr>
                <w:rFonts w:ascii="Times New Roman;Times;Serif" w:hAnsi="Times New Roman;Times;Serif"/>
                <w:i/>
                <w:position w:val="-2"/>
                <w:sz w:val="19"/>
              </w:rPr>
              <w:t>0</w:t>
            </w:r>
          </w:p>
        </w:tc>
        <w:tc>
          <w:tcPr>
            <w:tcW w:w="155" w:type="dxa"/>
            <w:tcBorders/>
            <w:vAlign w:val="center"/>
          </w:tcPr>
          <w:p>
            <w:pPr>
              <w:pStyle w:val="TableContents"/>
              <w:bidi w:val="0"/>
              <w:spacing w:before="0" w:after="283"/>
              <w:jc w:val="both"/>
              <w:rPr/>
            </w:pPr>
            <w:r>
              <w:rPr/>
              <w:t>=</w:t>
            </w:r>
          </w:p>
        </w:tc>
        <w:tc>
          <w:tcPr>
            <w:tcW w:w="9535" w:type="dxa"/>
            <w:tcBorders/>
            <w:vAlign w:val="center"/>
          </w:tcPr>
          <w:p>
            <w:pPr>
              <w:pStyle w:val="TableContents"/>
              <w:bidi w:val="0"/>
              <w:spacing w:before="0" w:after="283"/>
              <w:jc w:val="both"/>
              <w:rPr/>
            </w:pPr>
            <w:r>
              <w:rPr/>
              <w:t>the Conversion Rate in effect immediately before the Close of Business on the last Trading Day of the Spin-Off Valuation Period for such Spin-Off;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0"/>
        <w:gridCol w:w="155"/>
        <w:gridCol w:w="9535"/>
      </w:tblGrid>
      <w:tr>
        <w:trPr/>
        <w:tc>
          <w:tcPr>
            <w:tcW w:w="7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CR</w:t>
            </w:r>
            <w:r>
              <w:rPr>
                <w:rFonts w:ascii="Times New Roman;Times;Serif" w:hAnsi="Times New Roman;Times;Serif"/>
                <w:i/>
                <w:position w:val="-2"/>
                <w:sz w:val="19"/>
              </w:rPr>
              <w:t>1</w:t>
            </w:r>
          </w:p>
        </w:tc>
        <w:tc>
          <w:tcPr>
            <w:tcW w:w="155" w:type="dxa"/>
            <w:tcBorders/>
            <w:vAlign w:val="center"/>
          </w:tcPr>
          <w:p>
            <w:pPr>
              <w:pStyle w:val="TableContents"/>
              <w:bidi w:val="0"/>
              <w:spacing w:before="0" w:after="283"/>
              <w:jc w:val="both"/>
              <w:rPr/>
            </w:pPr>
            <w:r>
              <w:rPr/>
              <w:t>=</w:t>
            </w:r>
          </w:p>
        </w:tc>
        <w:tc>
          <w:tcPr>
            <w:tcW w:w="9535" w:type="dxa"/>
            <w:tcBorders/>
            <w:vAlign w:val="center"/>
          </w:tcPr>
          <w:p>
            <w:pPr>
              <w:pStyle w:val="TableContents"/>
              <w:bidi w:val="0"/>
              <w:spacing w:before="0" w:after="283"/>
              <w:jc w:val="both"/>
              <w:rPr/>
            </w:pPr>
            <w:r>
              <w:rPr/>
              <w:t>the Conversion Rate in effect immediately after the Close of Business on the last Trading Day of the Spin-Off Valuation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15"/>
        <w:gridCol w:w="155"/>
        <w:gridCol w:w="9497"/>
      </w:tblGrid>
      <w:tr>
        <w:trPr/>
        <w:tc>
          <w:tcPr>
            <w:tcW w:w="3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FMV</w:t>
            </w:r>
          </w:p>
        </w:tc>
        <w:tc>
          <w:tcPr>
            <w:tcW w:w="155" w:type="dxa"/>
            <w:tcBorders/>
            <w:vAlign w:val="center"/>
          </w:tcPr>
          <w:p>
            <w:pPr>
              <w:pStyle w:val="TableContents"/>
              <w:bidi w:val="0"/>
              <w:spacing w:before="0" w:after="283"/>
              <w:jc w:val="both"/>
              <w:rPr/>
            </w:pPr>
            <w:r>
              <w:rPr/>
              <w:t>=</w:t>
            </w:r>
          </w:p>
        </w:tc>
        <w:tc>
          <w:tcPr>
            <w:tcW w:w="9497" w:type="dxa"/>
            <w:tcBorders/>
            <w:vAlign w:val="center"/>
          </w:tcPr>
          <w:p>
            <w:pPr>
              <w:pStyle w:val="TableContents"/>
              <w:bidi w:val="0"/>
              <w:spacing w:before="0" w:after="283"/>
              <w:jc w:val="both"/>
              <w:rPr/>
            </w:pPr>
            <w:r>
              <w:rPr/>
              <w:t>the product of (x) the average of the Last Reported Sale Prices per share or unit of the Capital Stock or equity interests distributed in such Spin-Off over the ten (10) consecutive Trading Day period (the “</w:t>
            </w:r>
            <w:r>
              <w:rPr>
                <w:b/>
              </w:rPr>
              <w:t>Spin-Off Valuation Period</w:t>
            </w:r>
            <w:r>
              <w:rPr/>
              <w:t>”) beginning on, and including, the Ex-Dividend Date for such Spin-Off (such average to be determined as if references to Common Stock in the definitions of Last Reported Sale Price, Trading Day and Market Disruption Event were instead references to such Capital Stock or equity interests); and (y) the number of shares or units of such Capital Stock or equity interests distributed per share of Common Stock in such Spin-Off;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155"/>
        <w:gridCol w:w="9722"/>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SP</w:t>
            </w:r>
          </w:p>
        </w:tc>
        <w:tc>
          <w:tcPr>
            <w:tcW w:w="155" w:type="dxa"/>
            <w:tcBorders/>
            <w:vAlign w:val="center"/>
          </w:tcPr>
          <w:p>
            <w:pPr>
              <w:pStyle w:val="TableContents"/>
              <w:bidi w:val="0"/>
              <w:spacing w:before="0" w:after="283"/>
              <w:jc w:val="both"/>
              <w:rPr/>
            </w:pPr>
            <w:r>
              <w:rPr/>
              <w:t>=</w:t>
            </w:r>
          </w:p>
        </w:tc>
        <w:tc>
          <w:tcPr>
            <w:tcW w:w="9722" w:type="dxa"/>
            <w:tcBorders/>
            <w:vAlign w:val="center"/>
          </w:tcPr>
          <w:p>
            <w:pPr>
              <w:pStyle w:val="TableContents"/>
              <w:bidi w:val="0"/>
              <w:spacing w:before="0" w:after="283"/>
              <w:jc w:val="both"/>
              <w:rPr/>
            </w:pPr>
            <w:r>
              <w:rPr/>
              <w:t>the average of the Last Reported Sale Prices per share of Common Stock for each Trading Day in the Spin-Off Valuation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 if any VWAP Trading Day of the Observation Period for a Note to be converted occurs during the Spin-Off Valuation Period for such Spin-Off, then, solely for purposes of determining the Conversion Rate for such VWAP Trading Day for such conversion, such Spin-Off Valuation Period will be deemed to consist of the Trading Days occurring in the period from, and including, the Ex-Dividend Date for such Spin-Off to, and including, such VWAP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any dividend or distribution of the type set forth in this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 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each adjustment to the Conversion Rate made pursuant to this </w:t>
      </w:r>
      <w:r>
        <w:rPr>
          <w:rFonts w:ascii="Times New Roman;Times;Serif" w:hAnsi="Times New Roman;Times;Serif"/>
          <w:b/>
          <w:i w:val="false"/>
          <w:caps w:val="false"/>
          <w:smallCaps w:val="false"/>
          <w:sz w:val="20"/>
        </w:rPr>
        <w:t>Section 5.05(A)(iii)(2)</w:t>
      </w:r>
      <w:r>
        <w:rPr>
          <w:rFonts w:ascii="Times New Roman;Times;Serif" w:hAnsi="Times New Roman;Times;Serif"/>
          <w:b w:val="false"/>
          <w:i w:val="false"/>
          <w:caps w:val="false"/>
          <w:smallCaps w:val="false"/>
          <w:sz w:val="20"/>
        </w:rPr>
        <w:t> will become effective as of the time set forth in the preceding definition of CR</w:t>
      </w: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Cash Dividends or Distributions</w:t>
      </w:r>
      <w:r>
        <w:rPr>
          <w:rFonts w:ascii="Times New Roman;Times;Serif" w:hAnsi="Times New Roman;Times;Serif"/>
          <w:b w:val="false"/>
          <w:i w:val="false"/>
          <w:caps w:val="false"/>
          <w:smallCaps w:val="false"/>
          <w:sz w:val="20"/>
        </w:rPr>
        <w:t>. If any cash dividend or distribution is made to all or substantially all holders of Common Stock (other than a regular quarterly cash dividend that does not exceed the Dividend Threshold per share of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- 50 -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Conversion Rate will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552575" cy="504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52575" cy="5048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40"/>
        <w:gridCol w:w="155"/>
        <w:gridCol w:w="9535"/>
      </w:tblGrid>
      <w:tr>
        <w:trPr/>
        <w:tc>
          <w:tcPr>
            <w:tcW w:w="75" w:type="dxa"/>
            <w:tcBorders/>
            <w:vAlign w:val="center"/>
          </w:tcPr>
          <w:p>
            <w:pPr>
              <w:pStyle w:val="TableContents"/>
              <w:bidi w:val="0"/>
              <w:spacing w:before="0" w:after="283"/>
              <w:ind w:left="0" w:right="0" w:hanging="0"/>
              <w:jc w:val="both"/>
              <w:rPr/>
            </w:pPr>
            <w:r>
              <w:rPr/>
              <w:t> </w:t>
            </w:r>
          </w:p>
        </w:tc>
        <w:tc>
          <w:tcPr>
            <w:tcW w:w="44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CR</w:t>
            </w:r>
            <w:r>
              <w:rPr>
                <w:rFonts w:ascii="Times New Roman;Times;Serif" w:hAnsi="Times New Roman;Times;Serif"/>
                <w:i/>
                <w:position w:val="-2"/>
                <w:sz w:val="19"/>
              </w:rPr>
              <w:t>0</w:t>
            </w:r>
          </w:p>
        </w:tc>
        <w:tc>
          <w:tcPr>
            <w:tcW w:w="155" w:type="dxa"/>
            <w:tcBorders/>
            <w:vAlign w:val="center"/>
          </w:tcPr>
          <w:p>
            <w:pPr>
              <w:pStyle w:val="TableContents"/>
              <w:bidi w:val="0"/>
              <w:spacing w:before="0" w:after="283"/>
              <w:jc w:val="both"/>
              <w:rPr/>
            </w:pPr>
            <w:r>
              <w:rPr/>
              <w:t>=</w:t>
            </w:r>
          </w:p>
        </w:tc>
        <w:tc>
          <w:tcPr>
            <w:tcW w:w="9535" w:type="dxa"/>
            <w:tcBorders/>
            <w:vAlign w:val="center"/>
          </w:tcPr>
          <w:p>
            <w:pPr>
              <w:pStyle w:val="TableContents"/>
              <w:bidi w:val="0"/>
              <w:spacing w:before="0" w:after="283"/>
              <w:ind w:left="0" w:right="0" w:hanging="0"/>
              <w:jc w:val="both"/>
              <w:rPr/>
            </w:pPr>
            <w:r>
              <w:rPr/>
              <w:t>the Conversion Rate in effect immediately before the Open of Business on the Ex-Dividend Date for such dividend or distribution;</w:t>
            </w:r>
          </w:p>
        </w:tc>
      </w:tr>
      <w:tr>
        <w:trPr/>
        <w:tc>
          <w:tcPr>
            <w:tcW w:w="7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pPr>
            <w:r>
              <w:rPr/>
              <w:t> </w:t>
            </w:r>
          </w:p>
        </w:tc>
        <w:tc>
          <w:tcPr>
            <w:tcW w:w="9535" w:type="dxa"/>
            <w:tcBorders/>
            <w:vAlign w:val="center"/>
          </w:tcPr>
          <w:p>
            <w:pPr>
              <w:pStyle w:val="TableContents"/>
              <w:bidi w:val="0"/>
              <w:spacing w:before="0" w:after="283"/>
              <w:ind w:left="0" w:right="0" w:hanging="0"/>
              <w:jc w:val="both"/>
              <w:rPr/>
            </w:pPr>
            <w:r>
              <w:rPr/>
              <w:t> </w:t>
            </w:r>
          </w:p>
        </w:tc>
      </w:tr>
      <w:tr>
        <w:trPr/>
        <w:tc>
          <w:tcPr>
            <w:tcW w:w="7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CR</w:t>
            </w:r>
            <w:r>
              <w:rPr>
                <w:rFonts w:ascii="Times New Roman;Times;Serif" w:hAnsi="Times New Roman;Times;Serif"/>
                <w:i/>
                <w:position w:val="-2"/>
                <w:sz w:val="19"/>
              </w:rPr>
              <w:t>1</w:t>
            </w:r>
          </w:p>
        </w:tc>
        <w:tc>
          <w:tcPr>
            <w:tcW w:w="155" w:type="dxa"/>
            <w:tcBorders/>
            <w:vAlign w:val="center"/>
          </w:tcPr>
          <w:p>
            <w:pPr>
              <w:pStyle w:val="TableContents"/>
              <w:bidi w:val="0"/>
              <w:spacing w:before="0" w:after="283"/>
              <w:jc w:val="both"/>
              <w:rPr/>
            </w:pPr>
            <w:r>
              <w:rPr/>
              <w:t>=</w:t>
            </w:r>
          </w:p>
        </w:tc>
        <w:tc>
          <w:tcPr>
            <w:tcW w:w="9535" w:type="dxa"/>
            <w:tcBorders/>
            <w:vAlign w:val="center"/>
          </w:tcPr>
          <w:p>
            <w:pPr>
              <w:pStyle w:val="TableContents"/>
              <w:bidi w:val="0"/>
              <w:spacing w:before="0" w:after="283"/>
              <w:ind w:left="0" w:right="0" w:hanging="0"/>
              <w:jc w:val="both"/>
              <w:rPr/>
            </w:pPr>
            <w:r>
              <w:rPr/>
              <w:t>the Conversion Rate in effect immediately after the Open of Business on such Ex-Dividend Date;</w:t>
            </w:r>
          </w:p>
        </w:tc>
      </w:tr>
      <w:tr>
        <w:trPr/>
        <w:tc>
          <w:tcPr>
            <w:tcW w:w="75" w:type="dxa"/>
            <w:tcBorders/>
            <w:vAlign w:val="center"/>
          </w:tcPr>
          <w:p>
            <w:pPr>
              <w:pStyle w:val="TableContents"/>
              <w:bidi w:val="0"/>
              <w:spacing w:before="0" w:after="283"/>
              <w:jc w:val="both"/>
              <w:rPr/>
            </w:pPr>
            <w:r>
              <w:rPr/>
              <w:t> </w:t>
            </w:r>
          </w:p>
        </w:tc>
        <w:tc>
          <w:tcPr>
            <w:tcW w:w="44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pPr>
            <w:r>
              <w:rPr/>
              <w:t> </w:t>
            </w:r>
          </w:p>
        </w:tc>
        <w:tc>
          <w:tcPr>
            <w:tcW w:w="95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SP</w:t>
            </w:r>
          </w:p>
        </w:tc>
        <w:tc>
          <w:tcPr>
            <w:tcW w:w="155" w:type="dxa"/>
            <w:tcBorders/>
            <w:vAlign w:val="center"/>
          </w:tcPr>
          <w:p>
            <w:pPr>
              <w:pStyle w:val="TableContents"/>
              <w:bidi w:val="0"/>
              <w:spacing w:before="0" w:after="283"/>
              <w:jc w:val="both"/>
              <w:rPr/>
            </w:pPr>
            <w:r>
              <w:rPr/>
              <w:t>=</w:t>
            </w:r>
          </w:p>
        </w:tc>
        <w:tc>
          <w:tcPr>
            <w:tcW w:w="9535" w:type="dxa"/>
            <w:tcBorders/>
            <w:vAlign w:val="center"/>
          </w:tcPr>
          <w:p>
            <w:pPr>
              <w:pStyle w:val="TableContents"/>
              <w:bidi w:val="0"/>
              <w:spacing w:before="0" w:after="283"/>
              <w:jc w:val="both"/>
              <w:rPr/>
            </w:pPr>
            <w:r>
              <w:rPr/>
              <w:t>the Last Reported Sale Price per share of Common Stock on the Trading Day immediately before such Ex-Dividend Date;</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pPr>
            <w:r>
              <w:rPr/>
              <w:t> </w:t>
            </w:r>
          </w:p>
        </w:tc>
        <w:tc>
          <w:tcPr>
            <w:tcW w:w="95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T</w:t>
            </w:r>
          </w:p>
        </w:tc>
        <w:tc>
          <w:tcPr>
            <w:tcW w:w="155" w:type="dxa"/>
            <w:tcBorders/>
            <w:vAlign w:val="center"/>
          </w:tcPr>
          <w:p>
            <w:pPr>
              <w:pStyle w:val="TableContents"/>
              <w:bidi w:val="0"/>
              <w:spacing w:before="0" w:after="283"/>
              <w:jc w:val="both"/>
              <w:rPr/>
            </w:pPr>
            <w:r>
              <w:rPr/>
              <w:t>=</w:t>
            </w:r>
          </w:p>
        </w:tc>
        <w:tc>
          <w:tcPr>
            <w:tcW w:w="9535" w:type="dxa"/>
            <w:tcBorders/>
            <w:vAlign w:val="center"/>
          </w:tcPr>
          <w:p>
            <w:pPr>
              <w:pStyle w:val="TableContents"/>
              <w:bidi w:val="0"/>
              <w:spacing w:before="0" w:after="283"/>
              <w:jc w:val="both"/>
              <w:rPr/>
            </w:pPr>
            <w:r>
              <w:rPr/>
              <w:t>an amount (subject to the proviso below, the “</w:t>
            </w:r>
            <w:r>
              <w:rPr>
                <w:b/>
              </w:rPr>
              <w:t>Dividend Threshold</w:t>
            </w:r>
            <w:r>
              <w:rPr/>
              <w:t xml:space="preserve">”) initially equal to $0.31 per share of Common Stock; </w:t>
            </w:r>
            <w:r>
              <w:rPr>
                <w:i/>
              </w:rPr>
              <w:t>provided</w:t>
            </w:r>
            <w:r>
              <w:rPr/>
              <w:t xml:space="preserve">, </w:t>
            </w:r>
            <w:r>
              <w:rPr>
                <w:i/>
              </w:rPr>
              <w:t>however</w:t>
            </w:r>
            <w:r>
              <w:rPr/>
              <w:t xml:space="preserve">, that (x) if such dividend or distribution is not a regular quarterly cash dividend on the Common Stock, then </w:t>
            </w:r>
            <w:r>
              <w:rPr>
                <w:i/>
              </w:rPr>
              <w:t>T</w:t>
            </w:r>
            <w:r>
              <w:rPr/>
              <w:t xml:space="preserve"> will be deemed to be zero dollars ($0.00) per share of Common Stock with respect to such dividend or distribution; and (y) the Dividend Threshold will be adjusted in the same manner as, and at the same time and for the same events for which, the Conversion Price is adjusted as a result of the operation of </w:t>
            </w:r>
            <w:r>
              <w:rPr>
                <w:b/>
              </w:rPr>
              <w:t>Section 5.05(A)</w:t>
            </w:r>
            <w:r>
              <w:rPr/>
              <w:t xml:space="preserve"> (other than this </w:t>
            </w:r>
            <w:r>
              <w:rPr>
                <w:b/>
              </w:rPr>
              <w:t>Section 5.05(A)(iv)</w:t>
            </w:r>
            <w:r>
              <w:rPr/>
              <w:t>); and</w:t>
            </w:r>
          </w:p>
        </w:tc>
      </w:tr>
      <w:tr>
        <w:trPr/>
        <w:tc>
          <w:tcPr>
            <w:tcW w:w="7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pPr>
            <w:r>
              <w:rPr/>
              <w:t> </w:t>
            </w:r>
          </w:p>
        </w:tc>
        <w:tc>
          <w:tcPr>
            <w:tcW w:w="95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w:t>
            </w:r>
          </w:p>
        </w:tc>
        <w:tc>
          <w:tcPr>
            <w:tcW w:w="155" w:type="dxa"/>
            <w:tcBorders/>
            <w:vAlign w:val="center"/>
          </w:tcPr>
          <w:p>
            <w:pPr>
              <w:pStyle w:val="TableContents"/>
              <w:bidi w:val="0"/>
              <w:spacing w:before="0" w:after="283"/>
              <w:jc w:val="both"/>
              <w:rPr/>
            </w:pPr>
            <w:r>
              <w:rPr/>
              <w:t>=</w:t>
            </w:r>
          </w:p>
        </w:tc>
        <w:tc>
          <w:tcPr>
            <w:tcW w:w="9535" w:type="dxa"/>
            <w:tcBorders/>
            <w:vAlign w:val="center"/>
          </w:tcPr>
          <w:p>
            <w:pPr>
              <w:pStyle w:val="TableContents"/>
              <w:bidi w:val="0"/>
              <w:spacing w:before="0" w:after="283"/>
              <w:jc w:val="both"/>
              <w:rPr/>
            </w:pPr>
            <w:r>
              <w:rPr/>
              <w:t>the cash amount distributed per share of Common Stock in such dividend or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xml:space="preserve"> is equal to or greater than </w:t>
      </w:r>
      <w:r>
        <w:rPr>
          <w:rFonts w:ascii="Times New Roman;Times;Serif" w:hAnsi="Times New Roman;Times;Serif"/>
          <w:b w:val="false"/>
          <w:i/>
          <w:caps w:val="false"/>
          <w:smallCaps w:val="false"/>
          <w:sz w:val="20"/>
        </w:rPr>
        <w:t>SP</w:t>
      </w:r>
      <w:r>
        <w:rPr>
          <w:rFonts w:ascii="Times New Roman;Times;Serif" w:hAnsi="Times New Roman;Times;Serif"/>
          <w:b w:val="false"/>
          <w:i w:val="false"/>
          <w:caps w:val="false"/>
          <w:smallCaps w:val="false"/>
          <w:sz w:val="20"/>
        </w:rPr>
        <w:t>, then, in lieu of the foregoing adjustment to the Conversion Rate, each Holder will receive, for each $1,000 principal amount of Notes held by such Holder on the record date for such dividend or distribution, at the same time and on the same terms as holders of Common Stock, the amount of cash that such Holder would have received if such Holder had owned, on such record date, a number of shares of Common Stock equal to the Conversion Rate in effect on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dividend or distribution is declared but not made or paid, the Conversion Rate will be readjusted to the Conversion Rate that would then be in effect had the adjustment been made on the basis of only the dividend or distribution, if any, actually made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each adjustment to the Conversion Rate made pursuant to this </w:t>
      </w:r>
      <w:r>
        <w:rPr>
          <w:rFonts w:ascii="Times New Roman;Times;Serif" w:hAnsi="Times New Roman;Times;Serif"/>
          <w:b/>
          <w:i w:val="false"/>
          <w:caps w:val="false"/>
          <w:smallCaps w:val="false"/>
          <w:sz w:val="20"/>
        </w:rPr>
        <w:t>Section 5.05(A)(iv) </w:t>
      </w:r>
      <w:r>
        <w:rPr>
          <w:rFonts w:ascii="Times New Roman;Times;Serif" w:hAnsi="Times New Roman;Times;Serif"/>
          <w:b w:val="false"/>
          <w:i w:val="false"/>
          <w:caps w:val="false"/>
          <w:smallCaps w:val="false"/>
          <w:sz w:val="20"/>
        </w:rPr>
        <w:t>will become effective as of the time set forth in the preceding definition of CR</w:t>
      </w: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Tender Offers or Exchange Offers</w:t>
      </w:r>
      <w:r>
        <w:rPr>
          <w:rFonts w:ascii="Times New Roman;Times;Serif" w:hAnsi="Times New Roman;Times;Serif"/>
          <w:b w:val="false"/>
          <w:i w:val="false"/>
          <w:caps w:val="false"/>
          <w:smallCaps w:val="false"/>
          <w:sz w:val="20"/>
        </w:rPr>
        <w:t>. If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- 51 -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makes a payment in respect of a tender offer or exchange offer for shares of Common Stock, and the value (determined as of the Expiration Time by the Board of Directors) of the cash and other consideration paid per share of Common Stock in such tender or exchange offer exceeds the Last Reported Sale Price per share of Common Stock on the Trading Day immediately after the last date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on which tenders or exchanges may be made pursuant to such tender or exchange offer (as it may be amended), then the Conversion Rate will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524000" cy="419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24000" cy="419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CR</w:t>
            </w:r>
            <w:r>
              <w:rPr>
                <w:rFonts w:ascii="Times New Roman;Times;Serif" w:hAnsi="Times New Roman;Times;Serif"/>
                <w:i/>
                <w:position w:val="-2"/>
                <w:sz w:val="19"/>
              </w:rPr>
              <w:t>0</w:t>
            </w:r>
          </w:p>
        </w:tc>
        <w:tc>
          <w:tcPr>
            <w:tcW w:w="155" w:type="dxa"/>
            <w:tcBorders/>
            <w:vAlign w:val="center"/>
          </w:tcPr>
          <w:p>
            <w:pPr>
              <w:pStyle w:val="TableContents"/>
              <w:bidi w:val="0"/>
              <w:spacing w:before="0" w:after="283"/>
              <w:jc w:val="both"/>
              <w:rPr/>
            </w:pPr>
            <w:r>
              <w:rPr/>
              <w:t>=</w:t>
            </w:r>
          </w:p>
        </w:tc>
        <w:tc>
          <w:tcPr>
            <w:tcW w:w="9572" w:type="dxa"/>
            <w:tcBorders/>
            <w:vAlign w:val="center"/>
          </w:tcPr>
          <w:p>
            <w:pPr>
              <w:pStyle w:val="TableContents"/>
              <w:bidi w:val="0"/>
              <w:spacing w:before="0" w:after="283"/>
              <w:jc w:val="both"/>
              <w:rPr/>
            </w:pPr>
            <w:r>
              <w:rPr/>
              <w:t>the Conversion Rate in effect immediately before the Close of Business on the last Trading Day of the Tender/Exchange Offer Valuation Period for such tender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155"/>
        <w:gridCol w:w="9572"/>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CR</w:t>
            </w:r>
            <w:r>
              <w:rPr>
                <w:rFonts w:ascii="Times New Roman;Times;Serif" w:hAnsi="Times New Roman;Times;Serif"/>
                <w:i/>
                <w:position w:val="-2"/>
                <w:sz w:val="19"/>
              </w:rPr>
              <w:t>1</w:t>
            </w:r>
          </w:p>
        </w:tc>
        <w:tc>
          <w:tcPr>
            <w:tcW w:w="155" w:type="dxa"/>
            <w:tcBorders/>
            <w:vAlign w:val="center"/>
          </w:tcPr>
          <w:p>
            <w:pPr>
              <w:pStyle w:val="TableContents"/>
              <w:bidi w:val="0"/>
              <w:spacing w:before="0" w:after="283"/>
              <w:jc w:val="both"/>
              <w:rPr/>
            </w:pPr>
            <w:r>
              <w:rPr/>
              <w:t>=</w:t>
            </w:r>
          </w:p>
        </w:tc>
        <w:tc>
          <w:tcPr>
            <w:tcW w:w="9572" w:type="dxa"/>
            <w:tcBorders/>
            <w:vAlign w:val="center"/>
          </w:tcPr>
          <w:p>
            <w:pPr>
              <w:pStyle w:val="TableContents"/>
              <w:bidi w:val="0"/>
              <w:spacing w:before="0" w:after="283"/>
              <w:jc w:val="both"/>
              <w:rPr/>
            </w:pPr>
            <w:r>
              <w:rPr/>
              <w:t>the Conversion Rate in effect immediately after the Close of Business on the last Trading Day of the Tender/Exchange Offer Valuation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5"/>
        <w:gridCol w:w="155"/>
        <w:gridCol w:w="9677"/>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AC</w:t>
            </w:r>
          </w:p>
        </w:tc>
        <w:tc>
          <w:tcPr>
            <w:tcW w:w="155" w:type="dxa"/>
            <w:tcBorders/>
            <w:vAlign w:val="center"/>
          </w:tcPr>
          <w:p>
            <w:pPr>
              <w:pStyle w:val="TableContents"/>
              <w:bidi w:val="0"/>
              <w:spacing w:before="0" w:after="283"/>
              <w:jc w:val="both"/>
              <w:rPr/>
            </w:pPr>
            <w:r>
              <w:rPr/>
              <w:t>=</w:t>
            </w:r>
          </w:p>
        </w:tc>
        <w:tc>
          <w:tcPr>
            <w:tcW w:w="9677" w:type="dxa"/>
            <w:tcBorders/>
            <w:vAlign w:val="center"/>
          </w:tcPr>
          <w:p>
            <w:pPr>
              <w:pStyle w:val="TableContents"/>
              <w:bidi w:val="0"/>
              <w:spacing w:before="0" w:after="283"/>
              <w:jc w:val="both"/>
              <w:rPr/>
            </w:pPr>
            <w:r>
              <w:rPr/>
              <w:t>the aggregate value (determined as of the time (the “</w:t>
            </w:r>
            <w:r>
              <w:rPr>
                <w:b/>
              </w:rPr>
              <w:t>Expiration Time</w:t>
            </w:r>
            <w:r>
              <w:rPr/>
              <w:t>”) such tender or exchange offer expires by the Board of Directors) of all cash and other consideration paid for shares of Common Stock purchased or exchanged in such tender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155"/>
        <w:gridCol w:w="9587"/>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OS</w:t>
            </w:r>
            <w:r>
              <w:rPr>
                <w:rFonts w:ascii="Times New Roman;Times;Serif" w:hAnsi="Times New Roman;Times;Serif"/>
                <w:i/>
                <w:position w:val="-2"/>
                <w:sz w:val="19"/>
              </w:rPr>
              <w:t>0</w:t>
            </w:r>
          </w:p>
        </w:tc>
        <w:tc>
          <w:tcPr>
            <w:tcW w:w="155" w:type="dxa"/>
            <w:tcBorders/>
            <w:vAlign w:val="center"/>
          </w:tcPr>
          <w:p>
            <w:pPr>
              <w:pStyle w:val="TableContents"/>
              <w:bidi w:val="0"/>
              <w:spacing w:before="0" w:after="283"/>
              <w:jc w:val="both"/>
              <w:rPr/>
            </w:pPr>
            <w:r>
              <w:rPr/>
              <w:t>=</w:t>
            </w:r>
          </w:p>
        </w:tc>
        <w:tc>
          <w:tcPr>
            <w:tcW w:w="9587" w:type="dxa"/>
            <w:tcBorders/>
            <w:vAlign w:val="center"/>
          </w:tcPr>
          <w:p>
            <w:pPr>
              <w:pStyle w:val="TableContents"/>
              <w:bidi w:val="0"/>
              <w:spacing w:before="0" w:after="283"/>
              <w:jc w:val="both"/>
              <w:rPr/>
            </w:pPr>
            <w:r>
              <w:rPr/>
              <w:t>the number of shares of Common Stock outstanding immediately before the Expiration Time (including all shares of Common Stock accepted for purchase or exchange in such tender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5"/>
        <w:gridCol w:w="155"/>
        <w:gridCol w:w="9587"/>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OS</w:t>
            </w:r>
            <w:r>
              <w:rPr>
                <w:rFonts w:ascii="Times New Roman;Times;Serif" w:hAnsi="Times New Roman;Times;Serif"/>
                <w:i/>
                <w:position w:val="-2"/>
                <w:sz w:val="19"/>
              </w:rPr>
              <w:t>1</w:t>
            </w:r>
          </w:p>
        </w:tc>
        <w:tc>
          <w:tcPr>
            <w:tcW w:w="155" w:type="dxa"/>
            <w:tcBorders/>
            <w:vAlign w:val="center"/>
          </w:tcPr>
          <w:p>
            <w:pPr>
              <w:pStyle w:val="TableContents"/>
              <w:bidi w:val="0"/>
              <w:spacing w:before="0" w:after="283"/>
              <w:jc w:val="both"/>
              <w:rPr/>
            </w:pPr>
            <w:r>
              <w:rPr/>
              <w:t>=</w:t>
            </w:r>
          </w:p>
        </w:tc>
        <w:tc>
          <w:tcPr>
            <w:tcW w:w="9587" w:type="dxa"/>
            <w:tcBorders/>
            <w:vAlign w:val="center"/>
          </w:tcPr>
          <w:p>
            <w:pPr>
              <w:pStyle w:val="TableContents"/>
              <w:bidi w:val="0"/>
              <w:spacing w:before="0" w:after="283"/>
              <w:jc w:val="both"/>
              <w:rPr/>
            </w:pPr>
            <w:r>
              <w:rPr/>
              <w:t>the number of shares of Common Stock outstanding immediately after the Expiration Time (excluding all shares of Common Stock accepted for purchase or exchange in such tender or exchange offer);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155"/>
        <w:gridCol w:w="9722"/>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SP</w:t>
            </w:r>
          </w:p>
        </w:tc>
        <w:tc>
          <w:tcPr>
            <w:tcW w:w="155" w:type="dxa"/>
            <w:tcBorders/>
            <w:vAlign w:val="center"/>
          </w:tcPr>
          <w:p>
            <w:pPr>
              <w:pStyle w:val="TableContents"/>
              <w:bidi w:val="0"/>
              <w:spacing w:before="0" w:after="283"/>
              <w:jc w:val="left"/>
              <w:rPr/>
            </w:pPr>
            <w:r>
              <w:rPr/>
              <w:t>=</w:t>
            </w:r>
          </w:p>
        </w:tc>
        <w:tc>
          <w:tcPr>
            <w:tcW w:w="9722" w:type="dxa"/>
            <w:tcBorders/>
            <w:vAlign w:val="center"/>
          </w:tcPr>
          <w:p>
            <w:pPr>
              <w:pStyle w:val="TableContents"/>
              <w:bidi w:val="0"/>
              <w:spacing w:before="0" w:after="283"/>
              <w:jc w:val="both"/>
              <w:rPr/>
            </w:pPr>
            <w:r>
              <w:rPr/>
              <w:t>the average of the Last Reported Sale Prices per share of Common Stock over the ten (10) consecutive Trading Day period (the “</w:t>
            </w:r>
            <w:r>
              <w:rPr>
                <w:b/>
              </w:rPr>
              <w:t>Tender/Exchange Offer Valuation Period</w:t>
            </w:r>
            <w:r>
              <w:rPr/>
              <w:t>”) beginning on, and including, the Trading Day immediately after the Expiration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Conversion Rate will in no event be adjusted down pursuant to this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xml:space="preserve">, except to the extent provided in the immediately following paragraph. Notwithstanding anything to the contrary in this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xml:space="preserve">, if any VWAP Trading Day of the Observation Period for a Note to be converted occurs during the Tender/Exchange Offer Valuation Period for such tender or exchange offer, then, solely for purposes of determining the Conversion Rate for such VWAP Trading Day for such conversion, such Tender/Exchange Offer Valuation Period will be deemed to consist of the Trading Days occurring in the period from, and including, the Trading Day immediately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- 52 -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Expiration Date for such tender or exchange offer to, and including, such VWAP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tender or exchange offer is announced but not consummated (including as a result of the Company being precluded from consummating such tender or exchange offer under applicable law), or any purchases or exchanges of shares of Common Stock in such tender or exchange offer are rescinded, the Conversion Rate will be readjusted to the Conversion Rate that would then be in effect had the adjustment been made on the basis of only the purchases or exchanges of shares of Common Stock, if any, actually made, and not rescinded, in such tender or exchange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each adjustment to the Conversion Rate made pursuant to this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will become effective as of the time set forth in the preceding definition of CR</w:t>
      </w: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 Adjustments in Certain Cases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Where Holders Participate in the Transaction or Event Without Conversion</w:t>
      </w:r>
      <w:r>
        <w:rPr>
          <w:rFonts w:ascii="Times New Roman;Times;Serif" w:hAnsi="Times New Roman;Times;Serif"/>
          <w:b w:val="false"/>
          <w:i w:val="false"/>
          <w:caps w:val="false"/>
          <w:smallCaps w:val="false"/>
          <w:sz w:val="20"/>
        </w:rPr>
        <w:t xml:space="preserve">. Notwithstanding anything to the contrary in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the Company will not be obligated to adjust the Conversion Rate on account of a transaction or other event otherwise requiring an adjustment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(other than a stock split or combination of the type set forth in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xml:space="preserve"> or a tender or exchange offer of the type set forth in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 if each Holder participates, at the same time and on the same terms as holders of Common Stock, and solely by virtue of being a Holder of Notes, in such transaction or event without having to convert such Holder’s Notes and as if such Holder held a number of shares of Common Stock equal to the product of (i) the Conversion Rate in effect on the related record date; and (ii) the aggregate principal amount (expressed in thousands) of Notes held by such Holder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Certain Events</w:t>
      </w:r>
      <w:r>
        <w:rPr>
          <w:rFonts w:ascii="Times New Roman;Times;Serif" w:hAnsi="Times New Roman;Times;Serif"/>
          <w:b w:val="false"/>
          <w:i w:val="false"/>
          <w:caps w:val="false"/>
          <w:smallCaps w:val="false"/>
          <w:sz w:val="20"/>
        </w:rPr>
        <w:t xml:space="preserve">. The Company will not be required to adjust the Conversion Rate except as provided in </w:t>
      </w:r>
      <w:r>
        <w:rPr>
          <w:rFonts w:ascii="Times New Roman;Times;Serif" w:hAnsi="Times New Roman;Times;Serif"/>
          <w:b/>
          <w:i w:val="false"/>
          <w:caps w:val="false"/>
          <w:smallCaps w:val="false"/>
          <w:sz w:val="20"/>
        </w:rPr>
        <w:t>Section 5.05</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Without limiting the foregoing, the Company will not be obligated to adjust the Conversion Rate on account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stock repurchases, including pursuant to structured or derivative transactions or transactions pursuant to a stock repurchase program approved by the Board of Directors or otherwise, in each case that are not tender offers or exchange offers of the type referred to in </w:t>
      </w:r>
      <w:r>
        <w:rPr>
          <w:rFonts w:ascii="Times New Roman;Times;Serif" w:hAnsi="Times New Roman;Times;Serif"/>
          <w:b/>
          <w:i w:val="false"/>
          <w:caps w:val="false"/>
          <w:smallCaps w:val="false"/>
          <w:sz w:val="20"/>
        </w:rPr>
        <w:t>Section 5.05(A)(v)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except as otherwise provided in </w:t>
      </w:r>
      <w:r>
        <w:rPr>
          <w:rFonts w:ascii="Times New Roman;Times;Serif" w:hAnsi="Times New Roman;Times;Serif"/>
          <w:b/>
          <w:i w:val="false"/>
          <w:caps w:val="false"/>
          <w:smallCaps w:val="false"/>
          <w:sz w:val="20"/>
        </w:rPr>
        <w:t>Section 5.05</w:t>
      </w:r>
      <w:r>
        <w:rPr>
          <w:rFonts w:ascii="Times New Roman;Times;Serif" w:hAnsi="Times New Roman;Times;Serif"/>
          <w:b w:val="false"/>
          <w:i w:val="false"/>
          <w:caps w:val="false"/>
          <w:smallCaps w:val="false"/>
          <w:sz w:val="20"/>
        </w:rPr>
        <w:t>, the sale of shares of Common Stock for a purchase price that is less than the market price per share of Common Stock or less than the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issuance of any shares of Common Stock pursuant to any present or future plan providing for the reinvestment of dividends or interest payable on the Company’s securities and the investment of additional optional amounts in shares of Common Stock under any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- 53 -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issuance of any shares of Common Stock or options or rights to purchase shares of Common Stock pursuant to any present or future employee, director or consultant benefit plan, program or agreement of, or assumed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issuance of any shares of Common Stock pursuant to any option, warrant or right or any exercisable, convertible or exchangeable security of the Company outstanding as of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solely a change in the par value of the Common Stock;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accrued and unpaid interest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Adjustment Deferral</w:t>
      </w:r>
      <w:r>
        <w:rPr>
          <w:rFonts w:ascii="Times New Roman;Times;Serif" w:hAnsi="Times New Roman;Times;Serif"/>
          <w:b w:val="false"/>
          <w:i w:val="false"/>
          <w:caps w:val="false"/>
          <w:smallCaps w:val="false"/>
          <w:sz w:val="20"/>
        </w:rPr>
        <w:t xml:space="preserve">. If an adjustment to the Conversion Rate otherwise required by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would result in a change of less than one percent (1%) to the Conversion Rate, then, notwithstanding anything to the contrary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the Company may, at its election, defer such adjustment, except that all such deferred adjustments must be given effect immediately upon the earliest of the following: (i) when all such deferred adjustments would result in a change of at least one percent (1%) to the Conversion Rate; (ii) the Conversion Date of, or any VWAP Trading Day of an Observation Period for, any Note; (iii) the date a Fundamental Change or Make-Whole Fundamental Change occurs; (iv) the date the Company calls any Notes for Redemption; and (v) the eighty-fifth (85th) Scheduled Trading Day immediately before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Adjustments Not Yet Effective</w:t>
      </w:r>
      <w:r>
        <w:rPr>
          <w:rFonts w:ascii="Times New Roman;Times;Serif" w:hAnsi="Times New Roman;Times;Serif"/>
          <w:b w:val="false"/>
          <w:i w:val="false"/>
          <w:caps w:val="false"/>
          <w:smallCaps w:val="false"/>
          <w:sz w:val="20"/>
        </w:rPr>
        <w:t>. Notwithstanding anything to the contrary in this Indenture or the Notes,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Note is to be converted pursuant to Combination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record date, effective date or Expiration Time for any event that requires an adjustment to the Conversion Rate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has occurred on or before any VWAP Trading Day in the Observation Period for such conversion, but an adjustment to the Conversion Rate for such event has not yet become effective as of such VWAP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Conversion Consideration due in respect of such VWAP Trading Day includes any whole or fractional shares of Common Stock;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shares are not entitled to participate in such event (because they were not held on the related record date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solely for purposes of such conversion, the Company will, without duplication, give effect to such adjustment on such VWAP Trading Day. In such case, if the date on which the Company is otherwise required to deliver the consideration due upon such conversion is before the first date on which the amount of such adjustment can be determined, then the Company will delay the settlement of such conversion until the second (2nd) Business Day after such first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Conversion Rate Adjustments where Converting Holders Participate in the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- 54 -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Relevant Transaction or Event. Notwithstanding anything to the contrary in this Indenture or the Notes,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Conversion Rate adjustment for any dividend or distribution becomes effective on any Ex-Dividend Date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Note is to be converted pursuant to Combination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VWAP Trading Day in the Observation Period for such conversion occurs on or after such Ex-Dividend Date and on or before the related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Conversion Consideration due in respect of such VWAP Trading Day includes any whole or fractional shares of Common Stock based on a Conversion Rate that is adjusted for such dividend or distribution;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such shares would be entitled to participate in such dividend or distribution (including pursuant to </w:t>
      </w:r>
      <w:r>
        <w:rPr>
          <w:rFonts w:ascii="Times New Roman;Times;Serif" w:hAnsi="Times New Roman;Times;Serif"/>
          <w:b/>
          <w:i w:val="false"/>
          <w:caps w:val="false"/>
          <w:smallCaps w:val="false"/>
          <w:sz w:val="20"/>
        </w:rPr>
        <w:t>Section 5.02(C)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Conversion Rate adjustment relating to such Ex-Dividend Date will be made for such conversion in respect of such VWAP Trading Day, but the shares of Common Stock issuable with respect to such VWAP Trading Day based on such adjusted Conversion Rate will not be entitled to participate in such dividend 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Stockholder Rights Plans</w:t>
      </w:r>
      <w:r>
        <w:rPr>
          <w:rFonts w:ascii="Times New Roman;Times;Serif" w:hAnsi="Times New Roman;Times;Serif"/>
          <w:b w:val="false"/>
          <w:i w:val="false"/>
          <w:caps w:val="false"/>
          <w:smallCaps w:val="false"/>
          <w:sz w:val="20"/>
        </w:rPr>
        <w:t xml:space="preserve">. If any shares of Common Stock are to be issued upon conversion of any Note and, at the time of such conversion, the Company has in effect any stockholder rights plan, then the Holder of such Note will be entitled to receive, in addition to, and concurrently with the delivery of, the Conversion Consideration otherwise payable under this Indenture upon such conversion, the rights set forth in such stockholder rights plan, unless such rights have separated from the Common Stock at such time, in which case, and only in such case, the Conversion Rate will be adjusted pursuant to </w:t>
      </w:r>
      <w:r>
        <w:rPr>
          <w:rFonts w:ascii="Times New Roman;Times;Serif" w:hAnsi="Times New Roman;Times;Serif"/>
          <w:b/>
          <w:i w:val="false"/>
          <w:caps w:val="false"/>
          <w:smallCaps w:val="false"/>
          <w:sz w:val="20"/>
        </w:rPr>
        <w:t>Section 5.05(A)(iii)(1)</w:t>
      </w:r>
      <w:r>
        <w:rPr>
          <w:rFonts w:ascii="Times New Roman;Times;Serif" w:hAnsi="Times New Roman;Times;Serif"/>
          <w:b w:val="false"/>
          <w:i w:val="false"/>
          <w:caps w:val="false"/>
          <w:smallCaps w:val="false"/>
          <w:sz w:val="20"/>
        </w:rPr>
        <w:t> on account of such separation as if, at the time of such separation, the Company had made a distribution of the type referred to in such Section to all holders of the Common Stock, subject to readjustment in accordance with such Section if such rights expire, terminate or are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Limitation on Effecting Transactions Resulting in Certain Adjustments</w:t>
      </w:r>
      <w:r>
        <w:rPr>
          <w:rFonts w:ascii="Times New Roman;Times;Serif" w:hAnsi="Times New Roman;Times;Serif"/>
          <w:b w:val="false"/>
          <w:i w:val="false"/>
          <w:caps w:val="false"/>
          <w:smallCaps w:val="false"/>
          <w:sz w:val="20"/>
        </w:rPr>
        <w:t xml:space="preserve">. The Company will not engage in or be a party to any transaction or event that would require the Conversion Rate to be adjusted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xml:space="preserve"> to an amount that would result in the Conversion Price per share of Common Stock being less than the par value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Equitable Adjustments to Prices</w:t>
      </w:r>
      <w:r>
        <w:rPr>
          <w:rFonts w:ascii="Times New Roman;Times;Serif" w:hAnsi="Times New Roman;Times;Serif"/>
          <w:b w:val="false"/>
          <w:i w:val="false"/>
          <w:caps w:val="false"/>
          <w:smallCaps w:val="false"/>
          <w:sz w:val="20"/>
        </w:rPr>
        <w:t xml:space="preserve">. Whenever any provision of this Indenture requires the Company to calculate the average of the Last Reported Sale Prices, or any function thereof, over a period of multiple days (including to calculate the Stock Price or an adjustment to the Conversion Rate), or to calculate Daily VWAPs over an Observation Period, the Company will make proportionate adjustments, if any, to such calculations to account for any adjustment to the Conversion Rate pursuant to </w:t>
      </w:r>
      <w:r>
        <w:rPr>
          <w:rFonts w:ascii="Times New Roman;Times;Serif" w:hAnsi="Times New Roman;Times;Serif"/>
          <w:b/>
          <w:i w:val="false"/>
          <w:caps w:val="false"/>
          <w:smallCaps w:val="false"/>
          <w:sz w:val="20"/>
        </w:rPr>
        <w:t>Section 5.05(A)(i)</w:t>
      </w:r>
      <w:r>
        <w:rPr>
          <w:rFonts w:ascii="Times New Roman;Times;Serif" w:hAnsi="Times New Roman;Times;Serif"/>
          <w:b w:val="false"/>
          <w:i w:val="false"/>
          <w:caps w:val="false"/>
          <w:smallCaps w:val="false"/>
          <w:sz w:val="20"/>
        </w:rPr>
        <w:t xml:space="preserve"> that becomes effective, or any event requiring such an adjustment to the Conversion Rate where the Ex-Dividend Date or effective date, as applicable, of such event occurs, at any time during such period or Observation Period, as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- 55 -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Calculation of Number of Outstanding Shares of Common Stock</w:t>
      </w:r>
      <w:r>
        <w:rPr>
          <w:rFonts w:ascii="Times New Roman;Times;Serif" w:hAnsi="Times New Roman;Times;Serif"/>
          <w:b w:val="false"/>
          <w:i w:val="false"/>
          <w:caps w:val="false"/>
          <w:smallCaps w:val="false"/>
          <w:sz w:val="20"/>
        </w:rPr>
        <w:t xml:space="preserve">. For purposes of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the number of shares of Common Stock outstanding at any time will (i) include shares issuable in respect of scrip certificates issued in lieu of fractions of shares of Common Stock; and (ii) exclude shares of Common Stock held in the Company’s treasury (unless the Company pays any dividend or makes any distribution on shares of Common Stock held in its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Calculations</w:t>
      </w:r>
      <w:r>
        <w:rPr>
          <w:rFonts w:ascii="Times New Roman;Times;Serif" w:hAnsi="Times New Roman;Times;Serif"/>
          <w:b w:val="false"/>
          <w:i w:val="false"/>
          <w:caps w:val="false"/>
          <w:smallCaps w:val="false"/>
          <w:sz w:val="20"/>
        </w:rPr>
        <w:t>. All calculations with respect to the Conversion Rate and adjustments thereto will be made to the nearest 1/10,000th of a share of Common Stock (with 5/100,000ths rounded upward).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Notice of Conversion Rate Adjustments</w:t>
      </w:r>
      <w:r>
        <w:rPr>
          <w:rFonts w:ascii="Times New Roman;Times;Serif" w:hAnsi="Times New Roman;Times;Serif"/>
          <w:b w:val="false"/>
          <w:i w:val="false"/>
          <w:caps w:val="false"/>
          <w:smallCaps w:val="false"/>
          <w:sz w:val="20"/>
        </w:rPr>
        <w:t xml:space="preserve">. Upon the effectiveness of any adjustment to the Conversion Rate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the Company will promptly send notice to the Holders, the Trustee and the Conversion Agent containing (i) a brief description of the transaction or other event on account of which such adjustment was made; (ii) the Conversion Rate in effect immediately after such adjustment; and (iii) the effective time of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Trustee Adjustment Disclaimer</w:t>
      </w:r>
      <w:r>
        <w:rPr>
          <w:rFonts w:ascii="Times New Roman;Times;Serif" w:hAnsi="Times New Roman;Times;Serif"/>
          <w:b w:val="false"/>
          <w:i w:val="false"/>
          <w:caps w:val="false"/>
          <w:smallCaps w:val="false"/>
          <w:sz w:val="20"/>
        </w:rPr>
        <w:t xml:space="preserve">. The Trustee has no duty to determine when an adjustment under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should be made, how it should be made or what it should be. The Trustee will not be accountable for and makes no representation as to the validity or value of any securities or assets issued upon conversion of Notes. The Trustee will not be responsible for the Company's failure to comply with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Each Conversion Agent (other than the Company or an affiliate of the Company) will have the same protection under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as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5.06.</w:t>
      </w:r>
      <w:r>
        <w:rPr>
          <w:rFonts w:ascii="Times New Roman;Times;Serif" w:hAnsi="Times New Roman;Times;Serif"/>
          <w:b w:val="false"/>
          <w:i w:val="false"/>
          <w:smallCaps/>
          <w:sz w:val="20"/>
        </w:rPr>
        <w:t>    </w:t>
      </w:r>
      <w:r>
        <w:rPr>
          <w:rFonts w:ascii="Times New Roman;Times;Serif" w:hAnsi="Times New Roman;Times;Serif"/>
          <w:b/>
          <w:i w:val="false"/>
          <w:smallCaps/>
          <w:sz w:val="20"/>
        </w:rPr>
        <w:t>Voluntary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To the extent permitted by law and applicable stock exchange rules, the Company, from time to time, may (but is not required to) increase the Conversion Rate by any amount if (i) the Board of Directors determines that such increase is either (x) in the best interest of the Company; or (y) advisable to avoid or diminish any income tax imposed on holders of Common Stock or rights to purchase Common Stock as a result of any dividend or distribution of shares (or rights to acquire shares) of Common Stock or any similar event; (ii) such increase is in effect for a period of at least twenty (20) Business Days; and (iii) such increase is irrevocable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Notice of Voluntary Increases</w:t>
      </w:r>
      <w:r>
        <w:rPr>
          <w:rFonts w:ascii="Times New Roman;Times;Serif" w:hAnsi="Times New Roman;Times;Serif"/>
          <w:b w:val="false"/>
          <w:i w:val="false"/>
          <w:caps w:val="false"/>
          <w:smallCaps w:val="false"/>
          <w:sz w:val="20"/>
        </w:rPr>
        <w:t xml:space="preserve">. If the Board of Directors determines to increase the Conversion Rate pursuant to </w:t>
      </w:r>
      <w:r>
        <w:rPr>
          <w:rFonts w:ascii="Times New Roman;Times;Serif" w:hAnsi="Times New Roman;Times;Serif"/>
          <w:b/>
          <w:i w:val="false"/>
          <w:caps w:val="false"/>
          <w:smallCaps w:val="false"/>
          <w:sz w:val="20"/>
        </w:rPr>
        <w:t>Section 5.06(A)</w:t>
      </w:r>
      <w:r>
        <w:rPr>
          <w:rFonts w:ascii="Times New Roman;Times;Serif" w:hAnsi="Times New Roman;Times;Serif"/>
          <w:b w:val="false"/>
          <w:i w:val="false"/>
          <w:caps w:val="false"/>
          <w:smallCaps w:val="false"/>
          <w:sz w:val="20"/>
        </w:rPr>
        <w:t xml:space="preserve">, then, no later than the first Business Day of the related twenty (20) Business Day period referred to in </w:t>
      </w:r>
      <w:r>
        <w:rPr>
          <w:rFonts w:ascii="Times New Roman;Times;Serif" w:hAnsi="Times New Roman;Times;Serif"/>
          <w:b/>
          <w:i w:val="false"/>
          <w:caps w:val="false"/>
          <w:smallCaps w:val="false"/>
          <w:sz w:val="20"/>
        </w:rPr>
        <w:t>Section 5.06(A)</w:t>
      </w:r>
      <w:r>
        <w:rPr>
          <w:rFonts w:ascii="Times New Roman;Times;Serif" w:hAnsi="Times New Roman;Times;Serif"/>
          <w:b w:val="false"/>
          <w:i w:val="false"/>
          <w:caps w:val="false"/>
          <w:smallCaps w:val="false"/>
          <w:sz w:val="20"/>
        </w:rPr>
        <w:t>, the Company will send notice to each Holder, the Trustee and the Conversion Agent of such increase, the amount thereof and the period during which such increase will be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5.07.</w:t>
      </w:r>
      <w:r>
        <w:rPr>
          <w:rFonts w:ascii="Times New Roman;Times;Serif" w:hAnsi="Times New Roman;Times;Serif"/>
          <w:b w:val="false"/>
          <w:i w:val="false"/>
          <w:smallCaps/>
          <w:sz w:val="20"/>
        </w:rPr>
        <w:t>    </w:t>
      </w:r>
      <w:r>
        <w:rPr>
          <w:rFonts w:ascii="Times New Roman;Times;Serif" w:hAnsi="Times New Roman;Times;Serif"/>
          <w:b/>
          <w:i w:val="false"/>
          <w:smallCaps/>
          <w:sz w:val="20"/>
        </w:rPr>
        <w:t>Adjustments to the Conversion Rate in Connection with a Make-Whole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If a Make-Whole Fundamental Change occurs and the Conversion Date for the conversion of a Note occurs during the related Make-Whole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- 56 -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Conversion Period, then, subject to this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the Conversion Rate applicable to such conversion will be increased by a number of shares (the “</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set forth in the table below corresponding (after interpolation as provided in, and subject to, the provisions below) to the Make-Whole Fundamental Change Effective Date and the Stock Price of such Make-Whole Fundamental Change:</w:t>
      </w:r>
    </w:p>
    <w:p>
      <w:pPr>
        <w:pStyle w:val="TextBody"/>
        <w:bidi w:val="0"/>
        <w:spacing w:before="0" w:after="0"/>
        <w:ind w:left="0" w:right="0" w:hanging="0"/>
        <w:jc w:val="left"/>
        <w:rPr>
          <w:caps w:val="false"/>
          <w:smallCaps w:val="false"/>
        </w:rPr>
      </w:pPr>
      <w:r>
        <w:rPr>
          <w:caps w:val="false"/>
          <w:smallCaps w:val="false"/>
        </w:rPr>
        <w:t> </w:t>
      </w:r>
    </w:p>
    <w:tbl>
      <w:tblPr>
        <w:tblW w:w="8640" w:type="dxa"/>
        <w:jc w:val="left"/>
        <w:tblInd w:w="0" w:type="dxa"/>
        <w:tblLayout w:type="fixed"/>
        <w:tblCellMar>
          <w:top w:w="0" w:type="dxa"/>
          <w:left w:w="0" w:type="dxa"/>
          <w:bottom w:w="0" w:type="dxa"/>
          <w:right w:w="0" w:type="dxa"/>
        </w:tblCellMar>
      </w:tblPr>
      <w:tblGrid>
        <w:gridCol w:w="1025"/>
        <w:gridCol w:w="60"/>
        <w:gridCol w:w="95"/>
        <w:gridCol w:w="425"/>
        <w:gridCol w:w="60"/>
        <w:gridCol w:w="95"/>
        <w:gridCol w:w="425"/>
        <w:gridCol w:w="60"/>
        <w:gridCol w:w="95"/>
        <w:gridCol w:w="425"/>
        <w:gridCol w:w="60"/>
        <w:gridCol w:w="95"/>
        <w:gridCol w:w="425"/>
        <w:gridCol w:w="60"/>
        <w:gridCol w:w="95"/>
        <w:gridCol w:w="425"/>
        <w:gridCol w:w="60"/>
        <w:gridCol w:w="95"/>
        <w:gridCol w:w="425"/>
        <w:gridCol w:w="60"/>
        <w:gridCol w:w="95"/>
        <w:gridCol w:w="425"/>
        <w:gridCol w:w="60"/>
        <w:gridCol w:w="95"/>
        <w:gridCol w:w="425"/>
        <w:gridCol w:w="60"/>
        <w:gridCol w:w="95"/>
        <w:gridCol w:w="425"/>
        <w:gridCol w:w="60"/>
        <w:gridCol w:w="95"/>
        <w:gridCol w:w="425"/>
        <w:gridCol w:w="60"/>
        <w:gridCol w:w="95"/>
        <w:gridCol w:w="425"/>
        <w:gridCol w:w="60"/>
        <w:gridCol w:w="95"/>
        <w:gridCol w:w="425"/>
        <w:gridCol w:w="60"/>
        <w:gridCol w:w="95"/>
        <w:gridCol w:w="425"/>
        <w:gridCol w:w="75"/>
      </w:tblGrid>
      <w:tr>
        <w:trPr/>
        <w:tc>
          <w:tcPr>
            <w:tcW w:w="10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80" w:type="dxa"/>
            <w:gridSpan w:val="3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Stock Price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Make-Whole</w:t>
              <w:br/>
              <w:t>Fundamental</w:t>
              <w:br/>
              <w:t>Change</w:t>
              <w:br/>
              <w:t>Effective</w:t>
              <w:b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67.64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75.00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87.93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114.31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125.00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150.00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250.00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350.00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400.00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w:t>
            </w:r>
          </w:p>
        </w:tc>
        <w:tc>
          <w:tcPr>
            <w:tcW w:w="425"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450.00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January 23,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3.4117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2.7615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1.4700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1.0742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0.8646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0.5440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0.2422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0.1142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0.0518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0.0196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January 15,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2.7615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1.9476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1.4279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1.0199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0.8084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0.4938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0.2114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0.0972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0.0429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0.0156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January 15,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3.4117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2.7536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1.8490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0.9084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0.7042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0.4121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0.1671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0.0740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0.0309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January 15, 2027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2.6531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1.6961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1.1520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0.7566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0.5673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0.3125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0.1191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0.0508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0.0198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January 15, 2028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3.4117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1.4752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0.9258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0.5573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0.3953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0.1995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0.0725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0.0305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0.0108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January 15, 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1.1145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0.5801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0.2866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0.1826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0.0835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0.0327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0.0143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January 15, 2030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3.4117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Make-Whole Fundamental Change Effective Date or Stock Price is not set forth in the table above,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such Stock Price is between two Stock Prices in the table above or the Make-Whole Fundamental Change Effective Date is between two dates in the table above, then the number of Additional Shares will be determined by a straight-line interpolation between the numbers of Additional Shares set forth for the higher and lower Stock Prices in the table above or the earlier and later dates in the table above, based on a 365- or 366-day year, as applicable;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Stock Price is greater than $450 (subject to adjustment in the same manner as the Stock Prices set forth in the column headings of the table above are adjusted pursuant to </w:t>
      </w:r>
      <w:r>
        <w:rPr>
          <w:rFonts w:ascii="Times New Roman;Times;Serif" w:hAnsi="Times New Roman;Times;Serif"/>
          <w:b/>
          <w:i w:val="false"/>
          <w:caps w:val="false"/>
          <w:smallCaps w:val="false"/>
          <w:sz w:val="20"/>
        </w:rPr>
        <w:t>Section 5.07(B)</w:t>
      </w:r>
      <w:r>
        <w:rPr>
          <w:rFonts w:ascii="Times New Roman;Times;Serif" w:hAnsi="Times New Roman;Times;Serif"/>
          <w:b w:val="false"/>
          <w:i w:val="false"/>
          <w:caps w:val="false"/>
          <w:smallCaps w:val="false"/>
          <w:sz w:val="20"/>
        </w:rPr>
        <w:t>), or less than $67.64 (subject to adjustment in the same manner), per share, then no Additional Shares will be added to the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Indenture or the Notes, in no event will the Conversion Rate be increased to an amount that exceeds 14.7841 shares of Common Stock per $1,000 principal amount of Notes, which amount is subject to adjustment in the same manner as, and at the same time and for the same events for which, the Conversion Rate is required to be adjusted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but subject to </w:t>
      </w:r>
      <w:r>
        <w:rPr>
          <w:rFonts w:ascii="Times New Roman;Times;Serif" w:hAnsi="Times New Roman;Times;Serif"/>
          <w:b/>
          <w:i w:val="false"/>
          <w:caps w:val="false"/>
          <w:smallCaps w:val="false"/>
          <w:sz w:val="20"/>
        </w:rPr>
        <w:t>Section 4.03(I)</w:t>
      </w:r>
      <w:r>
        <w:rPr>
          <w:rFonts w:ascii="Times New Roman;Times;Serif" w:hAnsi="Times New Roman;Times;Serif"/>
          <w:b w:val="false"/>
          <w:i w:val="false"/>
          <w:caps w:val="false"/>
          <w:smallCaps w:val="false"/>
          <w:sz w:val="20"/>
        </w:rPr>
        <w:t xml:space="preserve">, (x) the sending of a Redemption Notice will constitute a Make-Whole Fundamental Change only with respect to the Notes called for Redemption pursuant to such Redemption Notice, and not with respect to any other Notes; and (y) the Conversion Rate applicable to the Notes not so called for Redemption will not be subject to increase pursuant to this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xml:space="preserve"> on account of such Redemption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- 57 -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Adjustment of Stock Prices and Additional Shares</w:t>
      </w:r>
      <w:r>
        <w:rPr>
          <w:rFonts w:ascii="Times New Roman;Times;Serif" w:hAnsi="Times New Roman;Times;Serif"/>
          <w:b w:val="false"/>
          <w:i w:val="false"/>
          <w:caps w:val="false"/>
          <w:smallCaps w:val="false"/>
          <w:sz w:val="20"/>
        </w:rPr>
        <w:t>. The Stock Prices in the first row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the column headers) of the table set forth in </w:t>
      </w:r>
      <w:r>
        <w:rPr>
          <w:rFonts w:ascii="Times New Roman;Times;Serif" w:hAnsi="Times New Roman;Times;Serif"/>
          <w:b/>
          <w:i w:val="false"/>
          <w:caps w:val="false"/>
          <w:smallCaps w:val="false"/>
          <w:sz w:val="20"/>
        </w:rPr>
        <w:t>Section 5.07(A)</w:t>
      </w:r>
      <w:r>
        <w:rPr>
          <w:rFonts w:ascii="Times New Roman;Times;Serif" w:hAnsi="Times New Roman;Times;Serif"/>
          <w:b w:val="false"/>
          <w:i w:val="false"/>
          <w:caps w:val="false"/>
          <w:smallCaps w:val="false"/>
          <w:sz w:val="20"/>
        </w:rPr>
        <w:t xml:space="preserve"> will be adjusted in the same manner as, and at the same time and for the same events for which, the Conversion Price is adjusted as a result of the operation of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The numbers of Additional Shares in the table set forth in </w:t>
      </w:r>
      <w:r>
        <w:rPr>
          <w:rFonts w:ascii="Times New Roman;Times;Serif" w:hAnsi="Times New Roman;Times;Serif"/>
          <w:b/>
          <w:i w:val="false"/>
          <w:caps w:val="false"/>
          <w:smallCaps w:val="false"/>
          <w:sz w:val="20"/>
        </w:rPr>
        <w:t>Section 5.07(A)</w:t>
      </w:r>
      <w:r>
        <w:rPr>
          <w:rFonts w:ascii="Times New Roman;Times;Serif" w:hAnsi="Times New Roman;Times;Serif"/>
          <w:b w:val="false"/>
          <w:i w:val="false"/>
          <w:caps w:val="false"/>
          <w:smallCaps w:val="false"/>
          <w:sz w:val="20"/>
        </w:rPr>
        <w:t xml:space="preserve"> will be adjusted in the same manner as, and at the same time and for the same events for which, the Conversion Rate is adjusted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Notice of the Occurrence of a Make-Whole Fundamental Change</w:t>
      </w:r>
      <w:r>
        <w:rPr>
          <w:rFonts w:ascii="Times New Roman;Times;Serif" w:hAnsi="Times New Roman;Times;Serif"/>
          <w:b w:val="false"/>
          <w:i w:val="false"/>
          <w:caps w:val="false"/>
          <w:smallCaps w:val="false"/>
          <w:sz w:val="20"/>
        </w:rPr>
        <w:t xml:space="preserve">. The Company will notify the Holders, the Trustee and the Conversion Agent of each Make-Whole Fundamental Change (i) occurring pursuant to </w:t>
      </w:r>
      <w:r>
        <w:rPr>
          <w:rFonts w:ascii="Times New Roman;Times;Serif" w:hAnsi="Times New Roman;Times;Serif"/>
          <w:b/>
          <w:i w:val="false"/>
          <w:caps w:val="false"/>
          <w:smallCaps w:val="false"/>
          <w:sz w:val="20"/>
        </w:rPr>
        <w:t>clause (A)</w:t>
      </w:r>
      <w:r>
        <w:rPr>
          <w:rFonts w:ascii="Times New Roman;Times;Serif" w:hAnsi="Times New Roman;Times;Serif"/>
          <w:b w:val="false"/>
          <w:i w:val="false"/>
          <w:caps w:val="false"/>
          <w:smallCaps w:val="false"/>
          <w:sz w:val="20"/>
        </w:rPr>
        <w:t xml:space="preserve"> of the definition thereof in accordance with </w:t>
      </w:r>
      <w:r>
        <w:rPr>
          <w:rFonts w:ascii="Times New Roman;Times;Serif" w:hAnsi="Times New Roman;Times;Serif"/>
          <w:b/>
          <w:i w:val="false"/>
          <w:caps w:val="false"/>
          <w:smallCaps w:val="false"/>
          <w:sz w:val="20"/>
        </w:rPr>
        <w:t>Section 5.01(C)(i)(3)(b)</w:t>
      </w:r>
      <w:r>
        <w:rPr>
          <w:rFonts w:ascii="Times New Roman;Times;Serif" w:hAnsi="Times New Roman;Times;Serif"/>
          <w:b w:val="false"/>
          <w:i w:val="false"/>
          <w:caps w:val="false"/>
          <w:smallCaps w:val="false"/>
          <w:sz w:val="20"/>
        </w:rPr>
        <w:t xml:space="preserve">; and (ii) occurring pursuant to </w:t>
      </w:r>
      <w:r>
        <w:rPr>
          <w:rFonts w:ascii="Times New Roman;Times;Serif" w:hAnsi="Times New Roman;Times;Serif"/>
          <w:b/>
          <w:i w:val="false"/>
          <w:caps w:val="false"/>
          <w:smallCaps w:val="false"/>
          <w:sz w:val="20"/>
        </w:rPr>
        <w:t>clause (B)</w:t>
      </w:r>
      <w:r>
        <w:rPr>
          <w:rFonts w:ascii="Times New Roman;Times;Serif" w:hAnsi="Times New Roman;Times;Serif"/>
          <w:b w:val="false"/>
          <w:i w:val="false"/>
          <w:caps w:val="false"/>
          <w:smallCaps w:val="false"/>
          <w:sz w:val="20"/>
        </w:rPr>
        <w:t xml:space="preserve"> of the definition thereof in accordance with </w:t>
      </w:r>
      <w:r>
        <w:rPr>
          <w:rFonts w:ascii="Times New Roman;Times;Serif" w:hAnsi="Times New Roman;Times;Serif"/>
          <w:b/>
          <w:i w:val="false"/>
          <w:caps w:val="false"/>
          <w:smallCaps w:val="false"/>
          <w:sz w:val="20"/>
        </w:rPr>
        <w:t>Section 4.03(F)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5.08.</w:t>
      </w:r>
      <w:r>
        <w:rPr>
          <w:rFonts w:ascii="Times New Roman;Times;Serif" w:hAnsi="Times New Roman;Times;Serif"/>
          <w:b w:val="false"/>
          <w:i w:val="false"/>
          <w:smallCaps/>
          <w:sz w:val="20"/>
        </w:rPr>
        <w:t>    </w:t>
      </w:r>
      <w:r>
        <w:rPr>
          <w:rFonts w:ascii="Times New Roman;Times;Serif" w:hAnsi="Times New Roman;Times;Serif"/>
          <w:b/>
          <w:i w:val="false"/>
          <w:smallCaps/>
          <w:sz w:val="20"/>
        </w:rPr>
        <w:t>Exchange in Lieu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Holder surrenders any Notes for conversion, the Company may, at its election (an “</w:t>
      </w:r>
      <w:r>
        <w:rPr>
          <w:rFonts w:ascii="Times New Roman;Times;Serif" w:hAnsi="Times New Roman;Times;Serif"/>
          <w:b/>
          <w:i w:val="false"/>
          <w:caps w:val="false"/>
          <w:smallCaps w:val="false"/>
          <w:sz w:val="20"/>
        </w:rPr>
        <w:t>Exchange Election</w:t>
      </w:r>
      <w:r>
        <w:rPr>
          <w:rFonts w:ascii="Times New Roman;Times;Serif" w:hAnsi="Times New Roman;Times;Serif"/>
          <w:b w:val="false"/>
          <w:i w:val="false"/>
          <w:caps w:val="false"/>
          <w:smallCaps w:val="false"/>
          <w:sz w:val="20"/>
        </w:rPr>
        <w:t>”), direct the Conversion Agent to deliver, on or prior to the Trading Day immediately following the conversion date, such Notes to one or more financial institution(s) designated by the Company for exchange in lieu of conversion. In order to accept any Notes surrendered for conversion, the designated financial institution(s) must agree to timely pay or deliver, as the case may be, in exchange for such Notes, the Conversion Consideration. If the Company makes an Exchange Election, the Company will, by the close of business on the Trading Day following the relevant conversion date, notify in writing the Trustee, the Conversion Agent (if other than the Trustee) and the Holder surrendering its Notes for conversion that the Company has made the Exchange Election, and the Company will notify the designated financial institution(s) of the relevant deadline for delivery of the Conversion Consideration and the type of Conversion Consideration to be paid and/or delivered,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Notes delivered to the designated financial institution(s) will remain outstanding, subject to applicable DTC procedures. If the financial institution(s) agree(s) to accept any Notes for exchange but does not timely pay and/or deliver, as the case may be, the related Conversion Consideration, or if such designated financial institution does not accept the Notes for exchange, the Company will notify the Trustee, the Conversion Agent (if other than the Trustee) and the Holder surrendering its Notes for conversion, in writing, and the Company will pay and/or deliver, as the case may be, the relevant Conversion Consideration at the time and in the manner required hereunder as if the Company had not made the Exchange Election. The Company’s designation of any financial institution(s) to which the Notes may be submitted for exchange does not require such financial institution(s) to accept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5.09.</w:t>
      </w:r>
      <w:r>
        <w:rPr>
          <w:rFonts w:ascii="Times New Roman;Times;Serif" w:hAnsi="Times New Roman;Times;Serif"/>
          <w:b w:val="false"/>
          <w:i w:val="false"/>
          <w:smallCaps/>
          <w:sz w:val="20"/>
        </w:rPr>
        <w:t>    </w:t>
      </w:r>
      <w:r>
        <w:rPr>
          <w:rFonts w:ascii="Times New Roman;Times;Serif" w:hAnsi="Times New Roman;Times;Serif"/>
          <w:b/>
          <w:i w:val="false"/>
          <w:smallCaps/>
          <w:sz w:val="20"/>
        </w:rPr>
        <w:t>Effect of Common Stock Change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If there occurs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recapitalization, reclassification or change of the Common Stock (other than (x) changes solely resulting from a subdivision or combination of the Common Stock, (y)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- 58 -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only in par value or from par value to no par value or no par value to par value and (z) stock splits and stock combinations that do not involve the issuance of any other series or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consolidation, merger, combination or binding or statutory share exchange involving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sale, lease or other transfer of all or substantially all of the assets of the Company and its Subsidiaries, taken as a whole, to any Person;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similar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as a result of which, the Common Stock is converted into, or is exchanged for, or represents solely the right to receive, other securities, cash or other property or assets, or any combination of the foregoing (such an event, a “</w:t>
      </w:r>
      <w:r>
        <w:rPr>
          <w:rFonts w:ascii="Times New Roman;Times;Serif" w:hAnsi="Times New Roman;Times;Serif"/>
          <w:b/>
          <w:i w:val="false"/>
          <w:caps w:val="false"/>
          <w:smallCaps w:val="false"/>
          <w:sz w:val="20"/>
        </w:rPr>
        <w:t>Common Stock Change Event</w:t>
      </w:r>
      <w:r>
        <w:rPr>
          <w:rFonts w:ascii="Times New Roman;Times;Serif" w:hAnsi="Times New Roman;Times;Serif"/>
          <w:b w:val="false"/>
          <w:i w:val="false"/>
          <w:caps w:val="false"/>
          <w:smallCaps w:val="false"/>
          <w:sz w:val="20"/>
        </w:rPr>
        <w:t>,” and such other securities, cash, property or assets, the “</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and the amount and kind of Reference Property that a holder of one (1) share of Common Stock would be entitled to receive on account of such Common Stock Change Event (without giving effect to any arrangement not to issue or deliver a fractional portion of any security or other property), a “</w:t>
      </w:r>
      <w:r>
        <w:rPr>
          <w:rFonts w:ascii="Times New Roman;Times;Serif" w:hAnsi="Times New Roman;Times;Serif"/>
          <w:b/>
          <w:i w:val="false"/>
          <w:caps w:val="false"/>
          <w:smallCaps w:val="false"/>
          <w:sz w:val="20"/>
        </w:rPr>
        <w:t>Reference Property Unit</w:t>
      </w:r>
      <w:r>
        <w:rPr>
          <w:rFonts w:ascii="Times New Roman;Times;Serif" w:hAnsi="Times New Roman;Times;Serif"/>
          <w:b w:val="false"/>
          <w:i w:val="false"/>
          <w:caps w:val="false"/>
          <w:smallCaps w:val="false"/>
          <w:sz w:val="20"/>
        </w:rPr>
        <w:t>”), then, notwithstanding anything to the contrary in this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from and after the effective time of such Common Stock Change Event, (I) the Conversion Consideration due upon conversion of any Note, and the conditions to any such conversion, will be determined in the same manner as if each reference to any number of shares of Common Stock in this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(or in any related definitions) were instead a reference to the same number of Reference Property Units; (II) for purposes of </w:t>
      </w:r>
      <w:r>
        <w:rPr>
          <w:rFonts w:ascii="Times New Roman;Times;Serif" w:hAnsi="Times New Roman;Times;Serif"/>
          <w:b/>
          <w:i w:val="false"/>
          <w:caps w:val="false"/>
          <w:smallCaps w:val="false"/>
          <w:sz w:val="20"/>
        </w:rPr>
        <w:t>Section 4.03</w:t>
      </w:r>
      <w:r>
        <w:rPr>
          <w:rFonts w:ascii="Times New Roman;Times;Serif" w:hAnsi="Times New Roman;Times;Serif"/>
          <w:b w:val="false"/>
          <w:i w:val="false"/>
          <w:caps w:val="false"/>
          <w:smallCaps w:val="false"/>
          <w:sz w:val="20"/>
        </w:rPr>
        <w:t>, each reference to any number of shares of Common Stock in such Section (or in any related definitions) will instead be deemed to be a reference to the same number of Reference Property Units; and (III) for purposes of the definitions of “Fundamental Change” and “Make-Whole Fundamental Change,” the terms “Common Stock” and “common equity” will be deemed to mean the common equity (including depositary receipts representing common equity), if any, forming part of such Reference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such Reference Property Unit consists entirely of cash, then (I) each conversion of any Note with a Conversion Date that occurs on or after the effective date of such Common Stock Change Event will be settled entirely in cash in an amount, per $1,000 principal amount of such Note being converted, equal to the product of (x) the Conversion Rate in effect on such Conversion Date (including, for the avoidance of doubt, any increase to such Conversion Rate pursuant to </w:t>
      </w:r>
      <w:r>
        <w:rPr>
          <w:rFonts w:ascii="Times New Roman;Times;Serif" w:hAnsi="Times New Roman;Times;Serif"/>
          <w:b/>
          <w:i w:val="false"/>
          <w:caps w:val="false"/>
          <w:smallCaps w:val="false"/>
          <w:sz w:val="20"/>
        </w:rPr>
        <w:t>Section 5.07</w:t>
      </w:r>
      <w:r>
        <w:rPr>
          <w:rFonts w:ascii="Times New Roman;Times;Serif" w:hAnsi="Times New Roman;Times;Serif"/>
          <w:b w:val="false"/>
          <w:i w:val="false"/>
          <w:caps w:val="false"/>
          <w:smallCaps w:val="false"/>
          <w:sz w:val="20"/>
        </w:rPr>
        <w:t>, if applicable); and (y) the amount of cash constituting such Reference Property Unit; and (II) the Company will settle each such conversion no later than the tenth (10th) Business Day after the relevant Conversion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for these purposes, (I) the Daily VWAP of any Reference Property Unit or portion thereof that consists of a class of common equity securities will be determined by reference to the definition of “Daily VWAP,” substituting, if applicable, the Bloomberg page for such class of securities in such definition; and (II) the Daily VWAP of 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- 59 -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Holders of such weighted average as soon as practicable after such determination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before the effective time of such Common Stock Change Event, the Company and the resulting, surviving or transferee Person (if not the Company) of such Common Stock Change Event (the “</w:t>
      </w:r>
      <w:r>
        <w:rPr>
          <w:rFonts w:ascii="Times New Roman;Times;Serif" w:hAnsi="Times New Roman;Times;Serif"/>
          <w:b/>
          <w:i w:val="false"/>
          <w:caps w:val="false"/>
          <w:smallCaps w:val="false"/>
          <w:sz w:val="20"/>
        </w:rPr>
        <w:t>Successor Person</w:t>
      </w:r>
      <w:r>
        <w:rPr>
          <w:rFonts w:ascii="Times New Roman;Times;Serif" w:hAnsi="Times New Roman;Times;Serif"/>
          <w:b w:val="false"/>
          <w:i w:val="false"/>
          <w:caps w:val="false"/>
          <w:smallCaps w:val="false"/>
          <w:sz w:val="20"/>
        </w:rPr>
        <w:t xml:space="preserve">”) will execute and deliver to the Trustee a supplemental indenture pursuant to </w:t>
      </w:r>
      <w:r>
        <w:rPr>
          <w:rFonts w:ascii="Times New Roman;Times;Serif" w:hAnsi="Times New Roman;Times;Serif"/>
          <w:b/>
          <w:i w:val="false"/>
          <w:caps w:val="false"/>
          <w:smallCaps w:val="false"/>
          <w:sz w:val="20"/>
        </w:rPr>
        <w:t>Section 8.01(F)</w:t>
      </w:r>
      <w:r>
        <w:rPr>
          <w:rFonts w:ascii="Times New Roman;Times;Serif" w:hAnsi="Times New Roman;Times;Serif"/>
          <w:b w:val="false"/>
          <w:i w:val="false"/>
          <w:caps w:val="false"/>
          <w:smallCaps w:val="false"/>
          <w:sz w:val="20"/>
        </w:rPr>
        <w:t xml:space="preserve">, which supplemental indenture will (x) provide for subsequent conversions of Notes in the manner set forth in this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(y) provide for subsequent adjustments to the Conversion Rate pursuant to </w:t>
      </w:r>
      <w:r>
        <w:rPr>
          <w:rFonts w:ascii="Times New Roman;Times;Serif" w:hAnsi="Times New Roman;Times;Serif"/>
          <w:b/>
          <w:i w:val="false"/>
          <w:caps w:val="false"/>
          <w:smallCaps w:val="false"/>
          <w:sz w:val="20"/>
        </w:rPr>
        <w:t>Section 5.05(A)</w:t>
      </w:r>
      <w:r>
        <w:rPr>
          <w:rFonts w:ascii="Times New Roman;Times;Serif" w:hAnsi="Times New Roman;Times;Serif"/>
          <w:b w:val="false"/>
          <w:i w:val="false"/>
          <w:caps w:val="false"/>
          <w:smallCaps w:val="false"/>
          <w:sz w:val="20"/>
        </w:rPr>
        <w:t xml:space="preserve"> in a manner consistent with this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(including giving effect, in the reasonable discretion of the Company, to the Dividend Threshold in a manner that preserves the economic interests of the Holders); and (z) contain such other provisions as the Company reasonably determines are appropriate to preserve the economic interests of the Holders and to give effect to the provisions of this </w:t>
      </w:r>
      <w:r>
        <w:rPr>
          <w:rFonts w:ascii="Times New Roman;Times;Serif" w:hAnsi="Times New Roman;Times;Serif"/>
          <w:b/>
          <w:i w:val="false"/>
          <w:caps w:val="false"/>
          <w:smallCaps w:val="false"/>
          <w:sz w:val="20"/>
        </w:rPr>
        <w:t>Section 5.09(A)</w:t>
      </w:r>
      <w:r>
        <w:rPr>
          <w:rFonts w:ascii="Times New Roman;Times;Serif" w:hAnsi="Times New Roman;Times;Serif"/>
          <w:b w:val="false"/>
          <w:i w:val="false"/>
          <w:caps w:val="false"/>
          <w:smallCaps w:val="false"/>
          <w:sz w:val="20"/>
        </w:rPr>
        <w:t>. If the Reference Property includes shares of stock or other securities or assets of a Person other than the Successor Person, then such other Person will also execute such supplemental indenture and such supplemental indenture will contain such additional provisions the Company reasonably determines are appropriate to preserve the economic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Notice of Common Stock Change Events</w:t>
      </w:r>
      <w:r>
        <w:rPr>
          <w:rFonts w:ascii="Times New Roman;Times;Serif" w:hAnsi="Times New Roman;Times;Serif"/>
          <w:b w:val="false"/>
          <w:i w:val="false"/>
          <w:caps w:val="false"/>
          <w:smallCaps w:val="false"/>
          <w:sz w:val="20"/>
        </w:rPr>
        <w:t xml:space="preserve">. The Company will provide notice of each Common Stock Change Event in accordance with </w:t>
      </w:r>
      <w:r>
        <w:rPr>
          <w:rFonts w:ascii="Times New Roman;Times;Serif" w:hAnsi="Times New Roman;Times;Serif"/>
          <w:b/>
          <w:i w:val="false"/>
          <w:caps w:val="false"/>
          <w:smallCaps w:val="false"/>
          <w:sz w:val="20"/>
        </w:rPr>
        <w:t>Section 5.01(C)(i)(3)(b)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Compliance Covenant</w:t>
      </w:r>
      <w:r>
        <w:rPr>
          <w:rFonts w:ascii="Times New Roman;Times;Serif" w:hAnsi="Times New Roman;Times;Serif"/>
          <w:b w:val="false"/>
          <w:i w:val="false"/>
          <w:caps w:val="false"/>
          <w:smallCaps w:val="false"/>
          <w:sz w:val="20"/>
        </w:rPr>
        <w:t xml:space="preserve">. The Company will not become a party to any Common Stock Change Event unless its terms are consistent with this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    </w:t>
      </w:r>
      <w:r>
        <w:rPr>
          <w:rFonts w:ascii="Times New Roman;Times;Serif" w:hAnsi="Times New Roman;Times;Serif"/>
          <w:b/>
          <w:i w:val="false"/>
          <w:caps/>
          <w:sz w:val="20"/>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6.01.</w:t>
      </w:r>
      <w:r>
        <w:rPr>
          <w:rFonts w:ascii="Times New Roman;Times;Serif" w:hAnsi="Times New Roman;Times;Serif"/>
          <w:b w:val="false"/>
          <w:i w:val="false"/>
          <w:smallCaps/>
          <w:sz w:val="20"/>
        </w:rPr>
        <w:t>    </w:t>
      </w:r>
      <w:r>
        <w:rPr>
          <w:rFonts w:ascii="Times New Roman;Times;Serif" w:hAnsi="Times New Roman;Times;Serif"/>
          <w:b/>
          <w:i w:val="false"/>
          <w:smallCaps/>
          <w:sz w:val="20"/>
        </w:rPr>
        <w:t>When the Company May Merge,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(a “</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resulting, surviving or transferee Person either (x) is the Company or (y) if not the Company, is a corporation (the “</w:t>
      </w:r>
      <w:r>
        <w:rPr>
          <w:rFonts w:ascii="Times New Roman;Times;Serif" w:hAnsi="Times New Roman;Times;Serif"/>
          <w:b/>
          <w:i w:val="false"/>
          <w:caps w:val="false"/>
          <w:smallCaps w:val="false"/>
          <w:sz w:val="20"/>
        </w:rPr>
        <w:t>Successor Corporation</w:t>
      </w:r>
      <w:r>
        <w:rPr>
          <w:rFonts w:ascii="Times New Roman;Times;Serif" w:hAnsi="Times New Roman;Times;Serif"/>
          <w:b w:val="false"/>
          <w:i w:val="false"/>
          <w:caps w:val="false"/>
          <w:smallCaps w:val="false"/>
          <w:sz w:val="20"/>
        </w:rPr>
        <w:t>”) duly organized and existing under the laws of the United States of America, any State thereof or the District of Columbia that expressly assumes (by executing and delivering to the Trustee, at or before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- 60 -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 time of such Business Combination Event, a supplemental indenture pursuant to </w:t>
      </w:r>
      <w:r>
        <w:rPr>
          <w:rFonts w:ascii="Times New Roman;Times;Serif" w:hAnsi="Times New Roman;Times;Serif"/>
          <w:b/>
          <w:i w:val="false"/>
          <w:caps w:val="false"/>
          <w:smallCaps w:val="false"/>
          <w:sz w:val="20"/>
        </w:rPr>
        <w:t>Section 8.01(E)</w:t>
      </w:r>
      <w:r>
        <w:rPr>
          <w:rFonts w:ascii="Times New Roman;Times;Serif" w:hAnsi="Times New Roman;Times;Serif"/>
          <w:b w:val="false"/>
          <w:i w:val="false"/>
          <w:caps w:val="false"/>
          <w:smallCaps w:val="false"/>
          <w:sz w:val="20"/>
        </w:rPr>
        <w:t>) all of the Company’s obligations under this Indenture and the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Business Combination Event, no Default or Event of Default will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Delivery of Officer’s Certificate and Opinion of Counsel to the Trustee</w:t>
      </w:r>
      <w:r>
        <w:rPr>
          <w:rFonts w:ascii="Times New Roman;Times;Serif" w:hAnsi="Times New Roman;Times;Serif"/>
          <w:b w:val="false"/>
          <w:i w:val="false"/>
          <w:caps w:val="false"/>
          <w:smallCaps w:val="false"/>
          <w:sz w:val="20"/>
        </w:rPr>
        <w:t xml:space="preserve">. Before the effective time of any Business Combination Event, the Company will deliver to the Trustee an Officer’s Certificate and Opinion of Counsel, each stating that (i) such Business Combination Event (and, if applicable, the related supplemental indenture) comply with </w:t>
      </w:r>
      <w:r>
        <w:rPr>
          <w:rFonts w:ascii="Times New Roman;Times;Serif" w:hAnsi="Times New Roman;Times;Serif"/>
          <w:b/>
          <w:i w:val="false"/>
          <w:caps w:val="false"/>
          <w:smallCaps w:val="false"/>
          <w:sz w:val="20"/>
        </w:rPr>
        <w:t>Section 6.01(A)</w:t>
      </w:r>
      <w:r>
        <w:rPr>
          <w:rFonts w:ascii="Times New Roman;Times;Serif" w:hAnsi="Times New Roman;Times;Serif"/>
          <w:b w:val="false"/>
          <w:i w:val="false"/>
          <w:caps w:val="false"/>
          <w:smallCaps w:val="false"/>
          <w:sz w:val="20"/>
        </w:rPr>
        <w:t>; and (ii) all conditions precedent to such Business Combination Event provided in this Indenture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6.02.</w:t>
      </w:r>
      <w:r>
        <w:rPr>
          <w:rFonts w:ascii="Times New Roman;Times;Serif" w:hAnsi="Times New Roman;Times;Serif"/>
          <w:b w:val="false"/>
          <w:i w:val="false"/>
          <w:smallCaps/>
          <w:sz w:val="20"/>
        </w:rPr>
        <w:t>    </w:t>
      </w:r>
      <w:r>
        <w:rPr>
          <w:rFonts w:ascii="Times New Roman;Times;Serif" w:hAnsi="Times New Roman;Times;Serif"/>
          <w:b/>
          <w:i w:val="false"/>
          <w:smallCaps/>
          <w:sz w:val="20"/>
        </w:rPr>
        <w:t>Successor Corporation Substituted.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effective time of any Business Combination Event that complies with </w:t>
      </w:r>
      <w:r>
        <w:rPr>
          <w:rFonts w:ascii="Times New Roman;Times;Serif" w:hAnsi="Times New Roman;Times;Serif"/>
          <w:b/>
          <w:i w:val="false"/>
          <w:caps w:val="false"/>
          <w:smallCaps w:val="false"/>
          <w:sz w:val="20"/>
        </w:rPr>
        <w:t>Section 6.01</w:t>
      </w:r>
      <w:r>
        <w:rPr>
          <w:rFonts w:ascii="Times New Roman;Times;Serif" w:hAnsi="Times New Roman;Times;Serif"/>
          <w:b w:val="false"/>
          <w:i w:val="false"/>
          <w:caps w:val="false"/>
          <w:smallCaps w:val="false"/>
          <w:sz w:val="20"/>
        </w:rPr>
        <w:t>, the Successor Corporation (if not the Company) will succeed to, and may exercise every right and power of, the Company under this Indenture and the Notes with the same effect as if such Successor Corporation had been named as the Company in this Indenture and the Notes, and, except in the case of a lease, the predecessor Company will be discharged from its obligations under this Indenture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7.</w:t>
      </w:r>
      <w:r>
        <w:rPr>
          <w:rFonts w:ascii="Times New Roman;Times;Serif" w:hAnsi="Times New Roman;Times;Serif"/>
          <w:b w:val="false"/>
          <w:i w:val="false"/>
          <w:caps w:val="false"/>
          <w:smallCaps w:val="false"/>
          <w:sz w:val="20"/>
        </w:rPr>
        <w:t>    </w:t>
      </w:r>
      <w:r>
        <w:rPr>
          <w:rFonts w:ascii="Times New Roman;Times;Serif" w:hAnsi="Times New Roman;Times;Serif"/>
          <w:b/>
          <w:i w:val="false"/>
          <w:caps/>
          <w:sz w:val="20"/>
        </w:rP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7.01.</w:t>
      </w:r>
      <w:r>
        <w:rPr>
          <w:rFonts w:ascii="Times New Roman;Times;Serif" w:hAnsi="Times New Roman;Times;Serif"/>
          <w:b w:val="false"/>
          <w:i w:val="false"/>
          <w:smallCaps/>
          <w:sz w:val="20"/>
        </w:rPr>
        <w:t>    </w:t>
      </w:r>
      <w:r>
        <w:rPr>
          <w:rFonts w:ascii="Times New Roman;Times;Serif" w:hAnsi="Times New Roman;Times;Serif"/>
          <w:b/>
          <w:i w:val="false"/>
          <w:smallCaps/>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Definition of Events of Default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means the occurrence of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default in the payment when due (whether at maturity, upon Redemption or Repurchase Upon Fundamental Change or otherwise) of the principal of, or the Redemption Price or Fundamental Change Repurchase Price for,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default for thirty (30) days in the payment when due of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Company’s failure to deliver, when required by this Indenture, a Fundamental Change Notice, or a notice pursuant to </w:t>
      </w:r>
      <w:r>
        <w:rPr>
          <w:rFonts w:ascii="Times New Roman;Times;Serif" w:hAnsi="Times New Roman;Times;Serif"/>
          <w:b/>
          <w:i w:val="false"/>
          <w:caps w:val="false"/>
          <w:smallCaps w:val="false"/>
          <w:sz w:val="20"/>
        </w:rPr>
        <w:t>Section 5.01(C)(i)(3)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default in the Company’s obligation to convert a Note in accordance with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upon the exercise of the conversion right with respect thereto, if such default continues for a period of five (5)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 default in the Company’s obligations under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 default in any of the Company’s obligations or agreements under this Indenture or the Notes (other than a default set forth in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(v)</w:t>
      </w:r>
      <w:r>
        <w:rPr>
          <w:rFonts w:ascii="Times New Roman;Times;Serif" w:hAnsi="Times New Roman;Times;Serif"/>
          <w:b w:val="false"/>
          <w:i w:val="false"/>
          <w:caps w:val="false"/>
          <w:smallCaps w:val="false"/>
          <w:sz w:val="20"/>
        </w:rPr>
        <w:t xml:space="preserve"> 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- 61 -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where such default is not cured or waived within sixty (60) days after notice to the Company by the Trustee, or to the Company and the Trustee by Holders of at least twenty five percent (25%) of the aggregate principal amount of Notes then outstanding, which notice must specify such default, demand that it be remedied and state that such notice is a “Notice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default by the Company or any of its Subsidiaries with respect to any one or more mortgages, agreements or other instruments under which there is outstanding, or by which there is secured or evidenced, any indebtedness for money borrowed of at least thirty-five million dollars ($35,000,000) (or its foreign currency equivalent) in the aggregate of the Company or any of its Subsidiaries, whether such indebtedness exists as of the Issue Date or is thereafter created, where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constitutes a failure to pay the principal of, or premium or interest on, any of such indebtedness when due and payable at its stated maturity, upon required repurchase, upon declaration of acceleration or otherwise, in each case after the expiration of any applicable grace period;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results in such indebtedness becoming or being declared due and payable before its stated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where such default is not cured or waived within thirty (30) days after notice to the Company by the Trustee or to the Company and the Trustee by Holders of at least twenty five percent (25%) of the aggregate principal amount of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one or more final judgments being rendered against the Company or any of its Subsidiaries for the payment of at least thirty-five million dollars ($35,000,000) (or its foreign currency equivalent) in the aggregate (excluding any amounts covered by insurance), where such judgment is not discharged or stayed within sixty (60) days after (i) the date on which the right to appeal the same has expired, if no such appeal has commenced; or (ii) the date on which all rights to appeal have been extinguished;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Company or any of its Significant Subsidiaries, pursuant to or within the meaning of any Bankruptcy Law,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commences a voluntary case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consents to the entry of an order for relief against it in an involuntary case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consents to the appointment of a custodian of it or for any substantial part of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makes a general assignment for the benefit of its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takes any comparable action under any foreign Bankruptcy Law;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generally is not paying its debts as they become due;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- 62 -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court of competent jurisdiction enters an order or decree under any Bankruptcy Law that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is for relief against the Company or any of its Significant Subsidiaries in an involuntary case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appoints a custodian of the Company or any of its Significant Subsidiaries, or for any substantial part of the property of the Company or any of its Significant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orders the winding up or liquidation of the Company or any of its Significant Subsidiaries;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grants any similar relief under any foreign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in each case under this </w:t>
      </w:r>
      <w:r>
        <w:rPr>
          <w:rFonts w:ascii="Times New Roman;Times;Serif" w:hAnsi="Times New Roman;Times;Serif"/>
          <w:b/>
          <w:i w:val="false"/>
          <w:caps w:val="false"/>
          <w:smallCaps w:val="false"/>
          <w:sz w:val="20"/>
        </w:rPr>
        <w:t>Section 7.01(A)(x)</w:t>
      </w:r>
      <w:r>
        <w:rPr>
          <w:rFonts w:ascii="Times New Roman;Times;Serif" w:hAnsi="Times New Roman;Times;Serif"/>
          <w:b w:val="false"/>
          <w:i w:val="false"/>
          <w:caps w:val="false"/>
          <w:smallCaps w:val="false"/>
          <w:sz w:val="20"/>
        </w:rPr>
        <w:t>, such order or decree remains unstayed and in effect for at least sixty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Cause Irrelevant</w:t>
      </w:r>
      <w:r>
        <w:rPr>
          <w:rFonts w:ascii="Times New Roman;Times;Serif" w:hAnsi="Times New Roman;Times;Serif"/>
          <w:b w:val="false"/>
          <w:i w:val="false"/>
          <w:caps w:val="false"/>
          <w:smallCaps w:val="false"/>
          <w:sz w:val="20"/>
        </w:rPr>
        <w:t xml:space="preserve">. Each of the events set forth in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will constitute an Event of Default regardless of the cause thereof or whether voluntary or involuntary or effected by operation of law or pursuant to any judgment, decree or order of any court or any order, rule or regulation of any administrative or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7.02.</w:t>
      </w:r>
      <w:r>
        <w:rPr>
          <w:rFonts w:ascii="Times New Roman;Times;Serif" w:hAnsi="Times New Roman;Times;Serif"/>
          <w:b w:val="false"/>
          <w:i w:val="false"/>
          <w:smallCaps/>
          <w:sz w:val="20"/>
        </w:rPr>
        <w:t>    </w:t>
      </w:r>
      <w:r>
        <w:rPr>
          <w:rFonts w:ascii="Times New Roman;Times;Serif" w:hAnsi="Times New Roman;Times;Serif"/>
          <w:b/>
          <w:i w:val="false"/>
          <w:smallCaps/>
          <w:sz w:val="20"/>
        </w:rPr>
        <w:t>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Automatic Acceleration in Certain Circumstances</w:t>
      </w:r>
      <w:r>
        <w:rPr>
          <w:rFonts w:ascii="Times New Roman;Times;Serif" w:hAnsi="Times New Roman;Times;Serif"/>
          <w:b w:val="false"/>
          <w:i w:val="false"/>
          <w:caps w:val="false"/>
          <w:smallCaps w:val="false"/>
          <w:sz w:val="20"/>
        </w:rPr>
        <w:t xml:space="preserve">. If an Event of Default set forth in </w:t>
      </w:r>
      <w:r>
        <w:rPr>
          <w:rFonts w:ascii="Times New Roman;Times;Serif" w:hAnsi="Times New Roman;Times;Serif"/>
          <w:b/>
          <w:i w:val="false"/>
          <w:caps w:val="false"/>
          <w:smallCaps w:val="false"/>
          <w:sz w:val="20"/>
        </w:rPr>
        <w:t>Section 7.01(A)(ix)</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7.01(A)(x)</w:t>
      </w:r>
      <w:r>
        <w:rPr>
          <w:rFonts w:ascii="Times New Roman;Times;Serif" w:hAnsi="Times New Roman;Times;Serif"/>
          <w:b w:val="false"/>
          <w:i w:val="false"/>
          <w:caps w:val="false"/>
          <w:smallCaps w:val="false"/>
          <w:sz w:val="20"/>
        </w:rPr>
        <w:t> occurs with respect to the Company (and not solely with respect to a Significant Subsidiary of the Company), then the principal amount of, and all accrued and unpaid interest on, all of the Notes then outstanding will immediately become due and payable without any further action or notice by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Optional Acceleration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 xml:space="preserve">, if an Event of Default (other than an Event of Default set forth in </w:t>
      </w:r>
      <w:r>
        <w:rPr>
          <w:rFonts w:ascii="Times New Roman;Times;Serif" w:hAnsi="Times New Roman;Times;Serif"/>
          <w:b/>
          <w:i w:val="false"/>
          <w:caps w:val="false"/>
          <w:smallCaps w:val="false"/>
          <w:sz w:val="20"/>
        </w:rPr>
        <w:t>Section 7.01(A)(ix)</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7.01(A)(x)</w:t>
      </w:r>
      <w:r>
        <w:rPr>
          <w:rFonts w:ascii="Times New Roman;Times;Serif" w:hAnsi="Times New Roman;Times;Serif"/>
          <w:b w:val="false"/>
          <w:i w:val="false"/>
          <w:caps w:val="false"/>
          <w:smallCaps w:val="false"/>
          <w:sz w:val="20"/>
        </w:rPr>
        <w:t> with respect to the Company and not solely with respect to a Significant Subsidiary of the Company) occurs and is continuing, then the Trustee, by notice to the Company, or Holders of at least twenty five percent (25%) of the aggregate principal amount of Notes then outstanding, by notice to the Company and the Trustee, may declare the principal amount of, and all accrued and unpaid interest on, all of the Notes then outstanding to become due and payable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Rescission of Acceleration</w:t>
      </w:r>
      <w:r>
        <w:rPr>
          <w:rFonts w:ascii="Times New Roman;Times;Serif" w:hAnsi="Times New Roman;Times;Serif"/>
          <w:b w:val="false"/>
          <w:i w:val="false"/>
          <w:caps w:val="false"/>
          <w:smallCaps w:val="false"/>
          <w:sz w:val="20"/>
        </w:rPr>
        <w:t>. Notwithstanding anything to the contrary in this Indenture or the Notes, the Holders of a majority in aggregate principal amount of the Notes then outstanding, by notice to the Company and the Trustee,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- 63 -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7.03.</w:t>
      </w:r>
      <w:r>
        <w:rPr>
          <w:rFonts w:ascii="Times New Roman;Times;Serif" w:hAnsi="Times New Roman;Times;Serif"/>
          <w:b w:val="false"/>
          <w:i w:val="false"/>
          <w:smallCaps/>
          <w:sz w:val="20"/>
        </w:rPr>
        <w:t>    </w:t>
      </w:r>
      <w:r>
        <w:rPr>
          <w:rFonts w:ascii="Times New Roman;Times;Serif" w:hAnsi="Times New Roman;Times;Serif"/>
          <w:b/>
          <w:i w:val="false"/>
          <w:smallCaps/>
          <w:sz w:val="20"/>
        </w:rPr>
        <w:t>Sole Remedy for a Failure to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Notwithstanding anything to the contrary in this Indenture or the Notes, the Company may elect that the sole remedy for any Event of Default (a “</w:t>
      </w:r>
      <w:r>
        <w:rPr>
          <w:rFonts w:ascii="Times New Roman;Times;Serif" w:hAnsi="Times New Roman;Times;Serif"/>
          <w:b/>
          <w:i w:val="false"/>
          <w:caps w:val="false"/>
          <w:smallCaps w:val="false"/>
          <w:sz w:val="20"/>
        </w:rPr>
        <w:t>Reporting Event of Default</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i w:val="false"/>
          <w:caps w:val="false"/>
          <w:smallCaps w:val="false"/>
          <w:sz w:val="20"/>
        </w:rPr>
        <w:t>Section 7.01(A)(vi)</w:t>
      </w:r>
      <w:r>
        <w:rPr>
          <w:rFonts w:ascii="Times New Roman;Times;Serif" w:hAnsi="Times New Roman;Times;Serif"/>
          <w:b w:val="false"/>
          <w:i w:val="false"/>
          <w:caps w:val="false"/>
          <w:smallCaps w:val="false"/>
          <w:sz w:val="20"/>
        </w:rPr>
        <w:t xml:space="preserve"> arising from the Company’s failure to comply with </w:t>
      </w:r>
      <w:r>
        <w:rPr>
          <w:rFonts w:ascii="Times New Roman;Times;Serif" w:hAnsi="Times New Roman;Times;Serif"/>
          <w:b/>
          <w:i w:val="false"/>
          <w:caps w:val="false"/>
          <w:smallCaps w:val="false"/>
          <w:sz w:val="20"/>
        </w:rPr>
        <w:t>Section 3.02</w:t>
      </w:r>
      <w:r>
        <w:rPr>
          <w:rFonts w:ascii="Times New Roman;Times;Serif" w:hAnsi="Times New Roman;Times;Serif"/>
          <w:b w:val="false"/>
          <w:i w:val="false"/>
          <w:caps w:val="false"/>
          <w:smallCaps w:val="false"/>
          <w:sz w:val="20"/>
        </w:rPr>
        <w:t xml:space="preserve"> will, for each of the first one hundred eighty (180)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Times New Roman;Times;Serif" w:hAnsi="Times New Roman;Times;Serif"/>
          <w:b/>
          <w:i w:val="false"/>
          <w:caps w:val="false"/>
          <w:smallCaps w:val="false"/>
          <w:sz w:val="20"/>
        </w:rPr>
        <w:t>Section 7.02</w:t>
      </w:r>
      <w:r>
        <w:rPr>
          <w:rFonts w:ascii="Times New Roman;Times;Serif" w:hAnsi="Times New Roman;Times;Serif"/>
          <w:b w:val="false"/>
          <w:i w:val="false"/>
          <w:caps w:val="false"/>
          <w:smallCaps w:val="false"/>
          <w:sz w:val="20"/>
        </w:rPr>
        <w:t xml:space="preserve"> on account of the relevant Reporting Event of Default from, and including, the one hundred and eighty first (181st) calendar day on which a Reporting Event of Default has occurred and is continuing or if the Company fails to pay any accrued and unpaid Special Interest when due; and (ii) Special Interest will cease to accrue on any Notes from, and including, such one hundred and eighty first (181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calendar day (it being understood that interest on any defaulted Special Interest will nonetheless accrue pursuant to </w:t>
      </w:r>
      <w:r>
        <w:rPr>
          <w:rFonts w:ascii="Times New Roman;Times;Serif" w:hAnsi="Times New Roman;Times;Serif"/>
          <w:b/>
          <w:i w:val="false"/>
          <w:caps w:val="false"/>
          <w:smallCaps w:val="false"/>
          <w:sz w:val="20"/>
        </w:rPr>
        <w:t>Section 2.05(B)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Amount and Payment of Special Interest</w:t>
      </w:r>
      <w:r>
        <w:rPr>
          <w:rFonts w:ascii="Times New Roman;Times;Serif" w:hAnsi="Times New Roman;Times;Serif"/>
          <w:b w:val="false"/>
          <w:i w:val="false"/>
          <w:caps w:val="false"/>
          <w:smallCaps w:val="false"/>
          <w:sz w:val="20"/>
        </w:rPr>
        <w:t xml:space="preserve">. Any Special Interest that accrues on a Note pursuant to </w:t>
      </w:r>
      <w:r>
        <w:rPr>
          <w:rFonts w:ascii="Times New Roman;Times;Serif" w:hAnsi="Times New Roman;Times;Serif"/>
          <w:b/>
          <w:i w:val="false"/>
          <w:caps w:val="false"/>
          <w:smallCaps w:val="false"/>
          <w:sz w:val="20"/>
        </w:rPr>
        <w:t>Section 7.03(A)</w:t>
      </w:r>
      <w:r>
        <w:rPr>
          <w:rFonts w:ascii="Times New Roman;Times;Serif" w:hAnsi="Times New Roman;Times;Serif"/>
          <w:b w:val="false"/>
          <w:i w:val="false"/>
          <w:caps w:val="false"/>
          <w:smallCaps w:val="false"/>
          <w:sz w:val="20"/>
        </w:rPr>
        <w:t xml:space="preserve"> will be payable on the same dates and in the same manner as the Stated Interest on such Note and will accrue at a rate per annum equal to one quarter of one percent (0.25%) of the principal amount thereof for the first ninety (90) days on which Special Interest accrues and, thereafter, at a rate per annum equal to one half of one percent (0.50%) of the principal amount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event will Special Interest, together with any Additional Interest, accrue on any day on a Note at a combined rate per annum that exceeds one half of one percent (0.50%). For the avoidance of doubt, any Special Interest that accrues on a Note will be in addition to the Stated Interest that accrues on such Note and, subject to the proviso of the immediately preceding sentence, in addition to any Additional Interest that accrues on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Notice of Election</w:t>
      </w:r>
      <w:r>
        <w:rPr>
          <w:rFonts w:ascii="Times New Roman;Times;Serif" w:hAnsi="Times New Roman;Times;Serif"/>
          <w:b w:val="false"/>
          <w:i w:val="false"/>
          <w:caps w:val="false"/>
          <w:smallCaps w:val="false"/>
          <w:sz w:val="20"/>
        </w:rPr>
        <w:t xml:space="preserve">. To make the election set forth in </w:t>
      </w:r>
      <w:r>
        <w:rPr>
          <w:rFonts w:ascii="Times New Roman;Times;Serif" w:hAnsi="Times New Roman;Times;Serif"/>
          <w:b/>
          <w:i w:val="false"/>
          <w:caps w:val="false"/>
          <w:smallCaps w:val="false"/>
          <w:sz w:val="20"/>
        </w:rPr>
        <w:t>Section 7.03(A)</w:t>
      </w:r>
      <w:r>
        <w:rPr>
          <w:rFonts w:ascii="Times New Roman;Times;Serif" w:hAnsi="Times New Roman;Times;Serif"/>
          <w:b w:val="false"/>
          <w:i w:val="false"/>
          <w:caps w:val="false"/>
          <w:smallCaps w:val="false"/>
          <w:sz w:val="20"/>
        </w:rPr>
        <w:t>, the Company must send to the Holders, the Trustee and the Paying Agent, before the date on which each Reporting Event of Default first occurs, a notice that (i) briefly describes the report(s) that the Company failed to file with the SEC; (ii) states that the Company is electing that the sole remedy for such Reporting Event of Default consist of the accrual of Special Interest; and (iii) briefly describes the periods during which and rate at which Special Interest will accrue and the circumstances under which the Notes will be subject to acceleration on account of such Reporting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Notice to Trustee and Paying Agent; Trustee’s Disclaimer</w:t>
      </w:r>
      <w:r>
        <w:rPr>
          <w:rFonts w:ascii="Times New Roman;Times;Serif" w:hAnsi="Times New Roman;Times;Serif"/>
          <w:b w:val="false"/>
          <w:i w:val="false"/>
          <w:caps w:val="false"/>
          <w:smallCaps w:val="false"/>
          <w:sz w:val="20"/>
        </w:rPr>
        <w:t>. If Special Interest accrues on any Note, then, no later than five (5) Business Days before each date on which such Special Interest is to be paid, the Company will deliver an Officer’s Certificate to the Trustee and the Paying Agent stating (i) that the Company is obligated to pay Special Interest on such Note on such date of payment; and (ii) the amount of such Special Interest that is payable on such date of payment. The Trustee will have no duty to determine whether any Special Interest is payable or the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No Effect on Other Events of Default</w:t>
      </w:r>
      <w:r>
        <w:rPr>
          <w:rFonts w:ascii="Times New Roman;Times;Serif" w:hAnsi="Times New Roman;Times;Serif"/>
          <w:b w:val="false"/>
          <w:i w:val="false"/>
          <w:caps w:val="false"/>
          <w:smallCaps w:val="false"/>
          <w:sz w:val="20"/>
        </w:rPr>
        <w:t xml:space="preserve">. No election pursuant to this </w:t>
      </w:r>
      <w:r>
        <w:rPr>
          <w:rFonts w:ascii="Times New Roman;Times;Serif" w:hAnsi="Times New Roman;Times;Serif"/>
          <w:b/>
          <w:i w:val="false"/>
          <w:caps w:val="false"/>
          <w:smallCaps w:val="false"/>
          <w:sz w:val="20"/>
        </w:rPr>
        <w:t>Section 7.03</w:t>
      </w:r>
      <w:r>
        <w:rPr>
          <w:rFonts w:ascii="Times New Roman;Times;Serif" w:hAnsi="Times New Roman;Times;Serif"/>
          <w:b w:val="false"/>
          <w:i w:val="false"/>
          <w:caps w:val="false"/>
          <w:smallCaps w:val="false"/>
          <w:sz w:val="20"/>
        </w:rPr>
        <w:t xml:space="preserve"> with respect to a Reporting Event of Default will affect the rights of any Holder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- 64 -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Event of Default, including with respect to any other Reporting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7.04.</w:t>
      </w:r>
      <w:r>
        <w:rPr>
          <w:rFonts w:ascii="Times New Roman;Times;Serif" w:hAnsi="Times New Roman;Times;Serif"/>
          <w:b w:val="false"/>
          <w:i w:val="false"/>
          <w:smallCaps/>
          <w:sz w:val="20"/>
        </w:rPr>
        <w:t>    </w:t>
      </w:r>
      <w:r>
        <w:rPr>
          <w:rFonts w:ascii="Times New Roman;Times;Serif" w:hAnsi="Times New Roman;Times;Serif"/>
          <w:b/>
          <w:i w:val="false"/>
          <w:smallCaps/>
          <w:sz w:val="20"/>
        </w:rPr>
        <w:t>Other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Trustee May Pursue All Remedies</w:t>
      </w:r>
      <w:r>
        <w:rPr>
          <w:rFonts w:ascii="Times New Roman;Times;Serif" w:hAnsi="Times New Roman;Times;Serif"/>
          <w:b w:val="false"/>
          <w:i w:val="false"/>
          <w:caps w:val="false"/>
          <w:smallCaps w:val="false"/>
          <w:sz w:val="20"/>
        </w:rPr>
        <w:t>. If an Event of Default occurs and is continuing, then the Trustee may pursue any available remedy to collect the payment of any amounts due with respect to the Notes or to enforce the performance of any provision of this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Procedural Matters</w:t>
      </w:r>
      <w:r>
        <w:rPr>
          <w:rFonts w:ascii="Times New Roman;Times;Serif" w:hAnsi="Times New Roman;Times;Serif"/>
          <w:b w:val="false"/>
          <w:i w:val="false"/>
          <w:caps w:val="false"/>
          <w:smallCaps w:val="false"/>
          <w:sz w:val="20"/>
        </w:rPr>
        <w:t>. The Trustee may maintain a proceeding even if it does not possess any of the Notes or does not produce any of them in such proceeding. A delay or omission by the Trustee or any Holder in exercising any right or remedy following an Event of Default will not impair the right or remedy or constitute a waiver of, or acquiescence in, such Event of Default. All remedies will be cumulative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7.05.</w:t>
      </w:r>
      <w:r>
        <w:rPr>
          <w:rFonts w:ascii="Times New Roman;Times;Serif" w:hAnsi="Times New Roman;Times;Serif"/>
          <w:b w:val="false"/>
          <w:i w:val="false"/>
          <w:smallCaps/>
          <w:sz w:val="20"/>
        </w:rPr>
        <w:t>    </w:t>
      </w:r>
      <w:r>
        <w:rPr>
          <w:rFonts w:ascii="Times New Roman;Times;Serif" w:hAnsi="Times New Roman;Times;Serif"/>
          <w:b/>
          <w:i w:val="false"/>
          <w:smallCaps/>
          <w:sz w:val="20"/>
        </w:rPr>
        <w:t>Waiver of Past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Event of Default pursuant to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(vi)</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i w:val="false"/>
          <w:caps w:val="false"/>
          <w:smallCaps w:val="false"/>
          <w:sz w:val="20"/>
        </w:rPr>
        <w:t>clause (vi)</w:t>
      </w:r>
      <w:r>
        <w:rPr>
          <w:rFonts w:ascii="Times New Roman;Times;Serif" w:hAnsi="Times New Roman;Times;Serif"/>
          <w:b w:val="false"/>
          <w:i w:val="false"/>
          <w:caps w:val="false"/>
          <w:smallCaps w:val="false"/>
          <w:sz w:val="20"/>
        </w:rPr>
        <w:t> only, 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7.06.</w:t>
      </w:r>
      <w:r>
        <w:rPr>
          <w:rFonts w:ascii="Times New Roman;Times;Serif" w:hAnsi="Times New Roman;Times;Serif"/>
          <w:b w:val="false"/>
          <w:i w:val="false"/>
          <w:smallCaps/>
          <w:sz w:val="20"/>
        </w:rPr>
        <w:t>    </w:t>
      </w:r>
      <w:r>
        <w:rPr>
          <w:rFonts w:ascii="Times New Roman;Times;Serif" w:hAnsi="Times New Roman;Times;Serif"/>
          <w:b/>
          <w:i w:val="false"/>
          <w:smallCaps/>
          <w:sz w:val="20"/>
        </w:rPr>
        <w:t>Control by Majority.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a majority in aggregate principal amount of the Notes then outstanding may direct the time, method and place of conducting any proceeding for exercising any remedy available to the Trustee or exercising any trust or power conferred on it. However, the Trustee may refuse to follow any direction that conflicts with law, this Indenture or the Notes, or that, subject to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the Trustee determines may be unduly prejudicial to the rights of other Holders or may involve the Trustee in liability, unless the Trustee is offered security and indemnity satisfactory to the Trustee against any loss, liability or expense to the Trustee that may result from the Trustee’s following such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7.07.</w:t>
      </w:r>
      <w:r>
        <w:rPr>
          <w:rFonts w:ascii="Times New Roman;Times;Serif" w:hAnsi="Times New Roman;Times;Serif"/>
          <w:b w:val="false"/>
          <w:i w:val="false"/>
          <w:smallCaps/>
          <w:sz w:val="20"/>
        </w:rPr>
        <w:t>    </w:t>
      </w:r>
      <w:r>
        <w:rPr>
          <w:rFonts w:ascii="Times New Roman;Times;Serif" w:hAnsi="Times New Roman;Times;Serif"/>
          <w:b/>
          <w:i w:val="false"/>
          <w:smallCaps/>
          <w:sz w:val="20"/>
        </w:rPr>
        <w:t>Limitation on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Holder may pursue any remedy with respect to this Indenture or the Notes (except to enforce (x) its rights to receive the principal of, or the Fundamental Change Repurchase Price or Redemption Price for, or any interest on, any Notes; or (y) the Company’s obligations to convert any Notes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delivered to the Trustee notice that an Event of Default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Holders of at least twenty five percent (25%) in aggregate principal amount of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- 65 -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then outstanding deliver a request to the Trustee to pursue such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offer and, if requested, provide to the Trustee security and indemnity satisfactory to the Trustee against any loss, liability or expense to the Trustee that may result from the Trustee’s following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does not comply with such request within sixty (60) calendar days after its receipt of such request and such offer of security or indemnity;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such sixty (60) calendar day period, Holders of a majority in aggregate principal amount of the Notes then outstanding do not deliver to the Trustee a direction that is inconsistent with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Note may not use this Indenture to prejudice the rights of another Holder or to obtain a preference or priority over another Holder. The Trustee will have no duty to determine whether any Holder’s use of this Indenture complies with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7.08.</w:t>
      </w:r>
      <w:r>
        <w:rPr>
          <w:rFonts w:ascii="Times New Roman;Times;Serif" w:hAnsi="Times New Roman;Times;Serif"/>
          <w:b w:val="false"/>
          <w:i w:val="false"/>
          <w:smallCaps/>
          <w:sz w:val="20"/>
        </w:rPr>
        <w:t>    </w:t>
      </w:r>
      <w:r>
        <w:rPr>
          <w:rFonts w:ascii="Times New Roman;Times;Serif" w:hAnsi="Times New Roman;Times;Serif"/>
          <w:b/>
          <w:i w:val="false"/>
          <w:smallCaps/>
          <w:sz w:val="20"/>
        </w:rPr>
        <w:t>Absolute Right of Holders to Institute Suit for the Enforcement of the Right to Receive Payment and Conversion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Indenture or the Notes (but without limiting </w:t>
      </w:r>
      <w:r>
        <w:rPr>
          <w:rFonts w:ascii="Times New Roman;Times;Serif" w:hAnsi="Times New Roman;Times;Serif"/>
          <w:b/>
          <w:i w:val="false"/>
          <w:caps w:val="false"/>
          <w:smallCaps w:val="false"/>
          <w:sz w:val="20"/>
        </w:rPr>
        <w:t>Section 8.01</w:t>
      </w:r>
      <w:r>
        <w:rPr>
          <w:rFonts w:ascii="Times New Roman;Times;Serif" w:hAnsi="Times New Roman;Times;Serif"/>
          <w:b w:val="false"/>
          <w:i w:val="false"/>
          <w:caps w:val="false"/>
          <w:smallCaps w:val="false"/>
          <w:sz w:val="20"/>
        </w:rPr>
        <w:t xml:space="preserve">), the right of each Holder of a Note to bring suit for the enforcement of any payment or delivery, as applicable, of the principal of, or the Fundamental Change Repurchase Price or Redemption Price for, or any interest on, or the Conversion Consideration due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upon conversion of, such Note on or after the respective due dates therefor provided in this Indenture and the Notes, will not be impaired or affected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7.09.</w:t>
      </w:r>
      <w:r>
        <w:rPr>
          <w:rFonts w:ascii="Times New Roman;Times;Serif" w:hAnsi="Times New Roman;Times;Serif"/>
          <w:b w:val="false"/>
          <w:i w:val="false"/>
          <w:smallCaps/>
          <w:sz w:val="20"/>
        </w:rPr>
        <w:t>    </w:t>
      </w:r>
      <w:r>
        <w:rPr>
          <w:rFonts w:ascii="Times New Roman;Times;Serif" w:hAnsi="Times New Roman;Times;Serif"/>
          <w:b/>
          <w:i w:val="false"/>
          <w:smallCaps/>
          <w:sz w:val="20"/>
        </w:rPr>
        <w:t>Collection Suit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will have the right, upon the occurrence and continuance of an Event of Default pursuant to </w:t>
      </w:r>
      <w:r>
        <w:rPr>
          <w:rFonts w:ascii="Times New Roman;Times;Serif" w:hAnsi="Times New Roman;Times;Serif"/>
          <w:b/>
          <w:i w:val="false"/>
          <w:caps w:val="false"/>
          <w:smallCaps w:val="false"/>
          <w:sz w:val="20"/>
        </w:rPr>
        <w:t>clause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xml:space="preserve">, to recover judgment in its own name and as trustee of an express trust against the Company for the total unpaid or undelivered principal of, or Fundamental Change Repurchase Price or Redemption Price for, or any interest on, or Conversion Consideration due pursuant to </w:t>
      </w:r>
      <w:r>
        <w:rPr>
          <w:rFonts w:ascii="Times New Roman;Times;Serif" w:hAnsi="Times New Roman;Times;Serif"/>
          <w:b/>
          <w:i w:val="false"/>
          <w:caps w:val="false"/>
          <w:smallCaps w:val="false"/>
          <w:sz w:val="20"/>
        </w:rPr>
        <w:t>Article 5</w:t>
      </w:r>
      <w:r>
        <w:rPr>
          <w:rFonts w:ascii="Times New Roman;Times;Serif" w:hAnsi="Times New Roman;Times;Serif"/>
          <w:b w:val="false"/>
          <w:i w:val="false"/>
          <w:caps w:val="false"/>
          <w:smallCaps w:val="false"/>
          <w:sz w:val="20"/>
        </w:rPr>
        <w:t xml:space="preserve"> upon conversion of, the Notes, as applicable, and, to the extent lawful, any Default Interest on any Defaulted Amounts, and such further amounts sufficient to cover the costs and expenses of collection, including compensation, expenses and indemnities provided for in </w:t>
      </w:r>
      <w:r>
        <w:rPr>
          <w:rFonts w:ascii="Times New Roman;Times;Serif" w:hAnsi="Times New Roman;Times;Serif"/>
          <w:b/>
          <w:i w:val="false"/>
          <w:caps w:val="false"/>
          <w:smallCaps w:val="false"/>
          <w:sz w:val="20"/>
        </w:rPr>
        <w:t>Section 10.06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7.10.</w:t>
      </w:r>
      <w:r>
        <w:rPr>
          <w:rFonts w:ascii="Times New Roman;Times;Serif" w:hAnsi="Times New Roman;Times;Serif"/>
          <w:b w:val="false"/>
          <w:i w:val="false"/>
          <w:smallCaps/>
          <w:sz w:val="20"/>
        </w:rPr>
        <w:t>    </w:t>
      </w:r>
      <w:r>
        <w:rPr>
          <w:rFonts w:ascii="Times New Roman;Times;Serif" w:hAnsi="Times New Roman;Times;Serif"/>
          <w:b/>
          <w:i w:val="false"/>
          <w:smallCaps/>
          <w:sz w:val="20"/>
        </w:rPr>
        <w:t>Trustee May File Proofs of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has the right to (A) file such proofs of claim and other papers or documents as may be necessary or advisable in order to have the claims of the Trustee and the Holders allowed in any judicial proceedings relative to the Company (or any other obligor upon the Notes) or its creditors or property and (B) collect, receive and distribute any money or other property payable or deliverable on any such claims. Each Holder authorizes any custodian in such proceeding to make such payments to the Trustee, and, if the Trustee consents to the making of such payments directly to the Holders, to pay to the Trustee any amount due to the Trustee for the reasonable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- 66 -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compensation, expenses, disbursements and advances of the Trustee, and its agents and counsel, and any other amounts payable to the Trustee pursuant to </w:t>
      </w:r>
      <w:r>
        <w:rPr>
          <w:rFonts w:ascii="Times New Roman;Times;Serif" w:hAnsi="Times New Roman;Times;Serif"/>
          <w:b/>
          <w:i w:val="false"/>
          <w:caps w:val="false"/>
          <w:smallCaps w:val="false"/>
          <w:sz w:val="20"/>
        </w:rPr>
        <w:t>Section 10.06</w:t>
      </w:r>
      <w:r>
        <w:rPr>
          <w:rFonts w:ascii="Times New Roman;Times;Serif" w:hAnsi="Times New Roman;Times;Serif"/>
          <w:b w:val="false"/>
          <w:i w:val="false"/>
          <w:caps w:val="false"/>
          <w:smallCaps w:val="false"/>
          <w:sz w:val="20"/>
        </w:rPr>
        <w:t>. To the extent that the payment of any such compensation, expenses, disbursements, advances and other amounts out of the estate in such proceeding, is denied for any reason, payment of the same will be secured by a lien on, and will be paid out of, any and all distributions, dividends, money, securities and other properties that the Holders may be entitled to receive in such proceeding (whether in liquidation or under any plan of reorganization or arrangement or otherwise). Nothing in this Indenture will be deemed to authorize the Trustee to authorize, consent to,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7.11.</w:t>
      </w:r>
      <w:r>
        <w:rPr>
          <w:rFonts w:ascii="Times New Roman;Times;Serif" w:hAnsi="Times New Roman;Times;Serif"/>
          <w:b w:val="false"/>
          <w:i w:val="false"/>
          <w:smallCaps/>
          <w:sz w:val="20"/>
        </w:rPr>
        <w:t>    </w:t>
      </w:r>
      <w:r>
        <w:rPr>
          <w:rFonts w:ascii="Times New Roman;Times;Serif" w:hAnsi="Times New Roman;Times;Serif"/>
          <w:b/>
          <w:i w:val="false"/>
          <w:smallCaps/>
          <w:sz w:val="20"/>
        </w:rPr>
        <w:t>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will pay or deliver in the following order any money or other property that it collects pursuant to this </w:t>
      </w:r>
      <w:r>
        <w:rPr>
          <w:rFonts w:ascii="Times New Roman;Times;Serif" w:hAnsi="Times New Roman;Times;Serif"/>
          <w:b/>
          <w:i w:val="false"/>
          <w:caps w:val="false"/>
          <w:smallCaps w:val="false"/>
          <w:sz w:val="20"/>
        </w:rPr>
        <w:t>Article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Trustee and its agents and attorneys for amounts due under </w:t>
      </w:r>
      <w:r>
        <w:rPr>
          <w:rFonts w:ascii="Times New Roman;Times;Serif" w:hAnsi="Times New Roman;Times;Serif"/>
          <w:b/>
          <w:i w:val="false"/>
          <w:caps w:val="false"/>
          <w:smallCaps w:val="false"/>
          <w:sz w:val="20"/>
        </w:rPr>
        <w:t>Section 10.06</w:t>
      </w:r>
      <w:r>
        <w:rPr>
          <w:rFonts w:ascii="Times New Roman;Times;Serif" w:hAnsi="Times New Roman;Times;Serif"/>
          <w:b w:val="false"/>
          <w:i w:val="false"/>
          <w:caps w:val="false"/>
          <w:smallCaps w:val="false"/>
          <w:sz w:val="20"/>
        </w:rPr>
        <w:t>, including payment of all fees, compensation, expenses and liabilities incurred, and all advances made, by the Trustee and the costs and expenses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Holders for unpaid amounts or other property due on the Notes, including the principal of, or the Fundamental Change Repurchase Price or Redemption Price for, or any interest on, or any Conversion Consideration due upon conversion of, the Notes, ratably, and without preference or priority of any kind, according to such amounts or other property due and payable on all of the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to the Company or such other Person as a court of competent jurisdiction directs.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may fix a record date and payment date for any payment or delivery to the Holders pursuant to this </w:t>
      </w:r>
      <w:r>
        <w:rPr>
          <w:rFonts w:ascii="Times New Roman;Times;Serif" w:hAnsi="Times New Roman;Times;Serif"/>
          <w:b/>
          <w:i w:val="false"/>
          <w:caps w:val="false"/>
          <w:smallCaps w:val="false"/>
          <w:sz w:val="20"/>
        </w:rPr>
        <w:t>Section 7.11</w:t>
      </w:r>
      <w:r>
        <w:rPr>
          <w:rFonts w:ascii="Times New Roman;Times;Serif" w:hAnsi="Times New Roman;Times;Serif"/>
          <w:b w:val="false"/>
          <w:i w:val="false"/>
          <w:caps w:val="false"/>
          <w:smallCaps w:val="false"/>
          <w:sz w:val="20"/>
        </w:rPr>
        <w:t>, in which case the Trustee will instruct the Company to, and the Company will, deliver, at least fifteen (15) calendar days before such record date, to each Holder and the Trustee a notice stating such record date, such payment date and the amount of such payment or nature of such delivery,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7.12.</w:t>
      </w:r>
      <w:r>
        <w:rPr>
          <w:rFonts w:ascii="Times New Roman;Times;Serif" w:hAnsi="Times New Roman;Times;Serif"/>
          <w:b w:val="false"/>
          <w:i w:val="false"/>
          <w:smallCaps/>
          <w:sz w:val="20"/>
        </w:rPr>
        <w:t>    </w:t>
      </w:r>
      <w:r>
        <w:rPr>
          <w:rFonts w:ascii="Times New Roman;Times;Serif" w:hAnsi="Times New Roman;Times;Serif"/>
          <w:b/>
          <w:i w:val="false"/>
          <w:smallCaps/>
          <w:sz w:val="20"/>
        </w:rPr>
        <w:t>Undertaking for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any suit for the enforcement of any right or remedy under this Indenture or the Notes or in any suit against the Trustee for any action taken or omitted by it as Trustee, a court, in its discretion, may (A) require the filing by any litigant party in such suit of an undertaking to pay the costs of such suit, and (B) assess reasonable costs (including reasonable attorneys’ fees) against any litigant party in such suit, having due regard to the merits and good faith of the claims or defenses made by such litigant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i w:val="false"/>
          <w:caps w:val="false"/>
          <w:smallCaps w:val="false"/>
          <w:sz w:val="20"/>
        </w:rPr>
        <w:t>Section 7.12</w:t>
      </w:r>
      <w:r>
        <w:rPr>
          <w:rFonts w:ascii="Times New Roman;Times;Serif" w:hAnsi="Times New Roman;Times;Serif"/>
          <w:b w:val="false"/>
          <w:i w:val="false"/>
          <w:caps w:val="false"/>
          <w:smallCaps w:val="false"/>
          <w:sz w:val="20"/>
        </w:rPr>
        <w:t xml:space="preserve"> does not apply to any suit by the Trustee, any suit by a Holder pursuant to </w:t>
      </w:r>
      <w:r>
        <w:rPr>
          <w:rFonts w:ascii="Times New Roman;Times;Serif" w:hAnsi="Times New Roman;Times;Serif"/>
          <w:b/>
          <w:i w:val="false"/>
          <w:caps w:val="false"/>
          <w:smallCaps w:val="false"/>
          <w:sz w:val="20"/>
        </w:rPr>
        <w:t>Section 7.08</w:t>
      </w:r>
      <w:r>
        <w:rPr>
          <w:rFonts w:ascii="Times New Roman;Times;Serif" w:hAnsi="Times New Roman;Times;Serif"/>
          <w:b w:val="false"/>
          <w:i w:val="false"/>
          <w:caps w:val="false"/>
          <w:smallCaps w:val="false"/>
          <w:sz w:val="20"/>
        </w:rPr>
        <w:t xml:space="preserve"> or any suit by one or more Holders of more than ten percent (10%) in aggregate principal amount of the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- 67 -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w:t>
      </w:r>
      <w:r>
        <w:rPr>
          <w:rFonts w:ascii="Times New Roman;Times;Serif" w:hAnsi="Times New Roman;Times;Serif"/>
          <w:b/>
          <w:i w:val="false"/>
          <w:caps/>
          <w:sz w:val="20"/>
        </w:rPr>
        <w:t>Amendments, Supplements and Waivers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8.01.</w:t>
      </w:r>
      <w:r>
        <w:rPr>
          <w:rFonts w:ascii="Times New Roman;Times;Serif" w:hAnsi="Times New Roman;Times;Serif"/>
          <w:b w:val="false"/>
          <w:i w:val="false"/>
          <w:smallCaps/>
          <w:sz w:val="20"/>
        </w:rPr>
        <w:t>    </w:t>
      </w:r>
      <w:r>
        <w:rPr>
          <w:rFonts w:ascii="Times New Roman;Times;Serif" w:hAnsi="Times New Roman;Times;Serif"/>
          <w:b/>
          <w:i w:val="false"/>
          <w:smallCaps/>
          <w:sz w:val="20"/>
        </w:rPr>
        <w:t>Without the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the Company and the Trustee may amend or supplement this Indenture or the Notes without the consent of any Holder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cure any ambiguity or correct any omission, defect or inconsistency in this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 guarantees with respect to the Company’s obligations under this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secure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add to the Company’s covenants or Events of Default for the benefit of the Holders or surrender any right or power conferred on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provide for the assumption of the Company’s obligations under this Indenture and the Notes pursuant to, and in compliance with, </w:t>
      </w:r>
      <w:r>
        <w:rPr>
          <w:rFonts w:ascii="Times New Roman;Times;Serif" w:hAnsi="Times New Roman;Times;Serif"/>
          <w:b/>
          <w:i w:val="false"/>
          <w:caps w:val="false"/>
          <w:smallCaps w:val="false"/>
          <w:sz w:val="20"/>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enter into supplemental indentures pursuant to, and in accordance with, </w:t>
      </w:r>
      <w:r>
        <w:rPr>
          <w:rFonts w:ascii="Times New Roman;Times;Serif" w:hAnsi="Times New Roman;Times;Serif"/>
          <w:b/>
          <w:i w:val="false"/>
          <w:caps w:val="false"/>
          <w:smallCaps w:val="false"/>
          <w:sz w:val="20"/>
        </w:rPr>
        <w:t>Section 5.09</w:t>
      </w:r>
      <w:r>
        <w:rPr>
          <w:rFonts w:ascii="Times New Roman;Times;Serif" w:hAnsi="Times New Roman;Times;Serif"/>
          <w:b w:val="false"/>
          <w:i w:val="false"/>
          <w:caps w:val="false"/>
          <w:smallCaps w:val="false"/>
          <w:sz w:val="20"/>
        </w:rPr>
        <w:t xml:space="preserve"> in connection with a Common Stock Change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irrevocably elect or eliminate any Settlement Method or Specified Dollar Amount;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 no such election or elimination will affect any Settlement Method theretofore elected (or deemed to be elected) with respect to any Note pursuant to </w:t>
      </w:r>
      <w:r>
        <w:rPr>
          <w:rFonts w:ascii="Times New Roman;Times;Serif" w:hAnsi="Times New Roman;Times;Serif"/>
          <w:b/>
          <w:i w:val="false"/>
          <w:caps w:val="false"/>
          <w:smallCaps w:val="false"/>
          <w:sz w:val="20"/>
        </w:rPr>
        <w:t>Section 5.03(A)</w:t>
      </w:r>
      <w:r>
        <w:rPr>
          <w:rFonts w:ascii="Times New Roman;Times;Serif" w:hAnsi="Times New Roman;Times;Serif"/>
          <w:b w:val="false"/>
          <w:i w:val="false"/>
          <w:caps w:val="false"/>
          <w:smallCaps w:val="false"/>
          <w:sz w:val="20"/>
        </w:rPr>
        <w:t>; and (ii) such irrevocable election or elimination can in no event result in a Specified Dollar Amount of less than $1,000 per $1,000 principal amount of Notes applying to the conversion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evidence or provide for the acceptance of the appointment, under this Indenture,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conform the provisions of this Indenture and the Notes to the “Description of Notes” section of the Company’s preliminary offering memorandum, dated January 17, 2024, as supplemented by the related pricing term sheet, dated January 18,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provide for or confirm the issuance of additional Notes pursuant to </w:t>
      </w:r>
      <w:r>
        <w:rPr>
          <w:rFonts w:ascii="Times New Roman;Times;Serif" w:hAnsi="Times New Roman;Times;Serif"/>
          <w:b/>
          <w:i w:val="false"/>
          <w:caps w:val="false"/>
          <w:smallCaps w:val="false"/>
          <w:sz w:val="20"/>
        </w:rPr>
        <w:t>Section 2.03(B)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comply with any requirement of the SEC in connection with any qualification of this Indenture or any supplemental indenture under the Trust Indenture Act, as then in effect;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make any other change to this Indenture or the Notes that does not, individually or in the aggregate with all other such changes, adversely affect the rights of the Holders, as such,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written request of any Holder of a Note or owner of a beneficial interest in a Global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- 68 -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the Company will provide a copy of the “Description of Notes” section and pricing term sheet referred to in </w:t>
      </w: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8.02.</w:t>
      </w:r>
      <w:r>
        <w:rPr>
          <w:rFonts w:ascii="Times New Roman;Times;Serif" w:hAnsi="Times New Roman;Times;Serif"/>
          <w:b w:val="false"/>
          <w:i w:val="false"/>
          <w:smallCaps/>
          <w:sz w:val="20"/>
        </w:rPr>
        <w:t>    </w:t>
      </w:r>
      <w:r>
        <w:rPr>
          <w:rFonts w:ascii="Times New Roman;Times;Serif" w:hAnsi="Times New Roman;Times;Serif"/>
          <w:b/>
          <w:i w:val="false"/>
          <w:smallCaps/>
          <w:sz w:val="20"/>
        </w:rPr>
        <w:t>With the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Generally</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i w:val="false"/>
          <w:caps w:val="false"/>
          <w:smallCaps w:val="false"/>
          <w:sz w:val="20"/>
        </w:rPr>
        <w:t>Sections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7.05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7.08</w:t>
      </w:r>
      <w:r>
        <w:rPr>
          <w:rFonts w:ascii="Times New Roman;Times;Serif" w:hAnsi="Times New Roman;Times;Serif"/>
          <w:b w:val="false"/>
          <w:i w:val="false"/>
          <w:caps w:val="false"/>
          <w:smallCaps w:val="false"/>
          <w:sz w:val="20"/>
        </w:rPr>
        <w:t xml:space="preserve"> and the immediately following sentence, the Company and the Trustee may, with the consent of the Holders of a majority in aggregate principal amount of the Notes then outstanding, amend or supplement this Indenture or the Notes or waive compliance with any provision of this Indenture or the Notes. Notwithstanding anything to the contrary in the foregoing sentence, but subject to </w:t>
      </w:r>
      <w:r>
        <w:rPr>
          <w:rFonts w:ascii="Times New Roman;Times;Serif" w:hAnsi="Times New Roman;Times;Serif"/>
          <w:b/>
          <w:i w:val="false"/>
          <w:caps w:val="false"/>
          <w:smallCaps w:val="false"/>
          <w:sz w:val="20"/>
        </w:rPr>
        <w:t>Section 8.01</w:t>
      </w:r>
      <w:r>
        <w:rPr>
          <w:rFonts w:ascii="Times New Roman;Times;Serif" w:hAnsi="Times New Roman;Times;Serif"/>
          <w:b w:val="false"/>
          <w:i w:val="false"/>
          <w:caps w:val="false"/>
          <w:smallCaps w:val="false"/>
          <w:sz w:val="20"/>
        </w:rPr>
        <w:t>, without the consent of each affected Holder, no amendment or supplement to this Indenture or the Notes, or waiver of any provision of this Indenture or the Notes, may: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reduce the principal, or extend the stated maturity,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Redemption Price or Fundamental Change Repurchase Price for any Note or change the times at which, or the circumstances under which, the Notes will be redeemed or repurchased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reduce the rate, or extend the time for the payment, of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 any change that adversely affects the conversion rights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impair the rights of any Holder set forth in </w:t>
      </w:r>
      <w:r>
        <w:rPr>
          <w:rFonts w:ascii="Times New Roman;Times;Serif" w:hAnsi="Times New Roman;Times;Serif"/>
          <w:b/>
          <w:i w:val="false"/>
          <w:caps w:val="false"/>
          <w:smallCaps w:val="false"/>
          <w:sz w:val="20"/>
        </w:rPr>
        <w:t>Section 7.08</w:t>
      </w:r>
      <w:r>
        <w:rPr>
          <w:rFonts w:ascii="Times New Roman;Times;Serif" w:hAnsi="Times New Roman;Times;Serif"/>
          <w:b w:val="false"/>
          <w:i w:val="false"/>
          <w:caps w:val="false"/>
          <w:smallCaps w:val="false"/>
          <w:sz w:val="20"/>
        </w:rPr>
        <w:t xml:space="preserve"> (as such section is in effect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change the ranking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make any Note payable in money, or at a place of payment, other than that stated in this Indenture or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reduce the amount of Notes whose Holders must consent to any amendment, supplement, waiver or other modification;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make any direct or indirect change to any amendment, supplement, waiver or modification provision of this Indenture or the Notes that requires the consent of each affected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pursuant to </w:t>
      </w:r>
      <w:r>
        <w:rPr>
          <w:rFonts w:ascii="Times New Roman;Times;Serif" w:hAnsi="Times New Roman;Times;Serif"/>
          <w:b/>
          <w:i w:val="false"/>
          <w:caps w:val="false"/>
          <w:smallCaps w:val="false"/>
          <w:sz w:val="20"/>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(iv)</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i w:val="false"/>
          <w:caps w:val="false"/>
          <w:smallCaps w:val="false"/>
          <w:sz w:val="20"/>
        </w:rPr>
        <w:t>Section 8.02(A)</w:t>
      </w:r>
      <w:r>
        <w:rPr>
          <w:rFonts w:ascii="Times New Roman;Times;Serif" w:hAnsi="Times New Roman;Times;Serif"/>
          <w:b w:val="false"/>
          <w:i w:val="false"/>
          <w:caps w:val="false"/>
          <w:smallCaps w:val="false"/>
          <w:sz w:val="20"/>
        </w:rPr>
        <w:t>, no amendment or supplement to this Indenture or the Notes, or waiver of any provision of this Indenture or the Notes, may change the amount or type of consideration due on any Note (whether on an Interest Payment Date, Redemption Date, Fundamental Change Repurchase Date or the Maturity Date or upon conversion, or otherwise), or the date(s) or time(s) such consideration is payable or deliverable, as applicable, without the consent of each affected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Holders Need Not Approve the Particular Form of any Amendment</w:t>
      </w:r>
      <w:r>
        <w:rPr>
          <w:rFonts w:ascii="Times New Roman;Times;Serif" w:hAnsi="Times New Roman;Times;Serif"/>
          <w:b w:val="false"/>
          <w:i w:val="false"/>
          <w:caps w:val="false"/>
          <w:smallCaps w:val="false"/>
          <w:sz w:val="20"/>
        </w:rPr>
        <w:t xml:space="preserve">. A consent of any Holder pursuant to this </w:t>
      </w:r>
      <w:r>
        <w:rPr>
          <w:rFonts w:ascii="Times New Roman;Times;Serif" w:hAnsi="Times New Roman;Times;Serif"/>
          <w:b/>
          <w:i w:val="false"/>
          <w:caps w:val="false"/>
          <w:smallCaps w:val="false"/>
          <w:sz w:val="20"/>
        </w:rPr>
        <w:t>Section 8.02</w:t>
      </w:r>
      <w:r>
        <w:rPr>
          <w:rFonts w:ascii="Times New Roman;Times;Serif" w:hAnsi="Times New Roman;Times;Serif"/>
          <w:b w:val="false"/>
          <w:i w:val="false"/>
          <w:caps w:val="false"/>
          <w:smallCaps w:val="false"/>
          <w:sz w:val="20"/>
        </w:rPr>
        <w:t xml:space="preserve"> need approve only the substance, and not necessarily the particular form, of the proposed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- 69 -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8.03.</w:t>
      </w:r>
      <w:r>
        <w:rPr>
          <w:rFonts w:ascii="Times New Roman;Times;Serif" w:hAnsi="Times New Roman;Times;Serif"/>
          <w:b w:val="false"/>
          <w:i w:val="false"/>
          <w:smallCaps/>
          <w:sz w:val="20"/>
        </w:rPr>
        <w:t>    </w:t>
      </w:r>
      <w:r>
        <w:rPr>
          <w:rFonts w:ascii="Times New Roman;Times;Serif" w:hAnsi="Times New Roman;Times;Serif"/>
          <w:b/>
          <w:i w:val="false"/>
          <w:smallCaps/>
          <w:sz w:val="20"/>
        </w:rPr>
        <w:t>Notice of Amendments, Supplements and Waivers.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soon as reasonably practicable after any amendment, supplement or waiver pursuant to </w:t>
      </w:r>
      <w:r>
        <w:rPr>
          <w:rFonts w:ascii="Times New Roman;Times;Serif" w:hAnsi="Times New Roman;Times;Serif"/>
          <w:b/>
          <w:i w:val="false"/>
          <w:caps w:val="false"/>
          <w:smallCaps w:val="false"/>
          <w:sz w:val="20"/>
        </w:rPr>
        <w:t>Section 8.01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8.02</w:t>
      </w:r>
      <w:r>
        <w:rPr>
          <w:rFonts w:ascii="Times New Roman;Times;Serif" w:hAnsi="Times New Roman;Times;Serif"/>
          <w:b w:val="false"/>
          <w:i w:val="false"/>
          <w:caps w:val="false"/>
          <w:smallCaps w:val="false"/>
          <w:sz w:val="20"/>
        </w:rPr>
        <w:t xml:space="preserve"> becomes effective, the Company will send to the Holders and the Trustee notice that (A) describes the substance of such amendment, supplement or waiver in reasonable detail and (B) states the effective date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not be required to provide such notice to the Holders if such amendment, supplement or waiver is included in a periodic report filed by the Company with the SEC within four (4) Business Days of its effectiveness. The failure to send, or the existence of any defect in, such notice will not impair or affect the validity of such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8.04.</w:t>
      </w:r>
      <w:r>
        <w:rPr>
          <w:rFonts w:ascii="Times New Roman;Times;Serif" w:hAnsi="Times New Roman;Times;Serif"/>
          <w:b w:val="false"/>
          <w:i w:val="false"/>
          <w:smallCaps/>
          <w:sz w:val="20"/>
        </w:rPr>
        <w:t>    </w:t>
      </w:r>
      <w:r>
        <w:rPr>
          <w:rFonts w:ascii="Times New Roman;Times;Serif" w:hAnsi="Times New Roman;Times;Serif"/>
          <w:b/>
          <w:i w:val="false"/>
          <w:smallCaps/>
          <w:sz w:val="20"/>
        </w:rPr>
        <w:t>Revocation, Effect and Solicitation of Consents; Special Record Dates;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Revocation and Effect of Consents</w:t>
      </w:r>
      <w:r>
        <w:rPr>
          <w:rFonts w:ascii="Times New Roman;Times;Serif" w:hAnsi="Times New Roman;Times;Serif"/>
          <w:b w:val="false"/>
          <w:i w:val="false"/>
          <w:caps w:val="false"/>
          <w:smallCaps w:val="false"/>
          <w:sz w:val="20"/>
        </w:rPr>
        <w:t xml:space="preserve">. The consent of a Holder of a Note to an amendment, supplement or waiver will bind (and constitute the consent of) each subsequent Holder of any Note to the extent the same evidences any portion of the same indebtedness as the consenting Holder’s Note, subject to the right of any Holder of a Note to revoke (if not prohibited pursuant to </w:t>
      </w:r>
      <w:r>
        <w:rPr>
          <w:rFonts w:ascii="Times New Roman;Times;Serif" w:hAnsi="Times New Roman;Times;Serif"/>
          <w:b/>
          <w:i w:val="false"/>
          <w:caps w:val="false"/>
          <w:smallCaps w:val="false"/>
          <w:sz w:val="20"/>
        </w:rPr>
        <w:t>Section 8.04(B)</w:t>
      </w:r>
      <w:r>
        <w:rPr>
          <w:rFonts w:ascii="Times New Roman;Times;Serif" w:hAnsi="Times New Roman;Times;Serif"/>
          <w:b w:val="false"/>
          <w:i w:val="false"/>
          <w:caps w:val="false"/>
          <w:smallCaps w:val="false"/>
          <w:sz w:val="20"/>
        </w:rPr>
        <w:t>) any such consent with respect to such Note by delivering notice of revocation to the Trustee before the time such amendment, supplement or waiver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Special Record Dates</w:t>
      </w:r>
      <w:r>
        <w:rPr>
          <w:rFonts w:ascii="Times New Roman;Times;Serif" w:hAnsi="Times New Roman;Times;Serif"/>
          <w:b w:val="false"/>
          <w:i w:val="false"/>
          <w:caps w:val="false"/>
          <w:smallCaps w:val="false"/>
          <w:sz w:val="20"/>
        </w:rPr>
        <w:t xml:space="preserve">. The Company may, but is not required to, fix a record date for the purpose of determining the Holders entitled to consent or take any other action in connection with any amendment, supplement or waiver pursuant to this </w:t>
      </w: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xml:space="preserve">. If a record date is fixed, then, notwithstanding anything to the contrary in </w:t>
      </w:r>
      <w:r>
        <w:rPr>
          <w:rFonts w:ascii="Times New Roman;Times;Serif" w:hAnsi="Times New Roman;Times;Serif"/>
          <w:b/>
          <w:i w:val="false"/>
          <w:caps w:val="false"/>
          <w:smallCaps w:val="false"/>
          <w:sz w:val="20"/>
        </w:rPr>
        <w:t>Section 8.04(A)</w:t>
      </w:r>
      <w:r>
        <w:rPr>
          <w:rFonts w:ascii="Times New Roman;Times;Serif" w:hAnsi="Times New Roman;Times;Serif"/>
          <w:b w:val="false"/>
          <w:i w:val="false"/>
          <w:caps w:val="false"/>
          <w:smallCaps w:val="false"/>
          <w:sz w:val="20"/>
        </w:rPr>
        <w:t xml:space="preserve">, only Persons who are Holders as of such record date (or their duly designated proxies) will be entitled to give such consent, to revoke any consent previously given or to take any such action, regardless of whether such Persons continue to be Holders after such record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consent will be valid or effective for more than one hundred and twenty (120) calendar days after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Solicitation of Consents</w:t>
      </w:r>
      <w:r>
        <w:rPr>
          <w:rFonts w:ascii="Times New Roman;Times;Serif" w:hAnsi="Times New Roman;Times;Serif"/>
          <w:b w:val="false"/>
          <w:i w:val="false"/>
          <w:caps w:val="false"/>
          <w:smallCaps w:val="false"/>
          <w:sz w:val="20"/>
        </w:rPr>
        <w:t>. For the avoidance of doubt, each reference in this Indenture or the Notes to the consent of a Holder will be deemed to include any such consent obtained in connection with a repurchase of, or tender or exchange offer for,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Effectiveness and Binding Effect</w:t>
      </w:r>
      <w:r>
        <w:rPr>
          <w:rFonts w:ascii="Times New Roman;Times;Serif" w:hAnsi="Times New Roman;Times;Serif"/>
          <w:b w:val="false"/>
          <w:i w:val="false"/>
          <w:caps w:val="false"/>
          <w:smallCaps w:val="false"/>
          <w:sz w:val="20"/>
        </w:rPr>
        <w:t xml:space="preserve">. Each amendment, supplement or waiver pursuant to this </w:t>
      </w: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xml:space="preserve"> will become effective in accordance with its terms and, when it becomes effective with respect to any Note (or any portion thereof), will thereafter bind every Holder of such Note (or such portion).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8.05.</w:t>
      </w:r>
      <w:r>
        <w:rPr>
          <w:rFonts w:ascii="Times New Roman;Times;Serif" w:hAnsi="Times New Roman;Times;Serif"/>
          <w:b w:val="false"/>
          <w:i w:val="false"/>
          <w:smallCaps/>
          <w:sz w:val="20"/>
        </w:rPr>
        <w:t>    </w:t>
      </w:r>
      <w:r>
        <w:rPr>
          <w:rFonts w:ascii="Times New Roman;Times;Serif" w:hAnsi="Times New Roman;Times;Serif"/>
          <w:b/>
          <w:i w:val="false"/>
          <w:smallCaps/>
          <w:sz w:val="20"/>
        </w:rPr>
        <w:t>Notations and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amendment, supplement or waiver changes the terms of a Note, then the Company may, in its discretion, require the Holder of such Note to deliver such Note to the Trustee so that the Trustee may place an appropriate notation prepared by the Company on such Note and return such Note to such Holder. Alternatively, at its discretion, the Company may, in exchange for such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- 70 -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issue, execute and deliver, and the Trustee will authenticate, in each case in accordance with </w:t>
      </w:r>
      <w:r>
        <w:rPr>
          <w:rFonts w:ascii="Times New Roman;Times;Serif" w:hAnsi="Times New Roman;Times;Serif"/>
          <w:b/>
          <w:i w:val="false"/>
          <w:caps w:val="false"/>
          <w:smallCaps w:val="false"/>
          <w:sz w:val="20"/>
        </w:rPr>
        <w:t>Section 2.02</w:t>
      </w:r>
      <w:r>
        <w:rPr>
          <w:rFonts w:ascii="Times New Roman;Times;Serif" w:hAnsi="Times New Roman;Times;Serif"/>
          <w:b w:val="false"/>
          <w:i w:val="false"/>
          <w:caps w:val="false"/>
          <w:smallCaps w:val="false"/>
          <w:sz w:val="20"/>
        </w:rPr>
        <w:t xml:space="preserve">, a new Note that reflects the changed terms. The failure to make any appropriate notation or issue a new Note pursuant to this </w:t>
      </w:r>
      <w:r>
        <w:rPr>
          <w:rFonts w:ascii="Times New Roman;Times;Serif" w:hAnsi="Times New Roman;Times;Serif"/>
          <w:b/>
          <w:i w:val="false"/>
          <w:caps w:val="false"/>
          <w:smallCaps w:val="false"/>
          <w:sz w:val="20"/>
        </w:rPr>
        <w:t>Section 8.05</w:t>
      </w:r>
      <w:r>
        <w:rPr>
          <w:rFonts w:ascii="Times New Roman;Times;Serif" w:hAnsi="Times New Roman;Times;Serif"/>
          <w:b w:val="false"/>
          <w:i w:val="false"/>
          <w:caps w:val="false"/>
          <w:smallCaps w:val="false"/>
          <w:sz w:val="20"/>
        </w:rPr>
        <w:t xml:space="preserve"> will not impair or affect the validity of such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8.06.</w:t>
      </w:r>
      <w:r>
        <w:rPr>
          <w:rFonts w:ascii="Times New Roman;Times;Serif" w:hAnsi="Times New Roman;Times;Serif"/>
          <w:b w:val="false"/>
          <w:i w:val="false"/>
          <w:smallCaps/>
          <w:sz w:val="20"/>
        </w:rPr>
        <w:t>    </w:t>
      </w:r>
      <w:r>
        <w:rPr>
          <w:rFonts w:ascii="Times New Roman;Times;Serif" w:hAnsi="Times New Roman;Times;Serif"/>
          <w:b/>
          <w:i w:val="false"/>
          <w:smallCaps/>
          <w:sz w:val="20"/>
        </w:rPr>
        <w:t>Trustee to Execute 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will execute and deliver any amendment or supplemental indenture authorized pursuant to this </w:t>
      </w:r>
      <w:r>
        <w:rPr>
          <w:rFonts w:ascii="Times New Roman;Times;Serif" w:hAnsi="Times New Roman;Times;Serif"/>
          <w:b/>
          <w:i w:val="false"/>
          <w:caps w:val="false"/>
          <w:smallCaps w:val="false"/>
          <w:sz w:val="20"/>
        </w:rPr>
        <w:t>Article 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Trustee need not (but may, in its sole and absolute discretion) execute or deliver any such amendment or supplemental indenture that adversely affects the Trustee’s rights, duties, liabilities or immunities. In executing any amendment or supplemental indenture, the Trustee will be entitled to receive, and (subject to </w:t>
      </w:r>
      <w:r>
        <w:rPr>
          <w:rFonts w:ascii="Times New Roman;Times;Serif" w:hAnsi="Times New Roman;Times;Serif"/>
          <w:b/>
          <w:i w:val="false"/>
          <w:caps w:val="false"/>
          <w:smallCaps w:val="false"/>
          <w:sz w:val="20"/>
        </w:rPr>
        <w:t>Sections 10.01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10.02</w:t>
      </w:r>
      <w:r>
        <w:rPr>
          <w:rFonts w:ascii="Times New Roman;Times;Serif" w:hAnsi="Times New Roman;Times;Serif"/>
          <w:b w:val="false"/>
          <w:i w:val="false"/>
          <w:caps w:val="false"/>
          <w:smallCaps w:val="false"/>
          <w:sz w:val="20"/>
        </w:rPr>
        <w:t>) will be fully protected in relying on, an Officer’s Certificate and an Opinion of Counsel stating that (A) the execution and delivery of such amendment or supplemental indenture is authorized or permitted by this Indenture; and (B) in the case of the Opinion of Counsel, such amendment or supplemental indenture is valid, binding and enforceable against the Company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9.</w:t>
      </w:r>
      <w:r>
        <w:rPr>
          <w:rFonts w:ascii="Times New Roman;Times;Serif" w:hAnsi="Times New Roman;Times;Serif"/>
          <w:b w:val="false"/>
          <w:i w:val="false"/>
          <w:caps w:val="false"/>
          <w:smallCaps w:val="false"/>
          <w:sz w:val="20"/>
        </w:rPr>
        <w:t>    </w:t>
      </w:r>
      <w:r>
        <w:rPr>
          <w:rFonts w:ascii="Times New Roman;Times;Serif" w:hAnsi="Times New Roman;Times;Serif"/>
          <w:b/>
          <w:i w:val="false"/>
          <w:caps/>
          <w:sz w:val="20"/>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9.01.</w:t>
      </w:r>
      <w:r>
        <w:rPr>
          <w:rFonts w:ascii="Times New Roman;Times;Serif" w:hAnsi="Times New Roman;Times;Serif"/>
          <w:b w:val="false"/>
          <w:i w:val="false"/>
          <w:smallCaps/>
          <w:sz w:val="20"/>
        </w:rPr>
        <w:t>    </w:t>
      </w:r>
      <w:r>
        <w:rPr>
          <w:rFonts w:ascii="Times New Roman;Times;Serif" w:hAnsi="Times New Roman;Times;Serif"/>
          <w:b/>
          <w:i w:val="false"/>
          <w:smallCaps/>
          <w:sz w:val="20"/>
        </w:rPr>
        <w:t>Termination of Company’s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will be discharged, and will cease to be of further effect as to all Notes issued under this Indenture,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Notes then outstanding (other than Notes replaced pursuant to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 have (i) been delivered to the Trustee for cancellation; or (ii) become due and payable (whether on a Redemption Date, a Fundamental Change Repurchase Date, the Maturity Date, upon conversion or otherwise) for an amount of cash or Conversion Consideration, as applicable, that has been fixed;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caused there to be irrevocably deposited with the Trustee, or with the Paying Agent (or, with respect to Conversion Consideration, the Conversion Agent), in each case for the benefit of the Holders, or has otherwise caused there to be delivered to the Holders, cash (or, with respect to Notes to be converted, Conversion Consideration) sufficient to satisfy all amounts or other property due on all Notes then outstanding (other than Notes replaced pursuant to </w:t>
      </w:r>
      <w:r>
        <w:rPr>
          <w:rFonts w:ascii="Times New Roman;Times;Serif" w:hAnsi="Times New Roman;Times;Serif"/>
          <w:b/>
          <w:i w:val="false"/>
          <w:caps w:val="false"/>
          <w:smallCaps w:val="false"/>
          <w:sz w:val="20"/>
        </w:rPr>
        <w:t>Section 2.13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paid all other amounts payable by it under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delivered to the Trustee an Officer’s Certificate and an Opinion of Counsel, each stating that the conditions precedent to the discharge of this Indenture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i w:val="false"/>
          <w:caps w:val="false"/>
          <w:smallCaps w:val="false"/>
          <w:sz w:val="20"/>
        </w:rPr>
        <w:t>Article 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Section 11.01</w:t>
      </w:r>
      <w:r>
        <w:rPr>
          <w:rFonts w:ascii="Times New Roman;Times;Serif" w:hAnsi="Times New Roman;Times;Serif"/>
          <w:b w:val="false"/>
          <w:i w:val="false"/>
          <w:caps w:val="false"/>
          <w:smallCaps w:val="false"/>
          <w:sz w:val="20"/>
        </w:rPr>
        <w:t xml:space="preserve"> will survive such discharge and, until no Notes remain outstanding, </w:t>
      </w:r>
      <w:r>
        <w:rPr>
          <w:rFonts w:ascii="Times New Roman;Times;Serif" w:hAnsi="Times New Roman;Times;Serif"/>
          <w:b/>
          <w:i w:val="false"/>
          <w:caps w:val="false"/>
          <w:smallCaps w:val="false"/>
          <w:sz w:val="20"/>
        </w:rPr>
        <w:t>Section 2.15</w:t>
      </w:r>
      <w:r>
        <w:rPr>
          <w:rFonts w:ascii="Times New Roman;Times;Serif" w:hAnsi="Times New Roman;Times;Serif"/>
          <w:b w:val="false"/>
          <w:i w:val="false"/>
          <w:caps w:val="false"/>
          <w:smallCaps w:val="false"/>
          <w:sz w:val="20"/>
        </w:rPr>
        <w:t xml:space="preserve"> and the obligations of the Trustee, the Paying Agent and the Conversion Agent with respect to money or other property deposited with them will survive such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- 71 -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request, the Trustee will acknowledge the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9.02.</w:t>
      </w:r>
      <w:r>
        <w:rPr>
          <w:rFonts w:ascii="Times New Roman;Times;Serif" w:hAnsi="Times New Roman;Times;Serif"/>
          <w:b w:val="false"/>
          <w:i w:val="false"/>
          <w:smallCaps/>
          <w:sz w:val="20"/>
        </w:rPr>
        <w:t>    </w:t>
      </w:r>
      <w:r>
        <w:rPr>
          <w:rFonts w:ascii="Times New Roman;Times;Serif" w:hAnsi="Times New Roman;Times;Serif"/>
          <w:b/>
          <w:i w:val="false"/>
          <w:smallCaps/>
          <w:sz w:val="20"/>
        </w:rPr>
        <w:t>Repayment to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unclaimed property law, the Trustee, the Paying Agent and the Conversion Agent will promptly notify the Company if there exists (and, at the Company’s request, promptly deliver to the Company) any cash, Conversion Consideration or other property held by any of them for payment or delivery on the Notes that remain unclaimed two (2) years after the date on which such payment or delivery was due. After such delivery to the Company, the Trustee, the Paying Agent and the Conversion Agent will have no further liability to any Holder with respect to such cash, Conversion Consideration or other property, and Holders entitled to the payment or delivery of such cash, Conversion Consideration or other property must look to the Company for payment as a general creditor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9.03.</w:t>
      </w:r>
      <w:r>
        <w:rPr>
          <w:rFonts w:ascii="Times New Roman;Times;Serif" w:hAnsi="Times New Roman;Times;Serif"/>
          <w:b w:val="false"/>
          <w:i w:val="false"/>
          <w:smallCaps/>
          <w:sz w:val="20"/>
        </w:rPr>
        <w:t>    </w:t>
      </w:r>
      <w:r>
        <w:rPr>
          <w:rFonts w:ascii="Times New Roman;Times;Serif" w:hAnsi="Times New Roman;Times;Serif"/>
          <w:b/>
          <w:i w:val="false"/>
          <w:smallCaps/>
          <w:sz w:val="20"/>
        </w:rPr>
        <w:t>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the Paying Agent or the Conversion Agent is unable to apply any cash or other property deposited with it pursuant to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because of any legal proceeding or any order or judgment of any court or other governmental authority that enjoins, restrains or otherwise prohibits such application, then the discharge of this Indenture pursuant to </w:t>
      </w:r>
      <w:r>
        <w:rPr>
          <w:rFonts w:ascii="Times New Roman;Times;Serif" w:hAnsi="Times New Roman;Times;Serif"/>
          <w:b/>
          <w:i w:val="false"/>
          <w:caps w:val="false"/>
          <w:smallCaps w:val="false"/>
          <w:sz w:val="20"/>
        </w:rPr>
        <w:t>Section 9.01</w:t>
      </w:r>
      <w:r>
        <w:rPr>
          <w:rFonts w:ascii="Times New Roman;Times;Serif" w:hAnsi="Times New Roman;Times;Serif"/>
          <w:b w:val="false"/>
          <w:i w:val="false"/>
          <w:caps w:val="false"/>
          <w:smallCaps w:val="false"/>
          <w:sz w:val="20"/>
        </w:rPr>
        <w:t xml:space="preserve"> will be rescinded;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thereafter pays or delivers any cash or other property due on the Notes to the Holders thereof, then the Company will be subrogated to the rights of such Holders to receive such cash or other property from the cash or other property, if any, held by the Trustee, the Paying Agent or the Conversion Agent,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10.</w:t>
      </w:r>
      <w:r>
        <w:rPr>
          <w:rFonts w:ascii="Times New Roman;Times;Serif" w:hAnsi="Times New Roman;Times;Serif"/>
          <w:b w:val="false"/>
          <w:i w:val="false"/>
          <w:caps w:val="false"/>
          <w:smallCaps w:val="false"/>
          <w:sz w:val="20"/>
        </w:rPr>
        <w:t>    </w:t>
      </w:r>
      <w:r>
        <w:rPr>
          <w:rFonts w:ascii="Times New Roman;Times;Serif" w:hAnsi="Times New Roman;Times;Serif"/>
          <w:b/>
          <w:i w:val="false"/>
          <w:caps/>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10.01.</w:t>
      </w:r>
      <w:r>
        <w:rPr>
          <w:rFonts w:ascii="Times New Roman;Times;Serif" w:hAnsi="Times New Roman;Times;Serif"/>
          <w:b w:val="false"/>
          <w:i w:val="false"/>
          <w:smallCaps/>
          <w:sz w:val="20"/>
        </w:rPr>
        <w:t>    </w:t>
      </w:r>
      <w:r>
        <w:rPr>
          <w:rFonts w:ascii="Times New Roman;Times;Serif" w:hAnsi="Times New Roman;Times;Serif"/>
          <w:b/>
          <w:i w:val="false"/>
          <w:smallCaps/>
          <w:sz w:val="20"/>
        </w:rPr>
        <w:t>Duties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during the continuance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of the Trustee will be determined solely by the express provisions of this Indenture, and the Trustee need perform only those duties that are specifically set forth in this Indenture and no others, and no implied covenants or obligations will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or willful misconduct on its part, the Trustee may conclusively rely, as to the truth of the statements and the correctness of the opinions expressed therein, upon any certificates or opinions that are provided to the Trustee and conform to the requirements of this Indenture. However, the Trustee will examine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- 72 -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 and opinions to determine whether or not they conform to the requirements of this Indenture but the Trustee need not confirm or investigate the accuracy of any mathematical calculations or other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liabilities for its negligence, bad faith or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paragraph will not limit the effect of </w:t>
      </w:r>
      <w:r>
        <w:rPr>
          <w:rFonts w:ascii="Times New Roman;Times;Serif" w:hAnsi="Times New Roman;Times;Serif"/>
          <w:b/>
          <w:i w:val="false"/>
          <w:caps w:val="false"/>
          <w:smallCaps w:val="false"/>
          <w:sz w:val="20"/>
        </w:rPr>
        <w:t>Section 10.01(B)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will not be liable for any error of judgment made in good faith by a Responsible Officer, unless it is proved that the Trustee was negligent in ascertaining the pertinent facts;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Trustee will not be liable with respect to any action it takes or omits to take in good faith in accordance with a direction received by it pursuant to </w:t>
      </w:r>
      <w:r>
        <w:rPr>
          <w:rFonts w:ascii="Times New Roman;Times;Serif" w:hAnsi="Times New Roman;Times;Serif"/>
          <w:b/>
          <w:i w:val="false"/>
          <w:caps w:val="false"/>
          <w:smallCaps w:val="false"/>
          <w:sz w:val="20"/>
        </w:rPr>
        <w:t>Section 7.06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provision of this Indenture that in any way relates to the Trustee is subject to paragraphs </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i w:val="false"/>
          <w:caps w:val="false"/>
          <w:smallCaps w:val="false"/>
          <w:sz w:val="20"/>
        </w:rPr>
        <w:t>Section 10.01</w:t>
      </w:r>
      <w:r>
        <w:rPr>
          <w:rFonts w:ascii="Times New Roman;Times;Serif" w:hAnsi="Times New Roman;Times;Serif"/>
          <w:b w:val="false"/>
          <w:i w:val="false"/>
          <w:caps w:val="false"/>
          <w:smallCaps w:val="false"/>
          <w:sz w:val="20"/>
        </w:rPr>
        <w:t>, regardless of whether such provision so expressly provides.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provision of this Indenture will require the Trustee to expend or risk its own funds or incur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will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10.02.</w:t>
      </w:r>
      <w:r>
        <w:rPr>
          <w:rFonts w:ascii="Times New Roman;Times;Serif" w:hAnsi="Times New Roman;Times;Serif"/>
          <w:b w:val="false"/>
          <w:i w:val="false"/>
          <w:smallCaps/>
          <w:sz w:val="20"/>
        </w:rPr>
        <w:t>    </w:t>
      </w:r>
      <w:r>
        <w:rPr>
          <w:rFonts w:ascii="Times New Roman;Times;Serif" w:hAnsi="Times New Roman;Times;Serif"/>
          <w:b/>
          <w:i w:val="false"/>
          <w:smallCaps/>
          <w:sz w:val="20"/>
        </w:rPr>
        <w:t>Rights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on any document that it believes to be genuine and signed or presented by the proper Person, and the Trustee need not investigate any fact or matter stated in such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an Opinion of Counsel or both. The Trustee will not be liable for any action it takes or omits to take in good faith in reliance on such Officer’s Certificate or Opinion of Counsel. The Trustee may consult with counsel; and the advice of such counsel, or any Opinion of Counsel, will constitute full and complete authorization of the Trustee to take or omit to take any action in good faith in reliance thereon without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its attorneys and agents and will not be responsible for the misconduct or negligence of any such agent or attorney appointed with due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will not be liable for any action it takes or omits to take in good faith and that it believes to be authorized or within the rights or powers vested in it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otherwise specifically provided in this Indenture, any demand, request, direction or notice from the Company will be sufficient if signed by an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- 73 -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need not exercise any rights or powers vested in it by this Indenture at the request or direction of any Holder unless such Holder has offered the Trustee security or indemnity satisfactory to the Trustee against any loss, liability or expense that it may incur in complying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will not be responsible or liable for any punitive, special, indirect or consequential loss or damage (including lost profits), even if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will not be deemed to have notice or knowledge of any Default or Event of Default unless written notice of any event that is in fact such a Default or Event of Default is received by a Responsible Officer of the Trustee at the Corporate Trust Office of the Trustee, and such notice references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rights, privileges, protections, immunities and benefits given to the Trustee, including its right to be indemnified, are extended to, and will be enforceable by, the Trustee in each of its capacities hereunder, including as Note Agents, and each agent, custodian and other Person employed to act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permissive rights of the Trustee to take certain actions under this Indenture will not be construed as a duty unless so specified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is not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determines to make such further inquiry or investigation, it will be entitled to examine the books, records and premises of the Company, personally or by agent or attorney at the sole cost of the Company, and will incur no liability of any kind by reason of such inquiry or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will not be required to give any bond or surety in respect of the performance of its powers and duties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may request that the Company deliver a certificate setting forth the names of individuals or titles of officers authorized at such time to take specified actions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10.03.</w:t>
      </w:r>
      <w:r>
        <w:rPr>
          <w:rFonts w:ascii="Times New Roman;Times;Serif" w:hAnsi="Times New Roman;Times;Serif"/>
          <w:b w:val="false"/>
          <w:i w:val="false"/>
          <w:smallCaps/>
          <w:sz w:val="20"/>
        </w:rPr>
        <w:t>    </w:t>
      </w:r>
      <w:r>
        <w:rPr>
          <w:rFonts w:ascii="Times New Roman;Times;Serif" w:hAnsi="Times New Roman;Times;Serif"/>
          <w:b/>
          <w:i w:val="false"/>
          <w:smallCaps/>
          <w:sz w:val="20"/>
        </w:rPr>
        <w:t>Individual Rights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in its individual or any other capacity, may become the owner or pledgee of any Note and may otherwise deal with the Company or any of its Affiliates with the same rights that it would have if it were not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Trustee acquires a “conflicting interest” (within the meaning of Section 310(b) of the Trust Indenture Act), then it must eliminate such conflict within ninety (90) days or resign as Trustee. Each Note Agent will have the same rights and duties as the Trustee under this </w:t>
      </w:r>
      <w:r>
        <w:rPr>
          <w:rFonts w:ascii="Times New Roman;Times;Serif" w:hAnsi="Times New Roman;Times;Serif"/>
          <w:b/>
          <w:i w:val="false"/>
          <w:caps w:val="false"/>
          <w:smallCaps w:val="false"/>
          <w:sz w:val="20"/>
        </w:rPr>
        <w:t>Section 10.03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- 74 -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10.04.</w:t>
      </w:r>
      <w:r>
        <w:rPr>
          <w:rFonts w:ascii="Times New Roman;Times;Serif" w:hAnsi="Times New Roman;Times;Serif"/>
          <w:b w:val="false"/>
          <w:i w:val="false"/>
          <w:smallCaps/>
          <w:sz w:val="20"/>
        </w:rPr>
        <w:t>    </w:t>
      </w:r>
      <w:r>
        <w:rPr>
          <w:rFonts w:ascii="Times New Roman;Times;Serif" w:hAnsi="Times New Roman;Times;Serif"/>
          <w:b/>
          <w:i w:val="false"/>
          <w:smallCaps/>
          <w:sz w:val="20"/>
        </w:rPr>
        <w:t>Trustee’s 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not be (A) responsible for, and makes no representation as to, the validity or adequacy of this Indenture (or any supplement hereto) or the Notes; (B) accountable for the Company’s use of the proceeds from the Notes or any money paid to the Company or upon the Company’s direction under any provision of this Indenture; (C) responsible for the use or application of any money received by any Paying Agent other than the Trustee; and (D) responsible for any statement or recital in this Indenture, the Notes or any other document relating to the sale of the Notes or this Indenture, other than the 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10.05.</w:t>
      </w:r>
      <w:r>
        <w:rPr>
          <w:rFonts w:ascii="Times New Roman;Times;Serif" w:hAnsi="Times New Roman;Times;Serif"/>
          <w:b w:val="false"/>
          <w:i w:val="false"/>
          <w:smallCaps/>
          <w:sz w:val="20"/>
        </w:rPr>
        <w:t>    </w:t>
      </w:r>
      <w:r>
        <w:rPr>
          <w:rFonts w:ascii="Times New Roman;Times;Serif" w:hAnsi="Times New Roman;Times;Serif"/>
          <w:b/>
          <w:i w:val="false"/>
          <w:smallCaps/>
          <w:sz w:val="20"/>
        </w:rPr>
        <w:t>Notice of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Default or Event of Default occurs and is continuing and is actually known to a Responsible Officer of the Trustee, then the Trustee will send Holders a notice of such Default or Event of Default within ninety (90) days after it occurs or, if it is not actually known to a Responsible Officer of the Trustee at such time, promptly (and in any event within ten (10) Business Days) after it becomes actually known to a Responsible Officer of the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in the case of a Default or Event of Default in the payment of the principal of, or interest on, any Note, the Trustee may withhold such notice if and for so long as it in good faith determines that withholding such notice is in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10.06.</w:t>
      </w:r>
      <w:r>
        <w:rPr>
          <w:rFonts w:ascii="Times New Roman;Times;Serif" w:hAnsi="Times New Roman;Times;Serif"/>
          <w:b w:val="false"/>
          <w:i w:val="false"/>
          <w:smallCaps/>
          <w:sz w:val="20"/>
        </w:rPr>
        <w:t>    </w:t>
      </w:r>
      <w:r>
        <w:rPr>
          <w:rFonts w:ascii="Times New Roman;Times;Serif" w:hAnsi="Times New Roman;Times;Serif"/>
          <w:b/>
          <w:i w:val="false"/>
          <w:smallCaps/>
          <w:sz w:val="20"/>
        </w:rPr>
        <w:t>Compensation and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from time to time, pay the Trustee compensation as is agreed between the Company and the Trustee for its acceptance of this Indenture and services under this Indenture. The Trustee’s compensation will not be limited by any law on compensation of a trustee of an express trust. In addition to the compensation for the Trustee’s services, the Company will reimburse the Trustee promptly upon request for all reasonable disbursements, advances and expenses incurred or made by it under this Indenture, including the reasonable compensation, disbursements and expenses of the Trustee’s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will indemnify the Trustee against any and all losses, liabilities or expenses incurred by it arising out of or in connection with the acceptance or administration of its duties under this Indenture, including the costs and expenses of enforcing this Indenture (including this </w:t>
      </w:r>
      <w:r>
        <w:rPr>
          <w:rFonts w:ascii="Times New Roman;Times;Serif" w:hAnsi="Times New Roman;Times;Serif"/>
          <w:b/>
          <w:i w:val="false"/>
          <w:caps w:val="false"/>
          <w:smallCaps w:val="false"/>
          <w:sz w:val="20"/>
        </w:rPr>
        <w:t>Section 10.06</w:t>
      </w:r>
      <w:r>
        <w:rPr>
          <w:rFonts w:ascii="Times New Roman;Times;Serif" w:hAnsi="Times New Roman;Times;Serif"/>
          <w:b w:val="false"/>
          <w:i w:val="false"/>
          <w:caps w:val="false"/>
          <w:smallCaps w:val="false"/>
          <w:sz w:val="20"/>
        </w:rPr>
        <w:t xml:space="preserve">) and defending itself against any claim (whether asserted by the Company, any Holder or any other Person) or liability in connection with the exercise or performance of any of its powers or duties under this Indenture, except to the extent any such loss, liability or expense may be attributable to its negligence, bad faith or willful misconduct. The Trustee will promptly notify the Company of any claim for which it may seek indemnity, but the Trustee’s failure to so notify the Company will not relieve the Company of its obligations under this </w:t>
      </w:r>
      <w:r>
        <w:rPr>
          <w:rFonts w:ascii="Times New Roman;Times;Serif" w:hAnsi="Times New Roman;Times;Serif"/>
          <w:b/>
          <w:i w:val="false"/>
          <w:caps w:val="false"/>
          <w:smallCaps w:val="false"/>
          <w:sz w:val="20"/>
        </w:rPr>
        <w:t>Section 10.06(B)</w:t>
      </w:r>
      <w:r>
        <w:rPr>
          <w:rFonts w:ascii="Times New Roman;Times;Serif" w:hAnsi="Times New Roman;Times;Serif"/>
          <w:b w:val="false"/>
          <w:i w:val="false"/>
          <w:caps w:val="false"/>
          <w:smallCaps w:val="false"/>
          <w:sz w:val="20"/>
        </w:rPr>
        <w:t>. The Company will defend such claim, and the Trustee will cooperate in such defense. If the Trustee is advised by counsel that it may have defenses available to it that are in conflict with the defenses available to the Company, or that there is an actual or potential conflict of interest, then the Trustee may retain separate counsel, and the Company will pay the reasonable fees and expenses of such counsel (including the reasonable fees and expenses of counsel to the Trustee incurred in evaluating whether such a conflict exists). The Company need not pay for any settlement of any such claim made without its consent, which consent will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- 75 -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obligations of the Company under this </w:t>
      </w:r>
      <w:r>
        <w:rPr>
          <w:rFonts w:ascii="Times New Roman;Times;Serif" w:hAnsi="Times New Roman;Times;Serif"/>
          <w:b/>
          <w:i w:val="false"/>
          <w:caps w:val="false"/>
          <w:smallCaps w:val="false"/>
          <w:sz w:val="20"/>
        </w:rPr>
        <w:t>Section 10.06</w:t>
      </w:r>
      <w:r>
        <w:rPr>
          <w:rFonts w:ascii="Times New Roman;Times;Serif" w:hAnsi="Times New Roman;Times;Serif"/>
          <w:b w:val="false"/>
          <w:i w:val="false"/>
          <w:caps w:val="false"/>
          <w:smallCaps w:val="false"/>
          <w:sz w:val="20"/>
        </w:rPr>
        <w:t xml:space="preserve"> will survive the resignation or removal of the Trustee and the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secure the Company’s payment obligations in this </w:t>
      </w:r>
      <w:r>
        <w:rPr>
          <w:rFonts w:ascii="Times New Roman;Times;Serif" w:hAnsi="Times New Roman;Times;Serif"/>
          <w:b/>
          <w:i w:val="false"/>
          <w:caps w:val="false"/>
          <w:smallCaps w:val="false"/>
          <w:sz w:val="20"/>
        </w:rPr>
        <w:t>Section 10.06</w:t>
      </w:r>
      <w:r>
        <w:rPr>
          <w:rFonts w:ascii="Times New Roman;Times;Serif" w:hAnsi="Times New Roman;Times;Serif"/>
          <w:b w:val="false"/>
          <w:i w:val="false"/>
          <w:caps w:val="false"/>
          <w:smallCaps w:val="false"/>
          <w:sz w:val="20"/>
        </w:rPr>
        <w:t>, the Trustee will have a lien prior to the Notes on all money or property held or collected by the Trustee, except that held in trust to pay principal of, or interest on, particular Notes, which lien will survive the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Trustee incurs expenses or renders services after an Event of Default pursuant to </w:t>
      </w:r>
      <w:r>
        <w:rPr>
          <w:rFonts w:ascii="Times New Roman;Times;Serif" w:hAnsi="Times New Roman;Times;Serif"/>
          <w:b/>
          <w:i w:val="false"/>
          <w:caps w:val="false"/>
          <w:smallCaps w:val="false"/>
          <w:sz w:val="20"/>
        </w:rPr>
        <w:t>clause (ix)</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(x)</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Section 7.01(A)</w:t>
      </w:r>
      <w:r>
        <w:rPr>
          <w:rFonts w:ascii="Times New Roman;Times;Serif" w:hAnsi="Times New Roman;Times;Serif"/>
          <w:b w:val="false"/>
          <w:i w:val="false"/>
          <w:caps w:val="false"/>
          <w:smallCaps w:val="false"/>
          <w:sz w:val="20"/>
        </w:rPr>
        <w:t> occurs, then such expenses and the compensation for such services (including the fees and expenses of its agents and counsel) are intended to constitute expenses of administration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10.07.</w:t>
      </w:r>
      <w:r>
        <w:rPr>
          <w:rFonts w:ascii="Times New Roman;Times;Serif" w:hAnsi="Times New Roman;Times;Serif"/>
          <w:b w:val="false"/>
          <w:i w:val="false"/>
          <w:smallCaps/>
          <w:sz w:val="20"/>
        </w:rPr>
        <w:t>    </w:t>
      </w:r>
      <w:r>
        <w:rPr>
          <w:rFonts w:ascii="Times New Roman;Times;Serif" w:hAnsi="Times New Roman;Times;Serif"/>
          <w:b/>
          <w:i w:val="false"/>
          <w:smallCaps/>
          <w:sz w:val="20"/>
        </w:rPr>
        <w:t>Replacement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in this </w:t>
      </w:r>
      <w:r>
        <w:rPr>
          <w:rFonts w:ascii="Times New Roman;Times;Serif" w:hAnsi="Times New Roman;Times;Serif"/>
          <w:b/>
          <w:i w:val="false"/>
          <w:caps w:val="false"/>
          <w:smallCaps w:val="false"/>
          <w:sz w:val="20"/>
        </w:rPr>
        <w:t>Section 10.07</w:t>
      </w:r>
      <w:r>
        <w:rPr>
          <w:rFonts w:ascii="Times New Roman;Times;Serif" w:hAnsi="Times New Roman;Times;Serif"/>
          <w:b w:val="false"/>
          <w:i w:val="false"/>
          <w:caps w:val="false"/>
          <w:smallCaps w:val="false"/>
          <w:sz w:val="20"/>
        </w:rPr>
        <w:t xml:space="preserve">, a resignation or removal of the Trustee, and the appointment of a successor Trustee, will become effective only upon such successor Trustee’s acceptance of appointment as provided in this </w:t>
      </w:r>
      <w:r>
        <w:rPr>
          <w:rFonts w:ascii="Times New Roman;Times;Serif" w:hAnsi="Times New Roman;Times;Serif"/>
          <w:b/>
          <w:i w:val="false"/>
          <w:caps w:val="false"/>
          <w:smallCaps w:val="false"/>
          <w:sz w:val="20"/>
        </w:rPr>
        <w:t>Section 10.07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resign at any time and be discharged from the trust created by this Indenture by so notifying the Company. The Holders of a majority in aggregate principal amount of the Notes then outstanding may remove the Trustee by so notifying the Trustee and the Company in writing. The Company may remove the Trustee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Trustee fails to comply with </w:t>
      </w:r>
      <w:r>
        <w:rPr>
          <w:rFonts w:ascii="Times New Roman;Times;Serif" w:hAnsi="Times New Roman;Times;Serif"/>
          <w:b/>
          <w:i w:val="false"/>
          <w:caps w:val="false"/>
          <w:smallCaps w:val="false"/>
          <w:sz w:val="20"/>
        </w:rPr>
        <w:t>Section 10.09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is adjudged to be bankrupt or insolvent or an order for relief is entered with respect to the Trustee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custodian or public officer takes charge of the Trustee or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Trustee becomes incapable of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Trustee resigns or is removed, or if a vacancy exists in the office of Trustee for any reason, then (i) the Company will promptly appoint a successor Trustee; and (ii) at any time within one (1) year after the successor Trustee takes office, the Holders of a majority in aggregate principal amount of the Notes then outstanding may appoint a successor Trustee to replace such successor Trustee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successor Trustee does not take office within sixty (60) days after the retiring Trustee resigns or is removed, then the retiring Trustee, the Company or the Holders of at least ten percent (10%) in aggregate principal amount of the Notes then outstanding may petition any court of competent jurisdiction for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Trustee, after written request by a Holder of at least six (6) months, fails to comply with </w:t>
      </w:r>
      <w:r>
        <w:rPr>
          <w:rFonts w:ascii="Times New Roman;Times;Serif" w:hAnsi="Times New Roman;Times;Serif"/>
          <w:b/>
          <w:i w:val="false"/>
          <w:caps w:val="false"/>
          <w:smallCaps w:val="false"/>
          <w:sz w:val="20"/>
        </w:rPr>
        <w:t>Section 10.09</w:t>
      </w:r>
      <w:r>
        <w:rPr>
          <w:rFonts w:ascii="Times New Roman;Times;Serif" w:hAnsi="Times New Roman;Times;Serif"/>
          <w:b w:val="false"/>
          <w:i w:val="false"/>
          <w:caps w:val="false"/>
          <w:smallCaps w:val="false"/>
          <w:sz w:val="20"/>
        </w:rPr>
        <w:t>, then such Holder may petition any court of competent jurisdiction for the removal of the Trustee and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- 76 -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 successor Trustee will deliver a written acceptance of its appointment to the retiring Trustee and to the Company, upon which notice the resignation or removal of the retiring Trustee will become effective and the successor Trustee will have all the rights, powers and duties of the Trustee under this Indenture. The successor Trustee will send notice of its succession to Holders. The retiring Trustee will, upon payment of all amounts due to it under this Indenture, promptly transfer all property held by it as Trustee to the successor Trustee, which property will, for the avoidance of doubt, be subject to the lien provided for in </w:t>
      </w:r>
      <w:r>
        <w:rPr>
          <w:rFonts w:ascii="Times New Roman;Times;Serif" w:hAnsi="Times New Roman;Times;Serif"/>
          <w:b/>
          <w:i w:val="false"/>
          <w:caps w:val="false"/>
          <w:smallCaps w:val="false"/>
          <w:sz w:val="20"/>
        </w:rPr>
        <w:t>Section 10.06(D)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10.08.</w:t>
      </w:r>
      <w:r>
        <w:rPr>
          <w:rFonts w:ascii="Times New Roman;Times;Serif" w:hAnsi="Times New Roman;Times;Serif"/>
          <w:b w:val="false"/>
          <w:i w:val="false"/>
          <w:smallCaps/>
          <w:sz w:val="20"/>
        </w:rPr>
        <w:t>    </w:t>
      </w:r>
      <w:r>
        <w:rPr>
          <w:rFonts w:ascii="Times New Roman;Times;Serif" w:hAnsi="Times New Roman;Times;Serif"/>
          <w:b/>
          <w:i w:val="false"/>
          <w:smallCaps/>
          <w:sz w:val="20"/>
        </w:rPr>
        <w:t>Successor Trustee by Merger,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merges or converts into, or transfers all or substantially all of its corporate trust business to, another corporation, then such corporation will become the successor Trustee without any further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10.09.</w:t>
      </w:r>
      <w:r>
        <w:rPr>
          <w:rFonts w:ascii="Times New Roman;Times;Serif" w:hAnsi="Times New Roman;Times;Serif"/>
          <w:b w:val="false"/>
          <w:i w:val="false"/>
          <w:smallCaps/>
          <w:sz w:val="20"/>
        </w:rPr>
        <w:t>    </w:t>
      </w:r>
      <w:r>
        <w:rPr>
          <w:rFonts w:ascii="Times New Roman;Times;Serif" w:hAnsi="Times New Roman;Times;Serif"/>
          <w:b/>
          <w:i w:val="false"/>
          <w:smallCaps/>
          <w:sz w:val="20"/>
        </w:rPr>
        <w:t>Eligibility; Disqualification.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at all times be a Trustee under this Indenture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11.</w:t>
      </w:r>
      <w:r>
        <w:rPr>
          <w:rFonts w:ascii="Times New Roman;Times;Serif" w:hAnsi="Times New Roman;Times;Serif"/>
          <w:b w:val="false"/>
          <w:i w:val="false"/>
          <w:caps w:val="false"/>
          <w:smallCaps w:val="false"/>
          <w:sz w:val="20"/>
        </w:rPr>
        <w:t>    </w:t>
      </w: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11.01.</w:t>
      </w:r>
      <w:r>
        <w:rPr>
          <w:rFonts w:ascii="Times New Roman;Times;Serif" w:hAnsi="Times New Roman;Times;Serif"/>
          <w:b w:val="false"/>
          <w:i w:val="false"/>
          <w:smallCaps/>
          <w:sz w:val="20"/>
        </w:rPr>
        <w:t>    </w:t>
      </w:r>
      <w:r>
        <w:rPr>
          <w:rFonts w:ascii="Times New Roman;Times;Serif" w:hAnsi="Times New Roman;Times;Serif"/>
          <w:b/>
          <w:i w:val="false"/>
          <w:smallCaps/>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by the Company or the Trustee to the other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MN 55347</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Faegre Drinker Biddle &amp; Reath LLP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 Wells Fargo Center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55402-3901</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Ben Stacke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- 77 -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 S. LaSalle Street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 MK-IL-SLTR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Corporate Trust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 60603</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(312) 332-8008</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Linda Garcia</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linda.garcia@usbank.com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notice to the other, may designate additional or different addresses (including facsimile numbers and electronic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and communications (other than those sent to Holders) will be deemed to have been duly given: (A) at the time delivered by hand, if personally delivered; (B) five (5) Business Days after being deposited in the mail, postage prepaid, if mailed; (C) when receipt acknowledged, if transmitted by facsimile, electronic transmission or other similar means of unsecured electronic communication; and (D) the next Business Day after timely delivery to the courier, if sent by overnight air courier guaranteeing next day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notices or communications required to be made to a Holder pursuant to this Indenture must be made in writing and will be deemed to be duly sent or given in writing if mailed by first class mail, certified or registered, return receipt requested, or by overnight air courier guaranteeing next day delivery, to its address shown on the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notice or communication to a Holder of a Global Note may, but need not, instead be sent pursuant to the Depositary Procedures (in which case, such notice will be deemed to be duly sent or given in writing). The failure to send a notice or communication to a Holder, or any defect in such notice or communication, will not affect its sufficiency with respect to any other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is then acting as the Depositary’s custodian for the Notes, then, at the reasonable request of the Company to the Trustee, the Trustee will cause any notice prepared by the Company to be sent to any Holder(s) pursuant to the Depositary Procedures,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such request is evidenced in a Company Order delivered, together with the text of such notice, to the Trustee at least two (2) Business Days before the date such notice is to be so sent. The Trustee will not have any liability relating to the contents of any notice that it sends to any Holder pursuant to any such Company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sent in the manner provided above within the time prescribed, it will be deemed to have been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Indenture or the Notes, whenever any provision of this Indenture requires a party to send notice to another party, no such notice need be sent if the sending party and the recipient are the same Person acting in different capacities.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- 78 -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11.02.</w:t>
      </w:r>
      <w:r>
        <w:rPr>
          <w:rFonts w:ascii="Times New Roman;Times;Serif" w:hAnsi="Times New Roman;Times;Serif"/>
          <w:b w:val="false"/>
          <w:i w:val="false"/>
          <w:smallCaps/>
          <w:sz w:val="20"/>
        </w:rPr>
        <w:t>    </w:t>
      </w:r>
      <w:r>
        <w:rPr>
          <w:rFonts w:ascii="Times New Roman;Times;Serif" w:hAnsi="Times New Roman;Times;Serif"/>
          <w:b/>
          <w:i w:val="false"/>
          <w:smallCaps/>
          <w:sz w:val="20"/>
        </w:rPr>
        <w:t>Delivery of Officer’s Certificate and Opinion of Counsel as to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(other than the initial authentication of Notes under this Indenture), the Company will furnish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 Officer’s Certificate in form and substance reasonably satisfactory to the Trustee that complies with </w:t>
      </w:r>
      <w:r>
        <w:rPr>
          <w:rFonts w:ascii="Times New Roman;Times;Serif" w:hAnsi="Times New Roman;Times;Serif"/>
          <w:b/>
          <w:i w:val="false"/>
          <w:caps w:val="false"/>
          <w:smallCaps w:val="false"/>
          <w:sz w:val="20"/>
        </w:rPr>
        <w:t>Section 11.03</w:t>
      </w:r>
      <w:r>
        <w:rPr>
          <w:rFonts w:ascii="Times New Roman;Times;Serif" w:hAnsi="Times New Roman;Times;Serif"/>
          <w:b w:val="false"/>
          <w:i w:val="false"/>
          <w:caps w:val="false"/>
          <w:smallCaps w:val="false"/>
          <w:sz w:val="20"/>
        </w:rPr>
        <w:t xml:space="preserve"> and states that, in the opinion of the signatory thereto, all conditions precedent and covenants, if any, provided for in this Indenture relating to such action have been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 Opinion of Counsel in form and substance reasonably satisfactory to the Trustee that complies with </w:t>
      </w:r>
      <w:r>
        <w:rPr>
          <w:rFonts w:ascii="Times New Roman;Times;Serif" w:hAnsi="Times New Roman;Times;Serif"/>
          <w:b/>
          <w:i w:val="false"/>
          <w:caps w:val="false"/>
          <w:smallCaps w:val="false"/>
          <w:sz w:val="20"/>
        </w:rPr>
        <w:t>Section 11.03</w:t>
      </w:r>
      <w:r>
        <w:rPr>
          <w:rFonts w:ascii="Times New Roman;Times;Serif" w:hAnsi="Times New Roman;Times;Serif"/>
          <w:b w:val="false"/>
          <w:i w:val="false"/>
          <w:caps w:val="false"/>
          <w:smallCaps w:val="false"/>
          <w:sz w:val="20"/>
        </w:rPr>
        <w:t xml:space="preserve"> and states that, in the opinion of such counsel, all such conditions precedent and covenants, if any,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11.03.</w:t>
      </w:r>
      <w:r>
        <w:rPr>
          <w:rFonts w:ascii="Times New Roman;Times;Serif" w:hAnsi="Times New Roman;Times;Serif"/>
          <w:b w:val="false"/>
          <w:i w:val="false"/>
          <w:smallCaps/>
          <w:sz w:val="20"/>
        </w:rPr>
        <w:t>    </w:t>
      </w:r>
      <w:r>
        <w:rPr>
          <w:rFonts w:ascii="Times New Roman;Times;Serif" w:hAnsi="Times New Roman;Times;Serif"/>
          <w:b/>
          <w:i w:val="false"/>
          <w:smallCaps/>
          <w:sz w:val="20"/>
        </w:rPr>
        <w:t>Statements Required in Officer’s Certificate and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Officer’s Certificate (other than an Officer’s Certificate pursuant to </w:t>
      </w:r>
      <w:r>
        <w:rPr>
          <w:rFonts w:ascii="Times New Roman;Times;Serif" w:hAnsi="Times New Roman;Times;Serif"/>
          <w:b/>
          <w:i w:val="false"/>
          <w:caps w:val="false"/>
          <w:smallCaps w:val="false"/>
          <w:sz w:val="20"/>
        </w:rPr>
        <w:t>Section 3.05</w:t>
      </w:r>
      <w:r>
        <w:rPr>
          <w:rFonts w:ascii="Times New Roman;Times;Serif" w:hAnsi="Times New Roman;Times;Serif"/>
          <w:b w:val="false"/>
          <w:i w:val="false"/>
          <w:caps w:val="false"/>
          <w:smallCaps w:val="false"/>
          <w:sz w:val="20"/>
        </w:rPr>
        <w:t>) or Opinion of Counsel with respect to compliance with a covenant or condition provided for in this Indenture will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signatory thereto has read such covenant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therein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signatory, he, she or it has made such examination or investigation as is necessary to enable him, her or it to express an informed opinion as to whether or not such covenant or condition has been satisfied;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statement as to whether, in the opinion of such signatory, such covenant or condition has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11.04.</w:t>
      </w:r>
      <w:r>
        <w:rPr>
          <w:rFonts w:ascii="Times New Roman;Times;Serif" w:hAnsi="Times New Roman;Times;Serif"/>
          <w:b w:val="false"/>
          <w:i w:val="false"/>
          <w:smallCaps/>
          <w:sz w:val="20"/>
        </w:rPr>
        <w:t>    </w:t>
      </w:r>
      <w:r>
        <w:rPr>
          <w:rFonts w:ascii="Times New Roman;Times;Serif" w:hAnsi="Times New Roman;Times;Serif"/>
          <w:b/>
          <w:i w:val="false"/>
          <w:smallCaps/>
          <w:sz w:val="20"/>
        </w:rPr>
        <w:t>Rules by the Trustee, the Registrar and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at a meeting of Holders. The Registrar or Paying Agent may make reasonable rules and set reasonable requirements for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11.05.</w:t>
      </w:r>
      <w:r>
        <w:rPr>
          <w:rFonts w:ascii="Times New Roman;Times;Serif" w:hAnsi="Times New Roman;Times;Serif"/>
          <w:b w:val="false"/>
          <w:i w:val="false"/>
          <w:smallCaps/>
          <w:sz w:val="20"/>
        </w:rPr>
        <w:t>    </w:t>
      </w:r>
      <w:r>
        <w:rPr>
          <w:rFonts w:ascii="Times New Roman;Times;Serif" w:hAnsi="Times New Roman;Times;Serif"/>
          <w:b/>
          <w:i w:val="false"/>
          <w:smallCaps/>
          <w:sz w:val="20"/>
        </w:rPr>
        <w:t>No Personal Liability of Directors, Officers, Employees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past, present or future director, officer, employee, incorporator or stockholder of the Company, as such, will have any liability for any obligations of the Company under this Indenture or the Notes or for any claim based on, in respect of, or by reason of, such obligations or their creation. By accepting any Note, each Holder waives and releases all such liability. Such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- 79 -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release are part of the consideration for the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11.06.</w:t>
      </w:r>
      <w:r>
        <w:rPr>
          <w:rFonts w:ascii="Times New Roman;Times;Serif" w:hAnsi="Times New Roman;Times;Serif"/>
          <w:b w:val="false"/>
          <w:i w:val="false"/>
          <w:smallCaps/>
          <w:sz w:val="20"/>
        </w:rPr>
        <w:t>    </w:t>
      </w:r>
      <w:r>
        <w:rPr>
          <w:rFonts w:ascii="Times New Roman;Times;Serif" w:hAnsi="Times New Roman;Times;Serif"/>
          <w:b/>
          <w:i w:val="false"/>
          <w:smallCaps/>
          <w:sz w:val="20"/>
        </w:rPr>
        <w:t>Governing Law; Waiver of Jury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THE NOTES, AND ANY CLAIM, CONTROVERSY OR DISPUTE ARISING UNDER OR RELATED TO THIS INDENTURE OR THE NOTES, WILL BE GOVERNED BY AND CONSTRUED IN ACCORDANCE WITH THE LAWS OF THE STATE OF NEW YORK. EACH OF THE COMPANY AND THE TRUSTEE IRREVOCABLY WAIVES, TO THE FULLEST EXTENT PERMITTED BY APPLICABLE LAW, ANY AND ALL RIGHT TO TRIAL BY JURY IN ANY LEGAL PROCEEDING ARISING OUT OF OR RELATING TO THIS INDENTURE, THE NOTES OR THE TRANSACTIONS CONTEMPLATED BY THIS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11.07.</w:t>
      </w:r>
      <w:r>
        <w:rPr>
          <w:rFonts w:ascii="Times New Roman;Times;Serif" w:hAnsi="Times New Roman;Times;Serif"/>
          <w:b w:val="false"/>
          <w:i w:val="false"/>
          <w:smallCaps/>
          <w:sz w:val="20"/>
        </w:rPr>
        <w:t>    </w:t>
      </w:r>
      <w:r>
        <w:rPr>
          <w:rFonts w:ascii="Times New Roman;Times;Serif" w:hAnsi="Times New Roman;Times;Serif"/>
          <w:b/>
          <w:i w:val="false"/>
          <w:smallCaps/>
          <w:sz w:val="20"/>
        </w:rPr>
        <w:t>Submission to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legal suit, action or proceeding arising out of or based upon this Indenture or the transactions contemplated by this Indenture may be instituted in the federal courts of the United States of America located in the City of New York or the courts of the State of New York, in each case located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in </w:t>
      </w:r>
      <w:r>
        <w:rPr>
          <w:rFonts w:ascii="Times New Roman;Times;Serif" w:hAnsi="Times New Roman;Times;Serif"/>
          <w:b/>
          <w:i w:val="false"/>
          <w:caps w:val="false"/>
          <w:smallCaps w:val="false"/>
          <w:sz w:val="20"/>
        </w:rPr>
        <w:t>Section 11.01</w:t>
      </w:r>
      <w:r>
        <w:rPr>
          <w:rFonts w:ascii="Times New Roman;Times;Serif" w:hAnsi="Times New Roman;Times;Serif"/>
          <w:b w:val="false"/>
          <w:i w:val="false"/>
          <w:caps w:val="false"/>
          <w:smallCaps w:val="false"/>
          <w:sz w:val="20"/>
        </w:rPr>
        <w:t xml:space="preserve"> will be effective service of process for any such suit, action or proceeding brought in any such court. Each of the Company, the Trustee and each Holder (by its acceptance of any Note) irrevocably and unconditionally waives any objection to the laying of venue of any suit, action or other proceeding in the Specified Courts and irrevocably and unconditionally waives and agrees not to plead or claim any such suit, action or other proceeding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11.08.</w:t>
      </w:r>
      <w:r>
        <w:rPr>
          <w:rFonts w:ascii="Times New Roman;Times;Serif" w:hAnsi="Times New Roman;Times;Serif"/>
          <w:b w:val="false"/>
          <w:i w:val="false"/>
          <w:smallCaps/>
          <w:sz w:val="20"/>
        </w:rPr>
        <w:t>    </w:t>
      </w:r>
      <w:r>
        <w:rPr>
          <w:rFonts w:ascii="Times New Roman;Times;Serif" w:hAnsi="Times New Roman;Times;Serif"/>
          <w:b/>
          <w:i w:val="false"/>
          <w:smallCaps/>
          <w:sz w:val="20"/>
        </w:rPr>
        <w:t>No Adverse Interpretation of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Indenture nor the Notes may be used to interpret any other indenture, note, loan or debt agreement of the Company or its Subsidiaries or of any other Person, and no such indenture, note, loan or debt agreement may be used to interpret this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11.09.</w:t>
      </w:r>
      <w:r>
        <w:rPr>
          <w:rFonts w:ascii="Times New Roman;Times;Serif" w:hAnsi="Times New Roman;Times;Serif"/>
          <w:b w:val="false"/>
          <w:i w:val="false"/>
          <w:smallCaps/>
          <w:sz w:val="20"/>
        </w:rPr>
        <w:t>    </w:t>
      </w:r>
      <w:r>
        <w:rPr>
          <w:rFonts w:ascii="Times New Roman;Times;Serif" w:hAnsi="Times New Roman;Times;Serif"/>
          <w:b/>
          <w:i w:val="false"/>
          <w:smallCaps/>
          <w:sz w:val="20"/>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Indenture and the Notes will bind its successors. All agreements of the Trustee in this Indenture will bind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11.10.</w:t>
      </w:r>
      <w:r>
        <w:rPr>
          <w:rFonts w:ascii="Times New Roman;Times;Serif" w:hAnsi="Times New Roman;Times;Serif"/>
          <w:b w:val="false"/>
          <w:i w:val="false"/>
          <w:smallCaps/>
          <w:sz w:val="20"/>
        </w:rPr>
        <w:t>    </w:t>
      </w:r>
      <w:r>
        <w:rPr>
          <w:rFonts w:ascii="Times New Roman;Times;Serif" w:hAnsi="Times New Roman;Times;Serif"/>
          <w:b/>
          <w:i w:val="false"/>
          <w:smallCaps/>
          <w:sz w:val="20"/>
        </w:rPr>
        <w:t>Force Majeure.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each Note Agent will not incur any liability for not performing any act or fulfilling any duty, obligation or responsibility under this Indenture or the Notes by reason of any occurrence beyond its control (including any act or provision of any present or future law or regulation or governmental authority, act of God or war, civil unrest, local or national disturbance or disaster, act of terrorism or unavailability of the Federal Reserve Bank wire or facsimile or other wire or communication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- 80 -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11.11.</w:t>
      </w:r>
      <w:r>
        <w:rPr>
          <w:rFonts w:ascii="Times New Roman;Times;Serif" w:hAnsi="Times New Roman;Times;Serif"/>
          <w:b w:val="false"/>
          <w:i w:val="false"/>
          <w:smallCaps/>
          <w:sz w:val="20"/>
        </w:rPr>
        <w:t>    </w:t>
      </w:r>
      <w:r>
        <w:rPr>
          <w:rFonts w:ascii="Times New Roman;Times;Serif" w:hAnsi="Times New Roman;Times;Serif"/>
          <w:b/>
          <w:i w:val="false"/>
          <w:smallCaps/>
          <w:sz w:val="20"/>
        </w:rPr>
        <w:t>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that, in accordance with Section 326 of the U.S.A. PATRIOT Act, the Trustee, like all financial institutions, in order to help fight the funding of terrorism and money laundering, is required to obtain, verify and record information that identifies each person or legal entity that establishes a relationship or opens an account with the Trustee. The Company agrees to provide the Trustee with such information as it may request to enable the Trustee to comply with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11.12.</w:t>
      </w:r>
      <w:r>
        <w:rPr>
          <w:rFonts w:ascii="Times New Roman;Times;Serif" w:hAnsi="Times New Roman;Times;Serif"/>
          <w:b w:val="false"/>
          <w:i w:val="false"/>
          <w:smallCaps/>
          <w:sz w:val="20"/>
        </w:rPr>
        <w:t>    </w:t>
      </w:r>
      <w:r>
        <w:rPr>
          <w:rFonts w:ascii="Times New Roman;Times;Serif" w:hAnsi="Times New Roman;Times;Serif"/>
          <w:b/>
          <w:i w:val="false"/>
          <w:smallCaps/>
          <w:sz w:val="20"/>
        </w:rPr>
        <w:t>Calculations.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this Indenture, the Company will be responsible for making all calculations called for under this Indenture or the Notes, including determinations of the Last Reported Sale Price, the Daily Conversion Value, the Daily Cash Amount, the Daily Share Amount, the Daily VWAP, the Trading Price, accrued interest on the Notes, the Redemption Price, the Fundamental Change Repurchase Price and the Conversion Rate. Neither the Trustee nor any Conversion Agent will be responsible for making any such calculations or monitoring the price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make all calculations in good faith, and, absent manifest error, its calculations will be final and binding on all Holders. The Company will provide a schedule of its calculations to the Trustee and the Conversion Agent, and each of the Trustee and the Conversion Agent may rely conclusively on the accuracy of the Company’s calculations without independent verification. The Trustee will promptly forward a copy of each such schedule to a Holder upon its written request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11.13.</w:t>
      </w:r>
      <w:r>
        <w:rPr>
          <w:rFonts w:ascii="Times New Roman;Times;Serif" w:hAnsi="Times New Roman;Times;Serif"/>
          <w:b w:val="false"/>
          <w:i w:val="false"/>
          <w:smallCaps/>
          <w:sz w:val="20"/>
        </w:rPr>
        <w:t>    </w:t>
      </w:r>
      <w:r>
        <w:rPr>
          <w:rFonts w:ascii="Times New Roman;Times;Serif" w:hAnsi="Times New Roman;Times;Serif"/>
          <w:b/>
          <w:i w:val="false"/>
          <w:smallCaps/>
          <w:sz w:val="20"/>
        </w:rP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Indenture or the Notes is invalid, illegal or unenforceable, then the validity, legality and enforceability of the remaining provisions of this Indenture or the Notes will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11.14.</w:t>
      </w:r>
      <w:r>
        <w:rPr>
          <w:rFonts w:ascii="Times New Roman;Times;Serif" w:hAnsi="Times New Roman;Times;Serif"/>
          <w:b w:val="false"/>
          <w:i w:val="false"/>
          <w:smallCaps/>
          <w:sz w:val="20"/>
        </w:rPr>
        <w:t>    </w:t>
      </w:r>
      <w:r>
        <w:rPr>
          <w:rFonts w:ascii="Times New Roman;Times;Serif" w:hAnsi="Times New Roman;Times;Serif"/>
          <w:b/>
          <w:i w:val="false"/>
          <w:smallCaps/>
          <w:sz w:val="20"/>
        </w:rPr>
        <w:t>Counterparts.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sign any number of copies of this Indenture. Each signed copy will be an original, and all of them together represent the same agreement. Delivery of an executed counterpart of this Indenture by facsimile, electronically in portable document format or in any other format will be effective as delivery of a manually executed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11.15.</w:t>
      </w:r>
      <w:r>
        <w:rPr>
          <w:rFonts w:ascii="Times New Roman;Times;Serif" w:hAnsi="Times New Roman;Times;Serif"/>
          <w:b w:val="false"/>
          <w:i w:val="false"/>
          <w:smallCaps/>
          <w:sz w:val="20"/>
        </w:rPr>
        <w:t>    </w:t>
      </w:r>
      <w:r>
        <w:rPr>
          <w:rFonts w:ascii="Times New Roman;Times;Serif" w:hAnsi="Times New Roman;Times;Serif"/>
          <w:b/>
          <w:i w:val="false"/>
          <w:smallCaps/>
          <w:sz w:val="20"/>
        </w:rPr>
        <w:t>Table of Contents, Headings,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the headings of the Articles and Sections of this Indenture have been inserted for convenience of reference only, are not to be considered a part of this Indenture and will in no way modify or restrict any of the terms or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- 81 -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11.16.</w:t>
      </w:r>
      <w:r>
        <w:rPr>
          <w:rFonts w:ascii="Times New Roman;Times;Serif" w:hAnsi="Times New Roman;Times;Serif"/>
          <w:b w:val="false"/>
          <w:i w:val="false"/>
          <w:smallCaps/>
          <w:sz w:val="20"/>
        </w:rPr>
        <w:t>    </w:t>
      </w:r>
      <w:r>
        <w:rPr>
          <w:rFonts w:ascii="Times New Roman;Times;Serif" w:hAnsi="Times New Roman;Times;Serif"/>
          <w:b/>
          <w:i w:val="false"/>
          <w:smallCaps/>
          <w:sz w:val="20"/>
        </w:rPr>
        <w:t>Withholding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 Note agrees, and each beneficial owner of an interest in a Global Note, by its acquisition of such interest, is deemed to agree, that if the Company or other applicable withholding agent pays withholding taxes or backup withholding on behalf of such Holder or beneficial owner as a result of an adjustment or the non-occurrence of an adjustment to the Conversion Rate, then the Company or such withholding agent, as applicable, may, at its option, withhold from or set off such payments against payments of cash or the delivery of other Conversion Consideration on such Note, any payments on the Common Stock or sales proceeds received by, or other funds or assets of, such Holder or the beneficial owner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The Remainder of This Page Intentionally Left Blank; 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- 82 -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to this Indenture have caused this Indenture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75"/>
        <w:gridCol w:w="355"/>
        <w:gridCol w:w="605"/>
        <w:gridCol w:w="4473"/>
      </w:tblGrid>
      <w:tr>
        <w:trPr/>
        <w:tc>
          <w:tcPr>
            <w:tcW w:w="75" w:type="dxa"/>
            <w:tcBorders/>
            <w:vAlign w:val="center"/>
          </w:tcPr>
          <w:p>
            <w:pPr>
              <w:pStyle w:val="TableContents"/>
              <w:bidi w:val="0"/>
              <w:spacing w:before="0" w:after="283"/>
              <w:jc w:val="left"/>
              <w:rPr/>
            </w:pPr>
            <w:r>
              <w:rPr/>
              <w:t> </w:t>
            </w:r>
          </w:p>
        </w:tc>
        <w:tc>
          <w:tcPr>
            <w:tcW w:w="5433" w:type="dxa"/>
            <w:gridSpan w:val="3"/>
            <w:tcBorders/>
            <w:vAlign w:val="center"/>
          </w:tcPr>
          <w:p>
            <w:pPr>
              <w:pStyle w:val="TableContents"/>
              <w:bidi w:val="0"/>
              <w:spacing w:before="0" w:after="283"/>
              <w:jc w:val="both"/>
              <w:rPr>
                <w:rFonts w:ascii="Times New Roman;Times;Serif" w:hAnsi="Times New Roman;Times;Serif"/>
                <w:b w:val="false"/>
                <w:i w:val="false"/>
                <w:smallCaps/>
                <w:sz w:val="20"/>
              </w:rPr>
            </w:pPr>
            <w:r>
              <w:rPr>
                <w:rFonts w:ascii="Times New Roman;Times;Serif" w:hAnsi="Times New Roman;Times;Serif"/>
                <w:b w:val="false"/>
                <w:i w:val="false"/>
                <w:smallCaps/>
                <w:sz w:val="20"/>
              </w:rPr>
              <w:t>Winnebago Industries, Inc.</w:t>
            </w:r>
          </w:p>
        </w:tc>
      </w:tr>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4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078" w:type="dxa"/>
            <w:gridSpan w:val="2"/>
            <w:tcBorders>
              <w:bottom w:val="single" w:sz="8" w:space="0" w:color="000000"/>
            </w:tcBorders>
            <w:tcMar>
              <w:bottom w:w="28" w:type="dxa"/>
            </w:tcMar>
            <w:vAlign w:val="center"/>
          </w:tcPr>
          <w:p>
            <w:pPr>
              <w:pStyle w:val="TableContents"/>
              <w:bidi w:val="0"/>
              <w:spacing w:before="0" w:after="283"/>
              <w:jc w:val="both"/>
              <w:rPr/>
            </w:pPr>
            <w:r>
              <w:rPr/>
              <w:t>/s/ Bryan L. Hughes</w:t>
            </w:r>
          </w:p>
        </w:tc>
      </w:tr>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Bryan L. Hughes </w:t>
            </w:r>
          </w:p>
        </w:tc>
      </w:tr>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Senior Vice President</w:t>
            </w:r>
          </w:p>
        </w:tc>
      </w:tr>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4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33" w:type="dxa"/>
            <w:gridSpan w:val="3"/>
            <w:tcBorders/>
            <w:vAlign w:val="center"/>
          </w:tcPr>
          <w:p>
            <w:pPr>
              <w:pStyle w:val="TableContents"/>
              <w:bidi w:val="0"/>
              <w:spacing w:before="0" w:after="283"/>
              <w:jc w:val="both"/>
              <w:rPr/>
            </w:pPr>
            <w:r>
              <w:rPr>
                <w:rFonts w:ascii="Times New Roman;Times;Serif" w:hAnsi="Times New Roman;Times;Serif"/>
                <w:b w:val="false"/>
                <w:i w:val="false"/>
                <w:smallCaps/>
                <w:sz w:val="20"/>
              </w:rPr>
              <w:t xml:space="preserve">U.S. Bank Trust Company, National Association, </w:t>
            </w:r>
            <w:r>
              <w:rPr>
                <w:rFonts w:ascii="Times New Roman;Times;Serif" w:hAnsi="Times New Roman;Times;Serif"/>
                <w:sz w:val="20"/>
              </w:rPr>
              <w:t>as Trustee</w:t>
            </w:r>
          </w:p>
        </w:tc>
      </w:tr>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447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078" w:type="dxa"/>
            <w:gridSpan w:val="2"/>
            <w:tcBorders>
              <w:bottom w:val="single" w:sz="8" w:space="0" w:color="000000"/>
            </w:tcBorders>
            <w:tcMar>
              <w:bottom w:w="28" w:type="dxa"/>
            </w:tcMar>
            <w:vAlign w:val="center"/>
          </w:tcPr>
          <w:p>
            <w:pPr>
              <w:pStyle w:val="TableContents"/>
              <w:bidi w:val="0"/>
              <w:spacing w:before="0" w:after="283"/>
              <w:jc w:val="both"/>
              <w:rPr/>
            </w:pPr>
            <w:r>
              <w:rPr/>
              <w:t>/s/ Linda E. Garcia</w:t>
            </w:r>
          </w:p>
        </w:tc>
      </w:tr>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Linda E. Garcia</w:t>
            </w:r>
          </w:p>
        </w:tc>
      </w:tr>
      <w:tr>
        <w:trPr/>
        <w:tc>
          <w:tcPr>
            <w:tcW w:w="75"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Insert Global Note Legend, if applicable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Insert Restricted Note Legend, if applicable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Insert Non-Affiliate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Winnebago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3.250% Convertible Senior Note due 2030</w:t>
      </w:r>
    </w:p>
    <w:p>
      <w:pPr>
        <w:pStyle w:val="TextBody"/>
        <w:bidi w:val="0"/>
        <w:spacing w:before="0" w:after="0"/>
        <w:ind w:left="0" w:right="0" w:hanging="0"/>
        <w:jc w:val="left"/>
        <w:rPr>
          <w:caps w:val="false"/>
          <w:smallCaps w:val="false"/>
        </w:rPr>
      </w:pPr>
      <w:r>
        <w:rPr>
          <w:caps w:val="false"/>
          <w:smallCaps w:val="false"/>
        </w:rPr>
        <w:t> </w:t>
      </w:r>
    </w:p>
    <w:tbl>
      <w:tblPr>
        <w:tblW w:w="6825" w:type="dxa"/>
        <w:jc w:val="left"/>
        <w:tblInd w:w="0" w:type="dxa"/>
        <w:tblLayout w:type="fixed"/>
        <w:tblCellMar>
          <w:top w:w="0" w:type="dxa"/>
          <w:left w:w="0" w:type="dxa"/>
          <w:bottom w:w="0" w:type="dxa"/>
          <w:right w:w="0" w:type="dxa"/>
        </w:tblCellMar>
      </w:tblPr>
      <w:tblGrid>
        <w:gridCol w:w="1145"/>
        <w:gridCol w:w="3980"/>
        <w:gridCol w:w="1700"/>
      </w:tblGrid>
      <w:tr>
        <w:trPr/>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w:t>
            </w:r>
            <w:r>
              <w:rPr>
                <w:rFonts w:ascii="Times New Roman;Times;Serif" w:hAnsi="Times New Roman;Times;Serif"/>
                <w:b w:val="false"/>
                <w:i/>
                <w:caps w:val="false"/>
                <w:smallCaps w:val="false"/>
                <w:sz w:val="20"/>
              </w:rPr>
              <w:t>Insert for a “restricted” CUSIP number:</w:t>
            </w:r>
            <w:r>
              <w:rPr>
                <w:rFonts w:ascii="Times New Roman;Times;Serif" w:hAnsi="Times New Roman;Times;Serif"/>
                <w:b w:val="false"/>
                <w:i w:val="false"/>
                <w:caps w:val="false"/>
                <w:smallCaps w:val="false"/>
                <w:sz w:val="20"/>
              </w:rPr>
              <w:t xml:space="preserve"> *]</w:t>
            </w:r>
          </w:p>
        </w:tc>
        <w:tc>
          <w:tcPr>
            <w:tcW w:w="17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No. [___]</w:t>
            </w:r>
          </w:p>
        </w:tc>
      </w:tr>
      <w:tr>
        <w:trPr/>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ISIN No.:</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w:t>
            </w:r>
            <w:r>
              <w:rPr>
                <w:rFonts w:ascii="Times New Roman;Times;Serif" w:hAnsi="Times New Roman;Times;Serif"/>
                <w:b w:val="false"/>
                <w:i/>
                <w:caps w:val="false"/>
                <w:smallCaps w:val="false"/>
                <w:sz w:val="20"/>
              </w:rPr>
              <w:t>Insert for a “restricted” ISIN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w:t>
            </w:r>
          </w:p>
        </w:tc>
        <w:tc>
          <w:tcPr>
            <w:tcW w:w="170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 a Minnesota corporation, for value received, promises to pay to [Cede &amp; Co.], or its registered assigns, the principal sum of [___] dollars ($[___]) [(as revised by the attached Schedule of Exchanges of Interests in the Global Note)]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on January 15, 2030 and to pay interest thereon, as provided in the Indenture referred to below, until the principal and all accrued and unpaid interest are paid or duly provided for.</w:t>
      </w:r>
    </w:p>
    <w:p>
      <w:pPr>
        <w:pStyle w:val="TextBody"/>
        <w:bidi w:val="0"/>
        <w:spacing w:before="0" w:after="0"/>
        <w:ind w:left="0" w:right="0" w:hanging="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940"/>
        <w:gridCol w:w="4895"/>
      </w:tblGrid>
      <w:tr>
        <w:trPr/>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15 and July 15 of each year, commencing on [</w:t>
            </w:r>
            <w:r>
              <w:rPr>
                <w:rFonts w:ascii="Times New Roman;Times;Serif" w:hAnsi="Times New Roman;Times;Serif"/>
                <w:b w:val="false"/>
                <w:i/>
                <w:caps w:val="false"/>
                <w:smallCaps w:val="false"/>
                <w:sz w:val="20"/>
              </w:rPr>
              <w:t>date</w:t>
            </w:r>
            <w:r>
              <w:rPr>
                <w:rFonts w:ascii="Times New Roman;Times;Serif" w:hAnsi="Times New Roman;Times;Serif"/>
                <w:b w:val="false"/>
                <w:i w:val="false"/>
                <w:caps w:val="false"/>
                <w:smallCaps w:val="false"/>
                <w:sz w:val="20"/>
              </w:rPr>
              <w:t>].</w:t>
            </w:r>
          </w:p>
        </w:tc>
      </w:tr>
      <w:tr>
        <w:trPr/>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Record Dates:</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 and July 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Note are set forth on the other side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The Remainder of This Page Intentionally Left Blank; 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This Note will be deemed to be identified by CUSIP No. [___] and ISIN No. [___] from and after such time when the Company delivers, pursuant to Section 2.12 of the within-mentioned Indenture, written notice to the Trustee of the deemed removal of the Restricted Note Legend affixed to this Note.</w:t>
            </w:r>
          </w:p>
        </w:tc>
      </w:tr>
    </w:tbl>
    <w:tbl>
      <w:tblPr>
        <w:tblW w:w="4818" w:type="dxa"/>
        <w:jc w:val="left"/>
        <w:tblInd w:w="0" w:type="dxa"/>
        <w:tblLayout w:type="fixed"/>
        <w:tblCellMar>
          <w:top w:w="0" w:type="dxa"/>
          <w:left w:w="0" w:type="dxa"/>
          <w:bottom w:w="0" w:type="dxa"/>
          <w:right w:w="0" w:type="dxa"/>
        </w:tblCellMar>
      </w:tblPr>
      <w:tblGrid>
        <w:gridCol w:w="38"/>
        <w:gridCol w:w="14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pPr>
            <w:r>
              <w:rPr/>
              <w:t>Insert bracketed language for Global Notes only.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Winnebago Industries, Inc. has caused this instrument to be duly executed as of the date set forth below.</w:t>
      </w:r>
    </w:p>
    <w:p>
      <w:pPr>
        <w:pStyle w:val="TextBody"/>
        <w:bidi w:val="0"/>
        <w:spacing w:before="0" w:after="0"/>
        <w:ind w:left="0" w:right="0" w:hanging="0"/>
        <w:jc w:val="left"/>
        <w:rPr>
          <w:caps w:val="false"/>
          <w:smallCaps w:val="false"/>
        </w:rPr>
      </w:pPr>
      <w:r>
        <w:rPr>
          <w:caps w:val="false"/>
          <w:smallCaps w:val="false"/>
        </w:rPr>
        <w:t> </w:t>
      </w:r>
    </w:p>
    <w:tbl>
      <w:tblPr>
        <w:tblW w:w="3624" w:type="dxa"/>
        <w:jc w:val="left"/>
        <w:tblInd w:w="0" w:type="dxa"/>
        <w:tblLayout w:type="fixed"/>
        <w:tblCellMar>
          <w:top w:w="0" w:type="dxa"/>
          <w:left w:w="0" w:type="dxa"/>
          <w:bottom w:w="0" w:type="dxa"/>
          <w:right w:w="0" w:type="dxa"/>
        </w:tblCellMar>
      </w:tblPr>
      <w:tblGrid>
        <w:gridCol w:w="545"/>
        <w:gridCol w:w="60"/>
        <w:gridCol w:w="60"/>
        <w:gridCol w:w="990"/>
        <w:gridCol w:w="1969"/>
      </w:tblGrid>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9" w:type="dxa"/>
            <w:gridSpan w:val="2"/>
            <w:tcBorders/>
            <w:vAlign w:val="center"/>
          </w:tcPr>
          <w:p>
            <w:pPr>
              <w:pStyle w:val="TableContents"/>
              <w:bidi w:val="0"/>
              <w:spacing w:before="0" w:after="283"/>
              <w:jc w:val="left"/>
              <w:rPr>
                <w:smallCaps/>
              </w:rPr>
            </w:pPr>
            <w:r>
              <w:rPr>
                <w:smallCaps/>
              </w:rPr>
              <w:t>Winnebago Industries, Inc.</w:t>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both"/>
              <w:rPr/>
            </w:pPr>
            <w:r>
              <w:rPr/>
              <w:t> </w:t>
            </w:r>
          </w:p>
        </w:tc>
      </w:tr>
      <w:tr>
        <w:trPr/>
        <w:tc>
          <w:tcPr>
            <w:tcW w:w="545" w:type="dxa"/>
            <w:tcBorders/>
            <w:vAlign w:val="center"/>
          </w:tcPr>
          <w:p>
            <w:pPr>
              <w:pStyle w:val="TableContents"/>
              <w:bidi w:val="0"/>
              <w:spacing w:before="0" w:after="283"/>
              <w:jc w:val="left"/>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By:</w:t>
            </w:r>
          </w:p>
        </w:tc>
        <w:tc>
          <w:tcPr>
            <w:tcW w:w="19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Name:</w:t>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Notes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3105" w:type="dxa"/>
        <w:jc w:val="left"/>
        <w:tblInd w:w="0" w:type="dxa"/>
        <w:tblLayout w:type="fixed"/>
        <w:tblCellMar>
          <w:top w:w="0" w:type="dxa"/>
          <w:left w:w="0" w:type="dxa"/>
          <w:bottom w:w="0" w:type="dxa"/>
          <w:right w:w="0" w:type="dxa"/>
        </w:tblCellMar>
      </w:tblPr>
      <w:tblGrid>
        <w:gridCol w:w="545"/>
        <w:gridCol w:w="60"/>
        <w:gridCol w:w="60"/>
        <w:gridCol w:w="365"/>
        <w:gridCol w:w="2075"/>
      </w:tblGrid>
      <w:tr>
        <w:trPr/>
        <w:tc>
          <w:tcPr>
            <w:tcW w:w="545" w:type="dxa"/>
            <w:tcBorders/>
            <w:vAlign w:val="center"/>
          </w:tcPr>
          <w:p>
            <w:pPr>
              <w:pStyle w:val="TableContents"/>
              <w:bidi w:val="0"/>
              <w:spacing w:before="0" w:after="283"/>
              <w:jc w:val="left"/>
              <w:rPr/>
            </w:pPr>
            <w:r>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0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center"/>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Winnebago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3.250% Convertible Senior Note due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Winnebago Industries, Inc., a Minnesota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designated as its 3.250% Convertible Senior Notes due 2030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all issued or to be issued pursuant to an indenture, dated as of January 23, 2024 (as the same may be amended from time to time,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and U.S. Bank Trust Company, National Association, as trustee. Capitalized terms used in this Note without definition have the respective meanings ascribed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sets forth the rights and obligations of the Company, the Trustee and the Holders and the terms of the Notes. Notwithstanding anything to the contrary in this Note, to the extent that any provision of this Note conflicts with the provisions of the Indenture, the provisions of the Indenture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This Note will accrue interest at a rate and in the manner set forth in Section 2.05 of the Indenture. Stated Interest on this Note will begin to accrue from, and including, [</w:t>
      </w:r>
      <w:r>
        <w:rPr>
          <w:rFonts w:ascii="Times New Roman;Times;Serif" w:hAnsi="Times New Roman;Times;Serif"/>
          <w:b w:val="false"/>
          <w:i/>
          <w:caps w:val="false"/>
          <w:smallCaps w:val="false"/>
          <w:sz w:val="20"/>
        </w:rPr>
        <w:t>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Maturity</w:t>
      </w:r>
      <w:r>
        <w:rPr>
          <w:rFonts w:ascii="Times New Roman;Times;Serif" w:hAnsi="Times New Roman;Times;Serif"/>
          <w:b w:val="false"/>
          <w:i w:val="false"/>
          <w:caps w:val="false"/>
          <w:smallCaps w:val="false"/>
          <w:sz w:val="20"/>
        </w:rPr>
        <w:t>. This Note will mature on January 15, 2030, unless earlier repurchased, redeemed or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Method of Payment</w:t>
      </w:r>
      <w:r>
        <w:rPr>
          <w:rFonts w:ascii="Times New Roman;Times;Serif" w:hAnsi="Times New Roman;Times;Serif"/>
          <w:b w:val="false"/>
          <w:i w:val="false"/>
          <w:caps w:val="false"/>
          <w:smallCaps w:val="false"/>
          <w:sz w:val="20"/>
        </w:rPr>
        <w:t>. Cash amounts due on this Note will be paid in the manner set forth in Section 2.04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Persons Deemed Owners</w:t>
      </w:r>
      <w:r>
        <w:rPr>
          <w:rFonts w:ascii="Times New Roman;Times;Serif" w:hAnsi="Times New Roman;Times;Serif"/>
          <w:b w:val="false"/>
          <w:i w:val="false"/>
          <w:caps w:val="false"/>
          <w:smallCaps w:val="false"/>
          <w:sz w:val="20"/>
        </w:rPr>
        <w:t>. The Holder of this Note will be treated as the owner of this Note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Denominations; Transfers and Exchanges</w:t>
      </w:r>
      <w:r>
        <w:rPr>
          <w:rFonts w:ascii="Times New Roman;Times;Serif" w:hAnsi="Times New Roman;Times;Serif"/>
          <w:b w:val="false"/>
          <w:i w:val="false"/>
          <w:caps w:val="false"/>
          <w:smallCaps w:val="false"/>
          <w:sz w:val="20"/>
        </w:rPr>
        <w:t>. All Notes will be in registered form, without coupons, in principal amounts equal to any Authorized Denominations. Subject to the terms of the Indenture, the Holder of this Note may transfer or exchange this Note by presenting it to the Registrar and delivering any required documentation or other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Right of Holders to Require the Company to Repurchase Notes upon a Fundamental Change</w:t>
      </w:r>
      <w:r>
        <w:rPr>
          <w:rFonts w:ascii="Times New Roman;Times;Serif" w:hAnsi="Times New Roman;Times;Serif"/>
          <w:b w:val="false"/>
          <w:i w:val="false"/>
          <w:caps w:val="false"/>
          <w:smallCaps w:val="false"/>
          <w:sz w:val="20"/>
        </w:rPr>
        <w:t>. If a Fundamental Change occurs, then each Holder will have the right to require the Company to repurchase such Holder’s Notes (or any portion thereof in an Authorized Denomination) for cash in the manner, and subject to the terms, set forth in Section 4.02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Right of the Company to Redeem the Notes</w:t>
      </w:r>
      <w:r>
        <w:rPr>
          <w:rFonts w:ascii="Times New Roman;Times;Serif" w:hAnsi="Times New Roman;Times;Serif"/>
          <w:b w:val="false"/>
          <w:i w:val="false"/>
          <w:caps w:val="false"/>
          <w:smallCaps w:val="false"/>
          <w:sz w:val="20"/>
        </w:rPr>
        <w:t>. The Company will have the right to redeem the Notes for cash in the manner, and subject to the terms, set forth in Section 4.03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The Holder of this Note may convert this Note into Conversion Consideration in the manner, and subject to the terms, set forth in Article 5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When the Company May Merge, Etc</w:t>
      </w:r>
      <w:r>
        <w:rPr>
          <w:rFonts w:ascii="Times New Roman;Times;Serif" w:hAnsi="Times New Roman;Times;Serif"/>
          <w:b w:val="false"/>
          <w:i w:val="false"/>
          <w:caps w:val="false"/>
          <w:smallCaps w:val="false"/>
          <w:sz w:val="20"/>
        </w:rPr>
        <w:t>. Article 6 of the Indenture places limited restrictions on the Company’s ability to be a party to a Business Combination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Defaults and Remedies</w:t>
      </w:r>
      <w:r>
        <w:rPr>
          <w:rFonts w:ascii="Times New Roman;Times;Serif" w:hAnsi="Times New Roman;Times;Serif"/>
          <w:b w:val="false"/>
          <w:i w:val="false"/>
          <w:caps w:val="false"/>
          <w:smallCaps w:val="false"/>
          <w:sz w:val="20"/>
        </w:rPr>
        <w:t>. If an Event of Default occurs, then the principal amount of, and all accrued and unpaid interest on, all of the Notes then outstanding may (and, in certain circumstances, will automatically) become due and payable in the manner, and subject to the terms, set forth in Article 7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Amendments, Supplements and Waivers</w:t>
      </w:r>
      <w:r>
        <w:rPr>
          <w:rFonts w:ascii="Times New Roman;Times;Serif" w:hAnsi="Times New Roman;Times;Serif"/>
          <w:b w:val="false"/>
          <w:i w:val="false"/>
          <w:caps w:val="false"/>
          <w:smallCaps w:val="false"/>
          <w:sz w:val="20"/>
        </w:rPr>
        <w:t>. The Company and the Trustee may amend or supplement the Indenture or the Notes or waive compliance with any provision of the Indenture or the Notes in the manner, and subject to the terms, set forth in Section 7.05 and Article 8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No Personal Liability of Directors, Officers, Employees and Stockholders</w:t>
      </w:r>
      <w:r>
        <w:rPr>
          <w:rFonts w:ascii="Times New Roman;Times;Serif" w:hAnsi="Times New Roman;Times;Serif"/>
          <w:b w:val="false"/>
          <w:i w:val="false"/>
          <w:caps w:val="false"/>
          <w:smallCaps w:val="false"/>
          <w:sz w:val="20"/>
        </w:rPr>
        <w:t>. No past, present or future director, officer, employee, incorporator or stockholder of the Company, as such, will have any liability for any obligations of the Company under the Indenture or the Notes or for any claim based on, in respect of, or by reason of, such obligations or their creation. By accepting any Note, each Holder waives and releases all such liability. Such waiver and release are part of the consideration for the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Authentication</w:t>
      </w:r>
      <w:r>
        <w:rPr>
          <w:rFonts w:ascii="Times New Roman;Times;Serif" w:hAnsi="Times New Roman;Times;Serif"/>
          <w:b w:val="false"/>
          <w:i w:val="false"/>
          <w:caps w:val="false"/>
          <w:smallCaps w:val="false"/>
          <w:sz w:val="20"/>
        </w:rPr>
        <w:t>. No Note will be valid until it is authenticated by the Trustee. A Note will be deemed to be duly authenticated only when an authorized signatory of the Trustee (or a duly appointed authenticating agent) manually signs the certificate of authentication of such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Abbreviations</w:t>
      </w:r>
      <w:r>
        <w:rPr>
          <w:rFonts w:ascii="Times New Roman;Times;Serif" w:hAnsi="Times New Roman;Times;Serif"/>
          <w:b w:val="false"/>
          <w:i w:val="false"/>
          <w:caps w:val="false"/>
          <w:smallCaps w:val="false"/>
          <w:sz w:val="20"/>
        </w:rPr>
        <w:t>. Customary abbreviations may be used in the name of a Holder or its assignee, such as TEN COM (tenants in common), TEN ENT (tenants by the entireties), JT TEN (joint tenants with right of survivorship and not as tenants in common), CUST (custodian), and U/G/M/A (Uniform Gift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NOTE, AND ANY CLAIM, CONTROVERSY OR DISPUTE ARISING UNDER OR RELATED TO THIS NOTE, WILL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request a copy of the Indenture, which the Company will provide to any Holder at no charge, please send a written request to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MN 55347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A-5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 OF EXCHANGES OF INTERESTS IN THE GLOBAL NOTE</w:t>
      </w:r>
      <w:r>
        <w:rPr>
          <w:rFonts w:ascii="Times New Roman;Times;Serif" w:hAnsi="Times New Roman;Times;Serif"/>
          <w:b w:val="false"/>
          <w:i w:val="false"/>
          <w:caps w:val="false"/>
          <w:smallCaps w:val="false"/>
          <w:position w:val="7"/>
          <w:sz w:val="16"/>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PRINCIPAL AMOUNT OF THIS GLOBAL NOTE: $[___]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transfers or cancellations of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5915" w:type="dxa"/>
        <w:jc w:val="left"/>
        <w:tblInd w:w="0" w:type="dxa"/>
        <w:tblLayout w:type="fixed"/>
        <w:tblCellMar>
          <w:top w:w="0" w:type="dxa"/>
          <w:left w:w="0" w:type="dxa"/>
          <w:bottom w:w="28" w:type="dxa"/>
          <w:right w:w="0" w:type="dxa"/>
        </w:tblCellMar>
      </w:tblPr>
      <w:tblGrid>
        <w:gridCol w:w="425"/>
        <w:gridCol w:w="60"/>
        <w:gridCol w:w="1745"/>
        <w:gridCol w:w="60"/>
        <w:gridCol w:w="1790"/>
        <w:gridCol w:w="60"/>
        <w:gridCol w:w="1775"/>
      </w:tblGrid>
      <w:tr>
        <w:trPr/>
        <w:tc>
          <w:tcPr>
            <w:tcW w:w="4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 Increase</w:t>
              <w:br/>
              <w:t>(Decrease) in</w:t>
              <w:br/>
              <w:t>Principal Amount of</w:t>
              <w:br/>
              <w:t>this Global Note</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Principal Amount of </w:t>
              <w:br/>
              <w:t>this Global Note</w:t>
              <w:br/>
              <w:t>After Such Increase</w:t>
              <w:br/>
              <w:t>(Decrease)</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w:t>
              <w:br/>
              <w:t>Signatory of Trustee</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r>
        <w:trPr/>
        <w:tc>
          <w:tcPr>
            <w:tcW w:w="4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42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2928" w:type="dxa"/>
        <w:jc w:val="left"/>
        <w:tblInd w:w="0" w:type="dxa"/>
        <w:tblLayout w:type="fixed"/>
        <w:tblCellMar>
          <w:top w:w="0" w:type="dxa"/>
          <w:left w:w="0" w:type="dxa"/>
          <w:bottom w:w="0" w:type="dxa"/>
          <w:right w:w="0" w:type="dxa"/>
        </w:tblCellMar>
      </w:tblPr>
      <w:tblGrid>
        <w:gridCol w:w="38"/>
        <w:gridCol w:w="14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both"/>
              <w:rPr/>
            </w:pPr>
            <w:r>
              <w:rPr/>
              <w:t>Insert for Global Notes only.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Winnebago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3.250% Convertible Senior Notes due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Conversion Notice, the undersigned Holder of the Note identified below directs the Company to convert (check one):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763"/>
        <w:gridCol w:w="9317"/>
      </w:tblGrid>
      <w:tr>
        <w:trPr/>
        <w:tc>
          <w:tcPr>
            <w:tcW w:w="12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pPr>
            <w:r>
              <w:rPr/>
              <w:t>☐</w:t>
            </w:r>
          </w:p>
        </w:tc>
        <w:tc>
          <w:tcPr>
            <w:tcW w:w="9317" w:type="dxa"/>
            <w:tcBorders/>
            <w:vAlign w:val="center"/>
          </w:tcPr>
          <w:p>
            <w:pPr>
              <w:pStyle w:val="TableContents"/>
              <w:bidi w:val="0"/>
              <w:spacing w:before="0" w:after="283"/>
              <w:jc w:val="both"/>
              <w:rPr/>
            </w:pPr>
            <w:r>
              <w:rPr/>
              <w:t>the entire principal amount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500"/>
        <w:gridCol w:w="9623"/>
      </w:tblGrid>
      <w:tr>
        <w:trPr/>
        <w:tc>
          <w:tcPr>
            <w:tcW w:w="8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w:t>
            </w:r>
          </w:p>
        </w:tc>
        <w:tc>
          <w:tcPr>
            <w:tcW w:w="9623" w:type="dxa"/>
            <w:tcBorders/>
            <w:vAlign w:val="center"/>
          </w:tcPr>
          <w:p>
            <w:pPr>
              <w:pStyle w:val="TableContents"/>
              <w:bidi w:val="0"/>
              <w:spacing w:before="0" w:after="283"/>
              <w:jc w:val="both"/>
              <w:rPr/>
            </w:pPr>
            <w:r>
              <w:rPr/>
              <w:t>$</w:t>
            </w:r>
            <w:r>
              <w:rPr>
                <w:u w:val="single"/>
              </w:rPr>
              <w:t>                         </w:t>
            </w:r>
            <w:r>
              <w:rPr>
                <w:rFonts w:ascii="Times New Roman;Times;Serif" w:hAnsi="Times New Roman;Times;Serif"/>
                <w:position w:val="8"/>
                <w:sz w:val="19"/>
              </w:rPr>
              <w:t>*</w:t>
            </w:r>
            <w:r>
              <w:rPr/>
              <w:t xml:space="preserve"> aggregate principal amount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identified by CUSIP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and Certificate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if the Conversion Date of a Note to be converted is after a Regular Record Date and before the next Interest Payment Date, then such Note, when surrendered for conversion, must, in certain circumstances, be accompanied with an amount of cash equal to the interest that would have accrued on such Note to, but excluding, such Interest Payment Date. The undersigned Holder represents to the Company that, as of the Conversion Date relating to this Conversion Notice, the undersigned Holder is either a “qualified institutional buyer” (as defined in Rule 144A) or an “accredited investor” (as defined in Rule 501).</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470"/>
        <w:gridCol w:w="60"/>
        <w:gridCol w:w="60"/>
        <w:gridCol w:w="194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r>
    </w:tbl>
    <w:p>
      <w:pPr>
        <w:pStyle w:val="TextBody"/>
        <w:bidi w:val="0"/>
        <w:spacing w:before="0" w:after="0"/>
        <w:ind w:left="0" w:right="0" w:hanging="0"/>
        <w:jc w:val="left"/>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75"/>
        <w:gridCol w:w="471"/>
        <w:gridCol w:w="2638"/>
      </w:tblGrid>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0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3858" w:type="dxa"/>
        <w:jc w:val="left"/>
        <w:tblInd w:w="0" w:type="dxa"/>
        <w:tblLayout w:type="fixed"/>
        <w:tblCellMar>
          <w:top w:w="0" w:type="dxa"/>
          <w:left w:w="0" w:type="dxa"/>
          <w:bottom w:w="0" w:type="dxa"/>
          <w:right w:w="0" w:type="dxa"/>
        </w:tblCellMar>
      </w:tblPr>
      <w:tblGrid>
        <w:gridCol w:w="38"/>
        <w:gridCol w:w="14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pPr>
            <w:r>
              <w:rPr/>
              <w:t>Must be an Authorized Denomination.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CHANGE REPURCHASE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Winnebago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3.250% Convertible Senior Notes due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by executing and delivering this Fundamental Change Repurchase Notice, the undersigned Holder of the Note identified below is exercising its Fundamental Change Repurchase Right with respect to (check one):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763"/>
        <w:gridCol w:w="9317"/>
      </w:tblGrid>
      <w:tr>
        <w:trPr/>
        <w:tc>
          <w:tcPr>
            <w:tcW w:w="12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pPr>
            <w:r>
              <w:rPr/>
              <w:t>☐</w:t>
            </w:r>
          </w:p>
        </w:tc>
        <w:tc>
          <w:tcPr>
            <w:tcW w:w="9317" w:type="dxa"/>
            <w:tcBorders/>
            <w:vAlign w:val="center"/>
          </w:tcPr>
          <w:p>
            <w:pPr>
              <w:pStyle w:val="TableContents"/>
              <w:bidi w:val="0"/>
              <w:spacing w:before="0" w:after="283"/>
              <w:jc w:val="both"/>
              <w:rPr/>
            </w:pPr>
            <w:r>
              <w:rPr/>
              <w:t>the entire principal amount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513"/>
        <w:gridCol w:w="9608"/>
      </w:tblGrid>
      <w:tr>
        <w:trPr/>
        <w:tc>
          <w:tcPr>
            <w:tcW w:w="8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pPr>
            <w:r>
              <w:rPr/>
              <w:t>☐</w:t>
            </w:r>
          </w:p>
        </w:tc>
        <w:tc>
          <w:tcPr>
            <w:tcW w:w="9608" w:type="dxa"/>
            <w:tcBorders/>
            <w:vAlign w:val="center"/>
          </w:tcPr>
          <w:p>
            <w:pPr>
              <w:pStyle w:val="TableContents"/>
              <w:bidi w:val="0"/>
              <w:spacing w:before="0" w:after="283"/>
              <w:jc w:val="both"/>
              <w:rPr/>
            </w:pPr>
            <w:r>
              <w:rPr/>
              <w:t>$</w:t>
            </w:r>
            <w:r>
              <w:rPr>
                <w:u w:val="single"/>
              </w:rPr>
              <w:t>                       </w:t>
            </w:r>
            <w:r>
              <w:rPr>
                <w:rFonts w:ascii="Times New Roman;Times;Serif" w:hAnsi="Times New Roman;Times;Serif"/>
                <w:position w:val="8"/>
                <w:sz w:val="19"/>
              </w:rPr>
              <w:t>*</w:t>
            </w:r>
            <w:r>
              <w:rPr/>
              <w:t xml:space="preserve"> aggregate principal amount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identified by CUSIP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and Certificate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this Note, duly endorsed for transfer, must be delivered to the Paying Agent before the Fundamental Change Repurchase Price will be paid.</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470"/>
        <w:gridCol w:w="60"/>
        <w:gridCol w:w="60"/>
        <w:gridCol w:w="194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r>
    </w:tbl>
    <w:p>
      <w:pPr>
        <w:pStyle w:val="TextBody"/>
        <w:bidi w:val="0"/>
        <w:spacing w:before="0" w:after="0"/>
        <w:ind w:left="0" w:right="0" w:hanging="0"/>
        <w:jc w:val="left"/>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75"/>
        <w:gridCol w:w="471"/>
        <w:gridCol w:w="2638"/>
      </w:tblGrid>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0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3858" w:type="dxa"/>
        <w:jc w:val="left"/>
        <w:tblInd w:w="0" w:type="dxa"/>
        <w:tblLayout w:type="fixed"/>
        <w:tblCellMar>
          <w:top w:w="0" w:type="dxa"/>
          <w:left w:w="0" w:type="dxa"/>
          <w:bottom w:w="0" w:type="dxa"/>
          <w:right w:w="0" w:type="dxa"/>
        </w:tblCellMar>
      </w:tblPr>
      <w:tblGrid>
        <w:gridCol w:w="38"/>
        <w:gridCol w:w="14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pPr>
            <w:r>
              <w:rPr/>
              <w:t>Must be an Authorized Denomination.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Winnebago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3.250% Convertible Senior Notes due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 the undersigned Holder of the Note identified below assigns (check one):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763"/>
        <w:gridCol w:w="9317"/>
      </w:tblGrid>
      <w:tr>
        <w:trPr/>
        <w:tc>
          <w:tcPr>
            <w:tcW w:w="12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pPr>
            <w:r>
              <w:rPr/>
              <w:t>☐</w:t>
            </w:r>
          </w:p>
        </w:tc>
        <w:tc>
          <w:tcPr>
            <w:tcW w:w="9317" w:type="dxa"/>
            <w:tcBorders/>
            <w:vAlign w:val="center"/>
          </w:tcPr>
          <w:p>
            <w:pPr>
              <w:pStyle w:val="TableContents"/>
              <w:bidi w:val="0"/>
              <w:spacing w:before="0" w:after="283"/>
              <w:jc w:val="both"/>
              <w:rPr/>
            </w:pPr>
            <w:r>
              <w:rPr/>
              <w:t>the entire principal amount 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504"/>
        <w:gridCol w:w="9618"/>
      </w:tblGrid>
      <w:tr>
        <w:trPr/>
        <w:tc>
          <w:tcPr>
            <w:tcW w:w="8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pPr>
            <w:r>
              <w:rPr/>
              <w:t>☐</w:t>
            </w:r>
          </w:p>
        </w:tc>
        <w:tc>
          <w:tcPr>
            <w:tcW w:w="9618" w:type="dxa"/>
            <w:tcBorders/>
            <w:vAlign w:val="center"/>
          </w:tcPr>
          <w:p>
            <w:pPr>
              <w:pStyle w:val="TableContents"/>
              <w:bidi w:val="0"/>
              <w:spacing w:before="0" w:after="283"/>
              <w:jc w:val="both"/>
              <w:rPr/>
            </w:pPr>
            <w:r>
              <w:rPr/>
              <w:t>$</w:t>
            </w:r>
            <w:r>
              <w:rPr>
                <w:u w:val="single"/>
              </w:rPr>
              <w:t>                        </w:t>
            </w:r>
            <w:r>
              <w:rPr>
                <w:rFonts w:ascii="Times New Roman;Times;Serif" w:hAnsi="Times New Roman;Times;Serif"/>
              </w:rPr>
              <w:t>*</w:t>
            </w:r>
            <w:r>
              <w:rPr/>
              <w:t xml:space="preserve"> aggregate principal amount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identified by CUSIP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and Certificate No.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and all rights thereunder, to:</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2210"/>
        <w:gridCol w:w="75"/>
      </w:tblGrid>
      <w:tr>
        <w:trPr/>
        <w:tc>
          <w:tcPr>
            <w:tcW w:w="2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Social security or tax id.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22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 irrevocably appoints: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agent to transfer the within Note on the books of the Company. The agent may substitute another to act for him/her.</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470"/>
        <w:gridCol w:w="60"/>
        <w:gridCol w:w="60"/>
        <w:gridCol w:w="194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r>
    </w:tbl>
    <w:p>
      <w:pPr>
        <w:pStyle w:val="TextBody"/>
        <w:bidi w:val="0"/>
        <w:spacing w:before="0" w:after="0"/>
        <w:ind w:left="0" w:right="0" w:hanging="0"/>
        <w:jc w:val="left"/>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75"/>
        <w:gridCol w:w="471"/>
        <w:gridCol w:w="2638"/>
      </w:tblGrid>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0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w:t>
            </w:r>
          </w:p>
        </w:tc>
      </w:tr>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3858" w:type="dxa"/>
        <w:jc w:val="left"/>
        <w:tblInd w:w="0" w:type="dxa"/>
        <w:tblLayout w:type="fixed"/>
        <w:tblCellMar>
          <w:top w:w="0" w:type="dxa"/>
          <w:left w:w="0" w:type="dxa"/>
          <w:bottom w:w="0" w:type="dxa"/>
          <w:right w:w="0" w:type="dxa"/>
        </w:tblCellMar>
      </w:tblPr>
      <w:tblGrid>
        <w:gridCol w:w="38"/>
        <w:gridCol w:w="14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pPr>
            <w:r>
              <w:rPr/>
              <w:t>Must be an Authorized Denomination.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TRANSFEROR ACKNOWLEDGEMENT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within Note bears a Restricted Note Legend, the undersigned further certifies that (check one):</w:t>
      </w:r>
    </w:p>
    <w:p>
      <w:pPr>
        <w:pStyle w:val="TextBody"/>
        <w:bidi w:val="0"/>
        <w:spacing w:before="0" w:after="0"/>
        <w:ind w:left="0" w:right="0" w:hanging="0"/>
        <w:jc w:val="left"/>
        <w:rPr>
          <w:caps w:val="false"/>
          <w:smallCaps w:val="false"/>
        </w:rPr>
      </w:pPr>
      <w:r>
        <w:rPr>
          <w:caps w:val="false"/>
          <w:smallCaps w:val="false"/>
        </w:rPr>
        <w:t> </w:t>
      </w:r>
    </w:p>
    <w:tbl>
      <w:tblPr>
        <w:tblW w:w="7913" w:type="dxa"/>
        <w:jc w:val="left"/>
        <w:tblInd w:w="0" w:type="dxa"/>
        <w:tblLayout w:type="fixed"/>
        <w:tblCellMar>
          <w:top w:w="0" w:type="dxa"/>
          <w:left w:w="0" w:type="dxa"/>
          <w:bottom w:w="0" w:type="dxa"/>
          <w:right w:w="0" w:type="dxa"/>
        </w:tblCellMar>
      </w:tblPr>
      <w:tblGrid>
        <w:gridCol w:w="38"/>
        <w:gridCol w:w="200"/>
        <w:gridCol w:w="23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230" w:type="dxa"/>
            <w:tcBorders/>
            <w:vAlign w:val="center"/>
          </w:tcPr>
          <w:p>
            <w:pPr>
              <w:pStyle w:val="TableContents"/>
              <w:bidi w:val="0"/>
              <w:spacing w:before="0" w:after="283"/>
              <w:jc w:val="both"/>
              <w:rPr/>
            </w:pPr>
            <w:r>
              <w:rPr/>
              <w:t>☐</w:t>
            </w:r>
          </w:p>
        </w:tc>
        <w:tc>
          <w:tcPr>
            <w:tcW w:w="7445" w:type="dxa"/>
            <w:tcBorders/>
            <w:vAlign w:val="center"/>
          </w:tcPr>
          <w:p>
            <w:pPr>
              <w:pStyle w:val="TableContents"/>
              <w:bidi w:val="0"/>
              <w:spacing w:before="0" w:after="283"/>
              <w:jc w:val="both"/>
              <w:rPr/>
            </w:pPr>
            <w:r>
              <w:rPr/>
              <w:t>Such Transfer is being made to the Company or a Subsidiary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230"/>
        <w:gridCol w:w="976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230" w:type="dxa"/>
            <w:tcBorders/>
            <w:vAlign w:val="center"/>
          </w:tcPr>
          <w:p>
            <w:pPr>
              <w:pStyle w:val="TableContents"/>
              <w:bidi w:val="0"/>
              <w:spacing w:before="0" w:after="283"/>
              <w:jc w:val="both"/>
              <w:rPr/>
            </w:pPr>
            <w:r>
              <w:rPr/>
              <w:t>☐</w:t>
            </w:r>
          </w:p>
        </w:tc>
        <w:tc>
          <w:tcPr>
            <w:tcW w:w="9760" w:type="dxa"/>
            <w:tcBorders/>
            <w:vAlign w:val="center"/>
          </w:tcPr>
          <w:p>
            <w:pPr>
              <w:pStyle w:val="TableContents"/>
              <w:bidi w:val="0"/>
              <w:spacing w:before="0" w:after="283"/>
              <w:jc w:val="both"/>
              <w:rPr/>
            </w:pPr>
            <w:r>
              <w:rPr/>
              <w:t>Such Transfer is being made pursuant to, and in accordance with, a registration statement that is effective under the Securities Act at the time of the Transfer.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230"/>
        <w:gridCol w:w="979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230" w:type="dxa"/>
            <w:tcBorders/>
            <w:vAlign w:val="center"/>
          </w:tcPr>
          <w:p>
            <w:pPr>
              <w:pStyle w:val="TableContents"/>
              <w:bidi w:val="0"/>
              <w:spacing w:before="0" w:after="283"/>
              <w:jc w:val="both"/>
              <w:rPr/>
            </w:pPr>
            <w:r>
              <w:rPr/>
              <w:t>☐</w:t>
            </w:r>
          </w:p>
        </w:tc>
        <w:tc>
          <w:tcPr>
            <w:tcW w:w="9790" w:type="dxa"/>
            <w:tcBorders/>
            <w:vAlign w:val="center"/>
          </w:tcPr>
          <w:p>
            <w:pPr>
              <w:pStyle w:val="TableContents"/>
              <w:bidi w:val="0"/>
              <w:spacing w:before="0" w:after="283"/>
              <w:jc w:val="both"/>
              <w:rPr/>
            </w:pPr>
            <w:r>
              <w:rPr/>
              <w:t xml:space="preserve">Such Transfer is being made pursuant to, and in accordance with, Rule 144A under the Securities Act, and, accordingly, the undersigned further certifies that the within Note is being transferred to a Person that the undersigned reasonably believes is purchasing the within Note for its own account, or for one or more accounts with respect to which such Person exercises sole investment discretion, and such Person and each such account is a “qualified institutional buyer” within the meaning of Rule 144A under the Securities Act in a transaction meeting the requirements of Rule 144A. </w:t>
            </w:r>
            <w:r>
              <w:rPr>
                <w:b/>
              </w:rPr>
              <w:t>If this item is checked, then the transferee must complete and execute the acknowledgment contained on the next page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230"/>
        <w:gridCol w:w="977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230" w:type="dxa"/>
            <w:tcBorders/>
            <w:vAlign w:val="center"/>
          </w:tcPr>
          <w:p>
            <w:pPr>
              <w:pStyle w:val="TableContents"/>
              <w:bidi w:val="0"/>
              <w:spacing w:before="0" w:after="283"/>
              <w:jc w:val="both"/>
              <w:rPr/>
            </w:pPr>
            <w:r>
              <w:rPr/>
              <w:t>☐</w:t>
            </w:r>
          </w:p>
        </w:tc>
        <w:tc>
          <w:tcPr>
            <w:tcW w:w="9773" w:type="dxa"/>
            <w:tcBorders/>
            <w:vAlign w:val="center"/>
          </w:tcPr>
          <w:p>
            <w:pPr>
              <w:pStyle w:val="TableContents"/>
              <w:bidi w:val="0"/>
              <w:spacing w:before="0" w:after="283"/>
              <w:jc w:val="both"/>
              <w:rPr/>
            </w:pPr>
            <w:r>
              <w:rPr/>
              <w:t>Such Transfer is being made pursuant to, and in accordance with, any other available exemption from the registration requirements of the Securities Act (including, if available, the exemption provided by Rule 144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575"/>
        <w:gridCol w:w="60"/>
        <w:gridCol w:w="75"/>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2015" w:type="dxa"/>
        <w:jc w:val="left"/>
        <w:tblInd w:w="0" w:type="dxa"/>
        <w:tblLayout w:type="fixed"/>
        <w:tblCellMar>
          <w:top w:w="0" w:type="dxa"/>
          <w:left w:w="0" w:type="dxa"/>
          <w:bottom w:w="28" w:type="dxa"/>
          <w:right w:w="0" w:type="dxa"/>
        </w:tblCellMar>
      </w:tblPr>
      <w:tblGrid>
        <w:gridCol w:w="1940"/>
        <w:gridCol w:w="75"/>
      </w:tblGrid>
      <w:tr>
        <w:trPr/>
        <w:tc>
          <w:tcPr>
            <w:tcW w:w="1940"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Name of Holder)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3244" w:type="dxa"/>
        <w:jc w:val="left"/>
        <w:tblInd w:w="0" w:type="dxa"/>
        <w:tblLayout w:type="fixed"/>
        <w:tblCellMar>
          <w:top w:w="0" w:type="dxa"/>
          <w:left w:w="0" w:type="dxa"/>
          <w:bottom w:w="0" w:type="dxa"/>
          <w:right w:w="0" w:type="dxa"/>
        </w:tblCellMar>
      </w:tblPr>
      <w:tblGrid>
        <w:gridCol w:w="503"/>
        <w:gridCol w:w="2666"/>
        <w:gridCol w:w="75"/>
      </w:tblGrid>
      <w:tr>
        <w:trPr/>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 w:type="dxa"/>
            <w:tcBorders/>
            <w:vAlign w:val="center"/>
          </w:tcPr>
          <w:p>
            <w:pPr>
              <w:pStyle w:val="TableContents"/>
              <w:bidi w:val="0"/>
              <w:spacing w:before="0" w:after="283"/>
              <w:jc w:val="left"/>
              <w:rPr>
                <w:caps w:val="false"/>
                <w:smallCaps w:val="false"/>
              </w:rPr>
            </w:pPr>
            <w:r>
              <w:rPr>
                <w:caps w:val="false"/>
                <w:smallCaps w:val="false"/>
              </w:rPr>
              <w:t> </w:t>
            </w:r>
          </w:p>
        </w:tc>
        <w:tc>
          <w:tcPr>
            <w:tcW w:w="2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 w:type="dxa"/>
            <w:tcBorders/>
            <w:vAlign w:val="center"/>
          </w:tcPr>
          <w:p>
            <w:pPr>
              <w:pStyle w:val="TableContents"/>
              <w:bidi w:val="0"/>
              <w:spacing w:before="0" w:after="283"/>
              <w:jc w:val="left"/>
              <w:rPr>
                <w:caps w:val="false"/>
                <w:smallCaps w:val="false"/>
              </w:rPr>
            </w:pPr>
            <w:r>
              <w:rPr>
                <w:caps w:val="false"/>
                <w:smallCaps w:val="false"/>
              </w:rPr>
              <w:t> </w:t>
            </w:r>
          </w:p>
        </w:tc>
        <w:tc>
          <w:tcPr>
            <w:tcW w:w="2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 w:type="dxa"/>
            <w:tcBorders/>
            <w:vAlign w:val="center"/>
          </w:tcPr>
          <w:p>
            <w:pPr>
              <w:pStyle w:val="TableContents"/>
              <w:bidi w:val="0"/>
              <w:spacing w:before="0" w:after="283"/>
              <w:jc w:val="left"/>
              <w:rPr>
                <w:caps w:val="false"/>
                <w:smallCaps w:val="false"/>
              </w:rPr>
            </w:pPr>
            <w:r>
              <w:rPr>
                <w:caps w:val="false"/>
                <w:smallCaps w:val="false"/>
              </w:rPr>
              <w:t> </w:t>
            </w:r>
          </w:p>
        </w:tc>
        <w:tc>
          <w:tcPr>
            <w:tcW w:w="2666"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 w:type="dxa"/>
            <w:tcBorders/>
            <w:vAlign w:val="center"/>
          </w:tcPr>
          <w:p>
            <w:pPr>
              <w:pStyle w:val="TableContents"/>
              <w:bidi w:val="0"/>
              <w:spacing w:before="0" w:after="283"/>
              <w:jc w:val="left"/>
              <w:rPr>
                <w:caps w:val="false"/>
                <w:smallCaps w:val="false"/>
              </w:rPr>
            </w:pPr>
            <w:r>
              <w:rPr>
                <w:caps w:val="false"/>
                <w:smallCaps w:val="false"/>
              </w:rPr>
              <w:t> </w:t>
            </w:r>
          </w:p>
        </w:tc>
        <w:tc>
          <w:tcPr>
            <w:tcW w:w="2666"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6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6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 a Recognized Signature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69"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Medallion Program)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 w:type="dxa"/>
            <w:tcBorders/>
            <w:vAlign w:val="center"/>
          </w:tcPr>
          <w:p>
            <w:pPr>
              <w:pStyle w:val="TableContents"/>
              <w:bidi w:val="0"/>
              <w:spacing w:before="0" w:after="283"/>
              <w:jc w:val="left"/>
              <w:rPr>
                <w:caps w:val="false"/>
                <w:smallCaps w:val="false"/>
              </w:rPr>
            </w:pPr>
            <w:r>
              <w:rPr>
                <w:caps w:val="false"/>
                <w:smallCaps w:val="false"/>
              </w:rPr>
              <w:t> </w:t>
            </w:r>
          </w:p>
        </w:tc>
        <w:tc>
          <w:tcPr>
            <w:tcW w:w="2666"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6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 w:type="dxa"/>
            <w:tcBorders/>
            <w:vAlign w:val="center"/>
          </w:tcPr>
          <w:p>
            <w:pPr>
              <w:pStyle w:val="TableContents"/>
              <w:bidi w:val="0"/>
              <w:spacing w:before="0" w:after="283"/>
              <w:jc w:val="left"/>
              <w:rPr>
                <w:caps w:val="false"/>
                <w:smallCaps w:val="false"/>
              </w:rPr>
            </w:pPr>
            <w:r>
              <w:rPr>
                <w:caps w:val="false"/>
                <w:smallCaps w:val="false"/>
              </w:rPr>
              <w:t> </w:t>
            </w:r>
          </w:p>
        </w:tc>
        <w:tc>
          <w:tcPr>
            <w:tcW w:w="26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TRANSFEREE ACKNOWLEDGEMENT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represents that it is purchasing the within Note for its own account, or for one or more accounts with respect to which the undersigned exercises sole investment discretion, and that and the undersigned and each such account is a “qualified institutional buyer” within the meaning of Rule 144A under the Securities Act. The undersigned acknowledges that the transferor is relying, in transferring the within Note on the exemption from the registration and prospectus-delivery requirements of the Securities Act of 1933, as amended, provided by Rule 144A and that the undersigned has received such information regarding the Company as the undersigned has requested pursuant to Rule 144A.</w:t>
      </w:r>
    </w:p>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575"/>
        <w:gridCol w:w="60"/>
        <w:gridCol w:w="75"/>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790" w:type="dxa"/>
        <w:jc w:val="left"/>
        <w:tblInd w:w="0" w:type="dxa"/>
        <w:tblLayout w:type="fixed"/>
        <w:tblCellMar>
          <w:top w:w="0" w:type="dxa"/>
          <w:left w:w="0" w:type="dxa"/>
          <w:bottom w:w="28" w:type="dxa"/>
          <w:right w:w="0" w:type="dxa"/>
        </w:tblCellMar>
      </w:tblPr>
      <w:tblGrid>
        <w:gridCol w:w="1715"/>
        <w:gridCol w:w="75"/>
      </w:tblGrid>
      <w:tr>
        <w:trPr/>
        <w:tc>
          <w:tcPr>
            <w:tcW w:w="17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Transferee)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955" w:type="dxa"/>
        <w:jc w:val="left"/>
        <w:tblInd w:w="0" w:type="dxa"/>
        <w:tblLayout w:type="fixed"/>
        <w:tblCellMar>
          <w:top w:w="0" w:type="dxa"/>
          <w:left w:w="0" w:type="dxa"/>
          <w:bottom w:w="0" w:type="dxa"/>
          <w:right w:w="0" w:type="dxa"/>
        </w:tblCellMar>
      </w:tblPr>
      <w:tblGrid>
        <w:gridCol w:w="335"/>
        <w:gridCol w:w="54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RESTRICTED NOTE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THIS NOTE AND THE SHARES OF COMMON STOCK, IF ANY, ISSUABLE UPON CONVERSION OF THIS NOTE HAVE NOT BEEN REGISTERED UNDER THE SECURITIES ACT OF 1933, AS AMENDED (THE “SECURITIES ACT”), AND THIS NOTE MAY NOT BE OFFERED, SOLD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both"/>
              <w:rPr/>
            </w:pPr>
            <w:r>
              <w:rPr/>
              <w:t>REPRESENTS THAT IT AND ANY ACCOUNT FOR WHICH IT IS ACTING IS A “QUALIFIED INSTITUTIONAL BUYER” (WITHIN THE MEANING OF RULE 144A UNDER THE SECURITIES ACT) AND THAT IT EXERCISES SOLE INVESTMENT DISCRETION WITH RESPECT TO EACH SUCH ACCOUNT;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283"/>
              <w:jc w:val="both"/>
              <w:rPr/>
            </w:pPr>
            <w:r>
              <w:rPr/>
              <w:t>AGREES FOR THE BENEFIT OF THE COMPANY THAT IT WILL NOT OFFER, SELL OR OTHERWISE TRANSFER THIS NOTE OR ANY BENEFICIAL INTEREST HEREIN, EXCEPT ONLY: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562"/>
        <w:gridCol w:w="9582"/>
      </w:tblGrid>
      <w:tr>
        <w:trPr/>
        <w:tc>
          <w:tcPr>
            <w:tcW w:w="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pPr>
            <w:r>
              <w:rPr/>
              <w:t>(A)</w:t>
            </w:r>
          </w:p>
        </w:tc>
        <w:tc>
          <w:tcPr>
            <w:tcW w:w="9582" w:type="dxa"/>
            <w:tcBorders/>
            <w:vAlign w:val="center"/>
          </w:tcPr>
          <w:p>
            <w:pPr>
              <w:pStyle w:val="TableContents"/>
              <w:bidi w:val="0"/>
              <w:spacing w:before="0" w:after="283"/>
              <w:jc w:val="both"/>
              <w:rPr/>
            </w:pPr>
            <w:r>
              <w:rPr/>
              <w:t>TO THE COMPANY OR ANY SUBSIDIARY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6"/>
        <w:gridCol w:w="9852"/>
      </w:tblGrid>
      <w:tr>
        <w:trPr/>
        <w:tc>
          <w:tcPr>
            <w:tcW w:w="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(B)</w:t>
            </w:r>
          </w:p>
        </w:tc>
        <w:tc>
          <w:tcPr>
            <w:tcW w:w="9852" w:type="dxa"/>
            <w:tcBorders/>
            <w:vAlign w:val="center"/>
          </w:tcPr>
          <w:p>
            <w:pPr>
              <w:pStyle w:val="TableContents"/>
              <w:bidi w:val="0"/>
              <w:spacing w:before="0" w:after="283"/>
              <w:jc w:val="both"/>
              <w:rPr/>
            </w:pPr>
            <w:r>
              <w:rPr/>
              <w:t>PURSUANT TO A REGISTRATION STATEMENT THAT HAS BECOME EFFECTIVE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7"/>
        <w:gridCol w:w="9851"/>
      </w:tblGrid>
      <w:tr>
        <w:trPr/>
        <w:tc>
          <w:tcPr>
            <w:tcW w:w="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(C)</w:t>
            </w:r>
          </w:p>
        </w:tc>
        <w:tc>
          <w:tcPr>
            <w:tcW w:w="9851" w:type="dxa"/>
            <w:tcBorders/>
            <w:vAlign w:val="center"/>
          </w:tcPr>
          <w:p>
            <w:pPr>
              <w:pStyle w:val="TableContents"/>
              <w:bidi w:val="0"/>
              <w:spacing w:before="0" w:after="283"/>
              <w:jc w:val="both"/>
              <w:rPr/>
            </w:pPr>
            <w:r>
              <w:rPr/>
              <w:t>TO A QUALIFIED INSTITUTIONAL BUYER IN COMPLIANCE WITH RULE 144A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98"/>
        <w:gridCol w:w="9653"/>
      </w:tblGrid>
      <w:tr>
        <w:trPr/>
        <w:tc>
          <w:tcPr>
            <w:tcW w:w="5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(D)</w:t>
            </w:r>
          </w:p>
        </w:tc>
        <w:tc>
          <w:tcPr>
            <w:tcW w:w="9653" w:type="dxa"/>
            <w:tcBorders/>
            <w:vAlign w:val="center"/>
          </w:tcPr>
          <w:p>
            <w:pPr>
              <w:pStyle w:val="TableContents"/>
              <w:bidi w:val="0"/>
              <w:spacing w:before="0" w:after="283"/>
              <w:jc w:val="both"/>
              <w:rPr/>
            </w:pPr>
            <w:r>
              <w:rPr/>
              <w:t>PURSUANT TO RULE 144 UNDER THE SECURITIES ACT;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(E)</w:t>
            </w:r>
          </w:p>
        </w:tc>
        <w:tc>
          <w:tcPr>
            <w:tcW w:w="9886" w:type="dxa"/>
            <w:tcBorders/>
            <w:vAlign w:val="center"/>
          </w:tcPr>
          <w:p>
            <w:pPr>
              <w:pStyle w:val="TableContents"/>
              <w:bidi w:val="0"/>
              <w:spacing w:before="0" w:after="283"/>
              <w:jc w:val="both"/>
              <w:rPr/>
            </w:pPr>
            <w:r>
              <w:rPr/>
              <w:t>PURSUANT TO ANY OTHER EXEMPTION FROM, OR IN A TRANSACTION NOT SUBJECT TO, THE REGISTRATION REQUIREMENTS OF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REGISTRATION OF ANY SALE OR TRANSFER IN ACCORDANCE WITH (2)(C), (D) OR (E) ABOVE, THE COMPANY, THE TRUSTEE AND THE REGISTRAR RESERVE THE RIGHT TO REQUIRE THE DELIVERY OF SUCH CERTIFICATES OR OTHER DOCUMENTATION OR EVIDENCE AS THEY MAY REASONABLY REQUIRE IN ORDER TO DETERMINE THAT THE PROPOSED SALE OR TRANSFER IS BEING MADE IN COMPLIANCE WITH THE SECURITIES ACT AND APPLICABLE STATE SECURITIES LAWS.</w:t>
      </w:r>
      <w:r>
        <w:rPr>
          <w:rFonts w:ascii="Times New Roman;Times;Serif" w:hAnsi="Times New Roman;Times;Serif"/>
          <w:b w:val="false"/>
          <w:i w:val="false"/>
          <w:caps w:val="false"/>
          <w:smallCaps w:val="false"/>
          <w:position w:val="7"/>
          <w:sz w:val="16"/>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This paragraph and the immediately preceding paragraph will be deemed to be removed from the face of this Note at such time when the Company delivers written notice to the Trustee of such deemed removal pursuant to Section 2.12 of the within-mentioned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B1-1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GLOBAL NOTE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HEREINAFTER REFERRED TO AND IS REGISTERED IN THE NAME OF THE DEPOSITARY OR A NOMINEE OF THE DEPOSITARY, WHICH MAY BE TREATED BY THE COMPANY, THE TRUSTEE AND ANY AGENT THEREOF AS THE OWNER AND HOLDER OF THIS NOTE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(“DTC”) TO THE COMPANY OR ITS AGENT FOR REGISTRATION OF TRANSFER, EXCHANGE OR PAYMENT, AND ANY CERTIFICATE ISSUED IS REGISTERED IN THE NAME OF CEDE &amp; CO. OR IN SUCH OTHER NAME AS IS REQUESTED BY AN AUTHORIZED REPRESENTATIVE OF DTC (AND ANY PAYMENT HEREON IS MADE TO CEDE &amp; CO. OR TO SUCH OTHER ENTITY AS IS REQUESTED BY AN AUTHORIZED REPRESENTATIVE OF THE DTC),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WILL BE LIMITED TO TRANSFERS IN WHOLE, BUT NOT IN PART, TO NOMINEES OF DTC, OR TO A SUCCESSOR THEREOF OR SUCH SUCCESSOR’S NOMINEE, AND TRANSFERS OF PORTIONS OF THIS GLOBAL NOTE WILL BE LIMITED TO TRANSFERS MADE IN ACCORDANCE WITH THE RESTRICTIONS SET FORTH IN ARTICLE 2 OF THE INDENTURE HEREINAFTER REFERRED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B2-1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NON-AFFILIATE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AFFILIATE (AS DEFINED IN RULE 144 UNDER THE SECURITIES ACT OF 1933, AS AMENDED) OF THE COMPANY MAY PURCHASE OR OTHERWISE ACQUIRE THIS NOTE OR ANY BENEFICIAL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B3-1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4" w:name="tm243871d1_ex10-1.htm"/>
      <w:bookmarkStart w:id="25" w:name="kstm243871d1_ex101"/>
      <w:bookmarkEnd w:id="24"/>
      <w:bookmarkEnd w:id="2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Exhibit 10.1</w:t>
      </w:r>
    </w:p>
    <w:p>
      <w:pPr>
        <w:pStyle w:val="TextBody"/>
        <w:bidi w:val="0"/>
        <w:spacing w:before="0" w:after="0"/>
        <w:ind w:left="0" w:right="0" w:hanging="0"/>
        <w:jc w:val="right"/>
        <w:rPr>
          <w:caps w:val="false"/>
          <w:smallCaps w:val="false"/>
          <w:shd w:fill="FFFFFF" w:val="clear"/>
        </w:rPr>
      </w:pPr>
      <w:r>
        <w:rPr>
          <w:caps w:val="false"/>
          <w:smallCaps w:val="false"/>
          <w:shd w:fill="FFFFFF" w:val="clear"/>
        </w:rPr>
        <w:t> </w:t>
      </w:r>
    </w:p>
    <w:p>
      <w:pPr>
        <w:pStyle w:val="TextBody"/>
        <w:bidi w:val="0"/>
        <w:spacing w:before="0" w:after="0"/>
        <w:ind w:left="0" w:right="0" w:hanging="0"/>
        <w:jc w:val="righ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Execution Version</w:t>
      </w:r>
    </w:p>
    <w:p>
      <w:pPr>
        <w:pStyle w:val="TextBody"/>
        <w:bidi w:val="0"/>
        <w:spacing w:before="0" w:after="0"/>
        <w:ind w:left="0" w:right="0" w:hanging="0"/>
        <w:jc w:val="righ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3.250% Convertible Senior Notes Due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18,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10282-2198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Capital Markets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West 42nd Street, 32nd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 a Minnesota corporation (the “Company”), proposes, subject to the terms and conditions set forth in this agreement (this “Agreement”), to issue and sell to the several Initial Purchasers named in Schedule I hereto (the “Purchasers”) an aggregate of $300,000,000 principal amount of its 3.250% Convertible Senior Notes due 2030 (the “Firm Securities”) and, at the option of the Purchasers, up to an additional $50,000,000 aggregate principal amount of its 3.250% Convertible Senior Notes due 2030 (the “Optional Securities”) if and to the extent that the Purchasers shall exercise the option to purchase such Optional Securities granted to the Purchasers in Section 2 hereof. The Firm Securities and the Optional Securities are herein referred to collectively as the “Securities.” The Securities will be convertible into cash and, if applicable, shares of common stock, par value $0.50 per share, of the Company (“Stock”), at the option of the Company, on the terms, and subject to the conditions, set forth in the Indenture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will be issued pursuant to an indenture (the “Indenture”), dated as of the First Time of Delivery (as defined below), that will be entered into by and between the Company and U.S. Bank National Association, as trustee, registrar, paying agent and conversion agent (in such capacity,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of the Firm Securities, the Company is separately entering into convertible note hedge and warrant transactions with certain financial institutions, including one or more of the Purchasers (the “Call Spread Counterparties”) pursuant to convertible note hedge confirmations (the “Base Bond Hedge Confirmations”) and warrant confirmations (the “Base Warrant Confirmations” and, together with the Base Bond Hedge Confirmations, the “Base Call Spread Confirmations”), respectively, each to be dated the date hereof, and in connection with any exercise by the Purchasers of their option to purchase any Optional Securities, the Company and the Call Spread Counterparties will enter into additional convertible note hedge and warrant transactions pursuant to additional convertible note hedge confirmations (the “Additional Bond Hedge Confirmations”) and additional warrant confirmations (the “Additional Warrant Confirmations” and, the Additional Warrant Confirmations together with the Additional Bond Hedge Confirmations, the “Additional Call Spread Confirmations”), respectively, each to be dated the date on which the Purchasers exercise their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purchase such Optional Securities. We refer to the Base Call Spread Confirmations and the Additional Call Spread Confirmations collectively herein as the “Call Spread Confirmations.”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the Securities and the Indenture are hereinafter referred to collectively as the “Transaction Documents.”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pPr>
            <w:r>
              <w:rPr/>
              <w:t>1.</w:t>
            </w:r>
          </w:p>
        </w:tc>
        <w:tc>
          <w:tcPr>
            <w:tcW w:w="10008" w:type="dxa"/>
            <w:tcBorders/>
            <w:vAlign w:val="center"/>
          </w:tcPr>
          <w:p>
            <w:pPr>
              <w:pStyle w:val="TableContents"/>
              <w:bidi w:val="0"/>
              <w:spacing w:before="0" w:after="283"/>
              <w:jc w:val="both"/>
              <w:rPr/>
            </w:pPr>
            <w:r>
              <w:rPr/>
              <w:t>The Company represents and warrants to, and agrees with, each of the Purchasers as of the date hereof and as of the First Time of Delivery,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20"/>
              </w:rPr>
            </w:pPr>
            <w:r>
              <w:rPr>
                <w:sz w:val="20"/>
              </w:rPr>
              <w:t>(a)</w:t>
            </w:r>
          </w:p>
        </w:tc>
        <w:tc>
          <w:tcPr>
            <w:tcW w:w="9997" w:type="dxa"/>
            <w:tcBorders/>
            <w:vAlign w:val="center"/>
          </w:tcPr>
          <w:p>
            <w:pPr>
              <w:pStyle w:val="TableContents"/>
              <w:bidi w:val="0"/>
              <w:spacing w:before="0" w:after="283"/>
              <w:jc w:val="both"/>
              <w:rPr/>
            </w:pPr>
            <w:r>
              <w:rPr>
                <w:sz w:val="20"/>
              </w:rPr>
              <w:t xml:space="preserve">A preliminary offering memorandum, dated January 17, 2024 (the “Preliminary Offering Memorandum”), and an offering memorandum, dated January 18, 2024 (the “Offering Memorandum”), have been prepared in connection with the offering of the Securities </w:t>
            </w:r>
            <w:r>
              <w:rPr/>
              <w:t xml:space="preserve">and any shares of Stock issuable upon conversion thereof. The Preliminary Offering Memorandum, as amended and supplemented immediately prior to the Applicable Time (as defined in Section 1(b)), is hereinafter referred to as the “Pricing Memorandum.” Any reference to the Preliminary Offering Memorandum, the Pricing Memorandum or the Offering Memorandum shall be deemed to refer to and include all documents filed with the United States Securities and Exchange Commission (the “Commission”) pursuant to Section 13(a), 13(c) or 15(d) of the United States Securities Exchange Act of 1934, as amended (the “Exchange Act”), on or prior to the date of such memorandum and incorporated by reference therein and any reference to the Preliminary Offering Memorandum, the Pricing Memorandum or the Offering Memorandum, as the case may be, as amended or supplemented, as of any specified date, shall be deemed to include (i) any documents filed with the Commission pursuant to Section 13(a), 13(c) or 15(d) of the Exchange Act after the date of the Preliminary Offering Memorandum or the Offering Memorandum, as the case may be, and prior to such specified date and (ii) any Additional Issuer Information (as defined in Section 5(f)) furnished by the Company prior to the completion of the distribution of the Securities; and all documents filed under the Exchange Act and so deemed to be included in the Preliminary Offering Memorandum, the Pricing Memorandum or the Offering Memorandum, as the case may be, or any amendment or supplement thereto are hereinafter called the “Exchange Act Reports” (provided that where only sections of such documents are specifically incorporated by reference, only such sections shall be considered to be part of the “Exchange Act Reports”). The Exchange Act Reports, when they were or are filed with the Commission, conformed or will conform in all material respects to the applicable requirements of the Exchange Act and the applicable rules and regulations of the Commission thereunder; and no such documents were filed with the Commission since the Commission’s close of business on the business day immediately prior to the date of this Agreement and prior to the execution of this Agreement, except as set forth on Schedule II(a) hereof. The Preliminary Offering Memorandum, the Pricing Memorandum or the Offering Memorandum and any amendments or supplements thereto and the Exchange Act Reports did not and will not, as of their respective dates, contain an untrue statement of a material fact or omit to state a material fact necessary in order to make the statements therein, in the light of the circumstances under which they were made, not misleading; </w:t>
            </w:r>
            <w:r>
              <w:rPr>
                <w:i/>
              </w:rPr>
              <w:t>provided</w:t>
            </w:r>
            <w:r>
              <w:rPr/>
              <w:t xml:space="preserve">, </w:t>
            </w:r>
            <w:r>
              <w:rPr>
                <w:i/>
              </w:rPr>
              <w:t>however</w:t>
            </w:r>
            <w:r>
              <w:rPr/>
              <w:t>, that this representation and warranty shall not apply to any statements or omissions made in reliance upon and in conformity with information furnished in writing to the Company by a Purchaser expressly for use therein.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both"/>
              <w:rPr/>
            </w:pPr>
            <w:r>
              <w:rPr/>
              <w:t>For the purposes of this Agreement, the “Applicable Time” is 7:15 p.m., New York City time, on the date of this Agreement; the Pricing Memorandum as supplemented by the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0070" w:type="dxa"/>
            <w:tcBorders/>
            <w:vAlign w:val="center"/>
          </w:tcPr>
          <w:p>
            <w:pPr>
              <w:pStyle w:val="TableContents"/>
              <w:bidi w:val="0"/>
              <w:spacing w:before="0" w:after="283"/>
              <w:jc w:val="both"/>
              <w:rPr>
                <w:sz w:val="20"/>
              </w:rPr>
            </w:pPr>
            <w:r>
              <w:rPr>
                <w:sz w:val="20"/>
              </w:rPr>
              <w:t>information set forth in Schedule III hereto, taken together (collectively,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Company Supplemental Disclosure Document (as defined in Section 6(i)) listed on Schedule II(b) hereto and each Permitted General Solicitation Material (as defined in Section 6(i)) listed on Schedule II(d) hereto) does not conflict with the information contained in the Pricing Memorandum or the Offering Memorandum and each such Company Supplemental Disclosure Document and Permitted General Solicitation Material,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a Company Supplemental Disclosure Document or Permitted General Solicitation Material in reliance upon and in conformity with information furnished in writing to the Company by a Purchaser expressly for use therein.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(c)</w:t>
            </w:r>
          </w:p>
        </w:tc>
        <w:tc>
          <w:tcPr>
            <w:tcW w:w="9963" w:type="dxa"/>
            <w:tcBorders/>
            <w:vAlign w:val="center"/>
          </w:tcPr>
          <w:p>
            <w:pPr>
              <w:pStyle w:val="TableContents"/>
              <w:bidi w:val="0"/>
              <w:spacing w:before="0" w:after="283"/>
              <w:jc w:val="both"/>
              <w:rPr/>
            </w:pPr>
            <w:r>
              <w:rPr/>
              <w:t>Neither the Company nor any of its subsidiaries has sustained since the date of the latest audited financial statements included in the Pricing Memorandum any material loss or interference with its business from fire, explosion, flood or other calamity, whether or not covered by insurance, or from any labor dispute or court or governmental action, order or decree, otherwise than as set forth or contemplated in the Pricing Memorandum; and, since the respective dates as of which information is given in the Pricing Memorandum, there has not been any change in the capital stock (except for subsequent issuances, if any, pursuant to reservations, agreements or employee benefit plans referred to in the Pricing Memorandum and Offering Memorandum or pursuant to the exercise of options referred to in the Pricing Memorandum and Offering Memorandum) or long-term debt of the Company or any of its subsidiaries or any material adverse change, or any development involving a prospective material adverse change, in or affecting the general affairs, management, financial position, stockholders’ equity or results of operations of the Company and its subsidiaries, taken as a whole, otherwise than as set forth or contemplated in the Pricing Memorandum.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283"/>
              <w:jc w:val="both"/>
              <w:rPr/>
            </w:pPr>
            <w:r>
              <w:rPr/>
              <w:t>The Company and its subsidiaries have good and marketable title in fee simple to all real property and good and marketable title to all personal property owned by them as described in the Pricing Memorandum and Offering Memorandum, in each case free and clear of all liens, encumbrances and defects except such as are described in the Pricing Memorandum and Offering Memorandum or such as do not materially affect the value of such property and do not interfere with the use made and proposed to be made of such property by the Company and its subsidiaries; and any real property and buildings held under lease by the Company and its subsidiaries as described in the Pricing Memorandum and Offering Memorandum are held by them under valid, subsisting and enforceable leases with such exceptions as are not material and do not interfere with the use made and proposed to be made of such property and buildings by the Company and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(e)</w:t>
            </w:r>
          </w:p>
        </w:tc>
        <w:tc>
          <w:tcPr>
            <w:tcW w:w="9926" w:type="dxa"/>
            <w:tcBorders/>
            <w:vAlign w:val="center"/>
          </w:tcPr>
          <w:p>
            <w:pPr>
              <w:pStyle w:val="TableContents"/>
              <w:bidi w:val="0"/>
              <w:spacing w:before="0" w:after="283"/>
              <w:jc w:val="both"/>
              <w:rPr/>
            </w:pPr>
            <w:r>
              <w:rPr/>
              <w:t>The Company and each of its subsidiaries has been duly incorporated or formed and is validly existing as a corporation or limited liability company in good standing under the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laws of the jurisdiction in which it is incorporated, chartered, organized or formed with full corporate or limited liability company, as applicable, power and authority to own or lease, as the case may be, and to operate its properties and conduct its business as described in the Pricing Disclosure Package and the Offering Memorandum, and is duly qualified to do business as a foreign corporation or limited liability company and is in good standing under the laws of each jurisdiction which requires such qualification, and in which the failure to so qualify or to so be in good standing would have a material adverse effect on the condition (financial or otherwise), earnings, business or properties of the Company and its subsidiaries, taken as a whole (“Material Adverse Effect”). None of the outstanding shares of capital stock of any subsidiary were issued in violation of the preemptive or similar rights of any securityholder of such subsidiary.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(f)</w:t>
            </w:r>
          </w:p>
        </w:tc>
        <w:tc>
          <w:tcPr>
            <w:tcW w:w="10024" w:type="dxa"/>
            <w:tcBorders/>
            <w:vAlign w:val="center"/>
          </w:tcPr>
          <w:p>
            <w:pPr>
              <w:pStyle w:val="TableContents"/>
              <w:bidi w:val="0"/>
              <w:spacing w:before="0" w:after="283"/>
              <w:jc w:val="both"/>
              <w:rPr/>
            </w:pPr>
            <w:r>
              <w:rPr/>
              <w:t>The Company has an authorized capitalization as set forth in the Pricing Disclosure Package and the Offering Memorandum, and all of the issued and outstanding shares of capital stock of the Company have been duly and validly authorized and issued and are fully paid and non-assessable; the shares of Stock initially issuable upon conversion of the Securities (assuming full physical settlement of the Securities upon conversion and the maximum conversion rate under any “make-whole” adjustment applies (the “Conversion Shares”)) have been duly and validly authorized and reserved for issuance and, when issued and delivered in accordance with the provisions of the Securities and the Indenture referred to below, will be duly and validly issued, fully paid and non-assessable and will conform to the description of the Stock contained in the Pricing Disclosure Package and the Offering Memorandum; and all of the issued and outstanding shares of capital stock, partnership interests or membership interests, as applicable, of each subsidiary of the Company have been duly and validly authorized and issued, are fully paid and non-assessable and are owned directly or indirectly by the Company, free and clear of all liens, encumbrances, equities or claims.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(g)</w:t>
            </w:r>
          </w:p>
        </w:tc>
        <w:tc>
          <w:tcPr>
            <w:tcW w:w="9950" w:type="dxa"/>
            <w:tcBorders/>
            <w:vAlign w:val="center"/>
          </w:tcPr>
          <w:p>
            <w:pPr>
              <w:pStyle w:val="TableContents"/>
              <w:bidi w:val="0"/>
              <w:spacing w:before="0" w:after="283"/>
              <w:jc w:val="both"/>
              <w:rPr/>
            </w:pPr>
            <w:r>
              <w:rPr/>
              <w:t>The Securities have been duly authorized by the Company and, when issued and delivered at each Time of Delivery pursuant to this Agreement, will have been duly executed, authenticated, issued and delivered and will constitute valid and legally binding obligations of the Company enforceable against the Company, entitled to the benefits provided by the Indenture, under which they are to be issued, which will be substantially in the form previously delivered to you, subject, as to enforcement, to bankruptcy, insolvency, receivership, fraudulent transfer, fraudulent conveyance, voidable transaction, voidable preference, reorganization, moratorium, assignment for the benefit of creditors’ rights generally, equitable principles of general applicability (regardless of whether considered in a proceeding in equity or at law) and other laws of general applicability relating to or affecting creditors’ rights and to general equity principles; the Indenture has been duly authorized by the Company and, when executed and delivered by the Company and the Trustee, the Indenture will constitute a valid and legally binding instrument, enforceable against the Company in accordance with its terms, subject, as to enforcement, to bankruptcy, insolvency, receivership, fraudulent transfer, fraudulent conveyance, voidable transaction, voidable preference, reorganization, moratorium, assignment for the benefit of creditors’ rights generally, equitable principles of general applicability (regardless of whether considered in a proceeding in equity or at law) and other laws of general applicability relating to or affecting creditors’ rights and to general equity principles and entitled to the benefits provided by the Indenture; and the Securities and the Indenture will conform in all material respects to the descriptions thereof in the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Pricing Disclosure Package and the Offering Memorandum and will be in substantially the form previously delivered to you.</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20"/>
              </w:rPr>
            </w:pPr>
            <w:r>
              <w:rPr>
                <w:sz w:val="20"/>
              </w:rPr>
              <w:t>(h)</w:t>
            </w:r>
          </w:p>
        </w:tc>
        <w:tc>
          <w:tcPr>
            <w:tcW w:w="9981" w:type="dxa"/>
            <w:tcBorders/>
            <w:vAlign w:val="center"/>
          </w:tcPr>
          <w:p>
            <w:pPr>
              <w:pStyle w:val="TableContents"/>
              <w:bidi w:val="0"/>
              <w:spacing w:before="0" w:after="283"/>
              <w:jc w:val="both"/>
              <w:rPr/>
            </w:pPr>
            <w:r>
              <w:rPr/>
              <w:t>The Base Call Spread Confirmations have been, and any Additional Call Spread Confirmations on the date or dates that the Purchasers exercise their right to purchase the relevant Optional Securities will have been, duly authorized, executed and delivered by the Company and, assuming due execution and delivery thereof by the counterparties, constitute, or will constitute, as the case may be, valid and legally binding agreements of the Company enforceable against the Company in accordance with their terms, subject, as to enforcement, to bankruptcy, insolvency, receivership, fraudulent transfer, fraudulent conveyance, voidable transaction, voidable preference, reorganization, moratorium, assignment for the benefit of creditors’ rights generally, equitable principles of general applicability (regardless of whether considered in a proceeding in equity or at law) and other laws of general applicability relating to or affecting creditors’ rights and to general equity principles. A total of 3,980,340 shares of Stock issuable under the Base Warrant Confirmations and any Additional Warrant Confirmations (the “Warrant Shares”), have been duly authorized and reserved for issuance by all necessary corporate action and all shares of Stock issuable upon conversion of the Securities will be duly authorized and reserved for issuance. All shares of Stock issuable upon conversion of the Securities and when issued in accordance with the terms of the Securities and the Indenture, and all Warrant Shares, when issued in accordance with the Base Warrant Confirmations or the Additional Warrant Confirmations, as applicable, will be validly issued, fully paid and non-assessable; no holder of such shares will be subject to personal liability by reason of being such a holder; and the issuance of such shares upon such conversion will not be subject to the preemptive or other similar rights of any securityholder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The Company has all requisite corporate power to execute, deliver and perform its obligations under this Agreement. This Agreement has been duly and validly authorized, executed and delivered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(j)</w:t>
            </w:r>
          </w:p>
        </w:tc>
        <w:tc>
          <w:tcPr>
            <w:tcW w:w="9996" w:type="dxa"/>
            <w:tcBorders/>
            <w:vAlign w:val="center"/>
          </w:tcPr>
          <w:p>
            <w:pPr>
              <w:pStyle w:val="TableContents"/>
              <w:bidi w:val="0"/>
              <w:spacing w:before="0" w:after="283"/>
              <w:jc w:val="both"/>
              <w:rPr/>
            </w:pPr>
            <w:r>
              <w:rPr/>
              <w:t>None of the transactions contemplated by this Agreement or the other Transaction Documents (including, without limitation, the use of the proceeds from the sale of the Securities) will violate or result in a violation of Section 7 of the Exchange Act, or any regulation promulgated thereunder, including, without limitation, Regulations T, U, and X of the Board of Governors of the Federal Reserve System.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(k)</w:t>
            </w:r>
          </w:p>
        </w:tc>
        <w:tc>
          <w:tcPr>
            <w:tcW w:w="9931" w:type="dxa"/>
            <w:tcBorders/>
            <w:vAlign w:val="center"/>
          </w:tcPr>
          <w:p>
            <w:pPr>
              <w:pStyle w:val="TableContents"/>
              <w:bidi w:val="0"/>
              <w:spacing w:before="0" w:after="283"/>
              <w:jc w:val="both"/>
              <w:rPr/>
            </w:pPr>
            <w:r>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(l)</w:t>
            </w:r>
          </w:p>
        </w:tc>
        <w:tc>
          <w:tcPr>
            <w:tcW w:w="10022" w:type="dxa"/>
            <w:tcBorders/>
            <w:vAlign w:val="center"/>
          </w:tcPr>
          <w:p>
            <w:pPr>
              <w:pStyle w:val="TableContents"/>
              <w:bidi w:val="0"/>
              <w:spacing w:before="0" w:after="283"/>
              <w:jc w:val="both"/>
              <w:rPr/>
            </w:pPr>
            <w:r>
              <w:rPr>
                <w:sz w:val="20"/>
              </w:rPr>
              <w:t>The issue and sale of the Securities (</w:t>
            </w:r>
            <w:r>
              <w:rPr/>
              <w:t>and any conversion of Securities or issuance of Stock upon conversion), the compliance by the Company with all of the provisions of the Transaction Documents (and the consummation of the transactions contemplated therein), the Call Spread Confirmations (and the consummation of the transactions contemplated therein) and the application of the proceeds from the sale of the Securities as described under “Use of Proceeds” in the Pricing Disclosure Package and the Offering Memorandum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sz w:val="20"/>
              </w:rPr>
              <w:t>which</w:t>
            </w:r>
            <w:r>
              <w:rPr/>
              <w:t xml:space="preserve"> </w:t>
            </w:r>
            <w:r>
              <w:rPr>
                <w:sz w:val="20"/>
              </w:rPr>
              <w:t xml:space="preserve">any of the property or assets of the Company or any of its subsidiaries is subject, except for such conflicts, breaches or defaults that would not, singly or in the aggregate, result in a Material Adverse Effect, nor will such action result in any violation of the provisions of the Certificate of Incorporation or By-laws or equivalent organizational documents of the Company or any statute or any order, rule or regulation of any court or governmental agency or body having jurisdiction over the Company or any of its subsidiaries or any of its properties, except for such violations of any statute or any order, rule or regulation that would not, singly or in the aggregate, result in a Material Adverse Effect; and no consent, approval, authorization, order, registration or qualification of or with any such court or governmental agency or body is required for the transactions contemplated by this Agreement, under the Call Spread Confirmations or the other Transaction Documents (including the </w:t>
            </w:r>
            <w:r>
              <w:rPr/>
              <w:t>conversion of Securities or issuance of Stock upon conversion), except such consents, approvals, authorizations, registrations or qualifications as have already been obtained or may be required under state securities or Blue Sky laws in connection with the purchase and distribution of the Securities by the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(m)</w:t>
            </w:r>
          </w:p>
        </w:tc>
        <w:tc>
          <w:tcPr>
            <w:tcW w:w="9884" w:type="dxa"/>
            <w:tcBorders/>
            <w:vAlign w:val="center"/>
          </w:tcPr>
          <w:p>
            <w:pPr>
              <w:pStyle w:val="TableContents"/>
              <w:bidi w:val="0"/>
              <w:spacing w:before="0" w:after="283"/>
              <w:jc w:val="both"/>
              <w:rPr/>
            </w:pPr>
            <w:r>
              <w:rPr/>
              <w:t>Neither the Company nor any of its subsidiaries is (i) in violation of its Certificate of Incorporation or By-laws or equivalent organizational document; (ii) in default in the performance or observance of any material obligation, covenant or condition contained in any indenture, mortgage, deed of trust, loan agreement, lease or other agreement or instrument to which it is a party or by which it or any of its properties may be bound; or (iii) in violation of any law or statute or any judgment, order, rule or regulation of any court or arbitrator or governmental or regulatory authority, except, in the case of clause (iii) above, for any such violation that would not, individually or in the aggregate, have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(n)</w:t>
            </w:r>
          </w:p>
        </w:tc>
        <w:tc>
          <w:tcPr>
            <w:tcW w:w="9945" w:type="dxa"/>
            <w:tcBorders/>
            <w:vAlign w:val="center"/>
          </w:tcPr>
          <w:p>
            <w:pPr>
              <w:pStyle w:val="TableContents"/>
              <w:bidi w:val="0"/>
              <w:spacing w:before="0" w:after="283"/>
              <w:jc w:val="both"/>
              <w:rPr/>
            </w:pPr>
            <w:r>
              <w:rPr/>
              <w:t>The statements set forth in the Pricing Memorandum and the Offering Memorandum under the captions “Description of Notes” and “Description of Securities” insofar as they purport to constitute a summary of the terms of the Securities and the Stock, under the captions “Certain Relationships and Related Transactions, and Director Independence,” “Description of Other Indebtedness” and “Description of the Concurrent Convertible Note Hedge Transactions and Warrant Transactions” insofar as they purport to constitute a summary of the terms of the documents referred to therein, and under the caption “Material U.S. Federal Income Tax Considerations” insofar as they purport to describe the provisions of the laws and documents referred to therein, fairly present and summarize, in all material respects, the matters referred to therein.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(o)</w:t>
            </w:r>
          </w:p>
        </w:tc>
        <w:tc>
          <w:tcPr>
            <w:tcW w:w="9946" w:type="dxa"/>
            <w:tcBorders/>
            <w:vAlign w:val="center"/>
          </w:tcPr>
          <w:p>
            <w:pPr>
              <w:pStyle w:val="TableContents"/>
              <w:bidi w:val="0"/>
              <w:spacing w:before="0" w:after="283"/>
              <w:jc w:val="both"/>
              <w:rPr/>
            </w:pPr>
            <w:r>
              <w:rPr/>
              <w:t>The consolidated historical financial statements and schedules of the Company and its consolidated subsidiaries included in the Pricing Disclosure Package and Offering Memorandum present fairly in all material respects the financial condition, results of operations and cash flows of the entities to which they relate as of the dates and for the periods indicated, comply as to form in all material respects with the applicable accounting requirements of the Act and have been prepared in conformity with U.S. generally accepted accounting principles (“GAAP”) applied on a consistent basis throughout the periods involved (except as otherwise noted therein). The pro forma financial statements, if any, included in the Pricing Disclosure Package and Offering Memorandum present fairly in all material respects the information shown therein and include assumptions that provide a reasonable basis for presenting the significant effects directly attributable to the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sz w:val="20"/>
              </w:rPr>
              <w:t>transactions</w:t>
            </w:r>
            <w:r>
              <w:rPr/>
              <w:t> </w:t>
            </w:r>
            <w:r>
              <w:rPr>
                <w:sz w:val="20"/>
              </w:rPr>
              <w:t xml:space="preserve">and events described therein. The pro forma financial statements, if any, included in the Pricing Disclosure Package and Offering Memorandum comply as to form in all material respects with the applicable accounting requirements of Regulation S-X under the Act and the Commission’s rules and guidelines with respect to pro forma financial statements and the pro forma adjustments have been properly applied to the historical amounts in the compilation of those statements. </w:t>
            </w:r>
            <w:r>
              <w:rPr/>
              <w:t>The interactive data in eXtensible Business Reporting Language included or incorporated by reference in each of the Preliminary Offering Memorandum, the Pricing Disclosure Package and the Offering Memorandum fairly presents the information called for in all material respects and has been prepared in accordance with the Commission’s rules and guidelines applicable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(p)</w:t>
            </w:r>
          </w:p>
        </w:tc>
        <w:tc>
          <w:tcPr>
            <w:tcW w:w="9974" w:type="dxa"/>
            <w:tcBorders/>
            <w:vAlign w:val="center"/>
          </w:tcPr>
          <w:p>
            <w:pPr>
              <w:pStyle w:val="TableContents"/>
              <w:bidi w:val="0"/>
              <w:spacing w:before="0" w:after="283"/>
              <w:jc w:val="both"/>
              <w:rPr/>
            </w:pPr>
            <w:r>
              <w:rPr>
                <w:sz w:val="20"/>
              </w:rPr>
              <w:t xml:space="preserve">No action, suit or proceeding by or before any court or governmental agency, authority or body or any arbitrator involving the Company or any of its subsidiaries or its or their property is pending or, to the knowledge of the Company, threatened that (i) could reasonably be expected to have a material adverse effect on the performance of this Agreement, </w:t>
            </w:r>
            <w:r>
              <w:rPr/>
              <w:t>the Call Spread Transactions or the consummation of the Transactions or (ii) could reasonably be expected to have a Material Adverse Effect, except as set forth in or contemplated in the Pricing Disclosure Package and the Offering Memorandum (exclusive of any supplement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(q)</w:t>
            </w:r>
          </w:p>
        </w:tc>
        <w:tc>
          <w:tcPr>
            <w:tcW w:w="9905" w:type="dxa"/>
            <w:tcBorders/>
            <w:vAlign w:val="center"/>
          </w:tcPr>
          <w:p>
            <w:pPr>
              <w:pStyle w:val="TableContents"/>
              <w:bidi w:val="0"/>
              <w:spacing w:before="0" w:after="283"/>
              <w:jc w:val="both"/>
              <w:rPr/>
            </w:pPr>
            <w:r>
              <w:rPr/>
              <w:t>The Company and its subsidiaries are not required to register as an “investment company” as defined in the Investment Company Act of 1940, as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(r)</w:t>
            </w:r>
          </w:p>
        </w:tc>
        <w:tc>
          <w:tcPr>
            <w:tcW w:w="9984" w:type="dxa"/>
            <w:tcBorders/>
            <w:vAlign w:val="center"/>
          </w:tcPr>
          <w:p>
            <w:pPr>
              <w:pStyle w:val="TableContents"/>
              <w:bidi w:val="0"/>
              <w:spacing w:before="0" w:after="283"/>
              <w:jc w:val="both"/>
              <w:rPr/>
            </w:pPr>
            <w:r>
              <w:rPr/>
              <w:t>Deloitte &amp; Touche LLP, who have certified certain financial statements of the Company and its consolidated subsidiaries and delivered their report with respect to the audited consolidated financial statements and schedules included in the Pricing Disclosure Package and the Offering Memorandum, are independent public accountants with respect to the Company within the meaning of the Act and the applicable published rules and regulations thereunder.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(s)</w:t>
            </w:r>
          </w:p>
        </w:tc>
        <w:tc>
          <w:tcPr>
            <w:tcW w:w="9975" w:type="dxa"/>
            <w:tcBorders/>
            <w:vAlign w:val="center"/>
          </w:tcPr>
          <w:p>
            <w:pPr>
              <w:pStyle w:val="TableContents"/>
              <w:bidi w:val="0"/>
              <w:spacing w:before="0" w:after="283"/>
              <w:jc w:val="both"/>
              <w:rPr/>
            </w:pPr>
            <w:r>
              <w:rPr/>
              <w:t>The Company has filed all tax returns that are required to be filed or has requested extensions thereof (except in any case in which the failure so to file would not have a Material Adverse Effect, except as set forth in or contemplated in the Pricing Disclosure Package and the Offering Memorandum (exclusive of any supplement thereto)) and has paid all taxes required to be paid by it and any other assessment, fine or penalty levied against it, to the extent that any of the foregoing is due and payable, except for any such assessment, fine or penalty the amount or validity of which is currently being contested in good faith or as would not have a Material Adverse Effect, except as set forth in or contemplated in the Pricing Disclosure Package and the Offering Memorandum (exclusive of any supplement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(t)</w:t>
            </w:r>
          </w:p>
        </w:tc>
        <w:tc>
          <w:tcPr>
            <w:tcW w:w="9994" w:type="dxa"/>
            <w:tcBorders/>
            <w:vAlign w:val="center"/>
          </w:tcPr>
          <w:p>
            <w:pPr>
              <w:pStyle w:val="TableContents"/>
              <w:bidi w:val="0"/>
              <w:spacing w:before="0" w:after="283"/>
              <w:jc w:val="both"/>
              <w:rPr/>
            </w:pPr>
            <w:r>
              <w:rPr/>
              <w:t>No strike or labor dispute with the employees of the Company or any of its subsidiaries exists or, to the knowledge of the Company, is threatened except as would not reasonably be expected to result in a Material Adverse Effect, except as set forth in or contemplated in the Pricing Disclosure Package and the Offering Memorandum (exclusive of any supplement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(u)</w:t>
            </w:r>
          </w:p>
        </w:tc>
        <w:tc>
          <w:tcPr>
            <w:tcW w:w="9925" w:type="dxa"/>
            <w:tcBorders/>
            <w:vAlign w:val="center"/>
          </w:tcPr>
          <w:p>
            <w:pPr>
              <w:pStyle w:val="TableContents"/>
              <w:bidi w:val="0"/>
              <w:spacing w:before="0" w:after="283"/>
              <w:jc w:val="both"/>
              <w:rPr/>
            </w:pPr>
            <w:r>
              <w:rPr/>
              <w:t>The Company and each of its subsidiaries maintain insurance against such losses and risks and in such amounts as are adequate and customarily maintained by companies engaged in the same or similar businesses operating in the same or similar locations,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except where failure to do so would not result in a Material Adverse Effect; all premiums in respect of such insurance have been paid to the extent due and payable; and there are no claims by the Company or any of its subsidiaries under any such policy or instrument as to which any insurance company is denying liability or defending under a reservation of rights clause where such claims would be reasonably expected to have a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(v)</w:t>
            </w:r>
          </w:p>
        </w:tc>
        <w:tc>
          <w:tcPr>
            <w:tcW w:w="9942" w:type="dxa"/>
            <w:tcBorders/>
            <w:vAlign w:val="center"/>
          </w:tcPr>
          <w:p>
            <w:pPr>
              <w:pStyle w:val="TableContents"/>
              <w:bidi w:val="0"/>
              <w:spacing w:before="0" w:after="283"/>
              <w:jc w:val="both"/>
              <w:rPr/>
            </w:pPr>
            <w:r>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provided under applicable law or as described in or contemplated by the Pricing Disclosure Package and the Offering Memorandum (exclusive of any supplement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w:t>
            </w:r>
          </w:p>
        </w:tc>
        <w:tc>
          <w:tcPr>
            <w:tcW w:w="9886" w:type="dxa"/>
            <w:tcBorders/>
            <w:vAlign w:val="center"/>
          </w:tcPr>
          <w:p>
            <w:pPr>
              <w:pStyle w:val="TableContents"/>
              <w:bidi w:val="0"/>
              <w:spacing w:before="0" w:after="283"/>
              <w:jc w:val="both"/>
              <w:rPr/>
            </w:pPr>
            <w:r>
              <w:rPr/>
              <w:t>The Company and its subsidiaries possess all licenses, certificates, permits and other authorizations issued by all applicable governmental authorities necessary to conduct their respective businesses as set forth in the Pricing Disclosure Package and the Offering Memorandum, except where the failure to so possess would not, individually or in the aggregate, reasonably be expected to have a Material Adverse Effect, and neither the Company nor any such subsidiary has received any written notice of proceedings relating to the revocation or modification of any such certificate, authorization or permit which, singly or in the aggregate, if the subject of an unfavorable decision, ruling or finding, would have a Material Adverse Effect, except as set forth in or contemplated in the Pricing Disclosure Package and the Offering Memorandum (exclusive of any supplement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(x)</w:t>
            </w:r>
          </w:p>
        </w:tc>
        <w:tc>
          <w:tcPr>
            <w:tcW w:w="9950" w:type="dxa"/>
            <w:tcBorders/>
            <w:vAlign w:val="center"/>
          </w:tcPr>
          <w:p>
            <w:pPr>
              <w:pStyle w:val="TableContents"/>
              <w:bidi w:val="0"/>
              <w:spacing w:before="0" w:after="283"/>
              <w:jc w:val="both"/>
              <w:rPr/>
            </w:pPr>
            <w:r>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each of the Preliminary Offering Memorandum, the Pricing Disclosure Package and the Offering Memorandum is prepared in accordance with the Commission’s rules and guidelines applicable thereto. There were no material weaknesses in the Company’s and its subsidiaries’ internal control over financial reporting (as defined in Rule 13a-15(f) of the Exchange Act) as of the end of the period covered by the most recent audited financial statements included in the Pricing Disclosure Package and the Offering Memorandum. The Company and its subsidiaries’ internal controls over financial reporting are effective as of the end of the period covered by the most recent audited financial statements included in the Pricing Disclosure Package and the Offering Memorandum and since the date of the latest audited financial statements included in the Pricing Memorandum, there has been no change in the Company’s internal control over financial reporting that has materially affected, or is reasonably likely to materially affect,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(y)</w:t>
            </w:r>
          </w:p>
        </w:tc>
        <w:tc>
          <w:tcPr>
            <w:tcW w:w="9934" w:type="dxa"/>
            <w:tcBorders/>
            <w:vAlign w:val="center"/>
          </w:tcPr>
          <w:p>
            <w:pPr>
              <w:pStyle w:val="TableContents"/>
              <w:bidi w:val="0"/>
              <w:spacing w:before="0" w:after="283"/>
              <w:jc w:val="both"/>
              <w:rPr/>
            </w:pPr>
            <w:r>
              <w:rPr/>
              <w:t>The Company and its subsidiaries maintain “disclosure controls and procedures” (as such term is defined in Rule 13a-15(e) under the Exchange Act) and such disclosure controls and procedures were effective as of the end of the period covered by the most recent unaudited financial statements included in the Pricing Memorandum and the Offering Memorandum.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(z)</w:t>
            </w:r>
          </w:p>
        </w:tc>
        <w:tc>
          <w:tcPr>
            <w:tcW w:w="9962" w:type="dxa"/>
            <w:tcBorders/>
            <w:vAlign w:val="center"/>
          </w:tcPr>
          <w:p>
            <w:pPr>
              <w:pStyle w:val="TableContents"/>
              <w:bidi w:val="0"/>
              <w:spacing w:before="0" w:after="283"/>
              <w:jc w:val="both"/>
              <w:rPr/>
            </w:pPr>
            <w:r>
              <w:rPr/>
              <w:t>Except as described in the Pricing Disclosure Package and the Offering Memorandum or as would not, singly or in the aggregate, reasonably be expected to result in a Material Adverse Effect, the Company and its subsidiaries are (i) in compliance with any and all applicable foreign, federal, state and local laws and regulations relating to the protection of human health and safety, the environment or hazardous or toxic substances or wastes, pollutants or contaminants (“Environmental Laws”), (ii) have received and are in compliance with all permits, licenses or other approvals required of them under applicable Environmental Laws to conduct their respective businesses and (iii) have not received written notice of any actual or potential liability under any Environmental Laws. Except as set forth in the Pricing Disclosure Package and the Offering Memorandum, neither the Company nor any of the subsidiaries has been named as a “potentially responsible party” under the Comprehensive Environmental Response, Compensation, and Liability Act of 1980, as amended.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(aa)</w:t>
            </w:r>
          </w:p>
        </w:tc>
        <w:tc>
          <w:tcPr>
            <w:tcW w:w="9860" w:type="dxa"/>
            <w:tcBorders/>
            <w:vAlign w:val="center"/>
          </w:tcPr>
          <w:p>
            <w:pPr>
              <w:pStyle w:val="TableContents"/>
              <w:bidi w:val="0"/>
              <w:spacing w:before="0" w:after="283"/>
              <w:jc w:val="both"/>
              <w:rPr/>
            </w:pPr>
            <w:r>
              <w:rPr/>
              <w:t>None of the following events has occurred or exists: (i) a failure to fulfill the obligations, if any, under the minimum funding standards of Section 302 of the United States Employee Retirement Income Security Act of 1974, as amended (“ERISA”), and the regulations and published interpretations thereunder with respect to a Plan (as defined below), determined without regard to any waiver of such obligations or extension of any amortization period; or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which audit or investigation if resulting in an unfavorable decision, ruling or finding would have a Material Adverse Effect. None of the following events has occurred: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or (iii) any event or condition giving rise to a liability under Title IV of ERISA that could have a Material Adverse Effect. For purposes of this paragraph, the term “Plan” means a plan (within the meaning of Section 3(3) of ERISA) subject to Title IV of ERISA with respect to which the Company or any of its subsidiaries may have any liability.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0"/>
        <w:gridCol w:w="9818"/>
      </w:tblGrid>
      <w:tr>
        <w:trPr/>
        <w:tc>
          <w:tcPr>
            <w:tcW w:w="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(bb)</w:t>
            </w:r>
          </w:p>
        </w:tc>
        <w:tc>
          <w:tcPr>
            <w:tcW w:w="9818" w:type="dxa"/>
            <w:tcBorders/>
            <w:vAlign w:val="center"/>
          </w:tcPr>
          <w:p>
            <w:pPr>
              <w:pStyle w:val="TableContents"/>
              <w:bidi w:val="0"/>
              <w:spacing w:before="0" w:after="283"/>
              <w:jc w:val="both"/>
              <w:rPr/>
            </w:pPr>
            <w:r>
              <w:rPr/>
              <w:t>There is and has been no failure on the part of the Company and any of the Company’s directors or officers, in their capacities as such, to comply in all material respects with any provision of the Sarbanes-Oxley Act of 2002 and the rules and regulations promulgated in connection therewith (the “Sarbanes-Oxley Act”) applicable to the Company, including Section 402 relating to loans and Sections 302 and 906 relating to certifications.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20"/>
              </w:rPr>
            </w:pPr>
            <w:r>
              <w:rPr>
                <w:sz w:val="20"/>
              </w:rPr>
              <w:t>(cc)</w:t>
            </w:r>
          </w:p>
        </w:tc>
        <w:tc>
          <w:tcPr>
            <w:tcW w:w="9903" w:type="dxa"/>
            <w:tcBorders/>
            <w:vAlign w:val="center"/>
          </w:tcPr>
          <w:p>
            <w:pPr>
              <w:pStyle w:val="TableContents"/>
              <w:bidi w:val="0"/>
              <w:spacing w:before="0" w:after="283"/>
              <w:jc w:val="both"/>
              <w:rPr/>
            </w:pPr>
            <w:r>
              <w:rPr/>
              <w:t>None of the Company, any of its subsidiaries, its directors and officers, nor, to the knowledge of the Company, any agent, employee, affiliate or other person associated with or acting on behalf of the Company or any of its subsidiaries has (i) made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(iv) violated or is in violation of any provision of the Bribery Act 2010 of the United Kingdom; or (v) made any bribe, rebate, payoff, influence payment, kickback or other unlawful payment. The Company and its subsidiaries have instituted, maintain and enforce, and will continue to maintain and enforce, policies and procedures designed to promote and ensure compliance with all applicable anti-bribery and anti-corruption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7"/>
        <w:gridCol w:w="9871"/>
      </w:tblGrid>
      <w:tr>
        <w:trPr/>
        <w:tc>
          <w:tcPr>
            <w:tcW w:w="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20"/>
              </w:rPr>
            </w:pPr>
            <w:r>
              <w:rPr>
                <w:sz w:val="20"/>
              </w:rPr>
              <w:t>(dd)</w:t>
            </w:r>
          </w:p>
        </w:tc>
        <w:tc>
          <w:tcPr>
            <w:tcW w:w="9871" w:type="dxa"/>
            <w:tcBorders/>
            <w:vAlign w:val="center"/>
          </w:tcPr>
          <w:p>
            <w:pPr>
              <w:pStyle w:val="TableContents"/>
              <w:bidi w:val="0"/>
              <w:spacing w:before="0" w:after="283"/>
              <w:jc w:val="both"/>
              <w:rPr/>
            </w:pPr>
            <w:r>
              <w:rPr/>
              <w:t>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20"/>
              </w:rPr>
            </w:pPr>
            <w:r>
              <w:rPr>
                <w:sz w:val="20"/>
              </w:rPr>
              <w:t>(ee)</w:t>
            </w:r>
          </w:p>
        </w:tc>
        <w:tc>
          <w:tcPr>
            <w:tcW w:w="9905" w:type="dxa"/>
            <w:tcBorders/>
            <w:vAlign w:val="center"/>
          </w:tcPr>
          <w:p>
            <w:pPr>
              <w:pStyle w:val="TableContents"/>
              <w:bidi w:val="0"/>
              <w:spacing w:before="0" w:after="283"/>
              <w:jc w:val="both"/>
              <w:rPr/>
            </w:pPr>
            <w:r>
              <w:rPr/>
              <w:t>The Company and its subsidiaries, its directors and officers or, to the knowledge of the Company, any agent, employee or affiliate of the Company or any of its subsidiaries is not currently the subject or the target of any sanctions administered or enforced by the U.S. Government, including, without limitation, the Office of Foreign Assets Control of the U.S. Department of the Treasury (“OFAC”), or other relevant sanctions authority (collectively, “Sanctions”), nor is the Company or any of its subsidiaries located, organized or resident in a country or territory that is the subject or target of Sanctions, including, without limitation, Crimea Region of Ukraine, the so-called Donetsk People’s Republic, the so-called Luhansk People’s Republic, Cuba, Iran, North Korea, Syria and Russia (each, a “Sanctioned Country”);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(ii) to fund or facilitate any activities of or business in any Sanctioned Country or (iii) in any other manner that will result in a violation by any person (including any person participating in the transaction, whether as initial purchaser, advisor, investor or otherwise) of Sanctions.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4"/>
        <w:gridCol w:w="9914"/>
      </w:tblGrid>
      <w:tr>
        <w:trPr/>
        <w:tc>
          <w:tcPr>
            <w:tcW w:w="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(ff)</w:t>
            </w:r>
          </w:p>
        </w:tc>
        <w:tc>
          <w:tcPr>
            <w:tcW w:w="9914" w:type="dxa"/>
            <w:tcBorders/>
            <w:vAlign w:val="center"/>
          </w:tcPr>
          <w:p>
            <w:pPr>
              <w:pStyle w:val="TableContents"/>
              <w:bidi w:val="0"/>
              <w:spacing w:before="0" w:after="283"/>
              <w:jc w:val="both"/>
              <w:rPr/>
            </w:pPr>
            <w:r>
              <w:rPr/>
              <w:t>Other than as set forth in the Pricing Disclosure Package and the Offering Memorandum,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financial position, stockholders’ equity or results of operations of the Company and its subsidiaries or would materially adversely affect on the ability to consummate any of the transactions described in the Pricing Disclosure Package and Offering Memorandum;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5"/>
        <w:gridCol w:w="10102"/>
      </w:tblGrid>
      <w:tr>
        <w:trPr/>
        <w:tc>
          <w:tcPr>
            <w:tcW w:w="3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10102" w:type="dxa"/>
            <w:tcBorders/>
            <w:vAlign w:val="center"/>
          </w:tcPr>
          <w:p>
            <w:pPr>
              <w:pStyle w:val="TableContents"/>
              <w:bidi w:val="0"/>
              <w:spacing w:before="0" w:after="283"/>
              <w:jc w:val="both"/>
              <w:rPr/>
            </w:pPr>
            <w:r>
              <w:rPr/>
              <w:t>and, to the best of the Company’s knowledge, no such proceedings are threatened or contemplated by governmental authorities or threatened by others.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521"/>
        <w:gridCol w:w="9628"/>
      </w:tblGrid>
      <w:tr>
        <w:trPr/>
        <w:tc>
          <w:tcPr>
            <w:tcW w:w="5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20"/>
              </w:rPr>
            </w:pPr>
            <w:r>
              <w:rPr>
                <w:sz w:val="20"/>
              </w:rPr>
              <w:t>(gg)</w:t>
            </w:r>
          </w:p>
        </w:tc>
        <w:tc>
          <w:tcPr>
            <w:tcW w:w="9628" w:type="dxa"/>
            <w:tcBorders/>
            <w:vAlign w:val="center"/>
          </w:tcPr>
          <w:p>
            <w:pPr>
              <w:pStyle w:val="TableContents"/>
              <w:bidi w:val="0"/>
              <w:spacing w:before="0" w:after="283"/>
              <w:jc w:val="both"/>
              <w:rPr/>
            </w:pPr>
            <w:r>
              <w:rPr>
                <w:sz w:val="20"/>
              </w:rPr>
              <w:t>The</w:t>
            </w:r>
            <w:r>
              <w:rPr/>
              <w:t xml:space="preserve"> Company is subject to Section 13 or 15(d)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5"/>
        <w:gridCol w:w="9813"/>
      </w:tblGrid>
      <w:tr>
        <w:trPr/>
        <w:tc>
          <w:tcPr>
            <w:tcW w:w="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(hh)</w:t>
            </w:r>
          </w:p>
        </w:tc>
        <w:tc>
          <w:tcPr>
            <w:tcW w:w="9813" w:type="dxa"/>
            <w:tcBorders/>
            <w:vAlign w:val="center"/>
          </w:tcPr>
          <w:p>
            <w:pPr>
              <w:pStyle w:val="TableContents"/>
              <w:bidi w:val="0"/>
              <w:spacing w:before="0" w:after="283"/>
              <w:jc w:val="both"/>
              <w:rPr/>
            </w:pPr>
            <w:r>
              <w:rPr/>
              <w:t>Neither the Company nor any person acting on its behalf (other than the Purchasers, as to which no representation is made) has offered or sold the Securities by means of any general solicitation or general advertising within the meaning of Rule 502(c) under the Act (other than by means of a Permitted General Solicitation, as defined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both"/>
              <w:rPr/>
            </w:pPr>
            <w:r>
              <w:rPr/>
              <w:t>Within the preceding six months, neither the Company nor any other person acting on behalf of the Company has offered or sold to any person any Securities, or any securities of the same or a similar class as the Securities, other than Securities offered or sold to the Purchasers hereunder. The Company will take reasonable precautions designed to insure that any offer or sale, direct or indirect, in the United States or to any U.S. person (as defined in Rule 902 under the Act) of any Securities or any substantially similar security issued by the Company, within six months subsequent to the date on which the distribution of the Securities has been completed (as notified to the Company by the Purchasers), is made under restrictions and other circumstances reasonably designed not to affect the status of the offer and sale of the Securities in the United States and to U.S. persons contemplated by this Agreement as transactions exempt from the registration provisions of the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(jj)</w:t>
            </w:r>
          </w:p>
        </w:tc>
        <w:tc>
          <w:tcPr>
            <w:tcW w:w="9950" w:type="dxa"/>
            <w:tcBorders/>
            <w:vAlign w:val="center"/>
          </w:tcPr>
          <w:p>
            <w:pPr>
              <w:pStyle w:val="TableContents"/>
              <w:bidi w:val="0"/>
              <w:spacing w:before="0" w:after="283"/>
              <w:jc w:val="both"/>
              <w:rPr/>
            </w:pPr>
            <w:r>
              <w:rPr/>
              <w:t>(i)(x) Except as disclosed in the Pricing Disclosure Package and the Offering Memorandum, there has been no security breach or other compromise of or relating to any of the Company’s or its subsidiaries’ information technology and computer systems, networks, hardware, software, data (including the data of their respective customers, employees, suppliers, vendors and any third party data maintained by or on behalf of them), equipment or technology (collectively, “IT Systems and Data”) and (y) the Company and its subsidiaries have not been notified of, and have no knowledge of any event or condition that would reasonably be expected to result in, any security breach or other compromise to their IT Systems and Data; (ii)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clauses (i) and (ii), individually or in the aggregate, have a Material Adverse Effect; (iii)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and the Company and its subsidiaries have implemented backup and disaster recovery technology consistent with industry standards and practices; and (iv) the Company and its subsidiaries’ IT Systems and Data are adequate for, and operate and perform in all material respects as required in connection with the operation of the business of the Company and its subsidiaries as currently conducted, to the Company’s knowledge, free and clear of all material bugs, errors, defects, Trojan horses, time bombs, malware and other corruptants.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89"/>
        <w:gridCol w:w="9774"/>
      </w:tblGrid>
      <w:tr>
        <w:trPr/>
        <w:tc>
          <w:tcPr>
            <w:tcW w:w="4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20"/>
              </w:rPr>
            </w:pPr>
            <w:r>
              <w:rPr>
                <w:sz w:val="20"/>
              </w:rPr>
              <w:t>(kk)</w:t>
            </w:r>
          </w:p>
        </w:tc>
        <w:tc>
          <w:tcPr>
            <w:tcW w:w="9774" w:type="dxa"/>
            <w:tcBorders/>
            <w:vAlign w:val="center"/>
          </w:tcPr>
          <w:p>
            <w:pPr>
              <w:pStyle w:val="TableContents"/>
              <w:bidi w:val="0"/>
              <w:spacing w:before="0" w:after="283"/>
              <w:jc w:val="both"/>
              <w:rPr/>
            </w:pPr>
            <w:r>
              <w:rPr/>
              <w:t>The Company is not an issuer of the type set forth in Rule 144(i)(1)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sz w:val="20"/>
              </w:rPr>
            </w:pPr>
            <w:r>
              <w:rPr>
                <w:sz w:val="20"/>
              </w:rPr>
              <w:t>2.</w:t>
            </w:r>
          </w:p>
        </w:tc>
        <w:tc>
          <w:tcPr>
            <w:tcW w:w="10062" w:type="dxa"/>
            <w:tcBorders/>
            <w:vAlign w:val="center"/>
          </w:tcPr>
          <w:p>
            <w:pPr>
              <w:pStyle w:val="TableContents"/>
              <w:bidi w:val="0"/>
              <w:spacing w:before="0" w:after="283"/>
              <w:jc w:val="both"/>
              <w:rPr/>
            </w:pPr>
            <w:r>
              <w:rPr/>
              <w:t>Subject to the terms and conditions herein set forth, (a) the Company agrees to issue and sell to each of the Purchasers, and each of the Purchasers agrees, severally and not jointly, to purchase from the Company, at a purchase price of 97.25% of the aggregate principal amount thereof, the Firm Securities, and (b) in the event and to the extent that the Purchasers shall exercise the election to purchase Optional Securities as provided below, the Company agrees to issue and sell to each of the Purchasers, and each of the Purchasers agrees, severally and not jointly, to purchase from the Company, at the same purchase price set forth in clause (a) of this Section 2, that portion of the aggregate principal amount of the Optional Securities as to which such election shall have been exercised (to be adjusted by you so as to eliminate Securities in denominations other than in multiples of $1,000), in each case as set forth opposite the name of such Purchaser in Schedule I hereto and any additional principal amount of Securities which such Purchaser may become obligated to purchase pursuant to the provisions of Section 10(b)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sz w:val="4"/>
                <w:szCs w:val="4"/>
              </w:rPr>
            </w:pPr>
            <w:r>
              <w:rPr>
                <w:sz w:val="4"/>
                <w:szCs w:val="4"/>
              </w:rPr>
            </w:r>
          </w:p>
        </w:tc>
        <w:tc>
          <w:tcPr>
            <w:tcW w:w="10167" w:type="dxa"/>
            <w:tcBorders/>
            <w:vAlign w:val="center"/>
          </w:tcPr>
          <w:p>
            <w:pPr>
              <w:pStyle w:val="TableContents"/>
              <w:bidi w:val="0"/>
              <w:spacing w:before="0" w:after="283"/>
              <w:jc w:val="both"/>
              <w:rPr/>
            </w:pPr>
            <w:r>
              <w:rPr/>
              <w:t>The Company hereby grants to the Purchasers the right to purchase at their election up to $50,000,000 in aggregate principal amount of the Optional Securities, at the purchase price set forth in clause (a) of the first paragraph of this Section 2. Any such election to purchase Optional Securities may be exercised only by written notice from the Purchasers to the Company, given within a period of 13 calendar days after the date of this Agreement, setting forth the aggregate principal amount of Optional Securities and the date on which such Optional Securities are to be delivered, as determined by the Purchasers but in no event earlier than the First Time of Delivery (as defined in Section 4 hereof) or, unless the Purchasers and the Company otherwise agree in writing, earlier than two or later than ten business days after the date of such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283"/>
              <w:jc w:val="left"/>
              <w:rPr/>
            </w:pPr>
            <w:r>
              <w:rPr/>
              <w:t>3.</w:t>
            </w:r>
          </w:p>
        </w:tc>
        <w:tc>
          <w:tcPr>
            <w:tcW w:w="10033" w:type="dxa"/>
            <w:tcBorders/>
            <w:vAlign w:val="center"/>
          </w:tcPr>
          <w:p>
            <w:pPr>
              <w:pStyle w:val="TableContents"/>
              <w:bidi w:val="0"/>
              <w:spacing w:before="0" w:after="283"/>
              <w:jc w:val="both"/>
              <w:rPr/>
            </w:pPr>
            <w:r>
              <w:rPr/>
              <w:t>Upon the authorization by you of the release of the Securities, the several Purchasers propose to offer the Securities for sale upon the terms and conditions set forth in this Agreement and the Offering Memorandum and each Purchaser, acting severally and not jointly, hereby represents and warrants to, and agrees with the Company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It will sell the Securities only to persons who it reasonably believes are “qualified institutional buyers” (“QIBs”) within the meaning of Rule 144A under the Act in transactions meeting the requirements of Rule 144A;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40"/>
        <w:gridCol w:w="9821"/>
      </w:tblGrid>
      <w:tr>
        <w:trPr/>
        <w:tc>
          <w:tcPr>
            <w:tcW w:w="4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(b)</w:t>
            </w:r>
          </w:p>
        </w:tc>
        <w:tc>
          <w:tcPr>
            <w:tcW w:w="9821" w:type="dxa"/>
            <w:tcBorders/>
            <w:vAlign w:val="center"/>
          </w:tcPr>
          <w:p>
            <w:pPr>
              <w:pStyle w:val="TableContents"/>
              <w:bidi w:val="0"/>
              <w:spacing w:before="0" w:after="283"/>
              <w:jc w:val="both"/>
              <w:rPr/>
            </w:pPr>
            <w:r>
              <w:rPr/>
              <w:t>It is an Institutional Accredited Investor (within the meaning of Rule 501 under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76"/>
        <w:gridCol w:w="9885"/>
      </w:tblGrid>
      <w:tr>
        <w:trPr/>
        <w:tc>
          <w:tcPr>
            <w:tcW w:w="144" w:type="dxa"/>
            <w:tcBorders/>
            <w:vAlign w:val="center"/>
          </w:tcPr>
          <w:p>
            <w:pPr>
              <w:pStyle w:val="TableContents"/>
              <w:bidi w:val="0"/>
              <w:spacing w:before="0" w:after="283"/>
              <w:jc w:val="left"/>
              <w:rPr>
                <w:sz w:val="20"/>
              </w:rPr>
            </w:pPr>
            <w:r>
              <w:rPr>
                <w:sz w:val="20"/>
              </w:rPr>
              <w:t>4.</w:t>
            </w:r>
          </w:p>
        </w:tc>
        <w:tc>
          <w:tcPr>
            <w:tcW w:w="176" w:type="dxa"/>
            <w:tcBorders/>
            <w:vAlign w:val="center"/>
          </w:tcPr>
          <w:p>
            <w:pPr>
              <w:pStyle w:val="TableContents"/>
              <w:bidi w:val="0"/>
              <w:spacing w:before="0" w:after="283"/>
              <w:jc w:val="both"/>
              <w:rPr>
                <w:sz w:val="20"/>
              </w:rPr>
            </w:pPr>
            <w:r>
              <w:rPr>
                <w:sz w:val="20"/>
              </w:rPr>
              <w:t>(a)</w:t>
            </w:r>
          </w:p>
        </w:tc>
        <w:tc>
          <w:tcPr>
            <w:tcW w:w="9885" w:type="dxa"/>
            <w:tcBorders/>
            <w:vAlign w:val="center"/>
          </w:tcPr>
          <w:p>
            <w:pPr>
              <w:pStyle w:val="TableContents"/>
              <w:bidi w:val="0"/>
              <w:spacing w:before="0" w:after="283"/>
              <w:jc w:val="both"/>
              <w:rPr/>
            </w:pPr>
            <w:r>
              <w:rPr>
                <w:sz w:val="20"/>
              </w:rPr>
              <w:t xml:space="preserve">The Securities to be purchased by each Purchaser hereunder will be represented by one or more definitive global notes in book-entry form which will be deposited by or on behalf of the Company with The Depository Trust Company (“DTC”) or its designated custodian. The Company will deliver the Securities to Goldman Sachs &amp; Co. LLC, for the account of each Purchaser, against payment by or on behalf of such Purchaser of the purchase price therefor by wire transfer in Federal (same day) funds, by causing DTC to credit the Securities to the account of Goldman Sachs &amp; Co. LLC at DTC. The Company will cause the certificates representing the Securities to be made available to Goldman Sachs &amp; Co. LLC for checking at least twenty-four hours prior to each Time of Delivery (as defined below) at the office of Latham &amp; Watkins LLP, </w:t>
            </w:r>
            <w:r>
              <w:rPr/>
              <w:t>1271 Avenue of the Americas, New York, New York 10020 (the “Closing Location”) or such other place as may be agreed by the Company and the Purchasers.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The time and date of such delivery and payment shall be, with respect to the Firm Securities, 9:30 a.m., New York City time, on January 23, 2024 or such other time and date as the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Purchasers and the Company may agree upon in writing, and, with respect to the Optional Securities, 9:30 a.m., New York City time, on the date specified by the Purchasers in the written notice given by the Purchasers of the their election to purchase such Optional Securities, or such other time and date as the Purchasers and the Company may agree upon in writing. Such time and date for delivery of the Firm Securities is herein called the “First Time of Delivery,” such time and date for delivery of the Optional Securities, if not the First Time of Delivery, is herein called the “Second Time of Delivery,” and each such time and date for delivery is herein called a “Time of Delivery.”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both"/>
              <w:rPr/>
            </w:pPr>
            <w:r>
              <w:rPr/>
              <w:t>The documents to be delivered at each Time of Delivery by or on behalf of the parties hereto pursuant to Section 8 hereof, including the cross-receipt for the Securities and any additional documents requested by the Purchasers pursuant to Section 8(i) hereof, will be delivered at such time and date at the Closing Location, and the Securities will be delivered at the office of DTC (or its designated custodian), all at such Time of Delivery. A meeting will be held at the Closing Location at 4:30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215"/>
        <w:gridCol w:w="4775"/>
      </w:tblGrid>
      <w:tr>
        <w:trPr/>
        <w:tc>
          <w:tcPr>
            <w:tcW w:w="215" w:type="dxa"/>
            <w:tcBorders/>
            <w:vAlign w:val="center"/>
          </w:tcPr>
          <w:p>
            <w:pPr>
              <w:pStyle w:val="TableContents"/>
              <w:bidi w:val="0"/>
              <w:spacing w:before="0" w:after="283"/>
              <w:jc w:val="left"/>
              <w:rPr/>
            </w:pPr>
            <w:r>
              <w:rPr/>
              <w:t>5.</w:t>
            </w:r>
          </w:p>
        </w:tc>
        <w:tc>
          <w:tcPr>
            <w:tcW w:w="4775" w:type="dxa"/>
            <w:tcBorders/>
            <w:vAlign w:val="center"/>
          </w:tcPr>
          <w:p>
            <w:pPr>
              <w:pStyle w:val="TableContents"/>
              <w:bidi w:val="0"/>
              <w:spacing w:before="0" w:after="283"/>
              <w:jc w:val="both"/>
              <w:rPr/>
            </w:pPr>
            <w:r>
              <w:rPr/>
              <w:t>The Company agrees with each of the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both"/>
              <w:rPr/>
            </w:pPr>
            <w:r>
              <w:rPr/>
              <w:t>To prepare the Offering Memorandum in a form approved by you; to make no amendment or any supplement to the Offering Memorandum which shall be disapproved by you promptly after reasonable notice thereof; and to furnish you with copies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20"/>
              </w:rPr>
            </w:pPr>
            <w:r>
              <w:rPr>
                <w:sz w:val="20"/>
              </w:rPr>
              <w:t>(b)</w:t>
            </w:r>
          </w:p>
        </w:tc>
        <w:tc>
          <w:tcPr>
            <w:tcW w:w="9976" w:type="dxa"/>
            <w:tcBorders/>
            <w:vAlign w:val="center"/>
          </w:tcPr>
          <w:p>
            <w:pPr>
              <w:pStyle w:val="TableContents"/>
              <w:bidi w:val="0"/>
              <w:spacing w:before="0" w:after="283"/>
              <w:jc w:val="both"/>
              <w:rPr/>
            </w:pPr>
            <w:r>
              <w:rPr>
                <w:sz w:val="20"/>
              </w:rPr>
              <w:t xml:space="preserve">Promptly from time to time to take such action as you may reasonably request to qualify (or to obtain exemptions from qualifying) the Securities </w:t>
            </w:r>
            <w:r>
              <w:rPr/>
              <w:t>and the shares of Stock issuable upon conversion of the Securities for offering and sale under the securities laws of such jurisdictions as you may request and to comply with such laws so as to permit the continuance of sales and dealings therein in such jurisdictions for as long as may be necessary to complete the distribution of the Securities, provided that in connection therewith the Company shall not be required to qualify as a foreign corporation in any jurisdiction where it is not now so qualified, subject itself to taxation in any jurisdiction where it is not presently so subject or to file a general consent to service of process in any jurisdiction where it is not presently so subject;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(c)</w:t>
            </w:r>
          </w:p>
        </w:tc>
        <w:tc>
          <w:tcPr>
            <w:tcW w:w="9963" w:type="dxa"/>
            <w:tcBorders/>
            <w:vAlign w:val="center"/>
          </w:tcPr>
          <w:p>
            <w:pPr>
              <w:pStyle w:val="TableContents"/>
              <w:bidi w:val="0"/>
              <w:spacing w:before="0" w:after="283"/>
              <w:jc w:val="both"/>
              <w:rPr/>
            </w:pPr>
            <w:r>
              <w:rPr/>
              <w:t>To furnish the Purchasers with written and electronic copies of the Preliminary Offering Memorandum, Pricing Memorandum and Offering Memorandum and any amendment or supplement thereto in such quantities as you may from time to time reasonably request, and if, at any time prior to the expiration of nine months after the date of the Offering Memorandum, any event shall have occurred as a result of which the Offering Memorandum as then amended or supplemented would include an untrue statement of a material fact or omit to state any material fact necessary in order to make the statements therein, in the light of the circumstances under which they were made when such Offering Memorandum is delivered, not misleading, or, if for any other reason it shall be necessary or desirable during such same period to amend or supplement the Offering Memorandum, to notify you and upon your request to prepare and furnish without charge to each Purchaser and to any dealer in securities as many written and electronic copies as you may from time to time reasonably request of an amended Offering Memorandum or a supplement to the Offering Memorandum which will correct such statement or omission or effect such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20"/>
              </w:rPr>
            </w:pPr>
            <w:r>
              <w:rPr>
                <w:sz w:val="20"/>
              </w:rPr>
              <w:t>(d)</w:t>
            </w:r>
          </w:p>
        </w:tc>
        <w:tc>
          <w:tcPr>
            <w:tcW w:w="9980" w:type="dxa"/>
            <w:tcBorders/>
            <w:vAlign w:val="center"/>
          </w:tcPr>
          <w:p>
            <w:pPr>
              <w:pStyle w:val="TableContents"/>
              <w:bidi w:val="0"/>
              <w:spacing w:before="0" w:after="283"/>
              <w:jc w:val="both"/>
              <w:rPr/>
            </w:pPr>
            <w:r>
              <w:rPr>
                <w:sz w:val="20"/>
              </w:rPr>
              <w:t xml:space="preserve">During </w:t>
            </w:r>
            <w:r>
              <w:rPr/>
              <w:t>the period beginning from the date hereof and continuing until the date that is 90 days after the First Time of Delivery, not to (i) offer, issue, sell, contract to sell,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Securities or the Stock,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is to be settled by delivery of Stock or such other securities, in cash or otherwise (other than for (i) and (ii) above pursuant to the Company’s equity incentive plan and employee stock purchase plan existing on, or upon the conversion or exchange of convertible or exchangeable securities outstanding as of, the date of this Agreement), without your prior written consent; provided, however, that nothing in this clause (d) will prohibit the issuance of the Securities to be sold hereunder, the conversion of any Security in accordance with its terms and the terms of the Indenture or the issuance of any Warrant Shares;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283"/>
              <w:jc w:val="both"/>
              <w:rPr/>
            </w:pPr>
            <w:r>
              <w:rPr/>
              <w:t>Not to be or become, at any time prior to the expiration of two years after each Time of Delivery, an open-end investment company, unit investment trust, closed-end investment company or face-amount certificate company that is or is required to be registered under Section 8 of the Investment Company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(f)</w:t>
            </w:r>
          </w:p>
        </w:tc>
        <w:tc>
          <w:tcPr>
            <w:tcW w:w="9980" w:type="dxa"/>
            <w:tcBorders/>
            <w:vAlign w:val="center"/>
          </w:tcPr>
          <w:p>
            <w:pPr>
              <w:pStyle w:val="TableContents"/>
              <w:bidi w:val="0"/>
              <w:spacing w:before="0" w:after="283"/>
              <w:jc w:val="both"/>
              <w:rPr/>
            </w:pPr>
            <w:r>
              <w:rPr/>
              <w:t>At any time when the Company is not subject to Section 13 or 15(d) of the Exchange Act, for the benefit of holders from time to time of Securities, to furnish at its expense, upon request, to holders of Securities and prospective purchasers of Securities information (the “Additional Issuer Information”) satisfying the requirements of subsection (d)(4)(i) of Rule 144A under the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(g)</w:t>
            </w:r>
          </w:p>
        </w:tc>
        <w:tc>
          <w:tcPr>
            <w:tcW w:w="9944" w:type="dxa"/>
            <w:tcBorders/>
            <w:vAlign w:val="center"/>
          </w:tcPr>
          <w:p>
            <w:pPr>
              <w:pStyle w:val="TableContents"/>
              <w:bidi w:val="0"/>
              <w:spacing w:before="0" w:after="283"/>
              <w:jc w:val="both"/>
              <w:rPr/>
            </w:pPr>
            <w:r>
              <w:rPr/>
              <w:t>Except for such documents that are publicly available on EDGAR, to furnish to the Purchasers of the Securities, as long as any Securities remain outstanding,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date of the Offering Memorandum), to make available to the Purchasers consolidated summary financial information of the Company and its subsidiaries for such quarter in reasonable detail;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(h)</w:t>
            </w:r>
          </w:p>
        </w:tc>
        <w:tc>
          <w:tcPr>
            <w:tcW w:w="9937" w:type="dxa"/>
            <w:tcBorders/>
            <w:vAlign w:val="center"/>
          </w:tcPr>
          <w:p>
            <w:pPr>
              <w:pStyle w:val="TableContents"/>
              <w:bidi w:val="0"/>
              <w:spacing w:before="0" w:after="283"/>
              <w:jc w:val="both"/>
              <w:rPr/>
            </w:pPr>
            <w:r>
              <w:rPr/>
              <w:t>During the period of one year after each Time of Delivery, the Company will not, and will not permit any of its “affiliates” (as defined in Rule 144 under the Act) to, resell any of the Securities or the Stock issued upon conversion thereof which constitute “restricted securities” under Rule 144 that have been reacquired by any of them (other than pursuant to a registration statement that has been declared effective under the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76" w:type="dxa"/>
            <w:tcBorders/>
            <w:vAlign w:val="center"/>
          </w:tcPr>
          <w:p>
            <w:pPr>
              <w:pStyle w:val="TableContents"/>
              <w:bidi w:val="0"/>
              <w:spacing w:before="0" w:after="283"/>
              <w:jc w:val="both"/>
              <w:rPr/>
            </w:pPr>
            <w:r>
              <w:rPr/>
              <w:t>To use the net proceeds received by the Company from the sale of the Securities pursuant to this Agreement in the manner specified in the Pricing Memorandum under the caption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(j)</w:t>
            </w:r>
          </w:p>
        </w:tc>
        <w:tc>
          <w:tcPr>
            <w:tcW w:w="9980" w:type="dxa"/>
            <w:tcBorders/>
            <w:vAlign w:val="center"/>
          </w:tcPr>
          <w:p>
            <w:pPr>
              <w:pStyle w:val="TableContents"/>
              <w:bidi w:val="0"/>
              <w:spacing w:before="0" w:after="283"/>
              <w:jc w:val="both"/>
              <w:rPr/>
            </w:pPr>
            <w:r>
              <w:rPr/>
              <w:t>To reserve and keep available at all times, free of preemptive rights, the Conversion Shares for the purpose of enabling the Company to satisfy any obligations to issue shares of its Stock upon conversion of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(k)</w:t>
            </w:r>
          </w:p>
        </w:tc>
        <w:tc>
          <w:tcPr>
            <w:tcW w:w="9895" w:type="dxa"/>
            <w:tcBorders/>
            <w:vAlign w:val="center"/>
          </w:tcPr>
          <w:p>
            <w:pPr>
              <w:pStyle w:val="TableContents"/>
              <w:bidi w:val="0"/>
              <w:spacing w:before="0" w:after="283"/>
              <w:jc w:val="both"/>
              <w:rPr/>
            </w:pPr>
            <w:r>
              <w:rPr/>
              <w:t>To use its best efforts to list, subject to notice of issuance, the Conversion Shares on the New York Stock Exchange (the “NYSE”);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20"/>
              </w:rPr>
            </w:pPr>
            <w:r>
              <w:rPr>
                <w:sz w:val="20"/>
              </w:rPr>
              <w:t>(l)</w:t>
            </w:r>
          </w:p>
        </w:tc>
        <w:tc>
          <w:tcPr>
            <w:tcW w:w="10025" w:type="dxa"/>
            <w:tcBorders/>
            <w:vAlign w:val="center"/>
          </w:tcPr>
          <w:p>
            <w:pPr>
              <w:pStyle w:val="TableContents"/>
              <w:bidi w:val="0"/>
              <w:spacing w:before="0" w:after="283"/>
              <w:jc w:val="both"/>
              <w:rPr/>
            </w:pPr>
            <w:r>
              <w:rPr/>
              <w:t>The Company will advise the Purchasers promptly, and confirm such advice in writing, (i) of the issuance by any governmental or regulatory authority of any order preventing or suspending the use of any of the Pricing Disclosure Package, any Permitted General Solicitation Material (as defined below) or the Offering Memorandum or the initiation or threatening of any proceeding for that purpose; (ii) of the occurrence of any event at any time prior to the completion of the initial offering of the Securities as a result of which any of the Pricing Disclosure Package, any Permitted General Solicitation Material or the Offering Memorandum as then amended or supplemented would include any untrue statement of a material fact or omit to state a material fact necessary in order to make the statements therein, in the light of the circumstances existing when such Pricing Disclosure Package, Permitted General Solicitation Material or the Offering Memorandum is delivered to a purchaser, not misleading; and (iii)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preventing or suspending the use of any of the Pricing Disclosure Package, any Permitted General Solicitation Material or the Offering Memorandum or suspending any such qualification of the Securities and, if any such order is issued, will obtain as soon as possible the withdrawal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(m)</w:t>
            </w:r>
          </w:p>
        </w:tc>
        <w:tc>
          <w:tcPr>
            <w:tcW w:w="9882" w:type="dxa"/>
            <w:tcBorders/>
            <w:vAlign w:val="center"/>
          </w:tcPr>
          <w:p>
            <w:pPr>
              <w:pStyle w:val="TableContents"/>
              <w:bidi w:val="0"/>
              <w:spacing w:before="0" w:after="283"/>
              <w:jc w:val="both"/>
              <w:rPr/>
            </w:pPr>
            <w:r>
              <w:rPr/>
              <w:t>None of the Company or any of its affiliates or any other person acting on its or their behalf (other than the Purchasers, as to which no covenant is given) will (i) solicit offers for, or offer or sell, the Securities by means of any form of general solicitation or general advertising within the meaning of Rule 502(c) of Regulation D or in any manner involving a public offering within the meaning of Section 4(a)(2) of the Securities Act or (ii) engage in any directed selling efforts within the meaning of Regulation S, and all such persons will comply with the offering restrictions requirement of Regulation 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(n)</w:t>
            </w:r>
          </w:p>
        </w:tc>
        <w:tc>
          <w:tcPr>
            <w:tcW w:w="9935" w:type="dxa"/>
            <w:tcBorders/>
            <w:vAlign w:val="center"/>
          </w:tcPr>
          <w:p>
            <w:pPr>
              <w:pStyle w:val="TableContents"/>
              <w:bidi w:val="0"/>
              <w:spacing w:before="0" w:after="283"/>
              <w:jc w:val="both"/>
              <w:rPr/>
            </w:pPr>
            <w:r>
              <w:rPr/>
              <w:t>Neither the Company nor any of its affiliates (as defined in Rule 501(b) of Regulation D) will, directly or through any agent, sell, offer for sale, solicit offers to buy or otherwise negotiate in respect of, any security (as defined in the Securities Act), that is or will be integrated with the sale of the Securities in a manner that would require registration of the Securities under the Securities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(o)</w:t>
            </w:r>
          </w:p>
        </w:tc>
        <w:tc>
          <w:tcPr>
            <w:tcW w:w="9914" w:type="dxa"/>
            <w:tcBorders/>
            <w:vAlign w:val="center"/>
          </w:tcPr>
          <w:p>
            <w:pPr>
              <w:pStyle w:val="TableContents"/>
              <w:bidi w:val="0"/>
              <w:spacing w:before="0" w:after="283"/>
              <w:jc w:val="both"/>
              <w:rPr/>
            </w:pPr>
            <w:r>
              <w:rPr/>
              <w:t>The Company will not take, directly or indirectly, any action designed to or that could reasonably be expected to cause or result in any stabilization or manipulation of the price of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253" w:type="dxa"/>
        <w:jc w:val="left"/>
        <w:tblInd w:w="0" w:type="dxa"/>
        <w:tblLayout w:type="fixed"/>
        <w:tblCellMar>
          <w:top w:w="0" w:type="dxa"/>
          <w:left w:w="0" w:type="dxa"/>
          <w:bottom w:w="0" w:type="dxa"/>
          <w:right w:w="0" w:type="dxa"/>
        </w:tblCellMar>
      </w:tblPr>
      <w:tblGrid>
        <w:gridCol w:w="215"/>
        <w:gridCol w:w="38"/>
      </w:tblGrid>
      <w:tr>
        <w:trPr/>
        <w:tc>
          <w:tcPr>
            <w:tcW w:w="215" w:type="dxa"/>
            <w:tcBorders/>
            <w:vAlign w:val="center"/>
          </w:tcPr>
          <w:p>
            <w:pPr>
              <w:pStyle w:val="TableContents"/>
              <w:bidi w:val="0"/>
              <w:spacing w:before="0" w:after="283"/>
              <w:jc w:val="left"/>
              <w:rPr/>
            </w:pPr>
            <w:r>
              <w:rPr/>
              <w:t>6.</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(i)    The Company represents and agrees that, without the prior consent of the Purchasers, it and its affiliates and any other person acting on its or their behalf (other than the Purchasers, as to which no statement is given) (x) have not made and will not make any offer relating to the Securities that, if the offering of the Securities contemplated by this Agreement were conducted as a public offering pursuant to a registration statement filed under the Act with the Commission, would constitute an “issuer free writing prospectus,” as defined in Rule 433 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the Act (any such offer is hereinafter referred to as a “Company Supplemental Disclosure Document”) and (y) have not solicited and will not solicit offers for, and have not offered or sold and will not offer or sell, the Securities by means of any form of general solicitation or general advertising within the meaning of Rule 502(c) of Regulation D other than any such solicitation listed on Schedule II(d) (each such solicitation, a “Permitted General Solicitation”; each written general solicitation document listed on Schedule II(d), a “Permitted General Solicitation Material”);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(ii)   each Purchaser, severally and not jointly, represents and agrees that, without the prior consent of the Company and the Purchasers, other than one or more term sheets relating to the Securities containing customary information and conveyed to purchasers of securities or any Permitted General Solicitation Material, it has not made and will not make any offer relating to the Securities that, if the offering of the Securities contemplated by this Agreement were conducted as a public offering pursuant to a registration statement filed under the Act with the Commission, would constitute a “free writing prospectus,” that would be required to be filed with the Commission and as defined in Rule 405 under the Act (any such offer (other than any such term sheets and any Permitted General Solicitation Material), is hereinafter referred to as a “Purchaser Supplemental Disclosure Document”);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
        <w:gridCol w:w="10145"/>
      </w:tblGrid>
      <w:tr>
        <w:trPr/>
        <w:tc>
          <w:tcPr>
            <w:tcW w:w="3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5" w:type="dxa"/>
            <w:tcBorders/>
            <w:vAlign w:val="center"/>
          </w:tcPr>
          <w:p>
            <w:pPr>
              <w:pStyle w:val="TableContents"/>
              <w:bidi w:val="0"/>
              <w:spacing w:before="0" w:after="283"/>
              <w:jc w:val="both"/>
              <w:rPr/>
            </w:pPr>
            <w:r>
              <w:rPr/>
              <w:t>(iii)   any Company Supplemental Disclosure Document, Purchaser Supplemental Disclosure Document or Permitted General Solicitation Material, the use of which has been consented to by the Company and the Purchasers, is listed as applicable on Schedule II(b), Schedule II(c) or Schedule II(d) hereto,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sz w:val="20"/>
              </w:rPr>
            </w:pPr>
            <w:r>
              <w:rPr>
                <w:sz w:val="20"/>
              </w:rPr>
              <w:t>7.</w:t>
            </w:r>
          </w:p>
        </w:tc>
        <w:tc>
          <w:tcPr>
            <w:tcW w:w="10064" w:type="dxa"/>
            <w:tcBorders/>
            <w:vAlign w:val="center"/>
          </w:tcPr>
          <w:p>
            <w:pPr>
              <w:pStyle w:val="TableContents"/>
              <w:bidi w:val="0"/>
              <w:spacing w:before="0" w:after="283"/>
              <w:jc w:val="both"/>
              <w:rPr/>
            </w:pPr>
            <w:r>
              <w:rPr>
                <w:sz w:val="20"/>
              </w:rPr>
              <w:t xml:space="preserve">The Company covenants and agrees with the several Purchasers that the Company will pay or cause to be paid the following: (i) the fees, disbursements and expenses of the Company’s counsel and accountants in connection with the issue of the Securities </w:t>
            </w:r>
            <w:r>
              <w:rPr/>
              <w:t>and the shares of Stock issuable upon conversion of the Securities and all other expenses in connection with the preparation, printing, reproduction and filing of the Preliminary Offering Memorandum and the Offering Memorandum and any amendments and supplements thereto and the mailing and delivering of copies thereof to the Purchasers and dealers; (ii) the cost of printing or producing any Agreement among Purchasers, this Agreement, the Indenture, the Call Spread Confirmations, the Securities, the Blue Sky Memorandum, closing documents (including any compilations thereof), Permitted General Solicitation Materials and any other documents in connection with the offering, purchase, sale and delivery of the Securities; (iii) all reasonable and documented expenses in connection with the qualification of the Securities and the shares of Stock issuable upon conversion of the Securities for offering and sale under state securities laws as provided in Section 5(b) hereof, including the reasonable and documented fees and disbursements of counsel for the Purchasers in connection with such qualification and in connection with the Blue Sky and legal investment surveys; (iv) any fees charged by securities rating services for rating the Securities; (v) the cost of preparing the Securities; (vi) the fees and expenses of the Trustee and any agent of the Trustee and the fees and disbursements of counsel for the Trustee in connection with the Indenture and the Securities; (vii) all costs and expenses incurred in connection with any “road show” presentation to potential purchasers of the Securities; (viii) any cost incurred in connection with the issuance, delivery and listing of the shares of Stock issuable upon conversion of the Securities and the Warrant Shares; and (ix) all other costs and expenses incident to the performance of its obligations hereunder which are not otherwise specifically provided for in this Section. It is understood, however, that, except as provided in this Section, and Sections 9 and 12 hereof, the Purchasers will pay all of their own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sz w:val="4"/>
                <w:szCs w:val="4"/>
              </w:rPr>
            </w:pPr>
            <w:r>
              <w:rPr>
                <w:sz w:val="4"/>
                <w:szCs w:val="4"/>
              </w:rPr>
            </w:r>
          </w:p>
        </w:tc>
        <w:tc>
          <w:tcPr>
            <w:tcW w:w="10167" w:type="dxa"/>
            <w:tcBorders/>
            <w:vAlign w:val="center"/>
          </w:tcPr>
          <w:p>
            <w:pPr>
              <w:pStyle w:val="TableContents"/>
              <w:bidi w:val="0"/>
              <w:spacing w:before="0" w:after="283"/>
              <w:jc w:val="both"/>
              <w:rPr/>
            </w:pPr>
            <w:r>
              <w:rPr/>
              <w:t>and expenses, including the fees of their counsel, transfer taxes on resale of any of the Securities by them, and any advertising expenses connected with any offers they may make.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pPr>
            <w:r>
              <w:rPr/>
              <w:t>8.</w:t>
            </w:r>
          </w:p>
        </w:tc>
        <w:tc>
          <w:tcPr>
            <w:tcW w:w="10038" w:type="dxa"/>
            <w:tcBorders/>
            <w:vAlign w:val="center"/>
          </w:tcPr>
          <w:p>
            <w:pPr>
              <w:pStyle w:val="TableContents"/>
              <w:bidi w:val="0"/>
              <w:spacing w:before="0" w:after="283"/>
              <w:jc w:val="both"/>
              <w:rPr/>
            </w:pPr>
            <w:r>
              <w:rPr/>
              <w:t>The obligations of the Purchasers hereunder, as to the Securities to be delivered at each Time of Delivery, shall be subject, in their discretion, to the condition that all representations and warranties and other statements of the Company herein are, at and as of such Time of Delivery, true and correct, the condition that the Company shall have performed all of its obligations hereunder theretofore to be performed, and the following additional conditions: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Latham &amp; Watkins LLP, counsel for the Purchasers, shall have furnished to you their opinion and negative assurance letter, in each case, dated such Time of Delivery, with respect to matters as you may reasonably request, and such counsel shall have received such papers and information as they may reasonably request to enable them to pass upon such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Faegre Drinker Biddle &amp; Reath LLP, counsel for the Company, shall have furnished to you their written opinion and negative assurance letter, in each case, dated such Time of Delivery, in form and substance reasonably satisfactory to you.</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both"/>
              <w:rPr/>
            </w:pPr>
            <w:r>
              <w:rPr/>
              <w:t>On the date of the Offering Memorandum concurrently with the execution of this Agreement and also at each Time of Delivery, Deloitte &amp; Touche LLP shall have furnished to you a letter or letters, dated the respective dates of delivery thereof, in form and substance satisfactory to you.</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both"/>
              <w:rPr/>
            </w:pPr>
            <w:r>
              <w:rPr/>
              <w:t>(i) Neither the Company nor any of its subsidiaries shall have sustained since the date of the latest audited financial statements included in the Pricing Memorandum any loss or interference with its business from fire, explosion, flood or other calamity, whether or not covered by insurance, or from any labor dispute or court or governmental action, order or decree, otherwise than as set forth or contemplated in the Pricing Memorandum, and (ii) since the respective dates as of which information is given in the Pricing Memorandum, at each Time of Delivery, there shall not have been any change in the capital stock or long-term debt of the Company or any of its subsidiaries or any change, or any development involving a prospective change, in or affecting the general affairs, management, financial position, stockholders’ equity or results of operations of the Company and its subsidiaries, otherwise than as set forth or contemplated in the Pricing Memorandum, the effect of which, in any such case described in clause (i) or (ii), is in your judgment so material and adverse as to make it impracticable or inadvisable to proceed with the offering or the delivery of the Securities on the terms and in the manner contemplated in this Agreement and in each of the Pricing Disclosure Package and the Offering Memorandum.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(e)</w:t>
            </w:r>
          </w:p>
        </w:tc>
        <w:tc>
          <w:tcPr>
            <w:tcW w:w="9951" w:type="dxa"/>
            <w:tcBorders/>
            <w:vAlign w:val="center"/>
          </w:tcPr>
          <w:p>
            <w:pPr>
              <w:pStyle w:val="TableContents"/>
              <w:bidi w:val="0"/>
              <w:spacing w:before="0" w:after="283"/>
              <w:jc w:val="both"/>
              <w:rPr/>
            </w:pPr>
            <w:r>
              <w:rPr/>
              <w:t>On or after the Applicable Time (i) no downgrading shall have occurred in the rating accorded the Company’s debt securities by any “nationally recognized statistical rating organization,” as that term is defined in Section 3(a)62 of the Exchange Act, and (ii) no such organization shall have publicly announced that it has under surveillance or review, with possible negative implications, its rating of any of the Company’s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(f)</w:t>
            </w:r>
          </w:p>
        </w:tc>
        <w:tc>
          <w:tcPr>
            <w:tcW w:w="9986" w:type="dxa"/>
            <w:tcBorders/>
            <w:vAlign w:val="center"/>
          </w:tcPr>
          <w:p>
            <w:pPr>
              <w:pStyle w:val="TableContents"/>
              <w:bidi w:val="0"/>
              <w:spacing w:before="0" w:after="283"/>
              <w:jc w:val="both"/>
              <w:rPr/>
            </w:pPr>
            <w:r>
              <w:rPr/>
              <w:t>On or after the Applicable Time there shall not have occurred any of the following: (i) a suspension or material limitation in trading in securities generally on the NYSE or the Nasdaq Global Select Market; (ii) a suspension or material limitation in trading in the Company’s securities on the NYSE;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offering or the delivery of the Securities on the terms and in the manner contemplated in the Pricing Disclosure Package and the Offering Memorandum.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20"/>
              </w:rPr>
            </w:pPr>
            <w:r>
              <w:rPr>
                <w:sz w:val="20"/>
              </w:rPr>
              <w:t>(g)</w:t>
            </w:r>
          </w:p>
        </w:tc>
        <w:tc>
          <w:tcPr>
            <w:tcW w:w="9956" w:type="dxa"/>
            <w:tcBorders/>
            <w:vAlign w:val="center"/>
          </w:tcPr>
          <w:p>
            <w:pPr>
              <w:pStyle w:val="TableContents"/>
              <w:bidi w:val="0"/>
              <w:spacing w:before="0" w:after="283"/>
              <w:jc w:val="both"/>
              <w:rPr/>
            </w:pPr>
            <w:r>
              <w:rPr/>
              <w:t>The Company shall have executed and delivered the Indenture and the Securities, in each case, in form and substance reasonably satisfactory to the Purchasers, and the Purchasers shall have received executed copies thereof.</w:t>
            </w:r>
          </w:p>
        </w:tc>
      </w:tr>
    </w:tbl>
    <w:p>
      <w:pPr>
        <w:pStyle w:val="TextBody"/>
        <w:bidi w:val="0"/>
        <w:spacing w:before="0" w:after="0"/>
        <w:ind w:left="0" w:right="0" w:hanging="0"/>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245"/>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(h)</w:t>
            </w:r>
          </w:p>
        </w:tc>
        <w:tc>
          <w:tcPr>
            <w:tcW w:w="8450" w:type="dxa"/>
            <w:tcBorders/>
            <w:vAlign w:val="center"/>
          </w:tcPr>
          <w:p>
            <w:pPr>
              <w:pStyle w:val="TableContents"/>
              <w:bidi w:val="0"/>
              <w:spacing w:before="0" w:after="283"/>
              <w:jc w:val="both"/>
              <w:rPr/>
            </w:pPr>
            <w:r>
              <w:rPr/>
              <w:t>The Securities shall be eligible for clearance and settlement through the facilities of DTC.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20"/>
              </w:rPr>
            </w:pPr>
            <w:r>
              <w:rPr>
                <w:sz w:val="20"/>
              </w:rPr>
              <w:t>(i)</w:t>
            </w:r>
          </w:p>
        </w:tc>
        <w:tc>
          <w:tcPr>
            <w:tcW w:w="10017" w:type="dxa"/>
            <w:tcBorders/>
            <w:vAlign w:val="center"/>
          </w:tcPr>
          <w:p>
            <w:pPr>
              <w:pStyle w:val="TableContents"/>
              <w:bidi w:val="0"/>
              <w:spacing w:before="0" w:after="283"/>
              <w:jc w:val="both"/>
              <w:rPr/>
            </w:pPr>
            <w:r>
              <w:rPr/>
              <w:t>The Company shall have furnished or caused to be furnished to you at each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 (e) of this Section and as to such other matters as you may reasonably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(j)</w:t>
            </w:r>
          </w:p>
        </w:tc>
        <w:tc>
          <w:tcPr>
            <w:tcW w:w="9978" w:type="dxa"/>
            <w:tcBorders/>
            <w:vAlign w:val="center"/>
          </w:tcPr>
          <w:p>
            <w:pPr>
              <w:pStyle w:val="TableContents"/>
              <w:bidi w:val="0"/>
              <w:spacing w:before="0" w:after="283"/>
              <w:jc w:val="both"/>
              <w:rPr/>
            </w:pPr>
            <w:r>
              <w:rPr/>
              <w:t>The Company shall have obtained and delivered to the Purchasers executed copies of a lock-up agreement from each of the parties named in Schedule IV hereto substantially in the form set forth in Annex I 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(k)</w:t>
            </w:r>
          </w:p>
        </w:tc>
        <w:tc>
          <w:tcPr>
            <w:tcW w:w="9905" w:type="dxa"/>
            <w:tcBorders/>
            <w:vAlign w:val="center"/>
          </w:tcPr>
          <w:p>
            <w:pPr>
              <w:pStyle w:val="TableContents"/>
              <w:bidi w:val="0"/>
              <w:spacing w:before="0" w:after="283"/>
              <w:jc w:val="both"/>
              <w:rPr/>
            </w:pPr>
            <w:r>
              <w:rPr/>
              <w:t>No event has occurred that would, if the Securities were outstanding, require an adjustment to the conversion rate for the Securities pursuant to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20"/>
              </w:rPr>
            </w:pPr>
            <w:r>
              <w:rPr>
                <w:sz w:val="20"/>
              </w:rPr>
              <w:t>(l)</w:t>
            </w:r>
          </w:p>
        </w:tc>
        <w:tc>
          <w:tcPr>
            <w:tcW w:w="10009" w:type="dxa"/>
            <w:tcBorders/>
            <w:vAlign w:val="center"/>
          </w:tcPr>
          <w:p>
            <w:pPr>
              <w:pStyle w:val="TableContents"/>
              <w:bidi w:val="0"/>
              <w:spacing w:before="0" w:after="283"/>
              <w:jc w:val="both"/>
              <w:rPr/>
            </w:pPr>
            <w:r>
              <w:rPr>
                <w:sz w:val="20"/>
              </w:rPr>
              <w:t xml:space="preserve">At the time of the execution of this Agreement, and each Time of Delivery, the Purchasers shall have received a certificate of the chief financial officer of the Company, dated the date of delivery thereof, satisfactory to the Purchasers, as to certain financial information contained in the </w:t>
            </w:r>
            <w:r>
              <w:rPr/>
              <w:t>Pricing Disclosure Package and the Offering Memorandum.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73"/>
        <w:gridCol w:w="9890"/>
      </w:tblGrid>
      <w:tr>
        <w:trPr/>
        <w:tc>
          <w:tcPr>
            <w:tcW w:w="142" w:type="dxa"/>
            <w:tcBorders/>
            <w:vAlign w:val="center"/>
          </w:tcPr>
          <w:p>
            <w:pPr>
              <w:pStyle w:val="TableContents"/>
              <w:bidi w:val="0"/>
              <w:spacing w:before="0" w:after="283"/>
              <w:jc w:val="left"/>
              <w:rPr>
                <w:sz w:val="20"/>
              </w:rPr>
            </w:pPr>
            <w:r>
              <w:rPr>
                <w:sz w:val="20"/>
              </w:rPr>
              <w:t>9.</w:t>
            </w:r>
          </w:p>
        </w:tc>
        <w:tc>
          <w:tcPr>
            <w:tcW w:w="173" w:type="dxa"/>
            <w:tcBorders/>
            <w:vAlign w:val="center"/>
          </w:tcPr>
          <w:p>
            <w:pPr>
              <w:pStyle w:val="TableContents"/>
              <w:bidi w:val="0"/>
              <w:spacing w:before="0" w:after="283"/>
              <w:jc w:val="both"/>
              <w:rPr>
                <w:sz w:val="20"/>
              </w:rPr>
            </w:pPr>
            <w:r>
              <w:rPr>
                <w:sz w:val="20"/>
              </w:rPr>
              <w:t>(a)</w:t>
            </w:r>
          </w:p>
        </w:tc>
        <w:tc>
          <w:tcPr>
            <w:tcW w:w="9890" w:type="dxa"/>
            <w:tcBorders/>
            <w:vAlign w:val="center"/>
          </w:tcPr>
          <w:p>
            <w:pPr>
              <w:pStyle w:val="TableContents"/>
              <w:bidi w:val="0"/>
              <w:spacing w:before="0" w:after="283"/>
              <w:jc w:val="both"/>
              <w:rPr/>
            </w:pPr>
            <w:r>
              <w:rPr>
                <w:sz w:val="20"/>
              </w:rPr>
              <w:t xml:space="preserve">The Company will indemnify and hold harmless each Purchaser against any losses, claims, damages or liabilities, joint or several, to which such Purchaser may become subject, under the Act or otherwise, insofar as such losses, claims, damages or liabilities (or actions in respect thereof) arise out of or are based upon an untrue statement or alleged untrue statement of a material fact contained in any Preliminary Offering Memorandum, the Pricing Disclosure Package, the Pricing Disclosure Package, the Offering Memorandum, or any amendment or supplement thereto, any Company Supplemental Disclosure Document, any Permitted General Solicitation Material or arise out of or are based upon the omission or alleged omission to state therein a material fact necessary to make the statements therein, in the light of the circumstances under which they were made, not misleading, and will reimburse each Purchaser for any legal or other expenses reasonably incurred by such Purchaser in connection with investigating or defending any such action or claim as such expenses are incurred; </w:t>
            </w:r>
            <w:r>
              <w:rPr>
                <w:i/>
                <w:sz w:val="20"/>
              </w:rPr>
              <w:t>provided</w:t>
            </w:r>
            <w:r>
              <w:rPr>
                <w:sz w:val="20"/>
              </w:rPr>
              <w:t xml:space="preserve">, </w:t>
            </w:r>
            <w:r>
              <w:rPr>
                <w:i/>
                <w:sz w:val="20"/>
              </w:rPr>
              <w:t>however</w:t>
            </w:r>
            <w:r>
              <w:rPr>
                <w:sz w:val="20"/>
              </w:rPr>
              <w:t>, that the Company shall not be liable in any such case to the extent that</w:t>
            </w:r>
            <w:r>
              <w:rPr/>
              <w:t xml:space="preserve"> any such loss, claim, damage or liability arises out of or is based upon an untrue statement or alleged untrue statement or omission or alleged omission made in any Preliminary Offering Memorandum, the Pricing Memorandum, the Pricing Disclosure Package, the Offering Memorandum or any such amendment or supplement thereto, any Company Supplemental Disclosure Document or any Permitted General Solicitation Material, in reliance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upon and in conformity with written information furnished to the Company by the Purchasers expressly for use therein.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20"/>
              </w:rPr>
            </w:pPr>
            <w:r>
              <w:rPr>
                <w:sz w:val="20"/>
              </w:rPr>
              <w:t>(b)</w:t>
            </w:r>
          </w:p>
        </w:tc>
        <w:tc>
          <w:tcPr>
            <w:tcW w:w="9981" w:type="dxa"/>
            <w:tcBorders/>
            <w:vAlign w:val="center"/>
          </w:tcPr>
          <w:p>
            <w:pPr>
              <w:pStyle w:val="TableContents"/>
              <w:bidi w:val="0"/>
              <w:spacing w:before="0" w:after="283"/>
              <w:jc w:val="both"/>
              <w:rPr/>
            </w:pPr>
            <w:r>
              <w:rPr>
                <w:sz w:val="20"/>
              </w:rPr>
              <w:t xml:space="preserve">Each Purchaser,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Offering Memorandum, the Pricing Memorandum, the Pricing Disclosure Package, the Offering Memorandum, or any amendment or supplement thereto, any Company Supplemental Disclosure Document, any Permitted General Solicitation Material or arise out of or are based upon the omission or alleged omission to state therein a material fact or necessary to make the statements therein, </w:t>
            </w:r>
            <w:r>
              <w:rPr/>
              <w:t>in the light of the circumstances under which they were made, not misleading, in each case to the extent, but only to the extent, that such untrue statement or alleged untrue statement or omission or alleged omission was made in any Preliminary Offering Memorandum, the Pricing Memorandum, the Pricing Disclosure Package, the Offering Memorandum or any such amendment or supplement thereto, any Company Supplemental Disclosure Document or any Permitted General Solicitation Material, in reliance upon and in conformity with written information furnished to the Company by such Purchaser expressly for use therein; and each Purchaser will reimburse the Company for any legal or other expenses reasonably incurred by the Company in connection with investigating or defending any such action or claim as such expenses are incurred, it being understood and agreed that the only such information furnished by any Purchaser consists of the following information in the Preliminary Offering Memorandum and Offering Memorandum furnished on behalf of each Purchaser: the seventh paragraph of the Preliminary Offering Memorandum and Offering Memorandum in the section titled “Plan of Distribution.”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(c)</w:t>
            </w:r>
          </w:p>
        </w:tc>
        <w:tc>
          <w:tcPr>
            <w:tcW w:w="9965" w:type="dxa"/>
            <w:tcBorders/>
            <w:vAlign w:val="center"/>
          </w:tcPr>
          <w:p>
            <w:pPr>
              <w:pStyle w:val="TableContents"/>
              <w:bidi w:val="0"/>
              <w:spacing w:before="0" w:after="283"/>
              <w:jc w:val="both"/>
              <w:rPr/>
            </w:pPr>
            <w:r>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unless and to the extent it did not learn of such action and such failure results in the forfeiture by the indemnifying party of substantial rights and defenses.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(including local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(including local counsel) or any other expenses, in each case subsequently incurred by such indemnified party, in connection with the defense thereof other than reasonable costs of investigation. Any indemnified party shall have the right to retain its own counsel, but the fees and expenses of such counsel shall be at the expense of such indemnified party unless (i) the indemnifying party and the indemnified party shall have mutually agreed to the contrary; (ii) the indemnifying party has failed within a reasonable time to retain counsel reasonably satisfactory to the indemnified party; (iii) the indemnified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shall have reasonably concluded that there may be legal defenses available to it that are different from or in addition to those available to the indemnifying party; or (iv) the named parties in any such proceeding (including any impleaded parties) include both the indemnifying party and the indemnified party and representation of both parties by the same counsel would be inappropriate due to actual or potential differing interests between them. It is understood and agreed that the indemnifying party shall not, in connection with any proceeding or related proceeding in the same jurisdiction, be liable for the fees and expenses of more than one separate firm (in addition to any local counsel) for all indemnified parties, and that all such fees and expenses shall be paid or reimbursed as they are incurred. Any such separate firm for any Purchaser, its affiliates, directors and officers and any control persons of such Purchaser shall be designated in writing by Goldman Sachs &amp; Co. LLC and any such separate firm for the Company, its respective directors and officers and any control persons of the Company shall be designated in writing by the Company.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(d)</w:t>
            </w:r>
          </w:p>
        </w:tc>
        <w:tc>
          <w:tcPr>
            <w:tcW w:w="9951" w:type="dxa"/>
            <w:tcBorders/>
            <w:vAlign w:val="center"/>
          </w:tcPr>
          <w:p>
            <w:pPr>
              <w:pStyle w:val="TableContents"/>
              <w:bidi w:val="0"/>
              <w:spacing w:before="0" w:after="283"/>
              <w:jc w:val="both"/>
              <w:rPr/>
            </w:pPr>
            <w:r>
              <w:rPr/>
              <w:t>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Purchasers on the other from the offering of the Securities.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Purchasers on the other in connection with the statements or omissions which resulted in such losses, claims, damages or liabilities (or actions in respect thereof), as well as any other relevant equitable considerations. The relative benefits received by the Company on the one hand and the Purchasers on the other shall be deemed to be in the same proportion as the total net proceeds from the offering (before deducting expenses) received by the Company bear to the total discounts and commissions received by the Purchasers, in each case as set forth in the Offering Memorandum. The relative fault shall be determined by reference to, among other things, whether the untrue or alleged untrue statement of a material fact or the omission or alleged omission to state a material fact relates to information supplied by the Company on the one hand or the Purchasers on the other and the parties’ relative intent, knowledge, access to information and opportunity to correct or prevent such statement or omission. The Company and the Purchasers agree that it would not be just and equitable if contribution pursuant to this subsection (d) were determined by pro rata allocation (even if the Purchasers were treated as one entity for such purpose) or by any other method of allocation which does not take account of the equitable considerations referred to above in this subsection (d). The amount paid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Purchaser shall be required to contribute any amount in excess of the amount by which the total price at which the Securities purchased by it and distributed to investors were offered to investors exceeds the amount of any damages which such Purchaser has otherwise been required to pay by reason of such untrue or alleged untrue statement or omission or alleged omission. The Purchasers’ obligations in this subsection (d) to contribute are several in proportion to their respective purchase obligations and not joint. No person guilty of fraudulent misrepresentation (within the meaning of Section 11(f) of the Securities Act) shall be entitled to contribution from any person who was not guilty of such fraudulent misrepresentation.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(e)</w:t>
            </w:r>
          </w:p>
        </w:tc>
        <w:tc>
          <w:tcPr>
            <w:tcW w:w="9958" w:type="dxa"/>
            <w:tcBorders/>
            <w:vAlign w:val="center"/>
          </w:tcPr>
          <w:p>
            <w:pPr>
              <w:pStyle w:val="TableContents"/>
              <w:bidi w:val="0"/>
              <w:spacing w:before="0" w:after="283"/>
              <w:jc w:val="both"/>
              <w:rPr/>
            </w:pPr>
            <w:r>
              <w:rPr/>
              <w:t>The obligations of the Company under this Section 9 shall be in addition to any liability which the Company may otherwise have and shall extend, upon the same terms and conditions, to each employee, officer and director each Purchaser, any affiliate of each Purchaser and each person, if any, who controls any Purchaser within the meaning of the Act; and the obligations of the Purchasers under this Section 9 shall be in addition to any liability which the respective Purchasers may otherwise have and shall extend, upon the same terms and conditions, to each officer and director of the Company and to each person, if any, who controls the Company within the meaning of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204"/>
        <w:gridCol w:w="9723"/>
      </w:tblGrid>
      <w:tr>
        <w:trPr/>
        <w:tc>
          <w:tcPr>
            <w:tcW w:w="278" w:type="dxa"/>
            <w:tcBorders/>
            <w:vAlign w:val="center"/>
          </w:tcPr>
          <w:p>
            <w:pPr>
              <w:pStyle w:val="TableContents"/>
              <w:bidi w:val="0"/>
              <w:spacing w:before="0" w:after="283"/>
              <w:jc w:val="left"/>
              <w:rPr/>
            </w:pPr>
            <w:r>
              <w:rPr/>
              <w:t>10.</w:t>
            </w:r>
          </w:p>
        </w:tc>
        <w:tc>
          <w:tcPr>
            <w:tcW w:w="204" w:type="dxa"/>
            <w:tcBorders/>
            <w:vAlign w:val="center"/>
          </w:tcPr>
          <w:p>
            <w:pPr>
              <w:pStyle w:val="TableContents"/>
              <w:bidi w:val="0"/>
              <w:spacing w:before="0" w:after="283"/>
              <w:jc w:val="both"/>
              <w:rPr/>
            </w:pPr>
            <w:r>
              <w:rPr/>
              <w:t>(a)</w:t>
            </w:r>
          </w:p>
        </w:tc>
        <w:tc>
          <w:tcPr>
            <w:tcW w:w="9723" w:type="dxa"/>
            <w:tcBorders/>
            <w:vAlign w:val="center"/>
          </w:tcPr>
          <w:p>
            <w:pPr>
              <w:pStyle w:val="TableContents"/>
              <w:bidi w:val="0"/>
              <w:spacing w:before="0" w:after="283"/>
              <w:jc w:val="both"/>
              <w:rPr/>
            </w:pPr>
            <w:r>
              <w:rPr/>
              <w:t>If any Purchaser shall default in its obligation to purchase the Securities which it has agreed to purchase hereunder at a Time of Delivery, you may in your discretion arrange for you or another party or other parties to purchase such Securities on the terms contained herein. If within thirty-six hours after such default by any Purchaser you do not arrange for the purchase of such Securities, then the Company shall be entitled to a further period of thirty-six hours within which to procure another party or other parties satisfactory to you to purchase such Securities on such terms. In the event that, within the respective prescribed periods, you notify the Company that you have so arranged for the purchase of such Securities, or the Company notifies you that it has so arranged for the purchase of such Securities, you or the Company shall have the right to postpone such Time of Delivery for a period of not more than seven days, in order to effect whatever changes may thereby be made necessary in the Offering Memorandum, or in any other documents or arrangements, and the Company agrees to prepare promptly any amendments or supplements to the Offering Memorandum which in your opinion may thereby be made necessary. The term “Purchaser” as used in this Agreement shall include any person substituted under this Section with like effect as if such person had originally been a party to this Agreement with respect to such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283"/>
              <w:jc w:val="both"/>
              <w:rPr/>
            </w:pPr>
            <w:r>
              <w:rPr/>
              <w:t>If, after giving effect to any arrangements for the purchase of the Securities of a defaulting Purchaser or Purchasers by you and the Company as provided in subsection (a) above, the aggregate principal amount of such Securities which remains unpurchased does not exceed one-eleventh of the aggregate principal amount of all the Securities to be purchased at such Time of Delivery, then the Company shall have the right to require each non-defaulting Purchaser to purchase the principal amount of Securities which such Purchaser agreed to purchase hereunder at such Time of Delivery and, in addition, to require each non-defaulting Purchaser to purchase its pro rata share (based on the principal amount of Securities which such Purchaser agreed to purchase hereunder) of the Securities of such defaulting Purchaser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44" w:type="dxa"/>
            <w:tcBorders/>
            <w:vAlign w:val="center"/>
          </w:tcPr>
          <w:p>
            <w:pPr>
              <w:pStyle w:val="TableContents"/>
              <w:bidi w:val="0"/>
              <w:spacing w:before="0" w:after="283"/>
              <w:jc w:val="both"/>
              <w:rPr/>
            </w:pPr>
            <w:r>
              <w:rPr/>
              <w:t>or Purchasers for which such arrangements have not been made; but nothing herein shall relieve a defaulting Purchaser from liability for its default.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t>If, after giving effect to any arrangements for the purchase of the Securities of a defaulting Purchaser or Purchasers by you and the Company as provided in subsection (a) above, the aggregate principal amount of Securities which remains unpurchased exceeds one-eleventh of the aggregate principal amount of all the Securities to be purchased at such Time of Delivery, or if the Company shall not exercise the right described in subsection (b) above to require non-defaulting Purchasers to purchase Securities of a defaulting Purchaser or Purchasers, then this Agreement (or, with respect to the Second Time of Delivery, the obligations of the Purchasers to purchase and the Company to sell the Optional Securities) shall thereupon terminate, without liability on the part of any non-defaulting Purchaser or the Company, except for the expenses to be borne by the Company and the Purchasers as provided in Section 6 hereof and the indemnity and contribution agreements in Section 9 hereof; but nothing herein shall relieve a defaulting Purchaser from liability for its default.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11.</w:t>
            </w:r>
          </w:p>
        </w:tc>
        <w:tc>
          <w:tcPr>
            <w:tcW w:w="9921" w:type="dxa"/>
            <w:tcBorders/>
            <w:vAlign w:val="center"/>
          </w:tcPr>
          <w:p>
            <w:pPr>
              <w:pStyle w:val="TableContents"/>
              <w:bidi w:val="0"/>
              <w:spacing w:before="0" w:after="283"/>
              <w:jc w:val="both"/>
              <w:rPr/>
            </w:pPr>
            <w:r>
              <w:rPr/>
              <w:t>The respective indemnities, agreements, representations, warranties and other statements of the Company and the several Purchasers, as set forth in this Agreement or made by or on behalf of them, respectively, pursuant to this Agreement, shall remain in full force and effect, regardless of any investigation (or any statement as to the results thereof) made by or on behalf of any Purchaser or any controlling person of any Purchaser, or the Company or any officer or director or controlling person of the Company, and shall survive delivery of and payment for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12.</w:t>
            </w:r>
          </w:p>
        </w:tc>
        <w:tc>
          <w:tcPr>
            <w:tcW w:w="9922" w:type="dxa"/>
            <w:tcBorders/>
            <w:vAlign w:val="center"/>
          </w:tcPr>
          <w:p>
            <w:pPr>
              <w:pStyle w:val="TableContents"/>
              <w:bidi w:val="0"/>
              <w:spacing w:before="0" w:after="283"/>
              <w:jc w:val="both"/>
              <w:rPr/>
            </w:pPr>
            <w:r>
              <w:rPr/>
              <w:t>If this Agreement shall be terminated pursuant to Section 10 hereof, the Company shall not then be under any liability to any Purchaser except as provided in Sections 7 and 9 hereof; but, if for any other reason, the Securities are not delivered by or on behalf of the Company as provided herein, the Company will reimburse the Purchasers for all expenses approved in writing by you, including fees and disbursements of counsel, reasonably incurred and documented by the Purchasers in making preparations for the purchase, sale and delivery of the Securities, but the Company shall then be under no further liability to any Purchaser except as provided in Sections 7 and 9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sz w:val="20"/>
              </w:rPr>
            </w:pPr>
            <w:r>
              <w:rPr>
                <w:sz w:val="20"/>
              </w:rPr>
              <w:t>13.</w:t>
            </w:r>
          </w:p>
        </w:tc>
        <w:tc>
          <w:tcPr>
            <w:tcW w:w="9957" w:type="dxa"/>
            <w:tcBorders/>
            <w:vAlign w:val="center"/>
          </w:tcPr>
          <w:p>
            <w:pPr>
              <w:pStyle w:val="TableContents"/>
              <w:bidi w:val="0"/>
              <w:spacing w:before="0" w:after="283"/>
              <w:jc w:val="both"/>
              <w:rPr/>
            </w:pPr>
            <w:r>
              <w:rPr>
                <w:sz w:val="20"/>
              </w:rPr>
              <w:t>All statements, requests, notices and agreements hereunder shall be in writing, and if to the Purchasers shall be delivered or sent by mail to you at Goldman Sachs &amp; Co. LLC, 200 West Street,</w:t>
            </w:r>
            <w:r>
              <w:rPr/>
              <w:t xml:space="preserve"> New York, New York 10282-2198, Attention: Registration Department and BMO Capital Markets Corp., 151 West 42</w:t>
            </w:r>
            <w:r>
              <w:rPr>
                <w:position w:val="8"/>
                <w:sz w:val="19"/>
              </w:rPr>
              <w:t>nd</w:t>
            </w:r>
            <w:r>
              <w:rPr/>
              <w:t xml:space="preserve"> Street, 32</w:t>
            </w:r>
            <w:r>
              <w:rPr>
                <w:position w:val="8"/>
                <w:sz w:val="19"/>
              </w:rPr>
              <w:t>nd</w:t>
            </w:r>
            <w:r>
              <w:rPr/>
              <w:t xml:space="preserve"> Floor, New York, New York 10036, Attention: Equity Capital Markets with a copy to the Legal Department, with a copy to Latham &amp; Watkins LLP, 1271 Avenue of the Americas, New York, New York 10020, Attention: Gregory Rodgers; and if to the Company shall be delivered or sent by mail or facsimile transmission to the address of the Company set forth in the Offering Memorandum, Attention: Secretary; </w:t>
            </w:r>
            <w:r>
              <w:rPr>
                <w:i/>
              </w:rPr>
              <w:t>provided</w:t>
            </w:r>
            <w:r>
              <w:rPr/>
              <w:t xml:space="preserve">, </w:t>
            </w:r>
            <w:r>
              <w:rPr>
                <w:i/>
              </w:rPr>
              <w:t>however</w:t>
            </w:r>
            <w:r>
              <w:rPr/>
              <w:t>, that any notice to a Purchaser pursuant to Section 9 hereof shall be delivered or sent by mail or facsimile transmission to such Purchaser at its address set forth in its Purchasers’ Questionnaire, which address will be supplied to the Company by you upon request. Any such statements, requests, notices or agreements shall take effect upon receipt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sz w:val="4"/>
                <w:szCs w:val="4"/>
              </w:rPr>
            </w:pPr>
            <w:r>
              <w:rPr>
                <w:sz w:val="4"/>
                <w:szCs w:val="4"/>
              </w:rPr>
            </w:r>
          </w:p>
        </w:tc>
        <w:tc>
          <w:tcPr>
            <w:tcW w:w="10167" w:type="dxa"/>
            <w:tcBorders/>
            <w:vAlign w:val="center"/>
          </w:tcPr>
          <w:p>
            <w:pPr>
              <w:pStyle w:val="TableContents"/>
              <w:bidi w:val="0"/>
              <w:spacing w:before="0" w:after="283"/>
              <w:jc w:val="both"/>
              <w:rPr/>
            </w:pPr>
            <w:r>
              <w:rPr/>
              <w:t>In accordance with the requirements of the USA Patriot Act (Title III of Pub. L. 107-56 (signed into law October 26, 2001)), the Purchasers are required to obtain, verify and record information that identifies their respective clients, including the Company, which information may include the name and address of their respective clients, as well as other information that will allow the Purchasers to properly identify their respective clients.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14.</w:t>
            </w:r>
          </w:p>
        </w:tc>
        <w:tc>
          <w:tcPr>
            <w:tcW w:w="9922" w:type="dxa"/>
            <w:tcBorders/>
            <w:vAlign w:val="center"/>
          </w:tcPr>
          <w:p>
            <w:pPr>
              <w:pStyle w:val="TableContents"/>
              <w:bidi w:val="0"/>
              <w:spacing w:before="0" w:after="283"/>
              <w:jc w:val="both"/>
              <w:rPr/>
            </w:pPr>
            <w:r>
              <w:rPr/>
              <w:t>This Agreement shall be binding upon, and inure solely to the benefit of, the Purchasers, the Company and, to the extent provided in Sections 9 and 11 hereof, the officers and directors of the Company, the officers and directors of each Purchaser, any affiliate of each Purchaser and each person who controls the Company or any Purchaser, and their respective heirs, executors, administrators, successors and assigns, and no other person shall acquire or have any right under or by virtue of this Agreement. No purchaser of any of the Securities from any Purchaser shall be deemed a successor or assign by reason merely of such purchase.</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335"/>
        <w:gridCol w:w="4505"/>
      </w:tblGrid>
      <w:tr>
        <w:trPr/>
        <w:tc>
          <w:tcPr>
            <w:tcW w:w="335" w:type="dxa"/>
            <w:tcBorders/>
            <w:vAlign w:val="center"/>
          </w:tcPr>
          <w:p>
            <w:pPr>
              <w:pStyle w:val="TableContents"/>
              <w:bidi w:val="0"/>
              <w:spacing w:before="0" w:after="283"/>
              <w:jc w:val="left"/>
              <w:rPr/>
            </w:pPr>
            <w:r>
              <w:rPr/>
              <w:t>15.</w:t>
            </w:r>
          </w:p>
        </w:tc>
        <w:tc>
          <w:tcPr>
            <w:tcW w:w="4505" w:type="dxa"/>
            <w:tcBorders/>
            <w:vAlign w:val="center"/>
          </w:tcPr>
          <w:p>
            <w:pPr>
              <w:pStyle w:val="TableContents"/>
              <w:bidi w:val="0"/>
              <w:spacing w:before="0" w:after="283"/>
              <w:jc w:val="both"/>
              <w:rPr/>
            </w:pPr>
            <w:r>
              <w:rPr/>
              <w:t>Time shall be of the essence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16.</w:t>
            </w:r>
          </w:p>
        </w:tc>
        <w:tc>
          <w:tcPr>
            <w:tcW w:w="9926" w:type="dxa"/>
            <w:tcBorders/>
            <w:vAlign w:val="center"/>
          </w:tcPr>
          <w:p>
            <w:pPr>
              <w:pStyle w:val="TableContents"/>
              <w:bidi w:val="0"/>
              <w:spacing w:before="0" w:after="283"/>
              <w:jc w:val="both"/>
              <w:rPr/>
            </w:pPr>
            <w:r>
              <w:rPr/>
              <w:t>The Company acknowledges and agrees that (i) the purchase and sale of the Securities pursuant to this Agreement is an arm’s-length commercial transaction between the Company, on the one hand, and the several Purchasers, on the other, (ii) in connection therewith and with the process leading to such transaction each Purchaser is acting solely as a principal and not the agent or fiduciary of the Company, (iii) no Purchaser has assumed an advisory or fiduciary responsibility in favor of the Company with respect to the offering contemplated hereby or the process leading thereto (irrespective of whether such Purchaser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Purchaser, or any of them, has rendered advisory services of any nature or respect, or owes a fiduciary or similar duty to the Company, in connection with such transaction or the process leading thereto.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17.</w:t>
            </w:r>
          </w:p>
        </w:tc>
        <w:tc>
          <w:tcPr>
            <w:tcW w:w="9902" w:type="dxa"/>
            <w:tcBorders/>
            <w:vAlign w:val="center"/>
          </w:tcPr>
          <w:p>
            <w:pPr>
              <w:pStyle w:val="TableContents"/>
              <w:bidi w:val="0"/>
              <w:spacing w:before="0" w:after="283"/>
              <w:jc w:val="both"/>
              <w:rPr/>
            </w:pPr>
            <w:r>
              <w:rPr/>
              <w:t>This Agreement supersedes all prior agreements and understandings (whether written or oral) between or among the Company and the Purchasers, or any of them, with respect to the subject matter 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sz w:val="20"/>
              </w:rPr>
            </w:pPr>
            <w:r>
              <w:rPr>
                <w:sz w:val="20"/>
              </w:rPr>
              <w:t>18.</w:t>
            </w:r>
          </w:p>
        </w:tc>
        <w:tc>
          <w:tcPr>
            <w:tcW w:w="9956" w:type="dxa"/>
            <w:tcBorders/>
            <w:vAlign w:val="center"/>
          </w:tcPr>
          <w:p>
            <w:pPr>
              <w:pStyle w:val="TableContents"/>
              <w:bidi w:val="0"/>
              <w:spacing w:before="0" w:after="283"/>
              <w:jc w:val="both"/>
              <w:rPr/>
            </w:pPr>
            <w:r>
              <w:rPr/>
              <w:t>THIS AGREEMENT AND ANY CLAIM, CONTROVERSY OR DISPUTE ARISING UNDER OR RELATED HERETO AND ANY MATTERS RELATED TO THIS TRANSACTION SHALL BE GOVERNED BY AND CONSTRUED IN ACCORDANCE WITH THE LAWS OF THE STATE OF NEW YORK WITHOUT REGARD TO PRINCIPLES OF CONFLICT OF LAWS THAT WOULD RESULT IN THE APPLICATION OF ANY LAW OTHER THAN THE LAWS OF THE STATE OF NEW YORK. The Company agrees that any suit or proceeding arising in respect of this agreement or our engagement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19.</w:t>
            </w:r>
          </w:p>
        </w:tc>
        <w:tc>
          <w:tcPr>
            <w:tcW w:w="9908" w:type="dxa"/>
            <w:tcBorders/>
            <w:vAlign w:val="center"/>
          </w:tcPr>
          <w:p>
            <w:pPr>
              <w:pStyle w:val="TableContents"/>
              <w:bidi w:val="0"/>
              <w:spacing w:before="0" w:after="283"/>
              <w:jc w:val="both"/>
              <w:rPr/>
            </w:pPr>
            <w:r>
              <w:rPr/>
              <w:t>The Company and each of the Purchasers hereby irrevocably waives, to the fullest extent permitted by applicable law, any and all right to trial by jury in any legal proceeding arising out of or relating to this Agreement or the transactions contemplated hereby.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20.</w:t>
            </w:r>
          </w:p>
        </w:tc>
        <w:tc>
          <w:tcPr>
            <w:tcW w:w="9907" w:type="dxa"/>
            <w:tcBorders/>
            <w:vAlign w:val="center"/>
          </w:tcPr>
          <w:p>
            <w:pPr>
              <w:pStyle w:val="TableContents"/>
              <w:bidi w:val="0"/>
              <w:spacing w:before="0" w:after="283"/>
              <w:jc w:val="both"/>
              <w:rPr/>
            </w:pPr>
            <w:r>
              <w:rPr/>
              <w:t>This Agreement may be executed by any one or more of the parties hereto in any number of counterparts, each of which shall be deemed to be an original, but all such respective counterparts shall together constitute one and the same instrument.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21.</w:t>
            </w:r>
          </w:p>
        </w:tc>
        <w:tc>
          <w:tcPr>
            <w:tcW w:w="9921" w:type="dxa"/>
            <w:tcBorders/>
            <w:vAlign w:val="center"/>
          </w:tcPr>
          <w:p>
            <w:pPr>
              <w:pStyle w:val="TableContents"/>
              <w:bidi w:val="0"/>
              <w:spacing w:before="0" w:after="283"/>
              <w:jc w:val="both"/>
              <w:rPr/>
            </w:pPr>
            <w:r>
              <w:rPr/>
              <w:t>Notwithstanding anything herein to the contrary, the Company (and the Company’s employees, representatives, and other agents) are authorized to disclose to any and all persons, the tax treatment and tax structure of the potential transaction and all materials of any kind (including tax opinions and other tax analyses) provided to the Company relating to that treatment and structure, without the Purchasers’ imposing any limitation of any kind. However, any information relating to the tax treatment and tax structure shall remain confidential (and the foregoing sentence shall not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sz w:val="4"/>
                <w:szCs w:val="4"/>
              </w:rPr>
            </w:pPr>
            <w:r>
              <w:rPr>
                <w:sz w:val="4"/>
                <w:szCs w:val="4"/>
              </w:rPr>
            </w:r>
          </w:p>
        </w:tc>
        <w:tc>
          <w:tcPr>
            <w:tcW w:w="10167" w:type="dxa"/>
            <w:tcBorders/>
            <w:vAlign w:val="center"/>
          </w:tcPr>
          <w:p>
            <w:pPr>
              <w:pStyle w:val="TableContents"/>
              <w:bidi w:val="0"/>
              <w:spacing w:before="0" w:after="283"/>
              <w:jc w:val="both"/>
              <w:rPr/>
            </w:pPr>
            <w:r>
              <w:rPr/>
              <w:t>apply) to the extent necessary to enable any person to comply with securities laws. For this purpose, “tax treatment” means US federal and state income tax treatment, and “tax structure” is limited to any facts that may be relevant to that treatment.</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90"/>
        <w:gridCol w:w="5060"/>
      </w:tblGrid>
      <w:tr>
        <w:trPr/>
        <w:tc>
          <w:tcPr>
            <w:tcW w:w="290" w:type="dxa"/>
            <w:tcBorders/>
            <w:vAlign w:val="center"/>
          </w:tcPr>
          <w:p>
            <w:pPr>
              <w:pStyle w:val="TableContents"/>
              <w:bidi w:val="0"/>
              <w:spacing w:before="0" w:after="283"/>
              <w:jc w:val="left"/>
              <w:rPr>
                <w:sz w:val="20"/>
              </w:rPr>
            </w:pPr>
            <w:r>
              <w:rPr>
                <w:sz w:val="20"/>
              </w:rPr>
              <w:t>22.</w:t>
            </w:r>
          </w:p>
        </w:tc>
        <w:tc>
          <w:tcPr>
            <w:tcW w:w="5060" w:type="dxa"/>
            <w:tcBorders/>
            <w:vAlign w:val="center"/>
          </w:tcPr>
          <w:p>
            <w:pPr>
              <w:pStyle w:val="TableContents"/>
              <w:bidi w:val="0"/>
              <w:spacing w:before="0" w:after="283"/>
              <w:jc w:val="both"/>
              <w:rPr/>
            </w:pPr>
            <w:r>
              <w:rPr/>
              <w:t>Recognition of the U.S. Special Resolution Regimes.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Purchaser that is a Covered Entity becomes subject to a proceeding under a U.S. Special Resolution Regime, the transfer from such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Purchaser that is a Covered Entity or a BHC Act Affiliate of such Purchaser becomes subject to a proceeding under a U.S. Special Resolution Regime, Default Rights under this Agreement that may be exercised against such Purchaser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BHC Act Affiliate” has the meaning assigned to the term “affiliate”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Covered Entity”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Right”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us counterparts hereof, and upon the acceptance hereof by you, on behalf of each of the Purchasers, this letter and such acceptance hereof shall constitute a binding agreement among each of the Purchasers and the Company. It is understood that your acceptance of this letter on behalf of each of the Purchasers is pursuant to the authority set forth in a form of Agreement among Purchasers, the form of which shall be submitted to the Company for examination upon request, but without warranty on your part as to the authority of the signers thereof.</w:t>
      </w:r>
    </w:p>
    <w:p>
      <w:pPr>
        <w:pStyle w:val="TextBody"/>
        <w:bidi w:val="0"/>
        <w:spacing w:before="0" w:after="0"/>
        <w:ind w:left="0" w:right="0" w:hanging="0"/>
        <w:jc w:val="left"/>
        <w:rPr>
          <w:caps w:val="false"/>
          <w:smallCaps w:val="false"/>
        </w:rPr>
      </w:pPr>
      <w:r>
        <w:rPr>
          <w:caps w:val="false"/>
          <w:smallCaps w:val="false"/>
        </w:rPr>
        <w:t> </w:t>
      </w:r>
    </w:p>
    <w:tbl>
      <w:tblPr>
        <w:tblW w:w="5685" w:type="dxa"/>
        <w:jc w:val="left"/>
        <w:tblInd w:w="0" w:type="dxa"/>
        <w:tblLayout w:type="fixed"/>
        <w:tblCellMar>
          <w:top w:w="0" w:type="dxa"/>
          <w:left w:w="0" w:type="dxa"/>
          <w:bottom w:w="0" w:type="dxa"/>
          <w:right w:w="0" w:type="dxa"/>
        </w:tblCellMar>
      </w:tblPr>
      <w:tblGrid>
        <w:gridCol w:w="75"/>
        <w:gridCol w:w="320"/>
        <w:gridCol w:w="545"/>
        <w:gridCol w:w="4745"/>
      </w:tblGrid>
      <w:tr>
        <w:trPr/>
        <w:tc>
          <w:tcPr>
            <w:tcW w:w="75"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Winnebago Industries, Inc.</w:t>
            </w:r>
          </w:p>
        </w:tc>
      </w:tr>
      <w:tr>
        <w:trPr/>
        <w:tc>
          <w:tcPr>
            <w:tcW w:w="75" w:type="dxa"/>
            <w:tcBorders/>
            <w:vAlign w:val="center"/>
          </w:tcPr>
          <w:p>
            <w:pPr>
              <w:pStyle w:val="TableContents"/>
              <w:bidi w:val="0"/>
              <w:spacing w:before="0" w:after="283"/>
              <w:jc w:val="left"/>
              <w:rPr/>
            </w:pPr>
            <w:r>
              <w:rPr/>
              <w:t> </w:t>
            </w:r>
          </w:p>
        </w:tc>
        <w:tc>
          <w:tcPr>
            <w:tcW w:w="56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290"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Bryan L. Hughes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745" w:type="dxa"/>
            <w:tcBorders/>
            <w:vAlign w:val="center"/>
          </w:tcPr>
          <w:p>
            <w:pPr>
              <w:pStyle w:val="TableContents"/>
              <w:bidi w:val="0"/>
              <w:spacing w:before="0" w:after="283"/>
              <w:jc w:val="both"/>
              <w:rPr/>
            </w:pPr>
            <w:r>
              <w:rPr/>
              <w:t>Bryan L. Hughes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4745" w:type="dxa"/>
            <w:tcBorders/>
            <w:vAlign w:val="center"/>
          </w:tcPr>
          <w:p>
            <w:pPr>
              <w:pStyle w:val="TableContents"/>
              <w:bidi w:val="0"/>
              <w:spacing w:before="0" w:after="283"/>
              <w:jc w:val="both"/>
              <w:rPr/>
            </w:pPr>
            <w:r>
              <w:rPr/>
              <w:t>Chief Financial Officer and Senior 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3043" w:type="dxa"/>
        <w:jc w:val="left"/>
        <w:tblInd w:w="0" w:type="dxa"/>
        <w:tblLayout w:type="fixed"/>
        <w:tblCellMar>
          <w:top w:w="0" w:type="dxa"/>
          <w:left w:w="0" w:type="dxa"/>
          <w:bottom w:w="0" w:type="dxa"/>
          <w:right w:w="0" w:type="dxa"/>
        </w:tblCellMar>
      </w:tblPr>
      <w:tblGrid>
        <w:gridCol w:w="3005"/>
        <w:gridCol w:w="38"/>
      </w:tblGrid>
      <w:tr>
        <w:trPr/>
        <w:tc>
          <w:tcPr>
            <w:tcW w:w="3005" w:type="dxa"/>
            <w:tcBorders/>
            <w:vAlign w:val="center"/>
          </w:tcPr>
          <w:p>
            <w:pPr>
              <w:pStyle w:val="TableContents"/>
              <w:bidi w:val="0"/>
              <w:spacing w:before="0" w:after="283"/>
              <w:jc w:val="left"/>
              <w:rPr/>
            </w:pPr>
            <w:r>
              <w:rPr/>
              <w:t>Accepted  as of the date hereof:</w:t>
            </w:r>
          </w:p>
        </w:tc>
        <w:tc>
          <w:tcPr>
            <w:tcW w:w="38" w:type="dxa"/>
            <w:tcBorders/>
            <w:vAlign w:val="center"/>
          </w:tcPr>
          <w:p>
            <w:pPr>
              <w:pStyle w:val="TableContents"/>
              <w:bidi w:val="0"/>
              <w:spacing w:before="0" w:after="283"/>
              <w:jc w:val="left"/>
              <w:rPr>
                <w:sz w:val="4"/>
                <w:szCs w:val="4"/>
              </w:rPr>
            </w:pPr>
            <w:r>
              <w:rPr>
                <w:sz w:val="4"/>
                <w:szCs w:val="4"/>
              </w:rPr>
            </w:r>
          </w:p>
        </w:tc>
      </w:tr>
    </w:tbl>
    <w:tbl>
      <w:tblPr>
        <w:tblW w:w="2728" w:type="dxa"/>
        <w:jc w:val="left"/>
        <w:tblInd w:w="0" w:type="dxa"/>
        <w:tblLayout w:type="fixed"/>
        <w:tblCellMar>
          <w:top w:w="0" w:type="dxa"/>
          <w:left w:w="0" w:type="dxa"/>
          <w:bottom w:w="0" w:type="dxa"/>
          <w:right w:w="0" w:type="dxa"/>
        </w:tblCellMar>
      </w:tblPr>
      <w:tblGrid>
        <w:gridCol w:w="2690"/>
        <w:gridCol w:w="38"/>
      </w:tblGrid>
      <w:tr>
        <w:trPr/>
        <w:tc>
          <w:tcPr>
            <w:tcW w:w="2690" w:type="dxa"/>
            <w:tcBorders/>
            <w:vAlign w:val="center"/>
          </w:tcPr>
          <w:p>
            <w:pPr>
              <w:pStyle w:val="TableContents"/>
              <w:bidi w:val="0"/>
              <w:spacing w:before="0" w:after="283"/>
              <w:jc w:val="left"/>
              <w:rPr/>
            </w:pPr>
            <w:r>
              <w:rPr/>
              <w:t>Goldman Sachs &amp; Co. LLC</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2754" w:type="dxa"/>
        <w:jc w:val="left"/>
        <w:tblInd w:w="0" w:type="dxa"/>
        <w:tblLayout w:type="fixed"/>
        <w:tblCellMar>
          <w:top w:w="0" w:type="dxa"/>
          <w:left w:w="0" w:type="dxa"/>
          <w:bottom w:w="0" w:type="dxa"/>
          <w:right w:w="0" w:type="dxa"/>
        </w:tblCellMar>
      </w:tblPr>
      <w:tblGrid>
        <w:gridCol w:w="335"/>
        <w:gridCol w:w="863"/>
        <w:gridCol w:w="1481"/>
        <w:gridCol w:w="75"/>
      </w:tblGrid>
      <w:tr>
        <w:trPr/>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344"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Mike Voris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(Goldman Sachs &amp; Co. LLC)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Mike Voris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773" w:type="dxa"/>
        <w:jc w:val="left"/>
        <w:tblInd w:w="0" w:type="dxa"/>
        <w:tblLayout w:type="fixed"/>
        <w:tblCellMar>
          <w:top w:w="0" w:type="dxa"/>
          <w:left w:w="0" w:type="dxa"/>
          <w:bottom w:w="0" w:type="dxa"/>
          <w:right w:w="0" w:type="dxa"/>
        </w:tblCellMar>
      </w:tblPr>
      <w:tblGrid>
        <w:gridCol w:w="2735"/>
        <w:gridCol w:w="38"/>
      </w:tblGrid>
      <w:tr>
        <w:trPr/>
        <w:tc>
          <w:tcPr>
            <w:tcW w:w="2735" w:type="dxa"/>
            <w:tcBorders/>
            <w:vAlign w:val="center"/>
          </w:tcPr>
          <w:p>
            <w:pPr>
              <w:pStyle w:val="TableContents"/>
              <w:bidi w:val="0"/>
              <w:spacing w:before="0" w:after="283"/>
              <w:jc w:val="left"/>
              <w:rPr/>
            </w:pPr>
            <w:r>
              <w:rPr/>
              <w:t>BMO Capital Markets Corp.</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335"/>
        <w:gridCol w:w="590"/>
        <w:gridCol w:w="2915"/>
        <w:gridCol w:w="75"/>
      </w:tblGrid>
      <w:tr>
        <w:trPr/>
        <w:tc>
          <w:tcPr>
            <w:tcW w:w="335" w:type="dxa"/>
            <w:tcBorders/>
            <w:vAlign w:val="center"/>
          </w:tcPr>
          <w:p>
            <w:pPr>
              <w:pStyle w:val="TableContents"/>
              <w:bidi w:val="0"/>
              <w:spacing w:before="0" w:after="283"/>
              <w:jc w:val="both"/>
              <w:rPr>
                <w:sz w:val="20"/>
              </w:rPr>
            </w:pPr>
            <w:r>
              <w:rPr>
                <w:sz w:val="20"/>
              </w:rPr>
              <w:t>By:</w:t>
            </w:r>
          </w:p>
        </w:tc>
        <w:tc>
          <w:tcPr>
            <w:tcW w:w="3505" w:type="dxa"/>
            <w:gridSpan w:val="2"/>
            <w:tcBorders>
              <w:bottom w:val="single" w:sz="8" w:space="0" w:color="000000"/>
            </w:tcBorders>
            <w:tcMar>
              <w:bottom w:w="28" w:type="dxa"/>
            </w:tcMar>
            <w:vAlign w:val="center"/>
          </w:tcPr>
          <w:p>
            <w:pPr>
              <w:pStyle w:val="TableContents"/>
              <w:bidi w:val="0"/>
              <w:spacing w:before="0" w:after="283"/>
              <w:jc w:val="both"/>
              <w:rPr>
                <w:sz w:val="20"/>
              </w:rPr>
            </w:pPr>
            <w:r>
              <w:rPr>
                <w:sz w:val="20"/>
              </w:rPr>
              <w:t>/s/ Brian Riley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505" w:type="dxa"/>
            <w:gridSpan w:val="2"/>
            <w:tcBorders/>
            <w:vAlign w:val="center"/>
          </w:tcPr>
          <w:p>
            <w:pPr>
              <w:pStyle w:val="TableContents"/>
              <w:bidi w:val="0"/>
              <w:spacing w:before="0" w:after="283"/>
              <w:jc w:val="center"/>
              <w:rPr>
                <w:sz w:val="20"/>
              </w:rPr>
            </w:pPr>
            <w:r>
              <w:rPr>
                <w:sz w:val="20"/>
              </w:rPr>
              <w:t>(BMO Capital Markets Corp.)</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50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2915" w:type="dxa"/>
            <w:tcBorders/>
            <w:vAlign w:val="center"/>
          </w:tcPr>
          <w:p>
            <w:pPr>
              <w:pStyle w:val="TableContents"/>
              <w:bidi w:val="0"/>
              <w:spacing w:before="0" w:after="283"/>
              <w:jc w:val="left"/>
              <w:rPr>
                <w:sz w:val="20"/>
              </w:rPr>
            </w:pPr>
            <w:r>
              <w:rPr>
                <w:sz w:val="20"/>
              </w:rPr>
              <w:t>Brian Riley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2915" w:type="dxa"/>
            <w:tcBorders/>
            <w:vAlign w:val="center"/>
          </w:tcPr>
          <w:p>
            <w:pPr>
              <w:pStyle w:val="TableContents"/>
              <w:bidi w:val="0"/>
              <w:spacing w:before="0" w:after="283"/>
              <w:jc w:val="left"/>
              <w:rPr>
                <w:sz w:val="20"/>
              </w:rPr>
            </w:pPr>
            <w:r>
              <w:rPr>
                <w:sz w:val="20"/>
              </w:rPr>
              <w:t>Managing Director, Global Markets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the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99" w:type="dxa"/>
        <w:jc w:val="left"/>
        <w:tblInd w:w="0" w:type="dxa"/>
        <w:tblLayout w:type="fixed"/>
        <w:tblCellMar>
          <w:top w:w="0" w:type="dxa"/>
          <w:left w:w="0" w:type="dxa"/>
          <w:bottom w:w="0" w:type="dxa"/>
          <w:right w:w="0" w:type="dxa"/>
        </w:tblCellMar>
      </w:tblPr>
      <w:tblGrid>
        <w:gridCol w:w="2330"/>
        <w:gridCol w:w="60"/>
        <w:gridCol w:w="130"/>
        <w:gridCol w:w="1104"/>
        <w:gridCol w:w="75"/>
      </w:tblGrid>
      <w:tr>
        <w:trPr/>
        <w:tc>
          <w:tcPr>
            <w:tcW w:w="3624" w:type="dxa"/>
            <w:gridSpan w:val="4"/>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 Securities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Capital Markets Corp.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Additional Documents Incorporated by Reference: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Company Supplemental Disclosure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Roadshow Presentation, dated January 18,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Purchaser Supplemental Disclosure Documents: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Permitted General Solicitation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release of the Company dated January 17, 2024, relating to the announcement of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release of the Company dated January 18, 2024, relating to the pricing of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2195"/>
        <w:gridCol w:w="1535"/>
      </w:tblGrid>
      <w:tr>
        <w:trPr/>
        <w:tc>
          <w:tcPr>
            <w:tcW w:w="2195" w:type="dxa"/>
            <w:tcBorders/>
            <w:vAlign w:val="center"/>
          </w:tcPr>
          <w:p>
            <w:pPr>
              <w:pStyle w:val="TableContents"/>
              <w:bidi w:val="0"/>
              <w:spacing w:before="0" w:after="283"/>
              <w:jc w:val="left"/>
              <w:rPr>
                <w:b/>
                <w:sz w:val="20"/>
              </w:rPr>
            </w:pPr>
            <w:r>
              <w:rPr>
                <w:b/>
                <w:sz w:val="20"/>
              </w:rPr>
              <w:t>PRICING TERM SHEET</w:t>
            </w:r>
          </w:p>
        </w:tc>
        <w:tc>
          <w:tcPr>
            <w:tcW w:w="1535" w:type="dxa"/>
            <w:tcBorders/>
            <w:vAlign w:val="center"/>
          </w:tcPr>
          <w:p>
            <w:pPr>
              <w:pStyle w:val="TableContents"/>
              <w:bidi w:val="0"/>
              <w:spacing w:before="0" w:after="283"/>
              <w:jc w:val="right"/>
              <w:rPr>
                <w:b/>
                <w:sz w:val="20"/>
              </w:rPr>
            </w:pPr>
            <w:r>
              <w:rPr>
                <w:b/>
                <w:sz w:val="20"/>
              </w:rPr>
              <w:t>CONFIDENTIAL</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18,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Winnebago Industries,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$300,000,000 Aggregate Principal Amount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3.250% Convertible Senior Notes due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this pricing term sheet supplements Winnebago Industries, Inc.’s preliminary offering memorandum, dated January 17, 2024 (the “Preliminary Offering Memorandum”), and supersedes the information in the Preliminary Offering Memorandum to the extent inconsistent with the information in the Preliminary Offering Memorandum. Terms used, but not defined, in this pricing term sheet have the respective meanings set forth in the Preliminary Offering Memorandum. As used in this pricing term sheet, “we,” “our” and “us” refer to Winnebago Industries, Inc. and not to its subsidiaries.</w:t>
      </w:r>
    </w:p>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590"/>
        <w:gridCol w:w="2585"/>
      </w:tblGrid>
      <w:tr>
        <w:trPr/>
        <w:tc>
          <w:tcPr>
            <w:tcW w:w="590" w:type="dxa"/>
            <w:tcBorders/>
            <w:vAlign w:val="center"/>
          </w:tcPr>
          <w:p>
            <w:pPr>
              <w:pStyle w:val="TableContents"/>
              <w:bidi w:val="0"/>
              <w:spacing w:before="0" w:after="283"/>
              <w:jc w:val="left"/>
              <w:rPr/>
            </w:pPr>
            <w:r>
              <w:rPr/>
              <w:t>Issuer</w:t>
            </w:r>
          </w:p>
        </w:tc>
        <w:tc>
          <w:tcPr>
            <w:tcW w:w="2585" w:type="dxa"/>
            <w:tcBorders/>
            <w:vAlign w:val="center"/>
          </w:tcPr>
          <w:p>
            <w:pPr>
              <w:pStyle w:val="TableContents"/>
              <w:bidi w:val="0"/>
              <w:spacing w:before="0" w:after="283"/>
              <w:jc w:val="both"/>
              <w:rPr/>
            </w:pPr>
            <w:r>
              <w:rPr/>
              <w:t>Winnebago Industries, Inc.</w:t>
            </w:r>
          </w:p>
        </w:tc>
      </w:tr>
    </w:tbl>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790"/>
        <w:gridCol w:w="4550"/>
      </w:tblGrid>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Ticker / Exchange for</w:t>
            </w:r>
          </w:p>
        </w:tc>
        <w:tc>
          <w:tcPr>
            <w:tcW w:w="455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w:t>
            </w:r>
          </w:p>
        </w:tc>
        <w:tc>
          <w:tcPr>
            <w:tcW w:w="4550" w:type="dxa"/>
            <w:tcBorders/>
            <w:vAlign w:val="center"/>
          </w:tcPr>
          <w:p>
            <w:pPr>
              <w:pStyle w:val="TableContents"/>
              <w:bidi w:val="0"/>
              <w:spacing w:before="0" w:after="283"/>
              <w:jc w:val="left"/>
              <w:rPr/>
            </w:pPr>
            <w:r>
              <w:rPr/>
              <w:t>WGO / New York Stock Exchange (“NYSE”).</w:t>
            </w:r>
          </w:p>
        </w:tc>
      </w:tr>
      <w:tr>
        <w:trPr/>
        <w:tc>
          <w:tcPr>
            <w:tcW w:w="179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Date</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19, 2024.</w:t>
            </w:r>
          </w:p>
        </w:tc>
      </w:tr>
      <w:tr>
        <w:trPr/>
        <w:tc>
          <w:tcPr>
            <w:tcW w:w="179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23, 2024.</w:t>
            </w:r>
          </w:p>
        </w:tc>
      </w:tr>
    </w:tbl>
    <w:p>
      <w:pPr>
        <w:pStyle w:val="TextBody"/>
        <w:bidi w:val="0"/>
        <w:spacing w:before="0" w:after="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90"/>
        <w:gridCol w:w="5390"/>
      </w:tblGrid>
      <w:tr>
        <w:trPr/>
        <w:tc>
          <w:tcPr>
            <w:tcW w:w="590" w:type="dxa"/>
            <w:tcBorders/>
            <w:vAlign w:val="center"/>
          </w:tcPr>
          <w:p>
            <w:pPr>
              <w:pStyle w:val="TableContents"/>
              <w:bidi w:val="0"/>
              <w:spacing w:before="0" w:after="283"/>
              <w:jc w:val="left"/>
              <w:rPr/>
            </w:pPr>
            <w:r>
              <w:rPr/>
              <w:t>Notes</w:t>
            </w:r>
          </w:p>
        </w:tc>
        <w:tc>
          <w:tcPr>
            <w:tcW w:w="5390" w:type="dxa"/>
            <w:tcBorders/>
            <w:vAlign w:val="center"/>
          </w:tcPr>
          <w:p>
            <w:pPr>
              <w:pStyle w:val="TableContents"/>
              <w:bidi w:val="0"/>
              <w:spacing w:before="0" w:after="283"/>
              <w:jc w:val="left"/>
              <w:rPr/>
            </w:pPr>
            <w:r>
              <w:rPr/>
              <w:t>3.250% convertible senior notes due 2030 (the “Notes”).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64"/>
        <w:gridCol w:w="8941"/>
      </w:tblGrid>
      <w:tr>
        <w:trPr/>
        <w:tc>
          <w:tcPr>
            <w:tcW w:w="1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Amount</w:t>
            </w:r>
          </w:p>
        </w:tc>
        <w:tc>
          <w:tcPr>
            <w:tcW w:w="8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$300,000,000 (or, if the initial purchasers fully exercise their option to purchase additional Notes, $350,000,000) aggregate principal amount of Notes.</w:t>
            </w:r>
          </w:p>
        </w:tc>
      </w:tr>
      <w:tr>
        <w:trPr/>
        <w:tc>
          <w:tcPr>
            <w:tcW w:w="1264"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283"/>
              <w:jc w:val="left"/>
              <w:rPr/>
            </w:pPr>
            <w:r>
              <w:rPr/>
              <w:t> </w:t>
            </w:r>
          </w:p>
        </w:tc>
      </w:tr>
      <w:tr>
        <w:trPr/>
        <w:tc>
          <w:tcPr>
            <w:tcW w:w="12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Offering Price</w:t>
            </w:r>
          </w:p>
        </w:tc>
        <w:tc>
          <w:tcPr>
            <w:tcW w:w="8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 of the principal amount of the Notes, plus accrued interest, if any, from the Settlement Date.</w:t>
            </w:r>
          </w:p>
        </w:tc>
      </w:tr>
    </w:tbl>
    <w:p>
      <w:pPr>
        <w:pStyle w:val="TextBody"/>
        <w:bidi w:val="0"/>
        <w:spacing w:before="0" w:after="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845"/>
        <w:gridCol w:w="6560"/>
      </w:tblGrid>
      <w:tr>
        <w:trPr/>
        <w:tc>
          <w:tcPr>
            <w:tcW w:w="845" w:type="dxa"/>
            <w:tcBorders/>
            <w:vAlign w:val="center"/>
          </w:tcPr>
          <w:p>
            <w:pPr>
              <w:pStyle w:val="TableContents"/>
              <w:bidi w:val="0"/>
              <w:spacing w:before="0" w:after="283"/>
              <w:jc w:val="left"/>
              <w:rPr/>
            </w:pPr>
            <w:r>
              <w:rPr/>
              <w:t>Maturity</w:t>
            </w:r>
          </w:p>
        </w:tc>
        <w:tc>
          <w:tcPr>
            <w:tcW w:w="6560" w:type="dxa"/>
            <w:tcBorders/>
            <w:vAlign w:val="center"/>
          </w:tcPr>
          <w:p>
            <w:pPr>
              <w:pStyle w:val="TableContents"/>
              <w:bidi w:val="0"/>
              <w:spacing w:before="0" w:after="283"/>
              <w:jc w:val="left"/>
              <w:rPr/>
            </w:pPr>
            <w:r>
              <w:rPr/>
              <w:t>January 15, 2030, unless earlier repurchased, redeemed or converted.</w:t>
            </w:r>
          </w:p>
        </w:tc>
      </w:tr>
    </w:tbl>
    <w:p>
      <w:pPr>
        <w:pStyle w:val="TextBody"/>
        <w:bidi w:val="0"/>
        <w:spacing w:before="0" w:after="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2315"/>
        <w:gridCol w:w="5315"/>
      </w:tblGrid>
      <w:tr>
        <w:trPr/>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Stated Interest Rate</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3.250% per annum.</w:t>
            </w:r>
          </w:p>
        </w:tc>
      </w:tr>
      <w:tr>
        <w:trPr/>
        <w:tc>
          <w:tcPr>
            <w:tcW w:w="2315"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15 and July 15 of each year, beginning on July 15, 2024.</w:t>
            </w:r>
          </w:p>
        </w:tc>
      </w:tr>
      <w:tr>
        <w:trPr/>
        <w:tc>
          <w:tcPr>
            <w:tcW w:w="2315"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 Dates</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 and July 1.</w:t>
            </w:r>
          </w:p>
        </w:tc>
      </w:tr>
      <w:tr>
        <w:trPr/>
        <w:tc>
          <w:tcPr>
            <w:tcW w:w="2315"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Last Reported Sale Price per</w:t>
            </w:r>
          </w:p>
        </w:tc>
        <w:tc>
          <w:tcPr>
            <w:tcW w:w="531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of Common Stock on</w:t>
            </w:r>
          </w:p>
        </w:tc>
        <w:tc>
          <w:tcPr>
            <w:tcW w:w="5315" w:type="dxa"/>
            <w:tcBorders/>
            <w:vAlign w:val="center"/>
          </w:tcPr>
          <w:p>
            <w:pPr>
              <w:pStyle w:val="TableContents"/>
              <w:bidi w:val="0"/>
              <w:spacing w:before="0" w:after="283"/>
              <w:jc w:val="both"/>
              <w:rPr/>
            </w:pPr>
            <w:r>
              <w:rPr/>
              <w:t> </w:t>
            </w:r>
          </w:p>
        </w:tc>
      </w:tr>
      <w:tr>
        <w:trPr/>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NYSE on</w:t>
            </w:r>
          </w:p>
        </w:tc>
        <w:tc>
          <w:tcPr>
            <w:tcW w:w="5315" w:type="dxa"/>
            <w:tcBorders/>
            <w:vAlign w:val="center"/>
          </w:tcPr>
          <w:p>
            <w:pPr>
              <w:pStyle w:val="TableContents"/>
              <w:bidi w:val="0"/>
              <w:spacing w:before="0" w:after="283"/>
              <w:jc w:val="both"/>
              <w:rPr/>
            </w:pPr>
            <w:r>
              <w:rPr/>
              <w:t> </w:t>
            </w:r>
          </w:p>
        </w:tc>
      </w:tr>
      <w:tr>
        <w:trPr/>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18, 2024</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$67.64.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3"/>
        <w:gridCol w:w="9102"/>
      </w:tblGrid>
      <w:tr>
        <w:trPr/>
        <w:tc>
          <w:tcPr>
            <w:tcW w:w="11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Conversion Premium</w:t>
            </w:r>
          </w:p>
        </w:tc>
        <w:tc>
          <w:tcPr>
            <w:tcW w:w="91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Approximately 30.0% above the Last Reported Sale Price per Share of Common Stock on the NYSE on January 18, 2024.</w:t>
            </w:r>
          </w:p>
        </w:tc>
      </w:tr>
      <w:tr>
        <w:trPr/>
        <w:tc>
          <w:tcPr>
            <w:tcW w:w="1103" w:type="dxa"/>
            <w:tcBorders/>
            <w:vAlign w:val="center"/>
          </w:tcPr>
          <w:p>
            <w:pPr>
              <w:pStyle w:val="TableContents"/>
              <w:bidi w:val="0"/>
              <w:spacing w:before="0" w:after="283"/>
              <w:jc w:val="both"/>
              <w:rPr/>
            </w:pPr>
            <w:r>
              <w:rPr/>
              <w:t> </w:t>
            </w:r>
          </w:p>
        </w:tc>
        <w:tc>
          <w:tcPr>
            <w:tcW w:w="9102" w:type="dxa"/>
            <w:tcBorders/>
            <w:vAlign w:val="center"/>
          </w:tcPr>
          <w:p>
            <w:pPr>
              <w:pStyle w:val="TableContents"/>
              <w:bidi w:val="0"/>
              <w:spacing w:before="0" w:after="283"/>
              <w:jc w:val="both"/>
              <w:rPr/>
            </w:pPr>
            <w:r>
              <w:rPr/>
              <w:t> </w:t>
            </w:r>
          </w:p>
        </w:tc>
      </w:tr>
      <w:tr>
        <w:trPr/>
        <w:tc>
          <w:tcPr>
            <w:tcW w:w="11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Initial Conversion Price</w:t>
            </w:r>
          </w:p>
        </w:tc>
        <w:tc>
          <w:tcPr>
            <w:tcW w:w="91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Approximately $87.93 per share of our common stock.</w:t>
            </w:r>
          </w:p>
        </w:tc>
      </w:tr>
      <w:tr>
        <w:trPr/>
        <w:tc>
          <w:tcPr>
            <w:tcW w:w="1103" w:type="dxa"/>
            <w:tcBorders/>
            <w:vAlign w:val="center"/>
          </w:tcPr>
          <w:p>
            <w:pPr>
              <w:pStyle w:val="TableContents"/>
              <w:bidi w:val="0"/>
              <w:spacing w:before="0" w:after="283"/>
              <w:jc w:val="both"/>
              <w:rPr/>
            </w:pPr>
            <w:r>
              <w:rPr/>
              <w:t> </w:t>
            </w:r>
          </w:p>
        </w:tc>
        <w:tc>
          <w:tcPr>
            <w:tcW w:w="9102" w:type="dxa"/>
            <w:tcBorders/>
            <w:vAlign w:val="center"/>
          </w:tcPr>
          <w:p>
            <w:pPr>
              <w:pStyle w:val="TableContents"/>
              <w:bidi w:val="0"/>
              <w:spacing w:before="0" w:after="283"/>
              <w:jc w:val="both"/>
              <w:rPr/>
            </w:pPr>
            <w:r>
              <w:rPr/>
              <w:t> </w:t>
            </w:r>
          </w:p>
        </w:tc>
      </w:tr>
      <w:tr>
        <w:trPr/>
        <w:tc>
          <w:tcPr>
            <w:tcW w:w="11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Initial Conversion Rate</w:t>
            </w:r>
          </w:p>
        </w:tc>
        <w:tc>
          <w:tcPr>
            <w:tcW w:w="91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11.3724 shares of our common stock per $1,000 principal amount of Notes.</w:t>
            </w:r>
          </w:p>
        </w:tc>
      </w:tr>
      <w:tr>
        <w:trPr/>
        <w:tc>
          <w:tcPr>
            <w:tcW w:w="1103" w:type="dxa"/>
            <w:tcBorders/>
            <w:vAlign w:val="center"/>
          </w:tcPr>
          <w:p>
            <w:pPr>
              <w:pStyle w:val="TableContents"/>
              <w:bidi w:val="0"/>
              <w:spacing w:before="0" w:after="283"/>
              <w:jc w:val="both"/>
              <w:rPr/>
            </w:pPr>
            <w:r>
              <w:rPr/>
              <w:t> </w:t>
            </w:r>
          </w:p>
        </w:tc>
        <w:tc>
          <w:tcPr>
            <w:tcW w:w="9102" w:type="dxa"/>
            <w:tcBorders/>
            <w:vAlign w:val="center"/>
          </w:tcPr>
          <w:p>
            <w:pPr>
              <w:pStyle w:val="TableContents"/>
              <w:bidi w:val="0"/>
              <w:spacing w:before="0" w:after="283"/>
              <w:jc w:val="both"/>
              <w:rPr/>
            </w:pPr>
            <w:r>
              <w:rPr/>
              <w:t> </w:t>
            </w:r>
          </w:p>
        </w:tc>
      </w:tr>
      <w:tr>
        <w:trPr/>
        <w:tc>
          <w:tcPr>
            <w:tcW w:w="11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Optional Redemption</w:t>
            </w:r>
          </w:p>
        </w:tc>
        <w:tc>
          <w:tcPr>
            <w:tcW w:w="91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Notes will be redeemable, in whole or in part (subject to certain limitations described below), at our option at any time, and from time to time, on or after January 15, 2028 and on or before the 40th scheduled trading day immediately before the maturity date, at a cash redemption price equal to the principal amount of the Notes to be redeemed, plus accrued and unpaid interest, if any, to, but excluding, the redemption date,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However, we may not redeem less than all of the outstanding Notes unless at least $100.0 million aggregate principal amount of Notes are outstanding and not called for redemption as of the time we send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 See “Description of Notes—Optional Redemption” in the Preliminary Offering Memorandum.</w:t>
            </w:r>
          </w:p>
        </w:tc>
      </w:tr>
      <w:tr>
        <w:trPr/>
        <w:tc>
          <w:tcPr>
            <w:tcW w:w="1103" w:type="dxa"/>
            <w:tcBorders/>
            <w:vAlign w:val="center"/>
          </w:tcPr>
          <w:p>
            <w:pPr>
              <w:pStyle w:val="TableContents"/>
              <w:bidi w:val="0"/>
              <w:spacing w:before="0" w:after="283"/>
              <w:jc w:val="both"/>
              <w:rPr/>
            </w:pPr>
            <w:r>
              <w:rPr/>
              <w:t> </w:t>
            </w:r>
          </w:p>
        </w:tc>
        <w:tc>
          <w:tcPr>
            <w:tcW w:w="9102" w:type="dxa"/>
            <w:tcBorders/>
            <w:vAlign w:val="center"/>
          </w:tcPr>
          <w:p>
            <w:pPr>
              <w:pStyle w:val="TableContents"/>
              <w:bidi w:val="0"/>
              <w:spacing w:before="0" w:after="283"/>
              <w:jc w:val="both"/>
              <w:rPr/>
            </w:pPr>
            <w:r>
              <w:rPr/>
              <w:t> </w:t>
            </w:r>
          </w:p>
        </w:tc>
      </w:tr>
      <w:tr>
        <w:trPr/>
        <w:tc>
          <w:tcPr>
            <w:tcW w:w="11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 of Proceeds</w:t>
            </w:r>
          </w:p>
        </w:tc>
        <w:tc>
          <w:tcPr>
            <w:tcW w:w="91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estimate that the net proceeds to us from this offering will be approximately $291.1 million (or approximately $339.8 million if the initial purchasers fully exercise their option to purchase additional Notes), after deducting the initial purchasers’ discounts and commissions and our estimated offering expenses. We intend to use approximately $32.0 million of the net proceeds to fund the cost of entering into the convertible note hedge transactions described below (after such cost is partially offset by the proceeds that we receive from entering into the warrant transactions described below). We expect to use approximately $295 million of the net proceeds from this offering to repurchase approximately $241 million aggregate principal amount of our 1.50% Convertible Senior Notes due 2025, including accrued and unpaid interest on our 1.50% Convertible Senior Notes due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2"/>
        <w:gridCol w:w="9073"/>
      </w:tblGrid>
      <w:tr>
        <w:trPr/>
        <w:tc>
          <w:tcPr>
            <w:tcW w:w="1132" w:type="dxa"/>
            <w:tcBorders/>
            <w:vAlign w:val="center"/>
          </w:tcPr>
          <w:p>
            <w:pPr>
              <w:pStyle w:val="TableContents"/>
              <w:bidi w:val="0"/>
              <w:spacing w:before="0" w:after="283"/>
              <w:jc w:val="both"/>
              <w:rPr/>
            </w:pPr>
            <w:r>
              <w:rPr/>
              <w:t> </w:t>
            </w:r>
          </w:p>
        </w:tc>
        <w:tc>
          <w:tcPr>
            <w:tcW w:w="9073" w:type="dxa"/>
            <w:tcBorders/>
            <w:vAlign w:val="center"/>
          </w:tcPr>
          <w:p>
            <w:pPr>
              <w:pStyle w:val="TableContents"/>
              <w:bidi w:val="0"/>
              <w:spacing w:before="0" w:after="283"/>
              <w:jc w:val="both"/>
              <w:rPr/>
            </w:pPr>
            <w:r>
              <w:rPr>
                <w:rFonts w:ascii="Times New Roman;Times;Serif" w:hAnsi="Times New Roman;Times;Serif"/>
                <w:sz w:val="20"/>
              </w:rPr>
              <w:t>in privately negotiated transactions effected through Goldman Sachs &amp; Co. LLC or its affiliate, as our agent. We intend to use the remainder of the net proceeds for general corporate purposes. If the initial purchasers exercise their option to purchase additional Notes, then we intend to use a portion of the additional net proceeds to fund the cost of entering into additional convertible note hedge transactions as described below (after such cost is partially offset by the proceeds that we receive from entering into the additional warrant transactions described below).</w:t>
            </w:r>
            <w:r>
              <w:rPr/>
              <w:t> </w:t>
            </w:r>
          </w:p>
        </w:tc>
      </w:tr>
      <w:tr>
        <w:trPr/>
        <w:tc>
          <w:tcPr>
            <w:tcW w:w="1132" w:type="dxa"/>
            <w:tcBorders/>
            <w:vAlign w:val="center"/>
          </w:tcPr>
          <w:p>
            <w:pPr>
              <w:pStyle w:val="TableContents"/>
              <w:bidi w:val="0"/>
              <w:spacing w:before="0" w:after="283"/>
              <w:jc w:val="both"/>
              <w:rPr/>
            </w:pPr>
            <w:r>
              <w:rPr/>
              <w:t> </w:t>
            </w:r>
          </w:p>
        </w:tc>
        <w:tc>
          <w:tcPr>
            <w:tcW w:w="9073" w:type="dxa"/>
            <w:tcBorders/>
            <w:vAlign w:val="center"/>
          </w:tcPr>
          <w:p>
            <w:pPr>
              <w:pStyle w:val="TableContents"/>
              <w:bidi w:val="0"/>
              <w:spacing w:before="0" w:after="283"/>
              <w:jc w:val="both"/>
              <w:rPr/>
            </w:pPr>
            <w:r>
              <w:rPr/>
              <w:t> </w:t>
            </w:r>
          </w:p>
        </w:tc>
      </w:tr>
      <w:tr>
        <w:trPr/>
        <w:tc>
          <w:tcPr>
            <w:tcW w:w="11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Concurrent Convertible Note</w:t>
            </w:r>
          </w:p>
        </w:tc>
        <w:tc>
          <w:tcPr>
            <w:tcW w:w="9073" w:type="dxa"/>
            <w:tcBorders/>
            <w:vAlign w:val="center"/>
          </w:tcPr>
          <w:p>
            <w:pPr>
              <w:pStyle w:val="TableContents"/>
              <w:bidi w:val="0"/>
              <w:spacing w:before="0" w:after="283"/>
              <w:jc w:val="both"/>
              <w:rPr/>
            </w:pPr>
            <w:r>
              <w:rPr/>
              <w:t> </w:t>
            </w:r>
          </w:p>
        </w:tc>
      </w:tr>
      <w:tr>
        <w:trPr/>
        <w:tc>
          <w:tcPr>
            <w:tcW w:w="11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Hedge Transactions</w:t>
            </w:r>
          </w:p>
        </w:tc>
        <w:tc>
          <w:tcPr>
            <w:tcW w:w="9073" w:type="dxa"/>
            <w:tcBorders/>
            <w:vAlign w:val="center"/>
          </w:tcPr>
          <w:p>
            <w:pPr>
              <w:pStyle w:val="TableContents"/>
              <w:bidi w:val="0"/>
              <w:spacing w:before="0" w:after="283"/>
              <w:jc w:val="both"/>
              <w:rPr/>
            </w:pPr>
            <w:r>
              <w:rPr/>
              <w:t> </w:t>
            </w:r>
          </w:p>
        </w:tc>
      </w:tr>
      <w:tr>
        <w:trPr/>
        <w:tc>
          <w:tcPr>
            <w:tcW w:w="11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and Warrant Transactions</w:t>
            </w:r>
          </w:p>
        </w:tc>
        <w:tc>
          <w:tcPr>
            <w:tcW w:w="9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connection with the pricing of the Notes, we entered into convertible note hedge transactions with one or more of the initial purchasers or their respective affiliates or other financial institutions (the “option counterparties”). The convertible note hedge transactions will cover, subject to customary anti-dilution adjustments, the aggregate number of shares of our common stock that initially underlie the Notes, and are expected generally to reduce or offset potential dilution to our common stock upon any conversion of Notes and/or offset any cash payments we are required to make in excess of the principal amount of converted Notes, as the case may be. We also entered into separate warrant transactions with the option counterparties, under which we will sell to the option counterparties warrants relating to the same number of shares of our common stock. The strike price of the warrants will initially be $135.28 per share, which is 100% above the Last Reported Sale Price per Share of Common Stock on the NYSE on January 18, 2024, and is subject to certain adjustments under the terms of the warrant transactions. The warrant transactions could separately have a dilutive effect to the extent that the market value per share of our common stock exceeds the strike price of the warrants. If the initial purchasers exercise their option to purchase additional Notes, we expect to enter into additional convertible note hedge transactions and additional warrant transactions with the option counterparties, which would cover the number of shares of our common stock that initially underlie the additional Notes sold to the initial purchasers. For a discussion of the potential impact of any market or other activity by the option counterparties or their respective affiliates in connection with these convertible note hedge and warrant transactions, see the discussion in the Preliminary Offering Memorandum under the caption “Risk Factors—The convertible note hedge and warrant transactions may affect the value of the notes and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2525"/>
        <w:gridCol w:w="2600"/>
      </w:tblGrid>
      <w:tr>
        <w:trPr/>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Book-Running Managers</w:t>
            </w:r>
          </w:p>
        </w:tc>
        <w:tc>
          <w:tcPr>
            <w:tcW w:w="2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r>
          </w:p>
        </w:tc>
      </w:tr>
      <w:tr>
        <w:trPr/>
        <w:tc>
          <w:tcPr>
            <w:tcW w:w="252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BMO Capital Markets Corp.</w:t>
            </w:r>
          </w:p>
        </w:tc>
      </w:tr>
      <w:tr>
        <w:trPr/>
        <w:tc>
          <w:tcPr>
            <w:tcW w:w="252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ISIN Numbers</w:t>
            </w:r>
          </w:p>
        </w:tc>
        <w:tc>
          <w:tcPr>
            <w:tcW w:w="2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974637 AE0 / US974637AE01.</w:t>
            </w:r>
          </w:p>
        </w:tc>
      </w:tr>
      <w:tr>
        <w:trPr/>
        <w:tc>
          <w:tcPr>
            <w:tcW w:w="252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to Conversion Rate in</w:t>
            </w:r>
          </w:p>
        </w:tc>
        <w:tc>
          <w:tcPr>
            <w:tcW w:w="260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Connection with a</w:t>
            </w:r>
          </w:p>
        </w:tc>
        <w:tc>
          <w:tcPr>
            <w:tcW w:w="260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Make-Whole Fundamental</w:t>
            </w:r>
          </w:p>
        </w:tc>
        <w:tc>
          <w:tcPr>
            <w:tcW w:w="260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70"/>
        <w:gridCol w:w="9435"/>
      </w:tblGrid>
      <w:tr>
        <w:trPr/>
        <w:tc>
          <w:tcPr>
            <w:tcW w:w="770" w:type="dxa"/>
            <w:tcBorders/>
            <w:vAlign w:val="center"/>
          </w:tcPr>
          <w:p>
            <w:pPr>
              <w:pStyle w:val="TableContents"/>
              <w:bidi w:val="0"/>
              <w:spacing w:before="0" w:after="283"/>
              <w:jc w:val="left"/>
              <w:rPr/>
            </w:pPr>
            <w:r>
              <w:rPr/>
              <w:t>Change</w:t>
            </w:r>
          </w:p>
        </w:tc>
        <w:tc>
          <w:tcPr>
            <w:tcW w:w="9435" w:type="dxa"/>
            <w:tcBorders/>
            <w:vAlign w:val="center"/>
          </w:tcPr>
          <w:p>
            <w:pPr>
              <w:pStyle w:val="TableContents"/>
              <w:bidi w:val="0"/>
              <w:spacing w:before="0" w:after="283"/>
              <w:jc w:val="both"/>
              <w:rPr/>
            </w:pPr>
            <w:r>
              <w:rPr/>
              <w:t>If a make-whole fundamental change occurs and the conversion date for the conversion of a Note occurs during the related make-whole fundamental change conversion period, then, subject to the provisions described in the Preliminary Offering Memorandum under the caption “Description of Notes—Conversion Rights—Increase in Conversion Rate in Connection with a Make-Whole Fundamental Change,” the conversion rate applicable to such conversion will be increased by a number of shares set forth in the table below corresponding (after interpolation, as described below) to the effective date and the stock price of such make-whole fundamental 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5"/>
        <w:gridCol w:w="60"/>
        <w:gridCol w:w="60"/>
        <w:gridCol w:w="515"/>
        <w:gridCol w:w="60"/>
        <w:gridCol w:w="60"/>
        <w:gridCol w:w="60"/>
        <w:gridCol w:w="515"/>
        <w:gridCol w:w="60"/>
        <w:gridCol w:w="60"/>
        <w:gridCol w:w="60"/>
        <w:gridCol w:w="515"/>
        <w:gridCol w:w="60"/>
        <w:gridCol w:w="60"/>
        <w:gridCol w:w="63"/>
        <w:gridCol w:w="542"/>
        <w:gridCol w:w="60"/>
        <w:gridCol w:w="60"/>
        <w:gridCol w:w="63"/>
        <w:gridCol w:w="542"/>
        <w:gridCol w:w="60"/>
        <w:gridCol w:w="60"/>
        <w:gridCol w:w="63"/>
        <w:gridCol w:w="542"/>
        <w:gridCol w:w="60"/>
        <w:gridCol w:w="60"/>
        <w:gridCol w:w="63"/>
        <w:gridCol w:w="542"/>
        <w:gridCol w:w="60"/>
        <w:gridCol w:w="60"/>
        <w:gridCol w:w="63"/>
        <w:gridCol w:w="542"/>
        <w:gridCol w:w="60"/>
        <w:gridCol w:w="60"/>
        <w:gridCol w:w="63"/>
        <w:gridCol w:w="542"/>
        <w:gridCol w:w="60"/>
        <w:gridCol w:w="60"/>
        <w:gridCol w:w="63"/>
        <w:gridCol w:w="542"/>
        <w:gridCol w:w="60"/>
        <w:gridCol w:w="60"/>
        <w:gridCol w:w="63"/>
        <w:gridCol w:w="542"/>
        <w:gridCol w:w="60"/>
        <w:gridCol w:w="60"/>
        <w:gridCol w:w="63"/>
        <w:gridCol w:w="542"/>
        <w:gridCol w:w="60"/>
        <w:gridCol w:w="60"/>
        <w:gridCol w:w="63"/>
        <w:gridCol w:w="542"/>
        <w:gridCol w:w="75"/>
      </w:tblGrid>
      <w:tr>
        <w:trPr/>
        <w:tc>
          <w:tcPr>
            <w:tcW w:w="8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215" w:type="dxa"/>
            <w:gridSpan w:val="5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Stock Price</w:t>
            </w:r>
          </w:p>
        </w:tc>
        <w:tc>
          <w:tcPr>
            <w:tcW w:w="75" w:type="dxa"/>
            <w:tcBorders/>
            <w:vAlign w:val="center"/>
          </w:tcPr>
          <w:p>
            <w:pPr>
              <w:pStyle w:val="TableContents"/>
              <w:bidi w:val="0"/>
              <w:spacing w:before="0" w:after="283"/>
              <w:jc w:val="left"/>
              <w:rPr/>
            </w:pPr>
            <w:r>
              <w:rPr/>
              <w:t> </w:t>
            </w:r>
          </w:p>
        </w:tc>
      </w:tr>
      <w:tr>
        <w:trPr/>
        <w:tc>
          <w:tcPr>
            <w:tcW w:w="8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Effective Date</w:t>
            </w:r>
          </w:p>
        </w:tc>
        <w:tc>
          <w:tcPr>
            <w:tcW w:w="60" w:type="dxa"/>
            <w:tcBorders/>
            <w:vAlign w:val="center"/>
          </w:tcPr>
          <w:p>
            <w:pPr>
              <w:pStyle w:val="TableContents"/>
              <w:bidi w:val="0"/>
              <w:spacing w:before="0" w:after="283"/>
              <w:jc w:val="center"/>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$67.74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$75.00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$87.93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$114.31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$125.00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$150.00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$250.00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$350.00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$400.00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$450.00</w:t>
            </w:r>
          </w:p>
        </w:tc>
        <w:tc>
          <w:tcPr>
            <w:tcW w:w="75" w:type="dxa"/>
            <w:tcBorders/>
            <w:vAlign w:val="center"/>
          </w:tcPr>
          <w:p>
            <w:pPr>
              <w:pStyle w:val="TableContents"/>
              <w:bidi w:val="0"/>
              <w:spacing w:before="0" w:after="283"/>
              <w:jc w:val="center"/>
              <w:rPr/>
            </w:pPr>
            <w:r>
              <w:rPr/>
              <w:t> </w:t>
            </w:r>
          </w:p>
        </w:tc>
      </w:tr>
      <w:tr>
        <w:trPr/>
        <w:tc>
          <w:tcPr>
            <w:tcW w:w="8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January 23, 2024</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3.4117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2.7615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1.0742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0.8646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0.5440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0.2422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0.1142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0.0518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January 15, 2025</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2.7615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0.8084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0.4938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0.2114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0.0972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0.0429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January 15, 2026</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3.4117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2.7536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0.9084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0.7042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0.4121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0.1671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0.0740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0.0309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January 15, 2027</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2.6531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1.6961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0.7566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0.5673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0.3125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0.1191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0.0508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January 15, 2028</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3.4117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0.9258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0.5573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0.3953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0.1995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0.0725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0.0305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January 15, 2029</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3.4117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2.2584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0.5801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0.2866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0.1826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0.0835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0.0327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0.0143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January 15, 2030</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3.4117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effective date or stock price is not set forth in the table above, then: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such stock price is between two stock prices in the table above or the effective date is between two dates in the table above, then the number of additional shares will be determined by a straight-line interpolation between the numbers of additional shares set forth for the higher and lower stock prices in the table and the earlier and later dates in the table above, as applicable, based on a 365- or 366-day year, as applicable;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if the stock price is greater than $450 (subject to adjustment in the same manner as the stock prices set forth in the column headings of the table above are adjusted, as described in the Preliminary Offering Memorandum under the caption “Description of Notes—Conversion Rights—Increase in Conversion Rate in Connection with a Make-Whole Fundamental Change—Adjustment of Stock Prices and Number of Additional Shares”), or less than $67.64 (subject to adjustment in the same manner), per share, then no additional shares will be added to the conversion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no event will the conversion rate be increased to an amount that exceeds 14.7841 shares of our common stock per $1,000 principal amount of Notes, which amount is subject to adjustment in the same manner as, and at the same time and for the same events for which, the conversion rate is required to be adjusted pursuant to the provisions described in the Preliminary Offering Memorandum under the caption “Description of Notes—Conversion Rights—Conversion Rate Adjustments—Generally.”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communication is confidential and is intended for the sole use of the person to whom it is provided by the sender. The information in this pricing term sheet does not purport to be a complete description of the Notes or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 and sale of the Notes and any shares of common stock issuable upon conversion of the Notes have not been, and will not be, registered under the Securities Act of 1933, as amended (the “Securities Act”), or any other securities laws, and the Notes and any such shares cannot be offered or sold except pursuant to an exemption from, or in a transaction not subject to, the registration requirements of the Securities Act and any other applicable securities laws. The initial purchasers are initially offering the Notes only to qualified institutional buyers as defined in, and in reliance on, Rule 144A under the Securities Act. The Notes and any shares of common stock issuable upon conversion of the Notes are not transferable except in accordance with the restrictions described in the Preliminary Offering Memorandum under the caption “Transfer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the Preliminary Offering Memorandum, as supplemented by this pricing term sheet, in making an investment decision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pricing term sheet nor the Preliminary Offering Memorandum constitutes an offer to sell or a solicitation of an offer to buy any Notes in any jurisdiction where it is unlawful to do so, where the person making the offer is not qualified to do so or to any person who cannot legally be offered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to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Executive Officers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1053"/>
        <w:gridCol w:w="8952"/>
      </w:tblGrid>
      <w:tr>
        <w:trPr/>
        <w:tc>
          <w:tcPr>
            <w:tcW w:w="20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pPr>
            <w:r>
              <w:rPr/>
              <w:t>1.</w:t>
            </w:r>
          </w:p>
        </w:tc>
        <w:tc>
          <w:tcPr>
            <w:tcW w:w="8952" w:type="dxa"/>
            <w:tcBorders/>
            <w:vAlign w:val="center"/>
          </w:tcPr>
          <w:p>
            <w:pPr>
              <w:pStyle w:val="TableContents"/>
              <w:bidi w:val="0"/>
              <w:spacing w:before="0" w:after="283"/>
              <w:jc w:val="both"/>
              <w:rPr/>
            </w:pPr>
            <w:r>
              <w:rPr/>
              <w:t>Michael J. Happe</w:t>
            </w:r>
          </w:p>
        </w:tc>
      </w:tr>
    </w:tbl>
    <w:tbl>
      <w:tblPr>
        <w:tblW w:w="5000" w:type="pct"/>
        <w:jc w:val="left"/>
        <w:tblInd w:w="0" w:type="dxa"/>
        <w:tblLayout w:type="fixed"/>
        <w:tblCellMar>
          <w:top w:w="0" w:type="dxa"/>
          <w:left w:w="0" w:type="dxa"/>
          <w:bottom w:w="0" w:type="dxa"/>
          <w:right w:w="0" w:type="dxa"/>
        </w:tblCellMar>
      </w:tblPr>
      <w:tblGrid>
        <w:gridCol w:w="160"/>
        <w:gridCol w:w="844"/>
        <w:gridCol w:w="9201"/>
      </w:tblGrid>
      <w:tr>
        <w:trPr/>
        <w:tc>
          <w:tcPr>
            <w:tcW w:w="1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pPr>
            <w:r>
              <w:rPr/>
              <w:t>2.</w:t>
            </w:r>
          </w:p>
        </w:tc>
        <w:tc>
          <w:tcPr>
            <w:tcW w:w="9201" w:type="dxa"/>
            <w:tcBorders/>
            <w:vAlign w:val="center"/>
          </w:tcPr>
          <w:p>
            <w:pPr>
              <w:pStyle w:val="TableContents"/>
              <w:bidi w:val="0"/>
              <w:spacing w:before="0" w:after="283"/>
              <w:jc w:val="both"/>
              <w:rPr/>
            </w:pPr>
            <w:r>
              <w:rPr/>
              <w:t>Ashis N. Bhattacharya</w:t>
            </w:r>
          </w:p>
        </w:tc>
      </w:tr>
    </w:tbl>
    <w:tbl>
      <w:tblPr>
        <w:tblW w:w="5000" w:type="pct"/>
        <w:jc w:val="left"/>
        <w:tblInd w:w="0" w:type="dxa"/>
        <w:tblLayout w:type="fixed"/>
        <w:tblCellMar>
          <w:top w:w="0" w:type="dxa"/>
          <w:left w:w="0" w:type="dxa"/>
          <w:bottom w:w="0" w:type="dxa"/>
          <w:right w:w="0" w:type="dxa"/>
        </w:tblCellMar>
      </w:tblPr>
      <w:tblGrid>
        <w:gridCol w:w="218"/>
        <w:gridCol w:w="1151"/>
        <w:gridCol w:w="8836"/>
      </w:tblGrid>
      <w:tr>
        <w:trPr/>
        <w:tc>
          <w:tcPr>
            <w:tcW w:w="21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pPr>
            <w:r>
              <w:rPr/>
              <w:t>3.</w:t>
            </w:r>
          </w:p>
        </w:tc>
        <w:tc>
          <w:tcPr>
            <w:tcW w:w="8836" w:type="dxa"/>
            <w:tcBorders/>
            <w:vAlign w:val="center"/>
          </w:tcPr>
          <w:p>
            <w:pPr>
              <w:pStyle w:val="TableContents"/>
              <w:bidi w:val="0"/>
              <w:spacing w:before="0" w:after="283"/>
              <w:jc w:val="both"/>
              <w:rPr/>
            </w:pPr>
            <w:r>
              <w:rPr/>
              <w:t>Stacy L. Bogart</w:t>
            </w:r>
          </w:p>
        </w:tc>
      </w:tr>
    </w:tbl>
    <w:tbl>
      <w:tblPr>
        <w:tblW w:w="5000" w:type="pct"/>
        <w:jc w:val="left"/>
        <w:tblInd w:w="0" w:type="dxa"/>
        <w:tblLayout w:type="fixed"/>
        <w:tblCellMar>
          <w:top w:w="0" w:type="dxa"/>
          <w:left w:w="0" w:type="dxa"/>
          <w:bottom w:w="0" w:type="dxa"/>
          <w:right w:w="0" w:type="dxa"/>
        </w:tblCellMar>
      </w:tblPr>
      <w:tblGrid>
        <w:gridCol w:w="226"/>
        <w:gridCol w:w="1191"/>
        <w:gridCol w:w="8788"/>
      </w:tblGrid>
      <w:tr>
        <w:trPr/>
        <w:tc>
          <w:tcPr>
            <w:tcW w:w="22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4.</w:t>
            </w:r>
          </w:p>
        </w:tc>
        <w:tc>
          <w:tcPr>
            <w:tcW w:w="8788" w:type="dxa"/>
            <w:tcBorders/>
            <w:vAlign w:val="center"/>
          </w:tcPr>
          <w:p>
            <w:pPr>
              <w:pStyle w:val="TableContents"/>
              <w:bidi w:val="0"/>
              <w:spacing w:before="0" w:after="283"/>
              <w:jc w:val="both"/>
              <w:rPr/>
            </w:pPr>
            <w:r>
              <w:rPr/>
              <w:t>Huw S. Bower</w:t>
            </w:r>
          </w:p>
        </w:tc>
      </w:tr>
    </w:tbl>
    <w:tbl>
      <w:tblPr>
        <w:tblW w:w="5000" w:type="pct"/>
        <w:jc w:val="left"/>
        <w:tblInd w:w="0" w:type="dxa"/>
        <w:tblLayout w:type="fixed"/>
        <w:tblCellMar>
          <w:top w:w="0" w:type="dxa"/>
          <w:left w:w="0" w:type="dxa"/>
          <w:bottom w:w="0" w:type="dxa"/>
          <w:right w:w="0" w:type="dxa"/>
        </w:tblCellMar>
      </w:tblPr>
      <w:tblGrid>
        <w:gridCol w:w="218"/>
        <w:gridCol w:w="1151"/>
        <w:gridCol w:w="8836"/>
      </w:tblGrid>
      <w:tr>
        <w:trPr/>
        <w:tc>
          <w:tcPr>
            <w:tcW w:w="21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pPr>
            <w:r>
              <w:rPr/>
              <w:t>5.</w:t>
            </w:r>
          </w:p>
        </w:tc>
        <w:tc>
          <w:tcPr>
            <w:tcW w:w="8836" w:type="dxa"/>
            <w:tcBorders/>
            <w:vAlign w:val="center"/>
          </w:tcPr>
          <w:p>
            <w:pPr>
              <w:pStyle w:val="TableContents"/>
              <w:bidi w:val="0"/>
              <w:spacing w:before="0" w:after="283"/>
              <w:jc w:val="both"/>
              <w:rPr/>
            </w:pPr>
            <w:r>
              <w:rPr/>
              <w:t>Donald J. Clark</w:t>
            </w:r>
          </w:p>
        </w:tc>
      </w:tr>
    </w:tbl>
    <w:tbl>
      <w:tblPr>
        <w:tblW w:w="5000" w:type="pct"/>
        <w:jc w:val="left"/>
        <w:tblInd w:w="0" w:type="dxa"/>
        <w:tblLayout w:type="fixed"/>
        <w:tblCellMar>
          <w:top w:w="0" w:type="dxa"/>
          <w:left w:w="0" w:type="dxa"/>
          <w:bottom w:w="0" w:type="dxa"/>
          <w:right w:w="0" w:type="dxa"/>
        </w:tblCellMar>
      </w:tblPr>
      <w:tblGrid>
        <w:gridCol w:w="201"/>
        <w:gridCol w:w="1061"/>
        <w:gridCol w:w="8943"/>
      </w:tblGrid>
      <w:tr>
        <w:trPr/>
        <w:tc>
          <w:tcPr>
            <w:tcW w:w="20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pPr>
            <w:r>
              <w:rPr/>
              <w:t>6.</w:t>
            </w:r>
          </w:p>
        </w:tc>
        <w:tc>
          <w:tcPr>
            <w:tcW w:w="8943" w:type="dxa"/>
            <w:tcBorders/>
            <w:vAlign w:val="center"/>
          </w:tcPr>
          <w:p>
            <w:pPr>
              <w:pStyle w:val="TableContents"/>
              <w:bidi w:val="0"/>
              <w:spacing w:before="0" w:after="283"/>
              <w:jc w:val="both"/>
              <w:rPr/>
            </w:pPr>
            <w:r>
              <w:rPr/>
              <w:t>Bryan L. Hughes</w:t>
            </w:r>
          </w:p>
        </w:tc>
      </w:tr>
    </w:tbl>
    <w:tbl>
      <w:tblPr>
        <w:tblW w:w="5000" w:type="pct"/>
        <w:jc w:val="left"/>
        <w:tblInd w:w="0" w:type="dxa"/>
        <w:tblLayout w:type="fixed"/>
        <w:tblCellMar>
          <w:top w:w="0" w:type="dxa"/>
          <w:left w:w="0" w:type="dxa"/>
          <w:bottom w:w="0" w:type="dxa"/>
          <w:right w:w="0" w:type="dxa"/>
        </w:tblCellMar>
      </w:tblPr>
      <w:tblGrid>
        <w:gridCol w:w="226"/>
        <w:gridCol w:w="1191"/>
        <w:gridCol w:w="8788"/>
      </w:tblGrid>
      <w:tr>
        <w:trPr/>
        <w:tc>
          <w:tcPr>
            <w:tcW w:w="22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7.</w:t>
            </w:r>
          </w:p>
        </w:tc>
        <w:tc>
          <w:tcPr>
            <w:tcW w:w="8788" w:type="dxa"/>
            <w:tcBorders/>
            <w:vAlign w:val="center"/>
          </w:tcPr>
          <w:p>
            <w:pPr>
              <w:pStyle w:val="TableContents"/>
              <w:bidi w:val="0"/>
              <w:spacing w:before="0" w:after="283"/>
              <w:jc w:val="both"/>
              <w:rPr/>
            </w:pPr>
            <w:r>
              <w:rPr/>
              <w:t>Casey Tubman</w:t>
            </w:r>
          </w:p>
        </w:tc>
      </w:tr>
    </w:tbl>
    <w:tbl>
      <w:tblPr>
        <w:tblW w:w="5000" w:type="pct"/>
        <w:jc w:val="left"/>
        <w:tblInd w:w="0" w:type="dxa"/>
        <w:tblLayout w:type="fixed"/>
        <w:tblCellMar>
          <w:top w:w="0" w:type="dxa"/>
          <w:left w:w="0" w:type="dxa"/>
          <w:bottom w:w="0" w:type="dxa"/>
          <w:right w:w="0" w:type="dxa"/>
        </w:tblCellMar>
      </w:tblPr>
      <w:tblGrid>
        <w:gridCol w:w="174"/>
        <w:gridCol w:w="918"/>
        <w:gridCol w:w="9113"/>
      </w:tblGrid>
      <w:tr>
        <w:trPr/>
        <w:tc>
          <w:tcPr>
            <w:tcW w:w="17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pPr>
            <w:r>
              <w:rPr/>
              <w:t>8.</w:t>
            </w:r>
          </w:p>
        </w:tc>
        <w:tc>
          <w:tcPr>
            <w:tcW w:w="9113" w:type="dxa"/>
            <w:tcBorders/>
            <w:vAlign w:val="center"/>
          </w:tcPr>
          <w:p>
            <w:pPr>
              <w:pStyle w:val="TableContents"/>
              <w:bidi w:val="0"/>
              <w:spacing w:before="0" w:after="283"/>
              <w:jc w:val="both"/>
              <w:rPr/>
            </w:pPr>
            <w:r>
              <w:rPr/>
              <w:t>Christopher D. West</w:t>
            </w:r>
          </w:p>
        </w:tc>
      </w:tr>
    </w:tbl>
    <w:tbl>
      <w:tblPr>
        <w:tblW w:w="5000" w:type="pct"/>
        <w:jc w:val="left"/>
        <w:tblInd w:w="0" w:type="dxa"/>
        <w:tblLayout w:type="fixed"/>
        <w:tblCellMar>
          <w:top w:w="0" w:type="dxa"/>
          <w:left w:w="0" w:type="dxa"/>
          <w:bottom w:w="0" w:type="dxa"/>
          <w:right w:w="0" w:type="dxa"/>
        </w:tblCellMar>
      </w:tblPr>
      <w:tblGrid>
        <w:gridCol w:w="198"/>
        <w:gridCol w:w="1045"/>
        <w:gridCol w:w="8962"/>
      </w:tblGrid>
      <w:tr>
        <w:trPr/>
        <w:tc>
          <w:tcPr>
            <w:tcW w:w="19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pPr>
            <w:r>
              <w:rPr/>
              <w:t>9.</w:t>
            </w:r>
          </w:p>
        </w:tc>
        <w:tc>
          <w:tcPr>
            <w:tcW w:w="8962" w:type="dxa"/>
            <w:tcBorders/>
            <w:vAlign w:val="center"/>
          </w:tcPr>
          <w:p>
            <w:pPr>
              <w:pStyle w:val="TableContents"/>
              <w:bidi w:val="0"/>
              <w:spacing w:before="0" w:after="283"/>
              <w:jc w:val="both"/>
              <w:rPr/>
            </w:pPr>
            <w:r>
              <w:rPr/>
              <w:t>Bret A. Woodson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 (other than as listed above)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6"/>
        <w:gridCol w:w="1142"/>
        <w:gridCol w:w="8847"/>
      </w:tblGrid>
      <w:tr>
        <w:trPr/>
        <w:tc>
          <w:tcPr>
            <w:tcW w:w="21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pPr>
            <w:r>
              <w:rPr/>
              <w:t>1.</w:t>
            </w:r>
          </w:p>
        </w:tc>
        <w:tc>
          <w:tcPr>
            <w:tcW w:w="8847" w:type="dxa"/>
            <w:tcBorders/>
            <w:vAlign w:val="center"/>
          </w:tcPr>
          <w:p>
            <w:pPr>
              <w:pStyle w:val="TableContents"/>
              <w:bidi w:val="0"/>
              <w:spacing w:before="0" w:after="283"/>
              <w:jc w:val="both"/>
              <w:rPr/>
            </w:pPr>
            <w:r>
              <w:rPr/>
              <w:t>David W. Miles</w:t>
            </w:r>
          </w:p>
        </w:tc>
      </w:tr>
    </w:tbl>
    <w:tbl>
      <w:tblPr>
        <w:tblW w:w="5000" w:type="pct"/>
        <w:jc w:val="left"/>
        <w:tblInd w:w="0" w:type="dxa"/>
        <w:tblLayout w:type="fixed"/>
        <w:tblCellMar>
          <w:top w:w="0" w:type="dxa"/>
          <w:left w:w="0" w:type="dxa"/>
          <w:bottom w:w="0" w:type="dxa"/>
          <w:right w:w="0" w:type="dxa"/>
        </w:tblCellMar>
      </w:tblPr>
      <w:tblGrid>
        <w:gridCol w:w="184"/>
        <w:gridCol w:w="970"/>
        <w:gridCol w:w="9051"/>
      </w:tblGrid>
      <w:tr>
        <w:trPr/>
        <w:tc>
          <w:tcPr>
            <w:tcW w:w="18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pPr>
            <w:r>
              <w:rPr/>
              <w:t>2.</w:t>
            </w:r>
          </w:p>
        </w:tc>
        <w:tc>
          <w:tcPr>
            <w:tcW w:w="9051" w:type="dxa"/>
            <w:tcBorders/>
            <w:vAlign w:val="center"/>
          </w:tcPr>
          <w:p>
            <w:pPr>
              <w:pStyle w:val="TableContents"/>
              <w:bidi w:val="0"/>
              <w:spacing w:before="0" w:after="283"/>
              <w:jc w:val="both"/>
              <w:rPr/>
            </w:pPr>
            <w:r>
              <w:rPr/>
              <w:t>Sara E. Armbruster</w:t>
            </w:r>
          </w:p>
        </w:tc>
      </w:tr>
    </w:tbl>
    <w:tbl>
      <w:tblPr>
        <w:tblW w:w="5000" w:type="pct"/>
        <w:jc w:val="left"/>
        <w:tblInd w:w="0" w:type="dxa"/>
        <w:tblLayout w:type="fixed"/>
        <w:tblCellMar>
          <w:top w:w="0" w:type="dxa"/>
          <w:left w:w="0" w:type="dxa"/>
          <w:bottom w:w="0" w:type="dxa"/>
          <w:right w:w="0" w:type="dxa"/>
        </w:tblCellMar>
      </w:tblPr>
      <w:tblGrid>
        <w:gridCol w:w="173"/>
        <w:gridCol w:w="912"/>
        <w:gridCol w:w="9120"/>
      </w:tblGrid>
      <w:tr>
        <w:trPr/>
        <w:tc>
          <w:tcPr>
            <w:tcW w:w="17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pPr>
            <w:r>
              <w:rPr/>
              <w:t>3.</w:t>
            </w:r>
          </w:p>
        </w:tc>
        <w:tc>
          <w:tcPr>
            <w:tcW w:w="9120" w:type="dxa"/>
            <w:tcBorders/>
            <w:vAlign w:val="center"/>
          </w:tcPr>
          <w:p>
            <w:pPr>
              <w:pStyle w:val="TableContents"/>
              <w:bidi w:val="0"/>
              <w:spacing w:before="0" w:after="283"/>
              <w:jc w:val="both"/>
              <w:rPr/>
            </w:pPr>
            <w:r>
              <w:rPr/>
              <w:t>Christopher J. Braun</w:t>
            </w:r>
          </w:p>
        </w:tc>
      </w:tr>
    </w:tbl>
    <w:tbl>
      <w:tblPr>
        <w:tblW w:w="5000" w:type="pct"/>
        <w:jc w:val="left"/>
        <w:tblInd w:w="0" w:type="dxa"/>
        <w:tblLayout w:type="fixed"/>
        <w:tblCellMar>
          <w:top w:w="0" w:type="dxa"/>
          <w:left w:w="0" w:type="dxa"/>
          <w:bottom w:w="0" w:type="dxa"/>
          <w:right w:w="0" w:type="dxa"/>
        </w:tblCellMar>
      </w:tblPr>
      <w:tblGrid>
        <w:gridCol w:w="211"/>
        <w:gridCol w:w="1113"/>
        <w:gridCol w:w="8881"/>
      </w:tblGrid>
      <w:tr>
        <w:trPr/>
        <w:tc>
          <w:tcPr>
            <w:tcW w:w="21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pPr>
            <w:r>
              <w:rPr/>
              <w:t>4.</w:t>
            </w:r>
          </w:p>
        </w:tc>
        <w:tc>
          <w:tcPr>
            <w:tcW w:w="8881" w:type="dxa"/>
            <w:tcBorders/>
            <w:vAlign w:val="center"/>
          </w:tcPr>
          <w:p>
            <w:pPr>
              <w:pStyle w:val="TableContents"/>
              <w:bidi w:val="0"/>
              <w:spacing w:before="0" w:after="283"/>
              <w:jc w:val="both"/>
              <w:rPr/>
            </w:pPr>
            <w:r>
              <w:rPr/>
              <w:t>Kevin E. Bryant</w:t>
            </w:r>
          </w:p>
        </w:tc>
      </w:tr>
    </w:tbl>
    <w:tbl>
      <w:tblPr>
        <w:tblW w:w="5000" w:type="pct"/>
        <w:jc w:val="left"/>
        <w:tblInd w:w="0" w:type="dxa"/>
        <w:tblLayout w:type="fixed"/>
        <w:tblCellMar>
          <w:top w:w="0" w:type="dxa"/>
          <w:left w:w="0" w:type="dxa"/>
          <w:bottom w:w="0" w:type="dxa"/>
          <w:right w:w="0" w:type="dxa"/>
        </w:tblCellMar>
      </w:tblPr>
      <w:tblGrid>
        <w:gridCol w:w="198"/>
        <w:gridCol w:w="1045"/>
        <w:gridCol w:w="8962"/>
      </w:tblGrid>
      <w:tr>
        <w:trPr/>
        <w:tc>
          <w:tcPr>
            <w:tcW w:w="19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pPr>
            <w:r>
              <w:rPr/>
              <w:t>5.</w:t>
            </w:r>
          </w:p>
        </w:tc>
        <w:tc>
          <w:tcPr>
            <w:tcW w:w="8962" w:type="dxa"/>
            <w:tcBorders/>
            <w:vAlign w:val="center"/>
          </w:tcPr>
          <w:p>
            <w:pPr>
              <w:pStyle w:val="TableContents"/>
              <w:bidi w:val="0"/>
              <w:spacing w:before="0" w:after="283"/>
              <w:jc w:val="both"/>
              <w:rPr/>
            </w:pPr>
            <w:r>
              <w:rPr/>
              <w:t>William C. Fisher</w:t>
            </w:r>
          </w:p>
        </w:tc>
      </w:tr>
    </w:tbl>
    <w:tbl>
      <w:tblPr>
        <w:tblW w:w="5000" w:type="pct"/>
        <w:jc w:val="left"/>
        <w:tblInd w:w="0" w:type="dxa"/>
        <w:tblLayout w:type="fixed"/>
        <w:tblCellMar>
          <w:top w:w="0" w:type="dxa"/>
          <w:left w:w="0" w:type="dxa"/>
          <w:bottom w:w="0" w:type="dxa"/>
          <w:right w:w="0" w:type="dxa"/>
        </w:tblCellMar>
      </w:tblPr>
      <w:tblGrid>
        <w:gridCol w:w="230"/>
        <w:gridCol w:w="1212"/>
        <w:gridCol w:w="8763"/>
      </w:tblGrid>
      <w:tr>
        <w:trPr/>
        <w:tc>
          <w:tcPr>
            <w:tcW w:w="23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6.</w:t>
            </w:r>
          </w:p>
        </w:tc>
        <w:tc>
          <w:tcPr>
            <w:tcW w:w="8763" w:type="dxa"/>
            <w:tcBorders/>
            <w:vAlign w:val="center"/>
          </w:tcPr>
          <w:p>
            <w:pPr>
              <w:pStyle w:val="TableContents"/>
              <w:bidi w:val="0"/>
              <w:spacing w:before="0" w:after="283"/>
              <w:jc w:val="both"/>
              <w:rPr/>
            </w:pPr>
            <w:r>
              <w:rPr/>
              <w:t>Staci L. Kroon</w:t>
            </w:r>
          </w:p>
        </w:tc>
      </w:tr>
    </w:tbl>
    <w:tbl>
      <w:tblPr>
        <w:tblW w:w="5000" w:type="pct"/>
        <w:jc w:val="left"/>
        <w:tblInd w:w="0" w:type="dxa"/>
        <w:tblLayout w:type="fixed"/>
        <w:tblCellMar>
          <w:top w:w="0" w:type="dxa"/>
          <w:left w:w="0" w:type="dxa"/>
          <w:bottom w:w="0" w:type="dxa"/>
          <w:right w:w="0" w:type="dxa"/>
        </w:tblCellMar>
      </w:tblPr>
      <w:tblGrid>
        <w:gridCol w:w="204"/>
        <w:gridCol w:w="1078"/>
        <w:gridCol w:w="8923"/>
      </w:tblGrid>
      <w:tr>
        <w:trPr/>
        <w:tc>
          <w:tcPr>
            <w:tcW w:w="20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pPr>
            <w:r>
              <w:rPr/>
              <w:t>7.</w:t>
            </w:r>
          </w:p>
        </w:tc>
        <w:tc>
          <w:tcPr>
            <w:tcW w:w="8923" w:type="dxa"/>
            <w:tcBorders/>
            <w:vAlign w:val="center"/>
          </w:tcPr>
          <w:p>
            <w:pPr>
              <w:pStyle w:val="TableContents"/>
              <w:bidi w:val="0"/>
              <w:spacing w:before="0" w:after="283"/>
              <w:jc w:val="both"/>
              <w:rPr/>
            </w:pPr>
            <w:r>
              <w:rPr/>
              <w:t>Richard D. Moss</w:t>
            </w:r>
          </w:p>
        </w:tc>
      </w:tr>
    </w:tbl>
    <w:tbl>
      <w:tblPr>
        <w:tblW w:w="5000" w:type="pct"/>
        <w:jc w:val="left"/>
        <w:tblInd w:w="0" w:type="dxa"/>
        <w:tblLayout w:type="fixed"/>
        <w:tblCellMar>
          <w:top w:w="0" w:type="dxa"/>
          <w:left w:w="0" w:type="dxa"/>
          <w:bottom w:w="0" w:type="dxa"/>
          <w:right w:w="0" w:type="dxa"/>
        </w:tblCellMar>
      </w:tblPr>
      <w:tblGrid>
        <w:gridCol w:w="195"/>
        <w:gridCol w:w="1029"/>
        <w:gridCol w:w="8981"/>
      </w:tblGrid>
      <w:tr>
        <w:trPr/>
        <w:tc>
          <w:tcPr>
            <w:tcW w:w="19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pPr>
            <w:r>
              <w:rPr/>
              <w:t>8.</w:t>
            </w:r>
          </w:p>
        </w:tc>
        <w:tc>
          <w:tcPr>
            <w:tcW w:w="8981" w:type="dxa"/>
            <w:tcBorders/>
            <w:vAlign w:val="center"/>
          </w:tcPr>
          <w:p>
            <w:pPr>
              <w:pStyle w:val="TableContents"/>
              <w:bidi w:val="0"/>
              <w:spacing w:before="0" w:after="283"/>
              <w:jc w:val="both"/>
              <w:rPr/>
            </w:pPr>
            <w:r>
              <w:rPr/>
              <w:t>John M. Murabito</w:t>
            </w:r>
          </w:p>
        </w:tc>
      </w:tr>
    </w:tbl>
    <w:tbl>
      <w:tblPr>
        <w:tblW w:w="5000" w:type="pct"/>
        <w:jc w:val="left"/>
        <w:tblInd w:w="0" w:type="dxa"/>
        <w:tblLayout w:type="fixed"/>
        <w:tblCellMar>
          <w:top w:w="0" w:type="dxa"/>
          <w:left w:w="0" w:type="dxa"/>
          <w:bottom w:w="0" w:type="dxa"/>
          <w:right w:w="0" w:type="dxa"/>
        </w:tblCellMar>
      </w:tblPr>
      <w:tblGrid>
        <w:gridCol w:w="168"/>
        <w:gridCol w:w="888"/>
        <w:gridCol w:w="9149"/>
      </w:tblGrid>
      <w:tr>
        <w:trPr/>
        <w:tc>
          <w:tcPr>
            <w:tcW w:w="16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pPr>
            <w:r>
              <w:rPr/>
              <w:t>9.</w:t>
            </w:r>
          </w:p>
        </w:tc>
        <w:tc>
          <w:tcPr>
            <w:tcW w:w="9149" w:type="dxa"/>
            <w:tcBorders/>
            <w:vAlign w:val="center"/>
          </w:tcPr>
          <w:p>
            <w:pPr>
              <w:pStyle w:val="TableContents"/>
              <w:bidi w:val="0"/>
              <w:spacing w:before="0" w:after="283"/>
              <w:jc w:val="both"/>
              <w:rPr/>
            </w:pPr>
            <w:r>
              <w:rPr/>
              <w:t>Jacqueline D. Woods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w:t>
      </w:r>
      <w:r>
        <w:rPr>
          <w:rFonts w:ascii="Symbol" w:hAnsi="Symbol"/>
          <w:b/>
          <w:i w:val="false"/>
          <w:caps w:val="false"/>
          <w:smallCaps w:val="false"/>
          <w:sz w:val="20"/>
        </w:rPr>
        <w:t>·</w:t>
      </w:r>
      <w:r>
        <w:rPr>
          <w:rFonts w:ascii="Times New Roman;Times;Serif" w:hAnsi="Times New Roman;Times;Serif"/>
          <w:b/>
          <w:i w:val="false"/>
          <w:caps w:val="false"/>
          <w:smallCaps w:val="false"/>
          <w:sz w:val="20"/>
        </w:rPr>
        <w:t> ],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10282-2198.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BMO Capital Markets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West 42nd Street, 32nd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 stockholder, an officer and/or director of Winnebago Industries, Inc., a Minnesota corporation (the “Company”), understands that Goldman, Sachs &amp; Co. LLC and BMO Capital Markets Corp., Inc. (together, the “Purchasers”) propose to enter into a purchase agreement (the “Purchase Agreement”) with the Company providing for the private offering of Convertible Senior Notes due 2030 (the “Offering”), convertible into cash and, if applicable, shares of common stock, par value $0.50 per share, of the Company (the “Common Stock”), at the option of the Company, which will be offered pursuant to Rule 144A by means of an offering memorandum (the “Offering Memorandum”). In recognition of the benefit that such an offering will confer upon the undersigned as a an officer and/or director of the Company, and for other good and valuable consideration, the receipt and sufficiency of which are hereby acknowledged, the undersigned agrees with the Purchasers that, during the period beginning on the date hereof and ending on the date that is 90 days from the date of the Purchase Agreement (the “Lock-Up Period”), the undersigned will not, without the prior written consent of the Purchasers, except pursuant to the Purchase Agreement, (i) directly or indirectly, offer, pledge, sell, contract to sell, sell any option or contract to purchase, purchase any option or contract to sell, grant any option, right or warrant to purchase or otherwise transfer or dispose of any shares of the Company’s Common Stock or any securities convertible into or exercisable or exchangeable for Common Stock,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or cause to be filed any registration statement in connection therewith, under the Securities Act of 1933, as amended,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the Lock-Up Securities without the prior written consent of the Purchasers as follows, provided that (1) the Purchasers receive or have received a signed lock-up agreement for the balance of the lockup period from each donee, trustee, distributee, or transferee, as the case may be (except in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 of clauses (iv) and (v)), (2) any such transfer shall not involve a disposition for value (except in the case of clauses (iv) and (v)), (3) such transfers are not required during the Lock-Up Period to be reported with the Securities and Exchange Commission on Form 4 in accordance with Section 16 of the Securities Exchange Act of 1934, as amended (the “Exchange Act”) (except in the case of clauses (i), (iv), (v) and (vii)), and (4) the undersigned does not otherwise voluntarily effect any public filing or report regarding such transfers during the Lock-Up Period (except in the case of clauses (i), (iv), (v) and (vii)):</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488"/>
        <w:gridCol w:w="9585"/>
      </w:tblGrid>
      <w:tr>
        <w:trPr/>
        <w:tc>
          <w:tcPr>
            <w:tcW w:w="13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pPr>
            <w:r>
              <w:rPr/>
              <w:t>i.</w:t>
            </w:r>
          </w:p>
        </w:tc>
        <w:tc>
          <w:tcPr>
            <w:tcW w:w="9585" w:type="dxa"/>
            <w:tcBorders/>
            <w:vAlign w:val="center"/>
          </w:tcPr>
          <w:p>
            <w:pPr>
              <w:pStyle w:val="TableContents"/>
              <w:bidi w:val="0"/>
              <w:spacing w:before="0" w:after="283"/>
              <w:jc w:val="both"/>
              <w:rPr/>
            </w:pPr>
            <w:r>
              <w:rPr/>
              <w:t xml:space="preserve">as a </w:t>
            </w:r>
            <w:r>
              <w:rPr>
                <w:i/>
              </w:rPr>
              <w:t>bona fide</w:t>
            </w:r>
            <w:r>
              <w:rPr/>
              <w:t xml:space="preserve"> gift or gifts;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pPr>
            <w:r>
              <w:rPr/>
              <w:t>to any trust for the direct or indirect benefit of the undersigned or the immediate family of the undersigned (for purposes of this lock-up agreement, “immediate family” shall mean any relationship by blood, marriage or adoption, not more remote than first cousin);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07"/>
        <w:gridCol w:w="9854"/>
      </w:tblGrid>
      <w:tr>
        <w:trPr/>
        <w:tc>
          <w:tcPr>
            <w:tcW w:w="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iii.</w:t>
            </w:r>
          </w:p>
        </w:tc>
        <w:tc>
          <w:tcPr>
            <w:tcW w:w="9854" w:type="dxa"/>
            <w:tcBorders/>
            <w:vAlign w:val="center"/>
          </w:tcPr>
          <w:p>
            <w:pPr>
              <w:pStyle w:val="TableContents"/>
              <w:bidi w:val="0"/>
              <w:spacing w:before="0" w:after="283"/>
              <w:jc w:val="both"/>
              <w:rPr/>
            </w:pPr>
            <w:r>
              <w:rPr/>
              <w:t>as a distribution to limited partners, stockholders or equity holders of the undersigned;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8" w:type="dxa"/>
            <w:tcBorders/>
            <w:vAlign w:val="center"/>
          </w:tcPr>
          <w:p>
            <w:pPr>
              <w:pStyle w:val="TableContents"/>
              <w:bidi w:val="0"/>
              <w:spacing w:before="0" w:after="283"/>
              <w:jc w:val="both"/>
              <w:rPr/>
            </w:pPr>
            <w:r>
              <w:rPr/>
              <w:t>in connection with the withholding, receipt, exercise, cashless (or net) exercise (whether to cover exercise price, taxes or other fees and expenses), settlement, vesting or forfeiture of, or removal or lapse of restrictions on, any stock option, Common Stock issued upon exercise of a stock option, restricted share unit, restricted stock or other award pursuant to any employee benefit or director equity plan or agreement in existence as of the date hereof, so long as (x) such transaction or event does not involve the sale or transfer of any shares of Common Stock (other than from the undersigned to the Company), (y) any filing or public announcement made in connection therewith states that such transfer was to the Company in connection with such exercise or settlement, and (z) such right of exercise or settlement occurs or expires during the Lock-Up Period; provided, that for the avoidance of doubt, this clause (iv) will expressly permit the cashless exercise of stock options due to expire during the term of this Agreement; provided, further, that the net proceeds of such exercise following the sale or transfer of any shares of Common Stock to cover the exercise price, taxes or other fees and expenses, shall be held in shares of Common Stock;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8" w:type="dxa"/>
            <w:tcBorders/>
            <w:vAlign w:val="center"/>
          </w:tcPr>
          <w:p>
            <w:pPr>
              <w:pStyle w:val="TableContents"/>
              <w:bidi w:val="0"/>
              <w:spacing w:before="0" w:after="283"/>
              <w:jc w:val="both"/>
              <w:rPr/>
            </w:pPr>
            <w:r>
              <w:rPr/>
              <w:t>in connection with the withholding of Common Stock or restricted share units by the Company, at the direction of the undersigned, for the payment of taxes in connection with the vesting or settlement of a stock option, restricted share unit, restricted stock or other award pursuant to any employee benefit or director equity plan or agreement in existence as of the date hereof; provided, that (x) such transaction or event does not involve the sale or transfer of any shares of Common Stock or restricted share units (other than from the undersigned to the Company), (y) any filing or public announcement made in connection therewith states that such transfer was to the Company in connection with such exercise, and (z) such right of vesting or settlement occurs or expires during the Lock-Up Period;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9908" w:type="dxa"/>
            <w:tcBorders/>
            <w:vAlign w:val="center"/>
          </w:tcPr>
          <w:p>
            <w:pPr>
              <w:pStyle w:val="TableContents"/>
              <w:bidi w:val="0"/>
              <w:spacing w:before="0" w:after="283"/>
              <w:jc w:val="both"/>
              <w:rPr/>
            </w:pPr>
            <w:r>
              <w:rPr/>
              <w:t>in connection with the establishment of a trading plan pursuant to Rule 10b5-1 under the Exchange Act for the purchase of shares of Common Stock, provided, that such plan does not provide for the purchase of Common Stock during the Lock-Up Period and no public announcement or filing under the Exchange Act regarding the establishment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018" w:type="dxa"/>
        <w:jc w:val="left"/>
        <w:tblInd w:w="0" w:type="dxa"/>
        <w:tblLayout w:type="fixed"/>
        <w:tblCellMar>
          <w:top w:w="0" w:type="dxa"/>
          <w:left w:w="0" w:type="dxa"/>
          <w:bottom w:w="0" w:type="dxa"/>
          <w:right w:w="0" w:type="dxa"/>
        </w:tblCellMar>
      </w:tblPr>
      <w:tblGrid>
        <w:gridCol w:w="75"/>
        <w:gridCol w:w="23"/>
        <w:gridCol w:w="9920"/>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9920" w:type="dxa"/>
            <w:tcBorders/>
            <w:vAlign w:val="center"/>
          </w:tcPr>
          <w:p>
            <w:pPr>
              <w:pStyle w:val="TableContents"/>
              <w:bidi w:val="0"/>
              <w:spacing w:before="0" w:after="283"/>
              <w:jc w:val="both"/>
              <w:rPr/>
            </w:pPr>
            <w:r>
              <w:rPr/>
              <w:t>such plan shall be required of or voluntarily made by or on behalf of the undersigned or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vii.</w:t>
            </w:r>
          </w:p>
        </w:tc>
        <w:tc>
          <w:tcPr>
            <w:tcW w:w="9848" w:type="dxa"/>
            <w:tcBorders/>
            <w:vAlign w:val="center"/>
          </w:tcPr>
          <w:p>
            <w:pPr>
              <w:pStyle w:val="TableContents"/>
              <w:bidi w:val="0"/>
              <w:spacing w:before="0" w:after="283"/>
              <w:jc w:val="both"/>
              <w:rPr/>
            </w:pPr>
            <w:r>
              <w:rPr/>
              <w:t>to the undersigned’s affiliates or to any investment fund or other entity controlled, managed by the undersigned, provided that any filing or public announcement made in connection therewith states that such transfer was to the undersigned’s affiliates or to any investment fund or other entity controlled, managed by the undersigned.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undersigned may sell shares of Common Stock of the Company purchased by the undersigned on the open market following the Offering if and only if (i) such sales are not required during the Lock-Up Period to be reported in any public report or filing with the Securities and Exchange Commission, or otherwise and (ii) the undersigned does not otherwise voluntarily effect any public filing or report regarding such sales during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automatically terminate and become void upon the earlier to occur, if applicable of: (i) the termination of the Purchase Agreement prior to the consummation of the Offering and (ii) February 15, 2024 if the Purchase Agreement has not been executed by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also agrees and consents to the entry of stop transfer instructions with the Company’s transfer agent and registrar against the transfer of the Lock-Up Securities except in compliance with the foregoing restrictions.</w:t>
      </w:r>
    </w:p>
    <w:p>
      <w:pPr>
        <w:pStyle w:val="TextBody"/>
        <w:bidi w:val="0"/>
        <w:spacing w:before="0" w:after="0"/>
        <w:ind w:left="0" w:right="0" w:hanging="0"/>
        <w:jc w:val="left"/>
        <w:rPr>
          <w:caps w:val="false"/>
          <w:smallCaps w:val="false"/>
        </w:rPr>
      </w:pPr>
      <w:r>
        <w:rPr>
          <w:caps w:val="false"/>
          <w:smallCaps w:val="false"/>
        </w:rPr>
        <w:t> </w:t>
      </w:r>
    </w:p>
    <w:tbl>
      <w:tblPr>
        <w:tblW w:w="1474" w:type="dxa"/>
        <w:jc w:val="left"/>
        <w:tblInd w:w="0" w:type="dxa"/>
        <w:tblLayout w:type="fixed"/>
        <w:tblCellMar>
          <w:top w:w="0" w:type="dxa"/>
          <w:left w:w="0" w:type="dxa"/>
          <w:bottom w:w="0" w:type="dxa"/>
          <w:right w:w="0" w:type="dxa"/>
        </w:tblCellMar>
      </w:tblPr>
      <w:tblGrid>
        <w:gridCol w:w="75"/>
        <w:gridCol w:w="1300"/>
        <w:gridCol w:w="99"/>
      </w:tblGrid>
      <w:tr>
        <w:trPr/>
        <w:tc>
          <w:tcPr>
            <w:tcW w:w="75"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9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6" w:name="tm243871d1_ex10-2.htm"/>
      <w:bookmarkStart w:id="27" w:name="kstm243871d1_ex102"/>
      <w:bookmarkEnd w:id="26"/>
      <w:bookmarkEnd w:id="27"/>
      <w:r>
        <w:rPr/>
        <w:t> </w:t>
      </w:r>
      <w:r>
        <w:br w:type="page"/>
      </w:r>
    </w:p>
    <w:p>
      <w:pPr>
        <w:pStyle w:val="TextBody"/>
        <w:bidi w:val="0"/>
        <w:spacing w:before="0" w:after="0"/>
        <w:ind w:left="0" w:right="0" w:hanging="0"/>
        <w:jc w:val="right"/>
        <w:rPr>
          <w:b/>
          <w:sz w:val="20"/>
        </w:rPr>
      </w:pPr>
      <w:r>
        <w:rPr>
          <w:b/>
          <w:sz w:val="20"/>
        </w:rPr>
        <w:t>Exhibit 10.2</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GOLDMAN SACHS &amp; CO. LLC | 200 WEST STREET | NEW YORK, NEW YORK 10282-2198 | TEL: 212-902-1000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Transaction</w:t>
      </w:r>
    </w:p>
    <w:p>
      <w:pPr>
        <w:pStyle w:val="TextBody"/>
        <w:bidi w:val="0"/>
        <w:spacing w:before="0" w:after="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575"/>
        <w:gridCol w:w="3515"/>
      </w:tblGrid>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w:t>
            </w:r>
          </w:p>
        </w:tc>
        <w:tc>
          <w:tcPr>
            <w:tcW w:w="351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Minnesota 55347</w:t>
            </w:r>
          </w:p>
        </w:tc>
      </w:tr>
      <w:tr>
        <w:trPr/>
        <w:tc>
          <w:tcPr>
            <w:tcW w:w="5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From:</w:t>
            </w:r>
          </w:p>
        </w:tc>
        <w:tc>
          <w:tcPr>
            <w:tcW w:w="351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r>
      <w:tr>
        <w:trPr/>
        <w:tc>
          <w:tcPr>
            <w:tcW w:w="5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Convertible Bond Hedge Transaction</w:t>
            </w:r>
          </w:p>
        </w:tc>
      </w:tr>
      <w:tr>
        <w:trPr/>
        <w:tc>
          <w:tcPr>
            <w:tcW w:w="5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3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18, 2024</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communication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set forth the terms and conditions of the above-referenced transaction entered into on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between Goldman Sachs &amp; Co. LLC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Winnebago Industries, Inc.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Dealer is acting as principal in this Transaction and BMO Capital Markets Corp.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its affiliate, is acting as agent for this Transaction solely in connection with Rule 15a-6 of the Exchange Act (as defined herein), as amended. This communication constitutes a “Confirmation” as referred to in the ISDA Master Agreement specified below.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Confirmation is subject to, and incorporates, the definitions and provisions of the 2006 ISDA Definitions (the “</w:t>
      </w:r>
      <w:r>
        <w:rPr>
          <w:rFonts w:ascii="Times New Roman;Times;Serif" w:hAnsi="Times New Roman;Times;Serif"/>
          <w:b/>
          <w:i w:val="false"/>
          <w:caps w:val="false"/>
          <w:smallCaps w:val="false"/>
          <w:sz w:val="20"/>
        </w:rPr>
        <w:t>2006 Definitions</w:t>
      </w:r>
      <w:r>
        <w:rPr>
          <w:rFonts w:ascii="Times New Roman;Times;Serif" w:hAnsi="Times New Roman;Times;Serif"/>
          <w:b w:val="false"/>
          <w:i w:val="false"/>
          <w:caps w:val="false"/>
          <w:smallCaps w:val="false"/>
          <w:sz w:val="20"/>
        </w:rPr>
        <w:t>”) and the definitions and provisions of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together with the 2006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Certain defined terms used herein have the meanings assigned to them in the Indenture to be dated as of January 23, 2024 between Counterparty and U.S. Bank Trust Company, National Association, as trustee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relating to the USD 300,000,000 principal amount of 3.25% Convertible Senior Notes due 2030 (the “</w:t>
      </w:r>
      <w:r>
        <w:rPr>
          <w:rFonts w:ascii="Times New Roman;Times;Serif" w:hAnsi="Times New Roman;Times;Serif"/>
          <w:b/>
          <w:i w:val="false"/>
          <w:caps w:val="false"/>
          <w:smallCaps w:val="false"/>
          <w:sz w:val="20"/>
        </w:rPr>
        <w:t>Base Convertible Securities</w:t>
      </w:r>
      <w:r>
        <w:rPr>
          <w:rFonts w:ascii="Times New Roman;Times;Serif" w:hAnsi="Times New Roman;Times;Serif"/>
          <w:b w:val="false"/>
          <w:i w:val="false"/>
          <w:caps w:val="false"/>
          <w:smallCaps w:val="false"/>
          <w:sz w:val="20"/>
        </w:rPr>
        <w:t>”) and the additional USD 50,000,000 principal amount of 3.25% Convertible Senior Notes due 2030 that may be issued pursuant to the option to purchase additional convertible securities (the “</w:t>
      </w:r>
      <w:r>
        <w:rPr>
          <w:rFonts w:ascii="Times New Roman;Times;Serif" w:hAnsi="Times New Roman;Times;Serif"/>
          <w:b/>
          <w:i w:val="false"/>
          <w:caps w:val="false"/>
          <w:smallCaps w:val="false"/>
          <w:sz w:val="20"/>
        </w:rPr>
        <w:t>Optional Convertible Securities</w:t>
      </w:r>
      <w:r>
        <w:rPr>
          <w:rFonts w:ascii="Times New Roman;Times;Serif" w:hAnsi="Times New Roman;Times;Serif"/>
          <w:b w:val="false"/>
          <w:i w:val="false"/>
          <w:caps w:val="false"/>
          <w:smallCaps w:val="false"/>
          <w:sz w:val="20"/>
        </w:rPr>
        <w:t>” and, together with the Base Convertible Securities, the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In the event of any inconsistency between the terms defined in the Indenture and this Confirmation, this Confirmation shall govern. For the avoidance of doubt, references herein to sections of, or definitions set forth in, the Indenture are based on the draft of the Indenture most recently reviewed by the parties at the time of execution of this Confirmation. If any relevant sections of, or definitions set forth in, the Indenture are changed, added or renumbered between the execution of this Confirmation and the execution of the Indenture, the parties will amend this Confirmation in good faith to preserve the economic intent of the parties, as evidenced by such draft of the Indenture. Subject to the foregoing, the parties acknowledge that references to the Indenture herein are references to the Indenture as in effect on the date of its execution and if the Indenture is, or the Convertible Securities are, amended, modified or supplemented following the date of their execution, any such amendment, modification or supplement (other than any amendment, modification or supplement pursuant to a Merger Supplemental Indenture (as defined below)) will be disregarded for purposes of this Confirmation unless the parties agree otherwise in writing.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evidences a complete and binding agreement between Dealer and Counterparty as to the terms of the Transaction to which this Confirmation relates. This Confirmation shall be subject to an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as the Termination Currency, (ii) the replacement of the word “third” in the last line of Section 5(a)(i) of the Agreement with the word “first”, and (iii) (a) the election that the “Cross Default” provisions of Section 5(a)(vi) of the Agreement shall apply to Counterparty with a “Threshold Amount” of USD35.0 million) (b) </w:t>
      </w:r>
      <w:r>
        <w:rPr>
          <w:rFonts w:ascii="Times New Roman;Times;Serif" w:hAnsi="Times New Roman;Times;Serif"/>
          <w:b w:val="false"/>
          <w:i w:val="false"/>
          <w:caps w:val="false"/>
          <w:smallCaps w:val="false"/>
          <w:sz w:val="20"/>
          <w:shd w:fill="FFFFFF" w:val="clear"/>
        </w:rPr>
        <w:t> the phrase “,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constitutes a Share Option Transaction for purposes of the Equity Definitions. The terms of the particular Transaction to which this Confirmation relates are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Terms: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5"/>
        <w:gridCol w:w="60"/>
        <w:gridCol w:w="8550"/>
      </w:tblGrid>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Date:</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18, 2024</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Date:</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closing date of the initial issuance of the Convertible Securities.</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 Style:</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Modified American, as described under “Procedures for Exercise” below.</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 Type:</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Seller: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Dealer</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Buyer: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Counterparty</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Shares: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The Common Stock of Counterparty, par value USD0.50 (Ticker Symbol: “WGO”).</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Percentage:</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 1/3%</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Options:</w:t>
            </w:r>
          </w:p>
        </w:tc>
        <w:tc>
          <w:tcPr>
            <w:tcW w:w="60" w:type="dxa"/>
            <w:tcBorders/>
            <w:vAlign w:val="center"/>
          </w:tcPr>
          <w:p>
            <w:pPr>
              <w:pStyle w:val="TableContents"/>
              <w:bidi w:val="0"/>
              <w:spacing w:before="0" w:after="283"/>
              <w:jc w:val="left"/>
              <w:rPr/>
            </w:pPr>
            <w:r>
              <w:rPr/>
              <w:t> </w:t>
            </w:r>
          </w:p>
        </w:tc>
        <w:tc>
          <w:tcPr>
            <w:tcW w:w="8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Base Convertible Securities in denominations of USD1,000 principal amount issued by Counterparty on the closing date for the initial</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7"/>
        <w:gridCol w:w="60"/>
        <w:gridCol w:w="8578"/>
      </w:tblGrid>
      <w:tr>
        <w:trPr/>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of the Convertible Securities. For the avoidance of doubt, the Number of Options outstanding shall be reduced by each exercise of Options hereunder.</w:t>
            </w:r>
          </w:p>
        </w:tc>
      </w:tr>
      <w:tr>
        <w:trPr/>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pPr>
            <w:r>
              <w:rPr/>
              <w:t> </w:t>
            </w:r>
          </w:p>
        </w:tc>
      </w:tr>
      <w:tr>
        <w:trPr/>
        <w:tc>
          <w:tcPr>
            <w:tcW w:w="15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 Entitlement:</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11.3724</w:t>
            </w:r>
          </w:p>
        </w:tc>
      </w:tr>
      <w:tr>
        <w:trPr/>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pPr>
            <w:r>
              <w:rPr/>
              <w:t> </w:t>
            </w:r>
          </w:p>
        </w:tc>
      </w:tr>
      <w:tr>
        <w:trPr/>
        <w:tc>
          <w:tcPr>
            <w:tcW w:w="15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Fundamental Change Adjustment:</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adjustment to the Conversion Rate pursuant to Section 5.07 of the Indenture.</w:t>
            </w:r>
          </w:p>
        </w:tc>
      </w:tr>
      <w:tr>
        <w:trPr/>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pPr>
            <w:r>
              <w:rPr/>
              <w:t> </w:t>
            </w:r>
          </w:p>
        </w:tc>
      </w:tr>
      <w:tr>
        <w:trPr/>
        <w:tc>
          <w:tcPr>
            <w:tcW w:w="15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Discretionary Adjustment:</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adjustment to the Conversion Rate pursuant to Section 5.06 of the Indenture.</w:t>
            </w:r>
          </w:p>
        </w:tc>
      </w:tr>
      <w:tr>
        <w:trPr/>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pPr>
            <w:r>
              <w:rPr/>
              <w:t> </w:t>
            </w:r>
          </w:p>
        </w:tc>
      </w:tr>
      <w:tr>
        <w:trPr/>
        <w:tc>
          <w:tcPr>
            <w:tcW w:w="15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Strike Price:</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USD87.9322</w:t>
            </w:r>
          </w:p>
        </w:tc>
      </w:tr>
      <w:tr>
        <w:trPr/>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pPr>
            <w:r>
              <w:rPr/>
              <w:t> </w:t>
            </w:r>
          </w:p>
        </w:tc>
      </w:tr>
      <w:tr>
        <w:trPr/>
        <w:tc>
          <w:tcPr>
            <w:tcW w:w="15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Rounding of Strike Price/</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pPr>
            <w:r>
              <w:rPr/>
              <w:t> </w:t>
            </w:r>
          </w:p>
        </w:tc>
      </w:tr>
      <w:tr>
        <w:trPr/>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pPr>
            <w:r>
              <w:rPr/>
              <w:t> </w:t>
            </w:r>
          </w:p>
        </w:tc>
      </w:tr>
      <w:tr>
        <w:trPr/>
        <w:tc>
          <w:tcPr>
            <w:tcW w:w="15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 Entitlement:</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connection with any adjustment to the Option Entitlement or Strike Price, the Option Entitlement or the Strike Price, as the case may be, shall be rounded by the Calculation Agent in accordance with the provisions of the Indenture relating to rounding of the “Conversion Price” or the “Conversion Rate” as applicable (each as defined in the Indenture).</w:t>
            </w:r>
          </w:p>
        </w:tc>
      </w:tr>
      <w:tr>
        <w:trPr/>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pPr>
            <w:r>
              <w:rPr/>
              <w:t> </w:t>
            </w:r>
          </w:p>
        </w:tc>
      </w:tr>
      <w:tr>
        <w:trPr/>
        <w:tc>
          <w:tcPr>
            <w:tcW w:w="15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any date, a number of Shares equal to the product of (i) the Applicable Percentage, (ii) the Number of Options and (iii) the Option Entitlement.</w:t>
            </w:r>
          </w:p>
        </w:tc>
      </w:tr>
      <w:tr>
        <w:trPr/>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pPr>
            <w:r>
              <w:rPr/>
              <w:t> </w:t>
            </w:r>
          </w:p>
        </w:tc>
      </w:tr>
      <w:tr>
        <w:trPr/>
        <w:tc>
          <w:tcPr>
            <w:tcW w:w="15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Premium:</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USD19,620,000.00</w:t>
            </w:r>
          </w:p>
        </w:tc>
      </w:tr>
      <w:tr>
        <w:trPr/>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pPr>
            <w:r>
              <w:rPr/>
              <w:t> </w:t>
            </w:r>
          </w:p>
        </w:tc>
      </w:tr>
      <w:tr>
        <w:trPr/>
        <w:tc>
          <w:tcPr>
            <w:tcW w:w="15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Premium Payment Date:</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Effective Date</w:t>
            </w:r>
          </w:p>
        </w:tc>
      </w:tr>
      <w:tr>
        <w:trPr/>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pPr>
            <w:r>
              <w:rPr/>
              <w:t> </w:t>
            </w:r>
          </w:p>
        </w:tc>
      </w:tr>
      <w:tr>
        <w:trPr/>
        <w:tc>
          <w:tcPr>
            <w:tcW w:w="15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pPr>
            <w:r>
              <w:rPr/>
              <w:t>The New York Stock Exchange</w:t>
            </w:r>
          </w:p>
        </w:tc>
      </w:tr>
      <w:tr>
        <w:trPr/>
        <w:tc>
          <w:tcPr>
            <w:tcW w:w="15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pPr>
            <w:r>
              <w:rPr/>
              <w:t> </w:t>
            </w:r>
          </w:p>
        </w:tc>
      </w:tr>
      <w:tr>
        <w:trPr/>
        <w:tc>
          <w:tcPr>
            <w:tcW w:w="15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Exchange:</w:t>
            </w:r>
          </w:p>
        </w:tc>
        <w:tc>
          <w:tcPr>
            <w:tcW w:w="60" w:type="dxa"/>
            <w:tcBorders/>
            <w:vAlign w:val="center"/>
          </w:tcPr>
          <w:p>
            <w:pPr>
              <w:pStyle w:val="TableContents"/>
              <w:bidi w:val="0"/>
              <w:spacing w:before="0" w:after="283"/>
              <w:jc w:val="left"/>
              <w:rPr/>
            </w:pPr>
            <w:r>
              <w:rPr/>
              <w:t> </w:t>
            </w:r>
          </w:p>
        </w:tc>
        <w:tc>
          <w:tcPr>
            <w:tcW w:w="8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Exchanges</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Procedures for Exercise: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5"/>
        <w:gridCol w:w="60"/>
        <w:gridCol w:w="8350"/>
      </w:tblGrid>
      <w:tr>
        <w:trPr/>
        <w:tc>
          <w:tcPr>
            <w:tcW w:w="1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Dates:</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Conversion Date.</w:t>
            </w:r>
          </w:p>
        </w:tc>
      </w:tr>
      <w:tr>
        <w:trPr/>
        <w:tc>
          <w:tcPr>
            <w:tcW w:w="1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Date:</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“Conversion Date” (as defined in the Indenture) occurring during the Exercise Period for Convertible Securities each in denominations of USD1,000 principal amount (such Convertible Securities, the “</w:t>
            </w:r>
            <w:r>
              <w:rPr>
                <w:rFonts w:ascii="Times New Roman;Times;Serif" w:hAnsi="Times New Roman;Times;Serif"/>
                <w:b/>
                <w:sz w:val="20"/>
              </w:rPr>
              <w:t>Relevant Convertible Securities</w:t>
            </w:r>
            <w:r>
              <w:rPr>
                <w:rFonts w:ascii="Times New Roman;Times;Serif" w:hAnsi="Times New Roman;Times;Serif"/>
                <w:sz w:val="20"/>
              </w:rPr>
              <w:t>” for such Conversion Date).</w:t>
            </w:r>
          </w:p>
        </w:tc>
      </w:tr>
      <w:tr>
        <w:trPr/>
        <w:tc>
          <w:tcPr>
            <w:tcW w:w="1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Period:</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period from and excluding the Effective Date to, and including, the Expiration Date.</w:t>
            </w:r>
          </w:p>
        </w:tc>
      </w:tr>
      <w:tr>
        <w:trPr/>
        <w:tc>
          <w:tcPr>
            <w:tcW w:w="1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Expiration Date:</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earlier of (i) the last day on which any Convertible Securities remain outstanding and (ii) the second “Scheduled Trading Day” (as defined in the Indenture) immediately preceding the “Maturity Date” (as defined in the Indenture).</w:t>
            </w:r>
          </w:p>
        </w:tc>
      </w:tr>
      <w:tr>
        <w:trPr/>
        <w:tc>
          <w:tcPr>
            <w:tcW w:w="1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Automatic Exercise on Conversion Dates:</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and means that on each Conversion Date, a number of Options equal to the number of Relevant Convertible Securities for such Conversion Date in denominations of USD1,000 principal amount shall be automatically exercised, subject to “Notice of Exercise” below.</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8"/>
        <w:gridCol w:w="60"/>
        <w:gridCol w:w="9327"/>
      </w:tblGrid>
      <w:tr>
        <w:trPr/>
        <w:tc>
          <w:tcPr>
            <w:tcW w:w="8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Deadline:</w:t>
            </w:r>
          </w:p>
        </w:tc>
        <w:tc>
          <w:tcPr>
            <w:tcW w:w="6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respect of any exercise of Options hereunder on any Conversion Date, 5:00 P.M., New York City time, on (i) in the case the applicable Relevant Convertible Securities will be settled by Counterparty by delivery of Shares only (together with cash in lieu of any fractional Share), the “Trading Day” (as defined in the Indenture) immediately following the relevant Conversion Date, or (ii) otherwise, the Scheduled Trading Day immediately preceding the first day of the relevant Cash Settlement Averaging Period; </w:t>
            </w:r>
            <w:r>
              <w:rPr>
                <w:rFonts w:ascii="Times New Roman;Times;Serif" w:hAnsi="Times New Roman;Times;Serif"/>
                <w:i/>
                <w:sz w:val="20"/>
              </w:rPr>
              <w:t>provided</w:t>
            </w:r>
            <w:r>
              <w:rPr>
                <w:rFonts w:ascii="Times New Roman;Times;Serif" w:hAnsi="Times New Roman;Times;Serif"/>
                <w:sz w:val="20"/>
              </w:rPr>
              <w:t xml:space="preserve"> that in the case of any exercise of Options hereunder in connection with the conversion of any Relevant Convertible Securities for any Conversion Date occurring during the period from and including the 85th “Scheduled Trading Day” (as defined in the Indenture) prior to the Maturity Date, to and including the Expiration Date (such period, the “</w:t>
            </w:r>
            <w:r>
              <w:rPr>
                <w:rFonts w:ascii="Times New Roman;Times;Serif" w:hAnsi="Times New Roman;Times;Serif"/>
                <w:b/>
                <w:sz w:val="20"/>
              </w:rPr>
              <w:t>Final Conversion Period</w:t>
            </w:r>
            <w:r>
              <w:rPr>
                <w:rFonts w:ascii="Times New Roman;Times;Serif" w:hAnsi="Times New Roman;Times;Serif"/>
                <w:sz w:val="20"/>
              </w:rPr>
              <w:t>”), the Notice Deadline shall be 5:00 P.M., New York City time, on the “Scheduled Trading Day” (as defined in the Indenture) immediately preceding the “Maturity Date” (as defined in the Indenture).</w:t>
            </w:r>
          </w:p>
        </w:tc>
      </w:tr>
      <w:tr>
        <w:trPr/>
        <w:tc>
          <w:tcPr>
            <w:tcW w:w="8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r>
              <w:rPr/>
              <w:t> </w:t>
            </w:r>
          </w:p>
        </w:tc>
      </w:tr>
      <w:tr>
        <w:trPr/>
        <w:tc>
          <w:tcPr>
            <w:tcW w:w="8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Exercise:</w:t>
            </w:r>
          </w:p>
        </w:tc>
        <w:tc>
          <w:tcPr>
            <w:tcW w:w="6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Notwithstanding anything to the contrary in the Equity Definitions, Dealer shall have no obligation to make any payment or delivery in respect of any exercise of Options hereunder and such obligation in respect of such exercise shall be permanently extinguished unless Counterparty notifies Dealer in writing prior to the Notice Deadline in respect of such exercise, of (i) the number of Relevant Convertible Securities being converted on the related Conversion Date (specifying, if applicable, whether all or any portion of such Convertible Securities are Convertible Securities as to which additional Shares would be added to the Conversion Rate (as defined in the Indenture) pursuant to Section 5.07 of the Indenture), (ii) the scheduled settlement date under the Indenture for the Relevant Convertible Securities for such Conversion Date, (iii) whether such Relevant Convertible Securities will be settled by Counterparty by delivery of cash or a combination of cash and Shares and, if such a combination, the “Specified Dollar Amount” (as defined in the Indenture) and (iv) the first day of the relevant “Observation Period” (as defined in the Indenture), if any; </w:t>
            </w:r>
            <w:r>
              <w:rPr>
                <w:rFonts w:ascii="Times New Roman;Times;Serif" w:hAnsi="Times New Roman;Times;Serif"/>
                <w:i/>
                <w:sz w:val="20"/>
              </w:rPr>
              <w:t xml:space="preserve">provided </w:t>
            </w:r>
            <w:r>
              <w:rPr>
                <w:rFonts w:ascii="Times New Roman;Times;Serif" w:hAnsi="Times New Roman;Times;Serif"/>
                <w:sz w:val="20"/>
              </w:rPr>
              <w:t>that in the case of any exercise of Options in connection with the conversion of any Relevant Convertible Securities for any Conversion Date occurring during the Final Conversion Period, the contents of such notice shall be as set forth in clauses (i) and (ii) above. Counterparty acknowledges its responsibilities under applicable securities laws, and in particular Section 9 and Section 10(b) of the Exchange Act (as defined below) and the rules and regulations thereunder, in respect of any election of a</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7"/>
        <w:gridCol w:w="60"/>
        <w:gridCol w:w="8098"/>
      </w:tblGrid>
      <w:tr>
        <w:trPr/>
        <w:tc>
          <w:tcPr>
            <w:tcW w:w="2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method with respect to the Convertible Securities. For the avoidance of doubt, if Counterparty fails to give such notice when due in respect of any exercise of Options hereunder, Dealer’s obligation to make any payment or delivery in respect of such exercise shall be permanently extinguished, and late notice shall not cure such failure. If applicable, the Notice of Exercise shall also contain the Settlement Method Election Provisions.</w:t>
            </w:r>
          </w:p>
        </w:tc>
      </w:tr>
      <w:tr>
        <w:trPr/>
        <w:tc>
          <w:tcPr>
            <w:tcW w:w="2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98" w:type="dxa"/>
            <w:tcBorders/>
            <w:vAlign w:val="center"/>
          </w:tcPr>
          <w:p>
            <w:pPr>
              <w:pStyle w:val="TableContents"/>
              <w:bidi w:val="0"/>
              <w:spacing w:before="0" w:after="283"/>
              <w:jc w:val="left"/>
              <w:rPr/>
            </w:pPr>
            <w:r>
              <w:rPr/>
              <w:t> </w:t>
            </w:r>
          </w:p>
        </w:tc>
      </w:tr>
      <w:tr>
        <w:trPr/>
        <w:tc>
          <w:tcPr>
            <w:tcW w:w="2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of Final Convertible Security Settlement Method:</w:t>
            </w:r>
          </w:p>
        </w:tc>
        <w:tc>
          <w:tcPr>
            <w:tcW w:w="60" w:type="dxa"/>
            <w:tcBorders/>
            <w:vAlign w:val="center"/>
          </w:tcPr>
          <w:p>
            <w:pPr>
              <w:pStyle w:val="TableContents"/>
              <w:bidi w:val="0"/>
              <w:spacing w:before="0" w:after="283"/>
              <w:jc w:val="left"/>
              <w:rPr/>
            </w:pPr>
            <w:r>
              <w:rPr/>
              <w:t> </w:t>
            </w:r>
          </w:p>
        </w:tc>
        <w:tc>
          <w:tcPr>
            <w:tcW w:w="80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Counterparty shall notify Dealer in writing before 5:00 P.M., New York City time, on the “Scheduled Trading Day” (as defined in the Indenture) immediately preceding the 85</w:t>
            </w:r>
            <w:r>
              <w:rPr>
                <w:rFonts w:ascii="Times New Roman;Times;Serif" w:hAnsi="Times New Roman;Times;Serif"/>
                <w:position w:val="7"/>
                <w:sz w:val="16"/>
                <w:sz w:val="20"/>
              </w:rPr>
              <w:t>th</w:t>
            </w:r>
            <w:r>
              <w:rPr>
                <w:rFonts w:ascii="Times New Roman;Times;Serif" w:hAnsi="Times New Roman;Times;Serif"/>
                <w:sz w:val="20"/>
              </w:rPr>
              <w:t xml:space="preserve"> “Scheduled Trading Day” (as defined in the Indenture) prior to the Maturity Date of the settlement method (and, if applicable, the Specified Dollar Amount) elected (or deemed to be elected) with respect to Relevant Convertible Securities with a Conversion Date occurring during the Final Conversion Period (any such notice, a “</w:t>
            </w:r>
            <w:r>
              <w:rPr>
                <w:rFonts w:ascii="Times New Roman;Times;Serif" w:hAnsi="Times New Roman;Times;Serif"/>
                <w:b/>
                <w:sz w:val="20"/>
              </w:rPr>
              <w:t>Notice of Final Convertible Security Settlement Method</w:t>
            </w:r>
            <w:r>
              <w:rPr>
                <w:rFonts w:ascii="Times New Roman;Times;Serif" w:hAnsi="Times New Roman;Times;Serif"/>
                <w:sz w:val="20"/>
              </w:rPr>
              <w:t>”). If applicable, the Notice of Final Convertible Security Settlement Method shall also contain the Settlement Method Election Provisions.</w:t>
            </w:r>
          </w:p>
        </w:tc>
      </w:tr>
      <w:tr>
        <w:trPr/>
        <w:tc>
          <w:tcPr>
            <w:tcW w:w="2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98" w:type="dxa"/>
            <w:tcBorders/>
            <w:vAlign w:val="center"/>
          </w:tcPr>
          <w:p>
            <w:pPr>
              <w:pStyle w:val="TableContents"/>
              <w:bidi w:val="0"/>
              <w:spacing w:before="0" w:after="283"/>
              <w:jc w:val="left"/>
              <w:rPr/>
            </w:pPr>
            <w:r>
              <w:rPr/>
              <w:t> </w:t>
            </w:r>
          </w:p>
        </w:tc>
      </w:tr>
      <w:tr>
        <w:trPr/>
        <w:tc>
          <w:tcPr>
            <w:tcW w:w="2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Dealer’s Telephone Number and Telex and/or Facsimile Number and Contact Details for purpose of Giving Notice:</w:t>
            </w:r>
          </w:p>
        </w:tc>
        <w:tc>
          <w:tcPr>
            <w:tcW w:w="60" w:type="dxa"/>
            <w:tcBorders/>
            <w:vAlign w:val="center"/>
          </w:tcPr>
          <w:p>
            <w:pPr>
              <w:pStyle w:val="TableContents"/>
              <w:bidi w:val="0"/>
              <w:spacing w:before="0" w:after="283"/>
              <w:jc w:val="left"/>
              <w:rPr/>
            </w:pPr>
            <w:r>
              <w:rPr/>
              <w:t> </w:t>
            </w:r>
          </w:p>
        </w:tc>
        <w:tc>
          <w:tcPr>
            <w:tcW w:w="8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specified in Section 6(b) below.</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Terms: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16"/>
        <w:gridCol w:w="60"/>
        <w:gridCol w:w="9029"/>
      </w:tblGrid>
      <w:tr>
        <w:trPr/>
        <w:tc>
          <w:tcPr>
            <w:tcW w:w="1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any Exercise Date, the date one Settlement Cycle following the final day of the relevant Cash Settlement Averaging Period; </w:t>
            </w:r>
            <w:r>
              <w:rPr>
                <w:rFonts w:ascii="Times New Roman;Times;Serif" w:hAnsi="Times New Roman;Times;Serif"/>
                <w:i/>
                <w:sz w:val="20"/>
              </w:rPr>
              <w:t>provided</w:t>
            </w:r>
            <w:r>
              <w:rPr>
                <w:rFonts w:ascii="Times New Roman;Times;Serif" w:hAnsi="Times New Roman;Times;Serif"/>
                <w:sz w:val="20"/>
              </w:rPr>
              <w:t xml:space="preserve"> that the Settlement Date shall not be prior to the Exchange Business Day immediately following the date Counterparty provides the Notice of Delivery Obligation prior to 5:00 P.M., New York City time.</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Obligation:</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lieu of the obligations set forth in Sections 8.1 and 9.1 of the Equity Definitions, and subject to “Notice of Exercise” above and “Discretionary Adjustments” , “Dividends” and “Consequences of Merger Events” below, in respect of an Exercise Date, Dealer will deliver to Counterparty on the related Settlement Date (the “</w:t>
            </w:r>
            <w:r>
              <w:rPr>
                <w:rFonts w:ascii="Times New Roman;Times;Serif" w:hAnsi="Times New Roman;Times;Serif"/>
                <w:b/>
                <w:sz w:val="20"/>
              </w:rPr>
              <w:t>Delivery Obligation</w:t>
            </w:r>
            <w:r>
              <w:rPr>
                <w:rFonts w:ascii="Times New Roman;Times;Serif" w:hAnsi="Times New Roman;Times;Serif"/>
                <w:sz w:val="20"/>
              </w:rPr>
              <w:t>”), amounts equal to the product of the Applicable Percentage and</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 (I) a number of Shares equal to the aggregate number of Shares, if any, that Counterparty would be obligated to deliver to the holder(s) of the Relevant Convertible Securities for such Conversion Date pursuant to Section 5.03 of the Indenture (except that such number of Shares shall be determined without taking into </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0"/>
        <w:gridCol w:w="60"/>
        <w:gridCol w:w="8965"/>
      </w:tblGrid>
      <w:tr>
        <w:trPr/>
        <w:tc>
          <w:tcPr>
            <w:tcW w:w="11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consideration any rounding pursuant to Section 5.03(B)(ii) of the Indenture and shall be rounded down to the nearest whole number) and (II) cash in lieu of any fractional Share resulting from such rounding; and/or</w:t>
            </w:r>
          </w:p>
        </w:tc>
      </w:tr>
      <w:tr>
        <w:trPr/>
        <w:tc>
          <w:tcPr>
            <w:tcW w:w="11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65" w:type="dxa"/>
            <w:tcBorders/>
            <w:vAlign w:val="center"/>
          </w:tcPr>
          <w:p>
            <w:pPr>
              <w:pStyle w:val="TableContents"/>
              <w:bidi w:val="0"/>
              <w:spacing w:before="0" w:after="283"/>
              <w:jc w:val="both"/>
              <w:rPr/>
            </w:pPr>
            <w:r>
              <w:rPr/>
              <w:t> </w:t>
            </w:r>
          </w:p>
        </w:tc>
      </w:tr>
      <w:tr>
        <w:trPr/>
        <w:tc>
          <w:tcPr>
            <w:tcW w:w="11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 the aggregate amount of cash, if any, in excess of the principal amount of the Relevant Convertible Securities that Counterparty would be obligated to deliver to holder(s) of the Relevant Convertible Securities for such Conversion Date pursuant to Section 5.03 of the Indenture, determined, for each of clauses (i) and (ii), by the Calculation Agent (by reference to such Sections of the Indenture)</w:t>
            </w:r>
          </w:p>
        </w:tc>
      </w:tr>
      <w:tr>
        <w:trPr/>
        <w:tc>
          <w:tcPr>
            <w:tcW w:w="11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65" w:type="dxa"/>
            <w:tcBorders/>
            <w:vAlign w:val="center"/>
          </w:tcPr>
          <w:p>
            <w:pPr>
              <w:pStyle w:val="TableContents"/>
              <w:bidi w:val="0"/>
              <w:spacing w:before="0" w:after="283"/>
              <w:jc w:val="both"/>
              <w:rPr/>
            </w:pPr>
            <w:r>
              <w:rPr/>
              <w:t> </w:t>
            </w:r>
          </w:p>
        </w:tc>
      </w:tr>
      <w:tr>
        <w:trPr/>
        <w:tc>
          <w:tcPr>
            <w:tcW w:w="11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if Counterparty had elected to satisfy its conversion obligation in respect of such Relevant Convertible Securities by the Applicable Settlement Method, notwithstanding any different actual election by Counterparty with respect to the settlement of such Relevant Convertible Securities; </w:t>
            </w:r>
            <w:r>
              <w:rPr>
                <w:rFonts w:ascii="Times New Roman;Times;Serif" w:hAnsi="Times New Roman;Times;Serif"/>
                <w:i/>
                <w:sz w:val="20"/>
              </w:rPr>
              <w:t>provided</w:t>
            </w:r>
            <w:r>
              <w:rPr>
                <w:rFonts w:ascii="Times New Roman;Times;Serif" w:hAnsi="Times New Roman;Times;Serif"/>
                <w:sz w:val="20"/>
              </w:rPr>
              <w:t xml:space="preserve"> that the Delivery Obligation shall be determined excluding any Shares and/or cash that Counterparty is obligated to deliver to holder(s) of the Relevant Convertible Securities as a direct or indirect result of any adjustments to the Conversion Rate pursuant to a Fundamental Change Adjustment or a Discretionary Adjustment and any interest payment that Counterparty is (or would have been) obligated to deliver to holder(s) of the Relevant Convertible Securities for such Conversion Date. Notwithstanding the foregoing, if, in respect of any Exercise Date, (x)(I) the number of Shares included in the Delivery Obligation </w:t>
            </w:r>
            <w:r>
              <w:rPr>
                <w:rFonts w:ascii="Times New Roman;Times;Serif" w:hAnsi="Times New Roman;Times;Serif"/>
                <w:i/>
                <w:sz w:val="20"/>
              </w:rPr>
              <w:t>multiplied by</w:t>
            </w:r>
            <w:r>
              <w:rPr>
                <w:rFonts w:ascii="Times New Roman;Times;Serif" w:hAnsi="Times New Roman;Times;Serif"/>
                <w:sz w:val="20"/>
              </w:rPr>
              <w:t xml:space="preserve"> the Share Obligation Value Price </w:t>
            </w:r>
            <w:r>
              <w:rPr>
                <w:rFonts w:ascii="Times New Roman;Times;Serif" w:hAnsi="Times New Roman;Times;Serif"/>
                <w:i/>
                <w:sz w:val="20"/>
              </w:rPr>
              <w:t>plus</w:t>
            </w:r>
            <w:r>
              <w:rPr>
                <w:rFonts w:ascii="Times New Roman;Times;Serif" w:hAnsi="Times New Roman;Times;Serif"/>
                <w:sz w:val="20"/>
              </w:rPr>
              <w:t xml:space="preserve"> (II) the amount of cash included in the Delivery Obligation, would otherwise exceed (y) the relevant Net Convertible Share Obligation Value, such number of Shares and such amount of cash shall be proportionately reduced to the extent necessary to eliminate such excess.</w:t>
            </w:r>
          </w:p>
        </w:tc>
      </w:tr>
      <w:tr>
        <w:trPr/>
        <w:tc>
          <w:tcPr>
            <w:tcW w:w="11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65" w:type="dxa"/>
            <w:tcBorders/>
            <w:vAlign w:val="center"/>
          </w:tcPr>
          <w:p>
            <w:pPr>
              <w:pStyle w:val="TableContents"/>
              <w:bidi w:val="0"/>
              <w:spacing w:before="0" w:after="283"/>
              <w:jc w:val="both"/>
              <w:rPr/>
            </w:pPr>
            <w:r>
              <w:rPr/>
              <w:t> </w:t>
            </w:r>
          </w:p>
        </w:tc>
      </w:tr>
      <w:tr>
        <w:trPr/>
        <w:tc>
          <w:tcPr>
            <w:tcW w:w="1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Make-Whole Adjustment:</w:t>
            </w:r>
          </w:p>
        </w:tc>
        <w:tc>
          <w:tcPr>
            <w:tcW w:w="60" w:type="dxa"/>
            <w:tcBorders/>
            <w:vAlign w:val="center"/>
          </w:tcPr>
          <w:p>
            <w:pPr>
              <w:pStyle w:val="TableContents"/>
              <w:bidi w:val="0"/>
              <w:spacing w:before="0" w:after="283"/>
              <w:jc w:val="both"/>
              <w:rPr/>
            </w:pPr>
            <w:r>
              <w:rPr/>
              <w:t> </w:t>
            </w:r>
          </w:p>
        </w:tc>
        <w:tc>
          <w:tcPr>
            <w:tcW w:w="8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Notwithstanding anything to the contrary herein, in respect of any exercise of Options relating to a conversion of Relevant Convertible Securities in connection with which holders of the Relevant Convertible Securities would be entitled to receive additional Shares and/or cash as a result of adjustments to the Conversion Rate pursuant to a Fundamental Change Adjustment, the Delivery Obligation shall include such additional Shares and/or cash; </w:t>
            </w:r>
            <w:r>
              <w:rPr>
                <w:rFonts w:ascii="Times New Roman;Times;Serif" w:hAnsi="Times New Roman;Times;Serif"/>
                <w:i/>
                <w:sz w:val="20"/>
              </w:rPr>
              <w:t>provided</w:t>
            </w:r>
            <w:r>
              <w:rPr>
                <w:rFonts w:ascii="Times New Roman;Times;Serif" w:hAnsi="Times New Roman;Times;Serif"/>
                <w:sz w:val="20"/>
              </w:rPr>
              <w:t xml:space="preserve"> that if the sum of (i) the product of (a) the number of Shares (if any) included in the Delivery Obligation per exercised Option and (b) the Share Obligation Value Price and (ii) the amount of cash (if any) included in the Delivery Obligation per exercised Option would otherwise</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0"/>
        <w:gridCol w:w="60"/>
        <w:gridCol w:w="8955"/>
      </w:tblGrid>
      <w:tr>
        <w:trPr/>
        <w:tc>
          <w:tcPr>
            <w:tcW w:w="11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exceed the amount per Option, as determined by the Calculation Agent, that would be payable by Dealer under Section 6 of the Agreement if (x) the relevant Conversion Date were an Early Termination Date resulting from an Additional Termination Event with respect to which the Transaction was the sole Affected Transaction and Counterparty was the sole Affected Party and (y) the provisions of the Indenture relating to the Fundamental Change Adjustment were deleted, then such number of Shares and such amount of cash shall be proportionately reduced to the extent necessary to eliminate such excess.</w:t>
            </w:r>
          </w:p>
        </w:tc>
      </w:tr>
      <w:tr>
        <w:trPr/>
        <w:tc>
          <w:tcPr>
            <w:tcW w:w="11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55" w:type="dxa"/>
            <w:tcBorders/>
            <w:vAlign w:val="center"/>
          </w:tcPr>
          <w:p>
            <w:pPr>
              <w:pStyle w:val="TableContents"/>
              <w:bidi w:val="0"/>
              <w:spacing w:before="0" w:after="283"/>
              <w:jc w:val="both"/>
              <w:rPr/>
            </w:pPr>
            <w:r>
              <w:rPr/>
              <w:t> </w:t>
            </w:r>
          </w:p>
        </w:tc>
      </w:tr>
      <w:tr>
        <w:trPr/>
        <w:tc>
          <w:tcPr>
            <w:tcW w:w="1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Settlement Method:</w:t>
            </w:r>
          </w:p>
        </w:tc>
        <w:tc>
          <w:tcPr>
            <w:tcW w:w="60" w:type="dxa"/>
            <w:tcBorders/>
            <w:vAlign w:val="center"/>
          </w:tcPr>
          <w:p>
            <w:pPr>
              <w:pStyle w:val="TableContents"/>
              <w:bidi w:val="0"/>
              <w:spacing w:before="0" w:after="283"/>
              <w:jc w:val="both"/>
              <w:rPr/>
            </w:pPr>
            <w:r>
              <w:rPr/>
              <w:t> </w:t>
            </w:r>
          </w:p>
        </w:tc>
        <w:tc>
          <w:tcPr>
            <w:tcW w:w="8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Relevant Convertible Securities, if such Notice of Exercise (or such Notice of Final Convertible Security Settlement Method, as the case may be) contains all of the Settlement Method Election Provisions, the Applicable Settlement Method shall be the settlement method actually so elected by Counterparty in respect of such Relevant Convertible Securities (the “</w:t>
            </w:r>
            <w:r>
              <w:rPr>
                <w:rFonts w:ascii="Times New Roman;Times;Serif" w:hAnsi="Times New Roman;Times;Serif"/>
                <w:b/>
                <w:sz w:val="20"/>
              </w:rPr>
              <w:t>Convertible Securities Settlement Method</w:t>
            </w:r>
            <w:r>
              <w:rPr>
                <w:rFonts w:ascii="Times New Roman;Times;Serif" w:hAnsi="Times New Roman;Times;Serif"/>
                <w:sz w:val="20"/>
              </w:rPr>
              <w:t>”); otherwise, the Applicable Settlement Method shall assume Counterparty had made a Cash Election with respect to such Relevant Convertible Securities (a “</w:t>
            </w:r>
            <w:r>
              <w:rPr>
                <w:rFonts w:ascii="Times New Roman;Times;Serif" w:hAnsi="Times New Roman;Times;Serif"/>
                <w:b/>
                <w:sz w:val="20"/>
              </w:rPr>
              <w:t>Deemed Cash Election</w:t>
            </w:r>
            <w:r>
              <w:rPr>
                <w:rFonts w:ascii="Times New Roman;Times;Serif" w:hAnsi="Times New Roman;Times;Serif"/>
                <w:sz w:val="20"/>
              </w:rPr>
              <w:t>”) with a Specified Dollar Amount of USD1,000 per Relevant Convertible Security and the Delivery Obligation shall be determined by the Calculation Agent as if the relevant “Observation Period” pursuant to Section 5.03(B)(i) of the Indenture were the Cash Settlement Averaging Period.</w:t>
            </w:r>
          </w:p>
        </w:tc>
      </w:tr>
      <w:tr>
        <w:trPr/>
        <w:tc>
          <w:tcPr>
            <w:tcW w:w="11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55" w:type="dxa"/>
            <w:tcBorders/>
            <w:vAlign w:val="center"/>
          </w:tcPr>
          <w:p>
            <w:pPr>
              <w:pStyle w:val="TableContents"/>
              <w:bidi w:val="0"/>
              <w:spacing w:before="0" w:after="283"/>
              <w:jc w:val="both"/>
              <w:rPr/>
            </w:pPr>
            <w:r>
              <w:rPr/>
              <w:t> </w:t>
            </w:r>
          </w:p>
        </w:tc>
      </w:tr>
      <w:tr>
        <w:trPr/>
        <w:tc>
          <w:tcPr>
            <w:tcW w:w="1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Settlement Averaging Period:</w:t>
            </w:r>
          </w:p>
        </w:tc>
        <w:tc>
          <w:tcPr>
            <w:tcW w:w="60" w:type="dxa"/>
            <w:tcBorders/>
            <w:vAlign w:val="center"/>
          </w:tcPr>
          <w:p>
            <w:pPr>
              <w:pStyle w:val="TableContents"/>
              <w:bidi w:val="0"/>
              <w:spacing w:before="0" w:after="283"/>
              <w:jc w:val="both"/>
              <w:rPr/>
            </w:pPr>
            <w:r>
              <w:rPr/>
              <w:t> </w:t>
            </w:r>
          </w:p>
        </w:tc>
        <w:tc>
          <w:tcPr>
            <w:tcW w:w="8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40 “Trading Days” (as defined in the Indenture) commencing on (I) the third “Trading Day” (as defined in the Indenture) after the Conversion Date for conversions with a related Conversion Date occurring prior to the Final Conversion Period or (II) the 41st “Scheduled Trading Day” (as defined in the Indenture) prior to the “Maturity Date” (as defined in the Indenture) for conversions with a related Conversion Date occurring during the Final Conversion Period.</w:t>
            </w:r>
          </w:p>
        </w:tc>
      </w:tr>
      <w:tr>
        <w:trPr/>
        <w:tc>
          <w:tcPr>
            <w:tcW w:w="11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55" w:type="dxa"/>
            <w:tcBorders/>
            <w:vAlign w:val="center"/>
          </w:tcPr>
          <w:p>
            <w:pPr>
              <w:pStyle w:val="TableContents"/>
              <w:bidi w:val="0"/>
              <w:spacing w:before="0" w:after="283"/>
              <w:jc w:val="both"/>
              <w:rPr/>
            </w:pPr>
            <w:r>
              <w:rPr/>
              <w:t> </w:t>
            </w:r>
          </w:p>
        </w:tc>
      </w:tr>
      <w:tr>
        <w:trPr/>
        <w:tc>
          <w:tcPr>
            <w:tcW w:w="1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Method Election Provisions:</w:t>
            </w:r>
          </w:p>
        </w:tc>
        <w:tc>
          <w:tcPr>
            <w:tcW w:w="60" w:type="dxa"/>
            <w:tcBorders/>
            <w:vAlign w:val="center"/>
          </w:tcPr>
          <w:p>
            <w:pPr>
              <w:pStyle w:val="TableContents"/>
              <w:bidi w:val="0"/>
              <w:spacing w:before="0" w:after="283"/>
              <w:jc w:val="both"/>
              <w:rPr/>
            </w:pPr>
            <w:r>
              <w:rPr/>
              <w:t> </w:t>
            </w:r>
          </w:p>
        </w:tc>
        <w:tc>
          <w:tcPr>
            <w:tcW w:w="8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order for the Applicable Settlement Method to be the Convertible Securities Settlement Method in accordance with “Applicable Settlement Method” above, the related Notice of Exercise (or Notice of Final Convertible Security Settlement Method, as the case may be) must contain in writing the following representations and warranties from Counterparty to Dealer as of such notice delivery date:</w:t>
            </w:r>
          </w:p>
        </w:tc>
      </w:tr>
      <w:tr>
        <w:trPr/>
        <w:tc>
          <w:tcPr>
            <w:tcW w:w="11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55" w:type="dxa"/>
            <w:tcBorders/>
            <w:vAlign w:val="center"/>
          </w:tcPr>
          <w:p>
            <w:pPr>
              <w:pStyle w:val="TableContents"/>
              <w:bidi w:val="0"/>
              <w:spacing w:before="0" w:after="283"/>
              <w:jc w:val="both"/>
              <w:rPr/>
            </w:pPr>
            <w:r>
              <w:rPr/>
              <w:t> </w:t>
            </w:r>
          </w:p>
        </w:tc>
      </w:tr>
      <w:tr>
        <w:trPr/>
        <w:tc>
          <w:tcPr>
            <w:tcW w:w="11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none of Counterparty and its officers or directors, or any person that controls, potentially controls, or otherwise exercises influence over, Counterparty’s decision to elect the Convertible Security Settlement Method is aware of any</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2"/>
        <w:gridCol w:w="60"/>
        <w:gridCol w:w="9003"/>
      </w:tblGrid>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material nonpublic information regarding Counterparty or the Shares;</w:t>
            </w:r>
          </w:p>
        </w:tc>
      </w:tr>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003" w:type="dxa"/>
            <w:tcBorders/>
            <w:vAlign w:val="center"/>
          </w:tcPr>
          <w:p>
            <w:pPr>
              <w:pStyle w:val="TableContents"/>
              <w:bidi w:val="0"/>
              <w:spacing w:before="0" w:after="283"/>
              <w:jc w:val="both"/>
              <w:rPr/>
            </w:pPr>
            <w:r>
              <w:rPr/>
              <w:t> </w:t>
            </w:r>
          </w:p>
        </w:tc>
      </w:tr>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 Counterparty is electing the Convertible Security Settlement Method in good faith and not as part of a plan or scheme to evade compliance with the U.S. federal securities laws; Counterparty is not electing the Convertible Security Settlement Method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and Counterparty has not entered into or altered any hedging transaction relating to the Shares corresponding to or offsetting the Transaction;</w:t>
            </w:r>
          </w:p>
        </w:tc>
      </w:tr>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003" w:type="dxa"/>
            <w:tcBorders/>
            <w:vAlign w:val="center"/>
          </w:tcPr>
          <w:p>
            <w:pPr>
              <w:pStyle w:val="TableContents"/>
              <w:bidi w:val="0"/>
              <w:spacing w:before="0" w:after="283"/>
              <w:jc w:val="both"/>
              <w:rPr/>
            </w:pPr>
            <w:r>
              <w:rPr/>
              <w:t> </w:t>
            </w:r>
          </w:p>
        </w:tc>
      </w:tr>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 Counterparty has the power to make such election and to execute and deliver any documentation relating to such election that it is required by this Confirmation to deliver and to perform its obligations under this Confirmation and has taken all necessary action to authorize such election, execution, delivery and performance;</w:t>
            </w:r>
          </w:p>
        </w:tc>
      </w:tr>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003" w:type="dxa"/>
            <w:tcBorders/>
            <w:vAlign w:val="center"/>
          </w:tcPr>
          <w:p>
            <w:pPr>
              <w:pStyle w:val="TableContents"/>
              <w:bidi w:val="0"/>
              <w:spacing w:before="0" w:after="283"/>
              <w:jc w:val="both"/>
              <w:rPr/>
            </w:pPr>
            <w:r>
              <w:rPr/>
              <w:t> </w:t>
            </w:r>
          </w:p>
        </w:tc>
      </w:tr>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 such election and performance of its obligations under this Confirmation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 and</w:t>
            </w:r>
          </w:p>
        </w:tc>
      </w:tr>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003" w:type="dxa"/>
            <w:tcBorders/>
            <w:vAlign w:val="center"/>
          </w:tcPr>
          <w:p>
            <w:pPr>
              <w:pStyle w:val="TableContents"/>
              <w:bidi w:val="0"/>
              <w:spacing w:before="0" w:after="283"/>
              <w:jc w:val="both"/>
              <w:rPr/>
            </w:pPr>
            <w:r>
              <w:rPr/>
              <w:t> </w:t>
            </w:r>
          </w:p>
        </w:tc>
      </w:tr>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 any transaction that Dealer makes with respect to the Shares during the period beginning at the time that Counterparty delivers such notice and ending at the close of business on the final day of the Cash Settlement Averaging Period shall be made by Dealer at Dealer’s sole discretion for Dealer’s own account and Counterparty shall not have, and shall not attempt to exercise, any influence over how, when, whether or at what price Dealer effects such transactions, including, without limitation, the prices paid or received by Dealer per Share pursuant to such transactions, or whether such transactions are made on any securities exchange or privately.</w:t>
            </w:r>
          </w:p>
        </w:tc>
      </w:tr>
      <w:tr>
        <w:trPr/>
        <w:tc>
          <w:tcPr>
            <w:tcW w:w="114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003" w:type="dxa"/>
            <w:tcBorders/>
            <w:vAlign w:val="center"/>
          </w:tcPr>
          <w:p>
            <w:pPr>
              <w:pStyle w:val="TableContents"/>
              <w:bidi w:val="0"/>
              <w:spacing w:before="0" w:after="283"/>
              <w:jc w:val="both"/>
              <w:rPr/>
            </w:pPr>
            <w:r>
              <w:rPr/>
              <w:t> </w:t>
            </w:r>
          </w:p>
        </w:tc>
      </w:tr>
      <w:tr>
        <w:trPr/>
        <w:tc>
          <w:tcPr>
            <w:tcW w:w="11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of Delivery Obligation:</w:t>
            </w:r>
          </w:p>
        </w:tc>
        <w:tc>
          <w:tcPr>
            <w:tcW w:w="60" w:type="dxa"/>
            <w:tcBorders/>
            <w:vAlign w:val="center"/>
          </w:tcPr>
          <w:p>
            <w:pPr>
              <w:pStyle w:val="TableContents"/>
              <w:bidi w:val="0"/>
              <w:spacing w:before="0" w:after="283"/>
              <w:jc w:val="both"/>
              <w:rPr/>
            </w:pPr>
            <w:r>
              <w:rPr/>
              <w:t> </w:t>
            </w:r>
          </w:p>
        </w:tc>
        <w:tc>
          <w:tcPr>
            <w:tcW w:w="9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later than the Exchange Business Day immediately following the last day of the relevant Cash Settlement Averaging Period, Counterparty shall give Dealer notice of the final number of Shares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9"/>
        <w:gridCol w:w="60"/>
        <w:gridCol w:w="8956"/>
      </w:tblGrid>
      <w:tr>
        <w:trPr/>
        <w:tc>
          <w:tcPr>
            <w:tcW w:w="11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and/or amount of cash included in the Total Convertible Share Obligation Value (as defined below); </w:t>
            </w:r>
            <w:r>
              <w:rPr>
                <w:rFonts w:ascii="Times New Roman;Times;Serif" w:hAnsi="Times New Roman;Times;Serif"/>
                <w:i/>
                <w:sz w:val="20"/>
              </w:rPr>
              <w:t>provided</w:t>
            </w:r>
            <w:r>
              <w:rPr>
                <w:rFonts w:ascii="Times New Roman;Times;Serif" w:hAnsi="Times New Roman;Times;Serif"/>
                <w:sz w:val="20"/>
              </w:rPr>
              <w:t xml:space="preserve"> that, with respect to any Exercise Date occurring during the Final Conversion Period, Counterparty may provide Dealer with a single notice of the aggregate number of Shares and/or amount of cash included in the Total Convertible Share Obligation Value for all Exercise Dates occurring during such period (it being understood, for the avoidance of doubt, that the requirement of Counterparty to deliver such notice shall not limit Counterparty’s obligations with respect to a Notice of Exercise or Notice of Final Convertible Security Settlement Method, as the case may be, as set forth above, in any way).</w:t>
            </w:r>
          </w:p>
        </w:tc>
      </w:tr>
      <w:tr>
        <w:trPr/>
        <w:tc>
          <w:tcPr>
            <w:tcW w:w="11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56" w:type="dxa"/>
            <w:tcBorders/>
            <w:vAlign w:val="center"/>
          </w:tcPr>
          <w:p>
            <w:pPr>
              <w:pStyle w:val="TableContents"/>
              <w:bidi w:val="0"/>
              <w:spacing w:before="0" w:after="283"/>
              <w:jc w:val="both"/>
              <w:rPr/>
            </w:pPr>
            <w:r>
              <w:rPr/>
              <w:t> </w:t>
            </w:r>
          </w:p>
        </w:tc>
      </w:tr>
      <w:tr>
        <w:trPr/>
        <w:tc>
          <w:tcPr>
            <w:tcW w:w="11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Convertible Share Obligation Value:</w:t>
            </w:r>
          </w:p>
        </w:tc>
        <w:tc>
          <w:tcPr>
            <w:tcW w:w="60" w:type="dxa"/>
            <w:tcBorders/>
            <w:vAlign w:val="center"/>
          </w:tcPr>
          <w:p>
            <w:pPr>
              <w:pStyle w:val="TableContents"/>
              <w:bidi w:val="0"/>
              <w:spacing w:before="0" w:after="283"/>
              <w:jc w:val="both"/>
              <w:rPr/>
            </w:pPr>
            <w:r>
              <w:rPr/>
              <w:t> </w:t>
            </w:r>
          </w:p>
        </w:tc>
        <w:tc>
          <w:tcPr>
            <w:tcW w:w="8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With respect to Relevant Convertible Securities as to a Conversion Date, the product of (i) the Applicable Percentage and (ii)(A) the Total Convertible Share Obligation Value of such Relevant Convertible Securities for such Conversion Date </w:t>
            </w:r>
            <w:r>
              <w:rPr>
                <w:rFonts w:ascii="Times New Roman;Times;Serif" w:hAnsi="Times New Roman;Times;Serif"/>
                <w:i/>
                <w:sz w:val="20"/>
              </w:rPr>
              <w:t>minus</w:t>
            </w:r>
            <w:r>
              <w:rPr>
                <w:rFonts w:ascii="Times New Roman;Times;Serif" w:hAnsi="Times New Roman;Times;Serif"/>
                <w:sz w:val="20"/>
              </w:rPr>
              <w:t xml:space="preserve"> (B) the aggregate principal amount of such Relevant Convertible Securities for such Conversion Date.</w:t>
            </w:r>
          </w:p>
        </w:tc>
      </w:tr>
      <w:tr>
        <w:trPr/>
        <w:tc>
          <w:tcPr>
            <w:tcW w:w="11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56" w:type="dxa"/>
            <w:tcBorders/>
            <w:vAlign w:val="center"/>
          </w:tcPr>
          <w:p>
            <w:pPr>
              <w:pStyle w:val="TableContents"/>
              <w:bidi w:val="0"/>
              <w:spacing w:before="0" w:after="283"/>
              <w:jc w:val="both"/>
              <w:rPr/>
            </w:pPr>
            <w:r>
              <w:rPr/>
              <w:t> </w:t>
            </w:r>
          </w:p>
        </w:tc>
      </w:tr>
      <w:tr>
        <w:trPr/>
        <w:tc>
          <w:tcPr>
            <w:tcW w:w="11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Convertible Share Obligation Value:</w:t>
            </w:r>
          </w:p>
        </w:tc>
        <w:tc>
          <w:tcPr>
            <w:tcW w:w="60" w:type="dxa"/>
            <w:tcBorders/>
            <w:vAlign w:val="center"/>
          </w:tcPr>
          <w:p>
            <w:pPr>
              <w:pStyle w:val="TableContents"/>
              <w:bidi w:val="0"/>
              <w:spacing w:before="0" w:after="283"/>
              <w:jc w:val="both"/>
              <w:rPr/>
            </w:pPr>
            <w:r>
              <w:rPr/>
              <w:t> </w:t>
            </w:r>
          </w:p>
        </w:tc>
        <w:tc>
          <w:tcPr>
            <w:tcW w:w="8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With respect to Relevant Convertible Securities with respect to a Conversion Date, (i) (A) the number of Shares equal to the aggregate number of Shares that Counterparty is obligated to deliver to the holder(s) of Relevant Convertible Securities for such Conversion Date pursuant to the Indenture (it being understood that such number of Shares shall be determined taking into consideration any rounding pursuant to Section 5.03(B)(ii) of the Indenture) </w:t>
            </w:r>
            <w:r>
              <w:rPr>
                <w:rFonts w:ascii="Times New Roman;Times;Serif" w:hAnsi="Times New Roman;Times;Serif"/>
                <w:i/>
                <w:sz w:val="20"/>
              </w:rPr>
              <w:t>multiplied by</w:t>
            </w:r>
            <w:r>
              <w:rPr>
                <w:rFonts w:ascii="Times New Roman;Times;Serif" w:hAnsi="Times New Roman;Times;Serif"/>
                <w:sz w:val="20"/>
              </w:rPr>
              <w:t xml:space="preserve"> (B) the Share Obligation Value Price </w:t>
            </w:r>
            <w:r>
              <w:rPr>
                <w:rFonts w:ascii="Times New Roman;Times;Serif" w:hAnsi="Times New Roman;Times;Serif"/>
                <w:i/>
                <w:sz w:val="20"/>
              </w:rPr>
              <w:t>plus</w:t>
            </w:r>
            <w:r>
              <w:rPr>
                <w:rFonts w:ascii="Times New Roman;Times;Serif" w:hAnsi="Times New Roman;Times;Serif"/>
                <w:sz w:val="20"/>
              </w:rPr>
              <w:t xml:space="preserve"> (ii) an amount of cash equal to the aggregate amount of cash that Counterparty is obligated to deliver to the holder(s) of Relevant Convertible Securities for such Conversion Date pursuant to the Indenture (including, for the avoidance of doubt, any cash payable by Counterparty in lieu of fractional Shares); </w:t>
            </w:r>
            <w:r>
              <w:rPr>
                <w:rFonts w:ascii="Times New Roman;Times;Serif" w:hAnsi="Times New Roman;Times;Serif"/>
                <w:i/>
                <w:sz w:val="20"/>
              </w:rPr>
              <w:t>provided</w:t>
            </w:r>
            <w:r>
              <w:rPr>
                <w:rFonts w:ascii="Times New Roman;Times;Serif" w:hAnsi="Times New Roman;Times;Serif"/>
                <w:sz w:val="20"/>
              </w:rPr>
              <w:t xml:space="preserve"> that the Total Convertible Share Obligation Value shall be determined excluding any Shares and/or cash that Counterparty is obligated to deliver to holder(s) of the Relevant Convertible Securities as a direct or indirect result of any adjustments to the Conversion Rate pursuant to a Fundamental Change Adjustment or a Discretionary Adjustment and any interest payment that Counterparty is (or would have been) obligated to deliver to holder(s) of the Relevant Convertible Securities for such Conversion Date.</w:t>
            </w:r>
          </w:p>
        </w:tc>
      </w:tr>
      <w:tr>
        <w:trPr/>
        <w:tc>
          <w:tcPr>
            <w:tcW w:w="118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56" w:type="dxa"/>
            <w:tcBorders/>
            <w:vAlign w:val="center"/>
          </w:tcPr>
          <w:p>
            <w:pPr>
              <w:pStyle w:val="TableContents"/>
              <w:bidi w:val="0"/>
              <w:spacing w:before="0" w:after="283"/>
              <w:jc w:val="both"/>
              <w:rPr/>
            </w:pPr>
            <w:r>
              <w:rPr/>
              <w:t> </w:t>
            </w:r>
          </w:p>
        </w:tc>
      </w:tr>
      <w:tr>
        <w:trPr/>
        <w:tc>
          <w:tcPr>
            <w:tcW w:w="11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Obligation Value Price:</w:t>
            </w:r>
          </w:p>
        </w:tc>
        <w:tc>
          <w:tcPr>
            <w:tcW w:w="60" w:type="dxa"/>
            <w:tcBorders/>
            <w:vAlign w:val="center"/>
          </w:tcPr>
          <w:p>
            <w:pPr>
              <w:pStyle w:val="TableContents"/>
              <w:bidi w:val="0"/>
              <w:spacing w:before="0" w:after="283"/>
              <w:jc w:val="both"/>
              <w:rPr/>
            </w:pPr>
            <w:r>
              <w:rPr/>
              <w:t> </w:t>
            </w:r>
          </w:p>
        </w:tc>
        <w:tc>
          <w:tcPr>
            <w:tcW w:w="8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opening price as displayed under the heading “Op” on Bloomberg page “WGO.N &lt;Equity&gt;” (or any successor thereto) on the applicable Settlement Date or other date of delivery.</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62"/>
        <w:gridCol w:w="60"/>
        <w:gridCol w:w="8883"/>
      </w:tblGrid>
      <w:tr>
        <w:trPr/>
        <w:tc>
          <w:tcPr>
            <w:tcW w:w="12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Applicable Provisions:</w:t>
            </w:r>
          </w:p>
        </w:tc>
        <w:tc>
          <w:tcPr>
            <w:tcW w:w="60" w:type="dxa"/>
            <w:tcBorders/>
            <w:vAlign w:val="center"/>
          </w:tcPr>
          <w:p>
            <w:pPr>
              <w:pStyle w:val="TableContents"/>
              <w:bidi w:val="0"/>
              <w:spacing w:before="0" w:after="283"/>
              <w:jc w:val="both"/>
              <w:rPr/>
            </w:pPr>
            <w:r>
              <w:rPr/>
              <w:t> </w:t>
            </w:r>
          </w:p>
        </w:tc>
        <w:tc>
          <w:tcPr>
            <w:tcW w:w="88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the extent Dealer is obligated to deliver Shares hereunder, the provisions of Sections 9.8, 9.9 and 9.11 of the Equity Definitions will be applicable as if “Physical Settlement” applied to the Transaction; </w:t>
            </w:r>
            <w:r>
              <w:rPr>
                <w:rFonts w:ascii="Times New Roman;Times;Serif" w:hAnsi="Times New Roman;Times;Serif"/>
                <w:i/>
                <w:sz w:val="20"/>
              </w:rPr>
              <w:t>provided</w:t>
            </w:r>
            <w:r>
              <w:rPr>
                <w:rFonts w:ascii="Times New Roman;Times;Serif" w:hAnsi="Times New Roman;Times;Serif"/>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of the Shares.</w:t>
            </w:r>
          </w:p>
        </w:tc>
      </w:tr>
      <w:tr>
        <w:trPr/>
        <w:tc>
          <w:tcPr>
            <w:tcW w:w="126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883" w:type="dxa"/>
            <w:tcBorders/>
            <w:vAlign w:val="center"/>
          </w:tcPr>
          <w:p>
            <w:pPr>
              <w:pStyle w:val="TableContents"/>
              <w:bidi w:val="0"/>
              <w:spacing w:before="0" w:after="283"/>
              <w:jc w:val="both"/>
              <w:rPr/>
            </w:pPr>
            <w:r>
              <w:rPr/>
              <w:t> </w:t>
            </w:r>
          </w:p>
        </w:tc>
      </w:tr>
      <w:tr>
        <w:trPr/>
        <w:tc>
          <w:tcPr>
            <w:tcW w:w="12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Certificated Shares:</w:t>
            </w:r>
          </w:p>
        </w:tc>
        <w:tc>
          <w:tcPr>
            <w:tcW w:w="60" w:type="dxa"/>
            <w:tcBorders/>
            <w:vAlign w:val="center"/>
          </w:tcPr>
          <w:p>
            <w:pPr>
              <w:pStyle w:val="TableContents"/>
              <w:bidi w:val="0"/>
              <w:spacing w:before="0" w:after="283"/>
              <w:jc w:val="both"/>
              <w:rPr/>
            </w:pPr>
            <w:r>
              <w:rPr/>
              <w:t> </w:t>
            </w:r>
          </w:p>
        </w:tc>
        <w:tc>
          <w:tcPr>
            <w:tcW w:w="88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in the Equity Definitions, Dealer may, in whole or in part, deliver Shares required to be delivered to Counterparty hereunder in certificated form in lieu of delivery through the Clearance System. With respect to such certificated Shares, the Representation and Agreement contained in Section 9.11 of the Equity Definitions shall be modified by deleting the remainder of the provision after the word “encumbrance” in the fourth line thereof.</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73"/>
        <w:gridCol w:w="60"/>
        <w:gridCol w:w="9072"/>
      </w:tblGrid>
      <w:tr>
        <w:trPr/>
        <w:tc>
          <w:tcPr>
            <w:tcW w:w="10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Method of Adjustment:</w:t>
            </w:r>
          </w:p>
        </w:tc>
        <w:tc>
          <w:tcPr>
            <w:tcW w:w="60" w:type="dxa"/>
            <w:tcBorders/>
            <w:vAlign w:val="center"/>
          </w:tcPr>
          <w:p>
            <w:pPr>
              <w:pStyle w:val="TableContents"/>
              <w:bidi w:val="0"/>
              <w:spacing w:before="0" w:after="283"/>
              <w:jc w:val="both"/>
              <w:rPr/>
            </w:pPr>
            <w:r>
              <w:rPr/>
              <w:t> </w:t>
            </w:r>
          </w:p>
        </w:tc>
        <w:tc>
          <w:tcPr>
            <w:tcW w:w="9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Section 11.2 of the Equity Definitions, upon the occurrence of any event or condition set forth in Section 5.05(A)(i), (ii), (iii), (iv) and (v) and Section 5.05(H) of the Indenture (a “</w:t>
            </w:r>
            <w:r>
              <w:rPr>
                <w:rFonts w:ascii="Times New Roman;Times;Serif" w:hAnsi="Times New Roman;Times;Serif"/>
                <w:b/>
                <w:sz w:val="20"/>
              </w:rPr>
              <w:t>Potential Adjustment Event</w:t>
            </w:r>
            <w:r>
              <w:rPr>
                <w:rFonts w:ascii="Times New Roman;Times;Serif" w:hAnsi="Times New Roman;Times;Serif"/>
                <w:sz w:val="20"/>
              </w:rPr>
              <w:t>”) that results in an adjustment under the Indenture, the Calculation Agent shall make a corresponding adjustment in respect of any one or more of the Strike Price, the Number of Options, the Option Entitlement and any other term relevant to the exercise, settlement or payment of the Transaction, subject to “Discretionary Adjustments” below. Promptly upon the occurrence of any Potential Adjustment Event, Counterparty shall notify the Calculation Agent of such Potential Adjustment Event; and once the adjustments to be made to the terms of the Indenture and the Convertible Securities in respect of such Potential Adjustment Event have been determined, Counterparty shall immediately notify the Calculation Agent in writing of the details of such adjustments.</w:t>
            </w:r>
          </w:p>
        </w:tc>
      </w:tr>
      <w:tr>
        <w:trPr/>
        <w:tc>
          <w:tcPr>
            <w:tcW w:w="107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072" w:type="dxa"/>
            <w:tcBorders/>
            <w:vAlign w:val="center"/>
          </w:tcPr>
          <w:p>
            <w:pPr>
              <w:pStyle w:val="TableContents"/>
              <w:bidi w:val="0"/>
              <w:spacing w:before="0" w:after="283"/>
              <w:jc w:val="both"/>
              <w:rPr/>
            </w:pPr>
            <w:r>
              <w:rPr/>
              <w:t> </w:t>
            </w:r>
          </w:p>
        </w:tc>
      </w:tr>
      <w:tr>
        <w:trPr/>
        <w:tc>
          <w:tcPr>
            <w:tcW w:w="107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herein or in the Equity Definitions:</w:t>
            </w:r>
          </w:p>
        </w:tc>
      </w:tr>
      <w:tr>
        <w:trPr/>
        <w:tc>
          <w:tcPr>
            <w:tcW w:w="107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072" w:type="dxa"/>
            <w:tcBorders/>
            <w:vAlign w:val="center"/>
          </w:tcPr>
          <w:p>
            <w:pPr>
              <w:pStyle w:val="TableContents"/>
              <w:bidi w:val="0"/>
              <w:spacing w:before="0" w:after="283"/>
              <w:jc w:val="both"/>
              <w:rPr/>
            </w:pPr>
            <w:r>
              <w:rPr/>
              <w:t> </w:t>
            </w:r>
          </w:p>
        </w:tc>
      </w:tr>
      <w:tr>
        <w:trPr/>
        <w:tc>
          <w:tcPr>
            <w:tcW w:w="107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in connection with any Potential Adjustment Event as a result of an event or condition set forth in Section 5.05(A)(ii) of the Indenture or Section 5.05(A)(iii)(1) of the Indenture where, in either case, the period for determining “Y” (as such term is used in Section 5.05(A)(ii) of the Indenture) or “SP” (as such term is used in Section 5.05(A)(iii)(1) of the Indenture), as the</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0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case may be, begins before Counterparty has publicly announced the event or condition giving rise to such Potential Adjustment Event, then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event or condition not having been publicly announced prior to the beginning of such period; and</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0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 if any Potential Adjustment Event is declared and (a) the event or condition giving rise to such Potential Adjustment Event is subsequently amended, modified, cancelled or abandoned, (b) the Conversion Rate is otherwise not adjusted at the time or in the manner contemplated by the Indenture based on such declaration or (c) the Conversion Rate is adjusted as a result of such Potential Adjustment Event and subsequently re-adjusted (each of clauses (a), (b) and (c), a “</w:t>
            </w:r>
            <w:r>
              <w:rPr>
                <w:rFonts w:ascii="Times New Roman;Times;Serif" w:hAnsi="Times New Roman;Times;Serif"/>
                <w:b/>
                <w:sz w:val="20"/>
              </w:rPr>
              <w:t>Potential Adjustment Event Change</w:t>
            </w:r>
            <w:r>
              <w:rPr>
                <w:rFonts w:ascii="Times New Roman;Times;Serif" w:hAnsi="Times New Roman;Times;Serif"/>
                <w:sz w:val="20"/>
              </w:rPr>
              <w:t>”), then, in each case,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Potential Adjustment Event Change.</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0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the occurrence of any Potential Adjustment Event Change, Counterparty shall immediately notify the Calculation Agent in writing of the details of such Potential Adjustment Event Change.</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0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avoidance of doubt, Dealer shall not have any payment or delivery obligation hereunder in respect of, and no adjustment shall be made to the terms of the Transaction on account of, (x) any distribution of cash, property or securities by Counterparty to the holders of Convertible Securities (upon conversion or otherwise) or (y) any other transaction in which holders of Convertible Securities are entitled to participate, in each case, in lieu of an adjustment under the Indenture in respect of a Potential Adjustment Event (including, without limitation, under the proviso to the first sentence of Section 5.05(A)(iii)(1) of the Indenture or the proviso to the first sentence of Section 5.05(A)(iv) of the</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007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0"/>
        <w:gridCol w:w="60"/>
        <w:gridCol w:w="8945"/>
      </w:tblGrid>
      <w:tr>
        <w:trPr/>
        <w:tc>
          <w:tcPr>
            <w:tcW w:w="1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Indenture)</w:t>
            </w:r>
            <w:r>
              <w:rPr>
                <w:rFonts w:ascii="Times New Roman;Times;Serif" w:hAnsi="Times New Roman;Times;Serif"/>
                <w:position w:val="7"/>
                <w:sz w:val="16"/>
                <w:sz w:val="20"/>
              </w:rPr>
              <w:t>1</w:t>
            </w:r>
            <w:r>
              <w:rPr>
                <w:rFonts w:ascii="Times New Roman;Times;Serif" w:hAnsi="Times New Roman;Times;Serif"/>
                <w:sz w:val="20"/>
              </w:rPr>
              <w:t>.</w:t>
            </w:r>
          </w:p>
        </w:tc>
      </w:tr>
      <w:tr>
        <w:trPr/>
        <w:tc>
          <w:tcPr>
            <w:tcW w:w="1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pPr>
            <w:r>
              <w:rPr/>
              <w:t> </w:t>
            </w:r>
          </w:p>
        </w:tc>
      </w:tr>
      <w:tr>
        <w:trPr/>
        <w:tc>
          <w:tcPr>
            <w:tcW w:w="1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Discretionary Adjustments:</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herein or in the Equity Definitions, if the Calculation Agent in good faith disagrees with any adjustment under the Indenture that involves an exercise of discretion by Counterparty or its board of directors (including, without limitation, pursuant to Section 5.05(H) of the Indenture or pursuant to Section 5.08(A)  of the Indenture or any supplemental indenture entered into thereunder (a “</w:t>
            </w:r>
            <w:r>
              <w:rPr>
                <w:rFonts w:ascii="Times New Roman;Times;Serif" w:hAnsi="Times New Roman;Times;Serif"/>
                <w:b/>
                <w:sz w:val="20"/>
              </w:rPr>
              <w:t>Merger Supplemental Indenture</w:t>
            </w:r>
            <w:r>
              <w:rPr>
                <w:rFonts w:ascii="Times New Roman;Times;Serif" w:hAnsi="Times New Roman;Times;Serif"/>
                <w:sz w:val="20"/>
              </w:rPr>
              <w:t xml:space="preserve">”) or in connection with the determination of the fair value of any securities, property, rights or other assets), then the Calculation Agent will determine the adjustment to be made to any one or more of the Strike Price, Number of Options, Option Entitlement and any other variable relevant to the exercise, settlement or payment of or under the Transaction in a commercially reasonable manner and, for the avoidance of doubt, the Delivery Obligation shall be calculated on the basis of such adjustments by the Calculation Agent; </w:t>
            </w:r>
            <w:r>
              <w:rPr>
                <w:rFonts w:ascii="Times New Roman;Times;Serif" w:hAnsi="Times New Roman;Times;Serif"/>
                <w:i/>
                <w:sz w:val="20"/>
              </w:rPr>
              <w:t xml:space="preserve">provided </w:t>
            </w:r>
            <w:r>
              <w:rPr>
                <w:rFonts w:ascii="Times New Roman;Times;Serif" w:hAnsi="Times New Roman;Times;Serif"/>
                <w:sz w:val="20"/>
              </w:rPr>
              <w:t>that, notwithstanding the foregoing, in any Potential Adjustment Event occurs during the Cash Settlement Averaging Period but no adjustment was made to any Convertible Note under the Indenture because the relevant Holder (as such term is defined in the Indenture) was deemed to be a record holder of the underlying Shares on the related Conversion Date, then the Calculation Agent shall make an adjustment, as determined by it, to the terms hereof in order to account for such Potential Adjustment Event.</w:t>
            </w:r>
          </w:p>
        </w:tc>
      </w:tr>
      <w:tr>
        <w:trPr/>
        <w:tc>
          <w:tcPr>
            <w:tcW w:w="1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pPr>
            <w:r>
              <w:rPr/>
              <w:t> </w:t>
            </w:r>
          </w:p>
        </w:tc>
      </w:tr>
      <w:tr>
        <w:trPr/>
        <w:tc>
          <w:tcPr>
            <w:tcW w:w="1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 at any time during the period from and including the Trade Date, to but excluding the Expiration Date, an ex-dividend date for a regular quarterly cash dividend occurs with respect to the Shares (an “</w:t>
            </w:r>
            <w:r>
              <w:rPr>
                <w:rFonts w:ascii="Times New Roman;Times;Serif" w:hAnsi="Times New Roman;Times;Serif"/>
                <w:b/>
                <w:sz w:val="20"/>
              </w:rPr>
              <w:t>Ex-Dividend Date</w:t>
            </w:r>
            <w:r>
              <w:rPr>
                <w:rFonts w:ascii="Times New Roman;Times;Serif" w:hAnsi="Times New Roman;Times;Serif"/>
                <w:sz w:val="20"/>
              </w:rPr>
              <w:t>”) and that dividend is less than the Regular Dividend on a per Share basis or (ii) no Ex-Dividend Date for a regular quarterly cash dividend occurs with respect to the Shares in any quarterly dividend period of Counterparty, then the Calculation Agent will make a corresponding adjustment in respect of any one or more of the Strike Price, the Number of Options, the Option Entitlement and any other term relevant to the exercise, settlement or payment of the Transaction to account for the economic effect on the Transaction of such dividend or lack thereof, and, for the avoidance of doubt, any such adjustments shall be taken into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 xml:space="preserve">1 </w:t>
      </w:r>
      <w:r>
        <w:rPr>
          <w:rFonts w:ascii="Times New Roman;Times;Serif" w:hAnsi="Times New Roman;Times;Serif"/>
          <w:b w:val="false"/>
          <w:i w:val="false"/>
          <w:caps w:val="false"/>
          <w:smallCaps w:val="false"/>
          <w:sz w:val="20"/>
        </w:rPr>
        <w:t>Include references to provisions of Indenture providing for pass-through of cash or Distributed Property in lieu of Conversion Rate adjustments.</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6"/>
        <w:gridCol w:w="60"/>
        <w:gridCol w:w="8989"/>
      </w:tblGrid>
      <w:tr>
        <w:trPr/>
        <w:tc>
          <w:tcPr>
            <w:tcW w:w="115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 in calculating the Delivery Obligation. “</w:t>
            </w:r>
            <w:r>
              <w:rPr>
                <w:rFonts w:ascii="Times New Roman;Times;Serif" w:hAnsi="Times New Roman;Times;Serif"/>
                <w:b/>
                <w:sz w:val="20"/>
              </w:rPr>
              <w:t>Regular Dividend</w:t>
            </w:r>
            <w:r>
              <w:rPr>
                <w:rFonts w:ascii="Times New Roman;Times;Serif" w:hAnsi="Times New Roman;Times;Serif"/>
                <w:sz w:val="20"/>
              </w:rPr>
              <w:t>” shall mean USD 0.31 per Share.</w:t>
            </w:r>
          </w:p>
        </w:tc>
      </w:tr>
      <w:tr>
        <w:trPr/>
        <w:tc>
          <w:tcPr>
            <w:tcW w:w="1156"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989" w:type="dxa"/>
            <w:tcBorders/>
            <w:vAlign w:val="center"/>
          </w:tcPr>
          <w:p>
            <w:pPr>
              <w:pStyle w:val="TableContents"/>
              <w:bidi w:val="0"/>
              <w:spacing w:before="0" w:after="283"/>
              <w:jc w:val="both"/>
              <w:rPr/>
            </w:pPr>
            <w:r>
              <w:rPr/>
              <w:t> </w:t>
            </w:r>
          </w:p>
        </w:tc>
      </w:tr>
      <w:tr>
        <w:trPr/>
        <w:tc>
          <w:tcPr>
            <w:tcW w:w="11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of Certain Other Events:</w:t>
            </w:r>
          </w:p>
        </w:tc>
        <w:tc>
          <w:tcPr>
            <w:tcW w:w="60" w:type="dxa"/>
            <w:tcBorders/>
            <w:vAlign w:val="center"/>
          </w:tcPr>
          <w:p>
            <w:pPr>
              <w:pStyle w:val="TableContents"/>
              <w:bidi w:val="0"/>
              <w:spacing w:before="0" w:after="283"/>
              <w:jc w:val="both"/>
              <w:rPr/>
            </w:pPr>
            <w:r>
              <w:rPr/>
              <w:t> </w:t>
            </w:r>
          </w:p>
        </w:tc>
        <w:tc>
          <w:tcPr>
            <w:tcW w:w="8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Counterparty shall give Dealer commercially reasonable advance (but in no event less than one Exchange Business Day) written notice of the section or sections of the Indenture and, if applicable, the formula therein, pursuant to which any adjustment will be made to the Convertible Securities in connection with any Potential Adjustment Event, Merger Event or Tender Offer.</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Extraordinary Events: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71"/>
        <w:gridCol w:w="60"/>
        <w:gridCol w:w="8774"/>
      </w:tblGrid>
      <w:tr>
        <w:trPr/>
        <w:tc>
          <w:tcPr>
            <w:tcW w:w="13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Merger Events:</w:t>
            </w:r>
          </w:p>
        </w:tc>
        <w:tc>
          <w:tcPr>
            <w:tcW w:w="60" w:type="dxa"/>
            <w:tcBorders/>
            <w:vAlign w:val="center"/>
          </w:tcPr>
          <w:p>
            <w:pPr>
              <w:pStyle w:val="TableContents"/>
              <w:bidi w:val="0"/>
              <w:spacing w:before="0" w:after="283"/>
              <w:jc w:val="both"/>
              <w:rPr/>
            </w:pPr>
            <w:r>
              <w:rPr/>
              <w:t> </w:t>
            </w:r>
          </w:p>
        </w:tc>
        <w:tc>
          <w:tcPr>
            <w:tcW w:w="87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Section 12.1(b) of the Equity Definitions, “Merger Event” shall mean the occurrence of any event or condition set forth in the definition of “Common Stock Change Event” set forth in Section 5.08(A) of the Indenture.</w:t>
            </w:r>
          </w:p>
        </w:tc>
      </w:tr>
      <w:tr>
        <w:trPr/>
        <w:tc>
          <w:tcPr>
            <w:tcW w:w="137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774" w:type="dxa"/>
            <w:tcBorders/>
            <w:vAlign w:val="center"/>
          </w:tcPr>
          <w:p>
            <w:pPr>
              <w:pStyle w:val="TableContents"/>
              <w:bidi w:val="0"/>
              <w:spacing w:before="0" w:after="283"/>
              <w:jc w:val="both"/>
              <w:rPr/>
            </w:pPr>
            <w:r>
              <w:rPr/>
              <w:t> </w:t>
            </w:r>
          </w:p>
        </w:tc>
      </w:tr>
      <w:tr>
        <w:trPr/>
        <w:tc>
          <w:tcPr>
            <w:tcW w:w="13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Consequences of Merger Events:</w:t>
            </w:r>
          </w:p>
        </w:tc>
        <w:tc>
          <w:tcPr>
            <w:tcW w:w="60" w:type="dxa"/>
            <w:tcBorders/>
            <w:vAlign w:val="center"/>
          </w:tcPr>
          <w:p>
            <w:pPr>
              <w:pStyle w:val="TableContents"/>
              <w:bidi w:val="0"/>
              <w:spacing w:before="0" w:after="283"/>
              <w:jc w:val="both"/>
              <w:rPr/>
            </w:pPr>
            <w:r>
              <w:rPr/>
              <w:t> </w:t>
            </w:r>
          </w:p>
        </w:tc>
        <w:tc>
          <w:tcPr>
            <w:tcW w:w="87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Notwithstanding Section 12.2 of the Equity Definitions, upon the occurrence of a Merger Event, the Calculation Agent shall make an adjustment to the terms relevant to the exercise, settlement or payment of the Transaction corresponding to the adjustment required under Section 5.08 of the Indenture in respect of such Merger Event, as determined by the Calculation Agent (by reference to such Section), subject to “Discretionary Adjustments” above; </w:t>
            </w:r>
            <w:r>
              <w:rPr>
                <w:rFonts w:ascii="Times New Roman;Times;Serif" w:hAnsi="Times New Roman;Times;Serif"/>
                <w:i/>
                <w:sz w:val="20"/>
              </w:rPr>
              <w:t xml:space="preserve">provided </w:t>
            </w:r>
            <w:r>
              <w:rPr>
                <w:rFonts w:ascii="Times New Roman;Times;Serif" w:hAnsi="Times New Roman;Times;Serif"/>
                <w:sz w:val="20"/>
              </w:rPr>
              <w:t xml:space="preserve">that such adjustment shall be made without regard to any adjustment to the Conversion Rate pursuant to a Fundamental Change Adjustment or a Discretionary Adjustment; and </w:t>
            </w:r>
            <w:r>
              <w:rPr>
                <w:rFonts w:ascii="Times New Roman;Times;Serif" w:hAnsi="Times New Roman;Times;Serif"/>
                <w:i/>
                <w:sz w:val="20"/>
              </w:rPr>
              <w:t>provided further</w:t>
            </w:r>
            <w:r>
              <w:rPr>
                <w:rFonts w:ascii="Times New Roman;Times;Serif" w:hAnsi="Times New Roman;Times;Serif"/>
                <w:sz w:val="20"/>
              </w:rPr>
              <w:t xml:space="preserve"> that the Calculation Agent may make such further adjustments to the terms of the Transaction as may be necessary to ensure that the fair value of the Transaction to Dealer is not adversely affected as a result of any adjustment referenced in this paragraph and, for the avoidance of doubt, any such further adjustments shall be taken into account in calculating the Delivery Obligation; and </w:t>
            </w:r>
            <w:r>
              <w:rPr>
                <w:rFonts w:ascii="Times New Roman;Times;Serif" w:hAnsi="Times New Roman;Times;Serif"/>
                <w:i/>
                <w:sz w:val="20"/>
              </w:rPr>
              <w:t>provided further</w:t>
            </w:r>
            <w:r>
              <w:rPr>
                <w:rFonts w:ascii="Times New Roman;Times;Serif" w:hAnsi="Times New Roman;Times;Serif"/>
                <w:sz w:val="20"/>
              </w:rPr>
              <w:t xml:space="preserve"> that if, with respect to a Merger Event, (i) the consideration for the Shares includes (or, at the option of a holder of Shares, may include) shares of an entity or person that is not a corporation organized under the laws of the United States, any state thereof or the District of Columbia or (ii) the Counterparty to the Transaction, following such Merger Event, will not be a corporation organized under the laws of the United States, any state thereof or the District of Columbia and/or will not be the Issuer, Dealer may elect in its sole discretion that Cancellation and Payment (Calculation Agent Determination) shall apply.</w:t>
            </w:r>
          </w:p>
        </w:tc>
      </w:tr>
      <w:tr>
        <w:trPr/>
        <w:tc>
          <w:tcPr>
            <w:tcW w:w="137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774" w:type="dxa"/>
            <w:tcBorders/>
            <w:vAlign w:val="center"/>
          </w:tcPr>
          <w:p>
            <w:pPr>
              <w:pStyle w:val="TableContents"/>
              <w:bidi w:val="0"/>
              <w:spacing w:before="0" w:after="283"/>
              <w:jc w:val="both"/>
              <w:rPr/>
            </w:pPr>
            <w:r>
              <w:rPr/>
              <w:t> </w:t>
            </w:r>
          </w:p>
        </w:tc>
      </w:tr>
      <w:tr>
        <w:trPr/>
        <w:tc>
          <w:tcPr>
            <w:tcW w:w="13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of Merger Consideration and Consequences:</w:t>
            </w:r>
          </w:p>
        </w:tc>
        <w:tc>
          <w:tcPr>
            <w:tcW w:w="60" w:type="dxa"/>
            <w:tcBorders/>
            <w:vAlign w:val="center"/>
          </w:tcPr>
          <w:p>
            <w:pPr>
              <w:pStyle w:val="TableContents"/>
              <w:bidi w:val="0"/>
              <w:spacing w:before="0" w:after="283"/>
              <w:jc w:val="both"/>
              <w:rPr/>
            </w:pPr>
            <w:r>
              <w:rPr/>
              <w:t> </w:t>
            </w:r>
          </w:p>
        </w:tc>
        <w:tc>
          <w:tcPr>
            <w:tcW w:w="87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the occurrence of a Merger Event, Counterparty shall reasonably promptly (but in any event prior to the relevant merger date) notify the</w:t>
            </w:r>
          </w:p>
        </w:tc>
      </w:tr>
      <w:tr>
        <w:trPr/>
        <w:tc>
          <w:tcPr>
            <w:tcW w:w="137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774"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4"/>
        <w:gridCol w:w="60"/>
        <w:gridCol w:w="7761"/>
      </w:tblGrid>
      <w:tr>
        <w:trPr/>
        <w:tc>
          <w:tcPr>
            <w:tcW w:w="23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7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Calculation Agent of (i) in the case of a Merger Event that causes the Shares to be converted into the right to receive more than a single type of consideration (determined based in part upon any form of stockholder election), the types and amount of consideration actually received by such holders, and (ii) the details of the adjustment to be made under the Indenture in respect of such Merger Event.</w:t>
            </w:r>
          </w:p>
        </w:tc>
      </w:tr>
      <w:tr>
        <w:trPr/>
        <w:tc>
          <w:tcPr>
            <w:tcW w:w="23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7761" w:type="dxa"/>
            <w:tcBorders/>
            <w:vAlign w:val="center"/>
          </w:tcPr>
          <w:p>
            <w:pPr>
              <w:pStyle w:val="TableContents"/>
              <w:bidi w:val="0"/>
              <w:spacing w:before="0" w:after="283"/>
              <w:jc w:val="both"/>
              <w:rPr/>
            </w:pPr>
            <w:r>
              <w:rPr/>
              <w:t> </w:t>
            </w:r>
          </w:p>
        </w:tc>
      </w:tr>
      <w:tr>
        <w:trPr/>
        <w:tc>
          <w:tcPr>
            <w:tcW w:w="23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Nationalization, Insolvency or Delisting:</w:t>
            </w:r>
          </w:p>
        </w:tc>
        <w:tc>
          <w:tcPr>
            <w:tcW w:w="60" w:type="dxa"/>
            <w:tcBorders/>
            <w:vAlign w:val="center"/>
          </w:tcPr>
          <w:p>
            <w:pPr>
              <w:pStyle w:val="TableContents"/>
              <w:bidi w:val="0"/>
              <w:spacing w:before="0" w:after="283"/>
              <w:jc w:val="both"/>
              <w:rPr/>
            </w:pPr>
            <w:r>
              <w:rPr/>
              <w:t> </w:t>
            </w:r>
          </w:p>
        </w:tc>
        <w:tc>
          <w:tcPr>
            <w:tcW w:w="7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Cancellation and Payment (Calculation Agent Determination); </w:t>
            </w:r>
            <w:r>
              <w:rPr>
                <w:rFonts w:ascii="Times New Roman;Times;Serif" w:hAnsi="Times New Roman;Times;Serif"/>
                <w:i/>
                <w:sz w:val="20"/>
              </w:rPr>
              <w:t>provided</w:t>
            </w:r>
            <w:r>
              <w:rPr>
                <w:rFonts w:ascii="Times New Roman;Times;Serif" w:hAnsi="Times New Roman;Times;Serif"/>
                <w:sz w:val="20"/>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jc w:val="both"/>
              <w:rPr/>
            </w:pPr>
            <w:r>
              <w:rPr/>
              <w:t> </w:t>
            </w:r>
          </w:p>
        </w:tc>
      </w:tr>
      <w:tr>
        <w:trPr/>
        <w:tc>
          <w:tcPr>
            <w:tcW w:w="23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Termination  Event(s):</w:t>
            </w:r>
          </w:p>
        </w:tc>
        <w:tc>
          <w:tcPr>
            <w:tcW w:w="60" w:type="dxa"/>
            <w:tcBorders/>
            <w:vAlign w:val="center"/>
          </w:tcPr>
          <w:p>
            <w:pPr>
              <w:pStyle w:val="TableContents"/>
              <w:bidi w:val="0"/>
              <w:spacing w:before="0" w:after="283"/>
              <w:jc w:val="both"/>
              <w:rPr/>
            </w:pPr>
            <w:r>
              <w:rPr/>
              <w:t> </w:t>
            </w:r>
          </w:p>
        </w:tc>
        <w:tc>
          <w:tcPr>
            <w:tcW w:w="7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jc w:val="both"/>
              <w:rPr/>
            </w:pPr>
            <w:r>
              <w:rPr/>
              <w:t> </w:t>
            </w:r>
          </w:p>
        </w:tc>
      </w:tr>
      <w:tr>
        <w:trPr/>
        <w:tc>
          <w:tcPr>
            <w:tcW w:w="23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Disruption Events:</w:t>
            </w:r>
          </w:p>
        </w:tc>
        <w:tc>
          <w:tcPr>
            <w:tcW w:w="60" w:type="dxa"/>
            <w:tcBorders/>
            <w:vAlign w:val="center"/>
          </w:tcPr>
          <w:p>
            <w:pPr>
              <w:pStyle w:val="TableContents"/>
              <w:bidi w:val="0"/>
              <w:spacing w:before="0" w:after="283"/>
              <w:jc w:val="both"/>
              <w:rPr/>
            </w:pPr>
            <w:r>
              <w:rPr/>
              <w:t> </w:t>
            </w:r>
          </w:p>
        </w:tc>
        <w:tc>
          <w:tcPr>
            <w:tcW w:w="7761" w:type="dxa"/>
            <w:tcBorders/>
            <w:vAlign w:val="center"/>
          </w:tcPr>
          <w:p>
            <w:pPr>
              <w:pStyle w:val="TableContents"/>
              <w:bidi w:val="0"/>
              <w:spacing w:before="0" w:after="283"/>
              <w:jc w:val="both"/>
              <w:rPr/>
            </w:pPr>
            <w:r>
              <w:rPr/>
              <w:t> </w:t>
            </w:r>
          </w:p>
        </w:tc>
      </w:tr>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jc w:val="both"/>
              <w:rPr/>
            </w:pPr>
            <w:r>
              <w:rPr/>
              <w:t> </w:t>
            </w:r>
          </w:p>
        </w:tc>
      </w:tr>
      <w:tr>
        <w:trPr/>
        <w:tc>
          <w:tcPr>
            <w:tcW w:w="2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Change in Law:</w:t>
            </w:r>
          </w:p>
        </w:tc>
        <w:tc>
          <w:tcPr>
            <w:tcW w:w="60" w:type="dxa"/>
            <w:tcBorders/>
            <w:vAlign w:val="center"/>
          </w:tcPr>
          <w:p>
            <w:pPr>
              <w:pStyle w:val="TableContents"/>
              <w:bidi w:val="0"/>
              <w:spacing w:before="0" w:after="283"/>
              <w:jc w:val="left"/>
              <w:rPr/>
            </w:pPr>
            <w:r>
              <w:rPr/>
              <w:t> </w:t>
            </w:r>
          </w:p>
        </w:tc>
        <w:tc>
          <w:tcPr>
            <w:tcW w:w="77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Applicable; </w:t>
            </w:r>
            <w:r>
              <w:rPr>
                <w:rFonts w:ascii="Times New Roman;Times;Serif" w:hAnsi="Times New Roman;Times;Serif"/>
                <w:i/>
                <w:sz w:val="20"/>
              </w:rPr>
              <w:t>provided</w:t>
            </w:r>
            <w:r>
              <w:rPr>
                <w:rFonts w:ascii="Times New Roman;Times;Serif" w:hAnsi="Times New Roman;Times;Serif"/>
                <w:sz w:val="20"/>
              </w:rPr>
              <w:t xml:space="preserve"> 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 and </w:t>
            </w:r>
            <w:r>
              <w:rPr>
                <w:rFonts w:ascii="Times New Roman;Times;Serif" w:hAnsi="Times New Roman;Times;Serif"/>
                <w:i/>
                <w:sz w:val="20"/>
              </w:rPr>
              <w:t>provided further</w:t>
            </w:r>
            <w:r>
              <w:rPr>
                <w:rFonts w:ascii="Times New Roman;Times;Serif" w:hAnsi="Times New Roman;Times;Serif"/>
                <w:sz w:val="20"/>
              </w:rPr>
              <w:t xml:space="preserve"> that Section 12.9(a)(ii) of the Equity Definitions is hereby amended by (i) replacing the parenthetical beginning after the word “regulation” in the second line thereof the words “(including, for the avoidance of doubt and without limitation, (x) any tax law or (y) adoption or promulgation of new regulations authorized or mandated by existing statute)” and (ii) adding the words “, or holding, acquiring or disposing of Shares or any Hedge Positions relating to,” after the words </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68"/>
        <w:gridCol w:w="60"/>
        <w:gridCol w:w="262"/>
        <w:gridCol w:w="245"/>
        <w:gridCol w:w="8370"/>
      </w:tblGrid>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pPr>
            <w:r>
              <w:rPr/>
              <w:t>“</w:t>
            </w:r>
            <w:r>
              <w:rPr>
                <w:rFonts w:ascii="Times New Roman;Times;Serif" w:hAnsi="Times New Roman;Times;Serif"/>
                <w:sz w:val="20"/>
              </w:rPr>
              <w:t>obligations under” in clause (Y) thereof.</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pPr>
            <w:r>
              <w:rPr/>
              <w:t> </w:t>
            </w:r>
          </w:p>
        </w:tc>
      </w:tr>
      <w:tr>
        <w:trPr/>
        <w:tc>
          <w:tcPr>
            <w:tcW w:w="1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Failure to Deliver:</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pPr>
            <w:r>
              <w:rPr/>
              <w:t> </w:t>
            </w:r>
          </w:p>
        </w:tc>
      </w:tr>
      <w:tr>
        <w:trPr/>
        <w:tc>
          <w:tcPr>
            <w:tcW w:w="1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Insolvency Filing:</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pPr>
            <w:r>
              <w:rPr/>
              <w:t> </w:t>
            </w:r>
          </w:p>
        </w:tc>
      </w:tr>
      <w:tr>
        <w:trPr/>
        <w:tc>
          <w:tcPr>
            <w:tcW w:w="1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Hedging Disruption:</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Applicable; </w:t>
            </w:r>
            <w:r>
              <w:rPr>
                <w:rFonts w:ascii="Times New Roman;Times;Serif" w:hAnsi="Times New Roman;Times;Serif"/>
                <w:i/>
                <w:sz w:val="20"/>
              </w:rPr>
              <w:t>provided</w:t>
            </w:r>
            <w:r>
              <w:rPr>
                <w:rFonts w:ascii="Times New Roman;Times;Serif" w:hAnsi="Times New Roman;Times;Serif"/>
                <w:sz w:val="20"/>
              </w:rPr>
              <w:t xml:space="preserve"> that:</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pPr>
            <w:r>
              <w:rPr/>
              <w:t> </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 </w:t>
            </w:r>
          </w:p>
        </w:tc>
        <w:tc>
          <w:tcPr>
            <w:tcW w:w="861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12.9(a)(v) of the Equity Definitions is hereby amended by:</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pPr>
            <w:r>
              <w:rPr/>
              <w:t> </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w:t>
            </w:r>
          </w:p>
        </w:tc>
        <w:tc>
          <w:tcPr>
            <w:tcW w:w="8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inserting the following words at the end of clause (A) thereof: “in the manner contemplated by the Hedging Party on the Trade Date” and</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pPr>
            <w:r>
              <w:rPr/>
              <w:t> </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 </w:t>
            </w:r>
          </w:p>
        </w:tc>
        <w:tc>
          <w:tcPr>
            <w:tcW w:w="8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inserting the following paragraphs at the end of such Section:</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pPr>
            <w:r>
              <w:rPr/>
              <w:t> </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8370" w:type="dxa"/>
            <w:tcBorders/>
            <w:vAlign w:val="center"/>
          </w:tcPr>
          <w:p>
            <w:pPr>
              <w:pStyle w:val="TableContents"/>
              <w:bidi w:val="0"/>
              <w:spacing w:before="0" w:after="283"/>
              <w:jc w:val="both"/>
              <w:rPr/>
            </w:pPr>
            <w:r>
              <w:rPr/>
              <w:t>“</w:t>
            </w:r>
            <w:r>
              <w:rPr>
                <w:rFonts w:ascii="Times New Roman;Times;Serif" w:hAnsi="Times New Roman;Times;Serif"/>
                <w:sz w:val="20"/>
              </w:rPr>
              <w:t>Such inability described in clauses (A) or (B) above shall not constitute a “Hedging Disruption” if such inability results from Hedging Party’s creditworthiness.</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pPr>
            <w:r>
              <w:rPr/>
              <w:t> </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8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pPr>
            <w:r>
              <w:rPr/>
              <w:t> </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(ii) </w:t>
            </w:r>
          </w:p>
        </w:tc>
        <w:tc>
          <w:tcPr>
            <w:tcW w:w="861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12.9(b)(iii) of the Equity Definitions is hereby amended by inserting in the third line thereof, after the words “to terminate the Transaction”, the words “or a portion of the Transaction affected by such Hedging Disruption”.</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pPr>
            <w:r>
              <w:rPr/>
              <w:t> </w:t>
            </w:r>
          </w:p>
        </w:tc>
      </w:tr>
      <w:tr>
        <w:trPr/>
        <w:tc>
          <w:tcPr>
            <w:tcW w:w="1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 Increased Cost of Hedging:</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Applicable; </w:t>
            </w:r>
            <w:r>
              <w:rPr>
                <w:rFonts w:ascii="Times New Roman;Times;Serif" w:hAnsi="Times New Roman;Times;Serif"/>
                <w:i/>
                <w:sz w:val="20"/>
              </w:rPr>
              <w:t>provided</w:t>
            </w:r>
            <w:r>
              <w:rPr>
                <w:rFonts w:ascii="Times New Roman;Times;Serif" w:hAnsi="Times New Roman;Times;Serif"/>
                <w:sz w:val="20"/>
              </w:rPr>
              <w:t xml:space="preserve"> that such increased cost described in Section 12.9(vi) of the Equity Definitions shall not constitute an “Increased Cost of Hedging” if such increased cost results from Hedging Party’s creditworthiness.</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pPr>
            <w:r>
              <w:rPr/>
              <w:t> </w:t>
            </w:r>
          </w:p>
        </w:tc>
      </w:tr>
      <w:tr>
        <w:trPr/>
        <w:tc>
          <w:tcPr>
            <w:tcW w:w="12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Hedging Party:</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w:t>
            </w:r>
          </w:p>
        </w:tc>
      </w:tr>
      <w:tr>
        <w:trPr/>
        <w:tc>
          <w:tcPr>
            <w:tcW w:w="1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pPr>
            <w:r>
              <w:rPr/>
              <w:t> </w:t>
            </w:r>
          </w:p>
        </w:tc>
      </w:tr>
      <w:tr>
        <w:trPr/>
        <w:tc>
          <w:tcPr>
            <w:tcW w:w="12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Determining Party:</w:t>
            </w:r>
          </w:p>
        </w:tc>
        <w:tc>
          <w:tcPr>
            <w:tcW w:w="60" w:type="dxa"/>
            <w:tcBorders/>
            <w:vAlign w:val="center"/>
          </w:tcPr>
          <w:p>
            <w:pPr>
              <w:pStyle w:val="TableContents"/>
              <w:bidi w:val="0"/>
              <w:spacing w:before="0" w:after="283"/>
              <w:jc w:val="left"/>
              <w:rPr/>
            </w:pPr>
            <w:r>
              <w:rPr/>
              <w:t> </w:t>
            </w:r>
          </w:p>
        </w:tc>
        <w:tc>
          <w:tcPr>
            <w:tcW w:w="8877"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Dealer. </w:t>
            </w:r>
            <w:r>
              <w:rPr>
                <w:rFonts w:ascii="Times New Roman;Times;Serif" w:hAnsi="Times New Roman;Times;Serif"/>
                <w:sz w:val="20"/>
                <w:shd w:fill="FFFFFF" w:val="clear"/>
              </w:rPr>
              <w:t xml:space="preserve">All calculations and determinations by the Determining Party shall be made in good faith and in a commercially reasonable manner. Following any calculation by the Determining Party hereunder, upon written request by Counterparty, the Determining Party will, within five Exchange Business Days immediately following such request, provide to Counterparty a report </w:t>
            </w:r>
            <w:r>
              <w:rPr>
                <w:rFonts w:ascii="Times New Roman;Times;Serif" w:hAnsi="Times New Roman;Times;Serif"/>
                <w:sz w:val="20"/>
              </w:rPr>
              <w:t xml:space="preserve">(in a commonly used file format for the storage and manipulation of financial data) </w:t>
            </w:r>
            <w:r>
              <w:rPr>
                <w:rFonts w:ascii="Times New Roman;Times;Serif" w:hAnsi="Times New Roman;Times;Serif"/>
                <w:sz w:val="20"/>
                <w:shd w:fill="FFFFFF" w:val="clear"/>
              </w:rPr>
              <w:t xml:space="preserve">displaying in reasonable detail the basis for such calculation; </w:t>
            </w:r>
            <w:r>
              <w:rPr>
                <w:rFonts w:ascii="Times New Roman;Times;Serif" w:hAnsi="Times New Roman;Times;Serif"/>
                <w:i/>
                <w:sz w:val="20"/>
                <w:shd w:fill="FFFFFF" w:val="clear"/>
              </w:rPr>
              <w:t>provided, however</w:t>
            </w:r>
            <w:r>
              <w:rPr>
                <w:rFonts w:ascii="Times New Roman;Times;Serif" w:hAnsi="Times New Roman;Times;Serif"/>
                <w:sz w:val="20"/>
                <w:shd w:fill="FFFFFF" w:val="clear"/>
              </w:rPr>
              <w:t>, that in no event will the Determining Party be obligated to share with</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2"/>
        <w:gridCol w:w="60"/>
        <w:gridCol w:w="8283"/>
      </w:tblGrid>
      <w:tr>
        <w:trPr/>
        <w:tc>
          <w:tcPr>
            <w:tcW w:w="18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3" w:type="dxa"/>
            <w:tcBorders/>
            <w:vAlign w:val="center"/>
          </w:tcPr>
          <w:p>
            <w:pPr>
              <w:pStyle w:val="TableContents"/>
              <w:bidi w:val="0"/>
              <w:spacing w:before="0" w:after="283"/>
              <w:jc w:val="both"/>
              <w:rPr>
                <w:sz w:val="20"/>
                <w:shd w:fill="FFFFFF" w:val="clear"/>
              </w:rPr>
            </w:pPr>
            <w:r>
              <w:rPr>
                <w:sz w:val="20"/>
                <w:shd w:fill="FFFFFF" w:val="clear"/>
              </w:rPr>
              <w:t>Counterparty any proprietary or confidential data or information or any proprietary or confidential models used by it.</w:t>
            </w:r>
          </w:p>
        </w:tc>
      </w:tr>
      <w:tr>
        <w:trPr/>
        <w:tc>
          <w:tcPr>
            <w:tcW w:w="18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3" w:type="dxa"/>
            <w:tcBorders/>
            <w:vAlign w:val="center"/>
          </w:tcPr>
          <w:p>
            <w:pPr>
              <w:pStyle w:val="TableContents"/>
              <w:bidi w:val="0"/>
              <w:spacing w:before="0" w:after="283"/>
              <w:jc w:val="both"/>
              <w:rPr/>
            </w:pPr>
            <w:r>
              <w:rPr/>
              <w:t> </w:t>
            </w:r>
          </w:p>
        </w:tc>
      </w:tr>
      <w:tr>
        <w:trPr/>
        <w:tc>
          <w:tcPr>
            <w:tcW w:w="1862" w:type="dxa"/>
            <w:tcBorders/>
            <w:vAlign w:val="center"/>
          </w:tcPr>
          <w:p>
            <w:pPr>
              <w:pStyle w:val="TableContents"/>
              <w:bidi w:val="0"/>
              <w:spacing w:before="0" w:after="283"/>
              <w:jc w:val="both"/>
              <w:rPr>
                <w:sz w:val="20"/>
              </w:rPr>
            </w:pPr>
            <w:r>
              <w:rPr>
                <w:sz w:val="20"/>
              </w:rPr>
              <w:t>Non-Reliance:</w:t>
            </w:r>
          </w:p>
        </w:tc>
        <w:tc>
          <w:tcPr>
            <w:tcW w:w="60" w:type="dxa"/>
            <w:tcBorders/>
            <w:vAlign w:val="center"/>
          </w:tcPr>
          <w:p>
            <w:pPr>
              <w:pStyle w:val="TableContents"/>
              <w:bidi w:val="0"/>
              <w:spacing w:before="0" w:after="283"/>
              <w:jc w:val="left"/>
              <w:rPr/>
            </w:pPr>
            <w:r>
              <w:rPr/>
              <w:t> </w:t>
            </w:r>
          </w:p>
        </w:tc>
        <w:tc>
          <w:tcPr>
            <w:tcW w:w="8283" w:type="dxa"/>
            <w:tcBorders/>
            <w:vAlign w:val="center"/>
          </w:tcPr>
          <w:p>
            <w:pPr>
              <w:pStyle w:val="TableContents"/>
              <w:bidi w:val="0"/>
              <w:spacing w:before="0" w:after="283"/>
              <w:jc w:val="both"/>
              <w:rPr>
                <w:sz w:val="20"/>
              </w:rPr>
            </w:pPr>
            <w:r>
              <w:rPr>
                <w:sz w:val="20"/>
              </w:rPr>
              <w:t>Applicable</w:t>
            </w:r>
          </w:p>
        </w:tc>
      </w:tr>
      <w:tr>
        <w:trPr/>
        <w:tc>
          <w:tcPr>
            <w:tcW w:w="18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3" w:type="dxa"/>
            <w:tcBorders/>
            <w:vAlign w:val="center"/>
          </w:tcPr>
          <w:p>
            <w:pPr>
              <w:pStyle w:val="TableContents"/>
              <w:bidi w:val="0"/>
              <w:spacing w:before="0" w:after="283"/>
              <w:jc w:val="both"/>
              <w:rPr/>
            </w:pPr>
            <w:r>
              <w:rPr/>
              <w:t> </w:t>
            </w:r>
          </w:p>
        </w:tc>
      </w:tr>
      <w:tr>
        <w:trPr/>
        <w:tc>
          <w:tcPr>
            <w:tcW w:w="1862" w:type="dxa"/>
            <w:tcBorders/>
            <w:vAlign w:val="center"/>
          </w:tcPr>
          <w:p>
            <w:pPr>
              <w:pStyle w:val="TableContents"/>
              <w:bidi w:val="0"/>
              <w:spacing w:before="0" w:after="283"/>
              <w:jc w:val="both"/>
              <w:rPr>
                <w:sz w:val="20"/>
              </w:rPr>
            </w:pPr>
            <w:r>
              <w:rPr>
                <w:sz w:val="20"/>
              </w:rPr>
              <w:t>Agreements and Acknowledgments Regarding Hedging Activities:</w:t>
            </w:r>
          </w:p>
        </w:tc>
        <w:tc>
          <w:tcPr>
            <w:tcW w:w="60" w:type="dxa"/>
            <w:tcBorders/>
            <w:vAlign w:val="center"/>
          </w:tcPr>
          <w:p>
            <w:pPr>
              <w:pStyle w:val="TableContents"/>
              <w:bidi w:val="0"/>
              <w:spacing w:before="0" w:after="283"/>
              <w:jc w:val="left"/>
              <w:rPr/>
            </w:pPr>
            <w:r>
              <w:rPr/>
              <w:t> </w:t>
            </w:r>
          </w:p>
        </w:tc>
        <w:tc>
          <w:tcPr>
            <w:tcW w:w="8283" w:type="dxa"/>
            <w:tcBorders/>
            <w:vAlign w:val="center"/>
          </w:tcPr>
          <w:p>
            <w:pPr>
              <w:pStyle w:val="TableContents"/>
              <w:bidi w:val="0"/>
              <w:spacing w:before="0" w:after="283"/>
              <w:jc w:val="both"/>
              <w:rPr>
                <w:sz w:val="20"/>
              </w:rPr>
            </w:pPr>
            <w:r>
              <w:rPr>
                <w:sz w:val="20"/>
              </w:rPr>
              <w:t>Applicable</w:t>
            </w:r>
          </w:p>
        </w:tc>
      </w:tr>
      <w:tr>
        <w:trPr/>
        <w:tc>
          <w:tcPr>
            <w:tcW w:w="18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3" w:type="dxa"/>
            <w:tcBorders/>
            <w:vAlign w:val="center"/>
          </w:tcPr>
          <w:p>
            <w:pPr>
              <w:pStyle w:val="TableContents"/>
              <w:bidi w:val="0"/>
              <w:spacing w:before="0" w:after="283"/>
              <w:jc w:val="both"/>
              <w:rPr/>
            </w:pPr>
            <w:r>
              <w:rPr/>
              <w:t> </w:t>
            </w:r>
          </w:p>
        </w:tc>
      </w:tr>
      <w:tr>
        <w:trPr/>
        <w:tc>
          <w:tcPr>
            <w:tcW w:w="1862" w:type="dxa"/>
            <w:tcBorders/>
            <w:vAlign w:val="center"/>
          </w:tcPr>
          <w:p>
            <w:pPr>
              <w:pStyle w:val="TableContents"/>
              <w:bidi w:val="0"/>
              <w:spacing w:before="0" w:after="283"/>
              <w:jc w:val="both"/>
              <w:rPr>
                <w:sz w:val="20"/>
              </w:rPr>
            </w:pPr>
            <w:r>
              <w:rPr>
                <w:sz w:val="20"/>
              </w:rPr>
              <w:t>Additional Acknowledgments:</w:t>
            </w:r>
          </w:p>
        </w:tc>
        <w:tc>
          <w:tcPr>
            <w:tcW w:w="60" w:type="dxa"/>
            <w:tcBorders/>
            <w:vAlign w:val="center"/>
          </w:tcPr>
          <w:p>
            <w:pPr>
              <w:pStyle w:val="TableContents"/>
              <w:bidi w:val="0"/>
              <w:spacing w:before="0" w:after="283"/>
              <w:jc w:val="left"/>
              <w:rPr/>
            </w:pPr>
            <w:r>
              <w:rPr/>
              <w:t> </w:t>
            </w:r>
          </w:p>
        </w:tc>
        <w:tc>
          <w:tcPr>
            <w:tcW w:w="8283" w:type="dxa"/>
            <w:tcBorders/>
            <w:vAlign w:val="center"/>
          </w:tcPr>
          <w:p>
            <w:pPr>
              <w:pStyle w:val="TableContents"/>
              <w:bidi w:val="0"/>
              <w:spacing w:before="0" w:after="283"/>
              <w:jc w:val="both"/>
              <w:rPr>
                <w:sz w:val="20"/>
              </w:rPr>
            </w:pPr>
            <w:r>
              <w:rPr>
                <w:sz w:val="20"/>
              </w:rPr>
              <w:t>Applicable</w:t>
            </w:r>
          </w:p>
        </w:tc>
      </w:tr>
      <w:tr>
        <w:trPr/>
        <w:tc>
          <w:tcPr>
            <w:tcW w:w="18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3" w:type="dxa"/>
            <w:tcBorders/>
            <w:vAlign w:val="center"/>
          </w:tcPr>
          <w:p>
            <w:pPr>
              <w:pStyle w:val="TableContents"/>
              <w:bidi w:val="0"/>
              <w:spacing w:before="0" w:after="283"/>
              <w:jc w:val="both"/>
              <w:rPr/>
            </w:pPr>
            <w:r>
              <w:rPr/>
              <w:t> </w:t>
            </w:r>
          </w:p>
        </w:tc>
      </w:tr>
      <w:tr>
        <w:trPr/>
        <w:tc>
          <w:tcPr>
            <w:tcW w:w="1862"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Calculation Agent</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283" w:type="dxa"/>
            <w:tcBorders/>
            <w:vAlign w:val="center"/>
          </w:tcPr>
          <w:p>
            <w:pPr>
              <w:pStyle w:val="TableContents"/>
              <w:bidi w:val="0"/>
              <w:spacing w:before="0" w:after="283"/>
              <w:jc w:val="both"/>
              <w:rPr/>
            </w:pPr>
            <w:r>
              <w:rPr/>
              <w:t> </w:t>
            </w:r>
          </w:p>
        </w:tc>
      </w:tr>
      <w:tr>
        <w:trPr/>
        <w:tc>
          <w:tcPr>
            <w:tcW w:w="18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3" w:type="dxa"/>
            <w:tcBorders/>
            <w:vAlign w:val="center"/>
          </w:tcPr>
          <w:p>
            <w:pPr>
              <w:pStyle w:val="TableContents"/>
              <w:bidi w:val="0"/>
              <w:spacing w:before="0" w:after="283"/>
              <w:jc w:val="both"/>
              <w:rPr/>
            </w:pPr>
            <w:r>
              <w:rPr/>
              <w:t> </w:t>
            </w:r>
          </w:p>
        </w:tc>
      </w:tr>
      <w:tr>
        <w:trPr/>
        <w:tc>
          <w:tcPr>
            <w:tcW w:w="18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3" w:type="dxa"/>
            <w:tcBorders/>
            <w:vAlign w:val="center"/>
          </w:tcPr>
          <w:p>
            <w:pPr>
              <w:pStyle w:val="TableContents"/>
              <w:bidi w:val="0"/>
              <w:spacing w:before="0" w:after="283"/>
              <w:jc w:val="both"/>
              <w:rPr>
                <w:sz w:val="20"/>
              </w:rPr>
            </w:pPr>
            <w:r>
              <w:rPr>
                <w:sz w:val="20"/>
              </w:rPr>
              <w:t>Dealer; provided that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obligations of the Calculation Agent hereunder and such failure continues for five Exchange Business Days following notice to the Calculation Agent by Counterparty of such failure, Counterparty shall have the right to designate a nationally recognized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Calculation Agent.</w:t>
            </w:r>
          </w:p>
        </w:tc>
      </w:tr>
      <w:tr>
        <w:trPr/>
        <w:tc>
          <w:tcPr>
            <w:tcW w:w="18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3" w:type="dxa"/>
            <w:tcBorders/>
            <w:vAlign w:val="center"/>
          </w:tcPr>
          <w:p>
            <w:pPr>
              <w:pStyle w:val="TableContents"/>
              <w:bidi w:val="0"/>
              <w:spacing w:before="0" w:after="283"/>
              <w:jc w:val="both"/>
              <w:rPr/>
            </w:pPr>
            <w:r>
              <w:rPr/>
              <w:t> </w:t>
            </w:r>
          </w:p>
        </w:tc>
      </w:tr>
      <w:tr>
        <w:trPr/>
        <w:tc>
          <w:tcPr>
            <w:tcW w:w="18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3" w:type="dxa"/>
            <w:tcBorders/>
            <w:vAlign w:val="center"/>
          </w:tcPr>
          <w:p>
            <w:pPr>
              <w:pStyle w:val="TableContents"/>
              <w:bidi w:val="0"/>
              <w:spacing w:before="0" w:after="283"/>
              <w:jc w:val="both"/>
              <w:rPr>
                <w:sz w:val="20"/>
              </w:rPr>
            </w:pPr>
            <w:r>
              <w:rPr>
                <w:sz w:val="20"/>
              </w:rPr>
              <w:t xml:space="preserve">Following any calculation by the Calculation Agent hereunder, upon written request by Counterparty, the Calculation Agent will, within five Exchange Business Days immediately following such request, provide to Counterparty by email to the email address provided by Counterparty in such written request a report (in a commonly used file format for the storage and manipulation of financial data) displaying in reasonable detail the basis for such calculation; </w:t>
            </w:r>
            <w:r>
              <w:rPr>
                <w:i/>
                <w:sz w:val="20"/>
              </w:rPr>
              <w:t>provided that</w:t>
            </w:r>
            <w:r>
              <w:rPr>
                <w:sz w:val="20"/>
              </w:rPr>
              <w:t xml:space="preserve"> in no event will Dealer be obligated to share with Counterparty any proprietary or confidential data or information or any proprietary or confidential models used by it or any information that is subject to an obligation not to disclose such information.</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Account Details</w:t>
      </w:r>
      <w:r>
        <w:rPr>
          <w:rFonts w:ascii="Times New Roman;Times;Serif" w:hAnsi="Times New Roman;Times;Serif"/>
          <w:b w:val="false"/>
          <w:i w:val="false"/>
          <w:caps w:val="false"/>
          <w:smallCaps w:val="false"/>
          <w:sz w:val="20"/>
        </w:rPr>
        <w:t>:</w:t>
      </w:r>
    </w:p>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Payment Instructions: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Chase Manhattan Bank New York</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 Goldman, Sachs &amp; Co.</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#930-1-011483</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 021-000021</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Payment Instructions: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 by Counterparty.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Office of Dealer for the Transaction is: 200 West Street, New York, New York 10282-2198</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Office of Counterparty for the Transaction is: Inapplicable, Counterparty is not a Multibranch Party.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For purposes of this Confirmation: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Address for notices or communications to Counterparty: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 Suite 150</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MN 55347</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Kathy Hiebert, Treasurer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Address for notices or communications to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Goldman Sachs &amp; Co. LLC</w:t>
      </w:r>
    </w:p>
    <w:p>
      <w:pPr>
        <w:pStyle w:val="TextBody"/>
        <w:bidi w:val="0"/>
        <w:spacing w:before="0" w:after="0"/>
        <w:ind w:left="108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200 West Street</w:t>
      </w:r>
    </w:p>
    <w:p>
      <w:pPr>
        <w:pStyle w:val="TextBody"/>
        <w:bidi w:val="0"/>
        <w:spacing w:before="0" w:after="0"/>
        <w:ind w:left="108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New York, NY 10282-2198</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Michael Voris, Equity Capital Markets Telephone: 212-902-4895</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212-256-5738</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michael.voris@gs.com With a copy 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Jan Debeuckelaer Telephone: 212-934-0893</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212-256-5738</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jan.debeuckelaer@gs.com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Garrett Cohen Telephone: 212-357-3427</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212-256-5738</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garrett.cohen@gs.com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email notification to the following address: Eq-derivs-notifications@ny.ibd.gs.com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Warranties and Agreements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Trade Date and as of the date of any Notice of Share Termination under (and as defined in) Section 8(c)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xml:space="preserve">”),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or necessary to make the statements therein, in the light of the circumstances in which they were made, not misleading.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On the Trade Date, the Shares or securities that are convertible into, or exchangeable or exercisable for Shares, are not subject to a “restricted period,” as such term is defined in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or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(or any successor issue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Without limiting the generality of Section 3(a)(iii) of the Agreement, the Transaction will not violate Rule 13e-1 or Rule 13e-4 under the Exchange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302A.673 of the Minnesota Business Corporations Act as an “interested shareholder”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On each of the Trade Date and the Premium Payment Date, Counterparty is not “insolvent” (as such term is defined under Section 101(32) of the U.S. Bankruptcy Code (Title 11 of the United States Code)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and Counterparty would be able to purchase the Number of Shares in compliance with the laws of the jurisdiction of Counterparty’s incorporation.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representations and warranties of Counterparty set forth in Section 3 of the Agreement and Section 1 of the Purchase Agreement, dated as of January 18, 2024, between Goldman Sachs &amp; Co. LLC and BMO Capital Markets Corp. as the Representatives and Counterparty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are true and correct as of the Trade Date and the Effective Date and are hereby deemed to be repeated to Dealer as if set forth herein.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provided however, that Counterparty makes no representation or warranty regarding any such requirement that is applicable generally to the ownership of equity securities by Dealer or any of its affiliates as a result of it or any such affiliates being financial institutions or broker-dealers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Counterparty (A) is capable of evaluating investment risks independently, both in general and with regard to all transactions and investment strategies involving a security or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 (C) has total assets of at least $50 million. Counterparty will notify Dealer if the immediately preceding statement contained in this Section 7(a)(xi) ceases to be true.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26, 2023,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Dealer and Counterparty acknowledges that the offer and sale of the Transaction to it is intended to be exempt from registration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Dealer and Counterparty agrees and acknowledges that Dealer is a “financial institution” and “financial participant” within the meaning of Sections 101(22) and 101(22A) of the Bankruptcy Code.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a condition to the effectiveness of the Transaction, Counterparty shall deliver to Dealer (i) an incumbency certificate, dated as of the Premium Payment Date, of Counterparty in customary form and (ii) an opinion of counsel, dated as of the Premium Payment Date and reasonably acceptable to Dealer in form and substance, with respect to the matters set forth in Section 3(a) of the Agreement, Sections 7(a)(vii) and 7(a)(xii) hereof and such other matters as Dealer may reasonably request.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affiliates is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as principal and is not a fiduciary or advisor in respect of any such transaction, including any entry, exercise, amendment, unwind or termination thereof.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Counterparty represents and warrants that it has received, read and understands the </w:t>
      </w:r>
      <w:r>
        <w:rPr>
          <w:rFonts w:ascii="Times New Roman;Times;Serif" w:hAnsi="Times New Roman;Times;Serif"/>
          <w:b/>
          <w:i w:val="false"/>
          <w:caps w:val="false"/>
          <w:smallCaps w:val="false"/>
          <w:sz w:val="20"/>
        </w:rPr>
        <w:t>OTC Options Risk Disclosure Statement</w:t>
      </w:r>
      <w:r>
        <w:rPr>
          <w:rFonts w:ascii="Times New Roman;Times;Serif" w:hAnsi="Times New Roman;Times;Serif"/>
          <w:b w:val="false"/>
          <w:i w:val="false"/>
          <w:caps w:val="false"/>
          <w:smallCaps w:val="false"/>
          <w:sz w:val="20"/>
        </w:rPr>
        <w:t xml:space="preserve"> and a copy of the most recent disclosure pamphlet prepared by The Options Clearing Corporation entitled “</w:t>
      </w:r>
      <w:r>
        <w:rPr>
          <w:rFonts w:ascii="Times New Roman;Times;Serif" w:hAnsi="Times New Roman;Times;Serif"/>
          <w:b/>
          <w:i w:val="false"/>
          <w:caps w:val="false"/>
          <w:smallCaps w:val="false"/>
          <w:sz w:val="20"/>
        </w:rPr>
        <w:t>Characteristics and Risks of Standardized Options”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 acknowledges and agrees to be bound by the Conduct Rules of the Financial Industry Regulatory Authority, Inc. applicable to transactions in options, and further agrees not to violate the position and exercise limits set forth therein.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Counterparty represents and warrants that the assets used in the Transaction (i) are not assets of any “plan” (as such term is defined in Section 4975 of the U.S. Internal Revenue Code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subject to Section 4975 of the Code or any “employee benefit plan” (as such term is defined in Section 3(3) of the U.S. Employee Retirement Income Security Act of 1974, as amended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subject to Title I of ERISA, and (ii) do not constitute “plan assets” within the meaning of Department of Labor Regulation 2510.3-101, 29 CFR Section 2510-3-101.</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On the Trade Date, neither Counterparty nor any “affiliate” or “affiliated purchaser” (each as defined in Rule 10b-18 under the Exchange Act (“</w:t>
      </w:r>
      <w:r>
        <w:rPr>
          <w:rFonts w:ascii="Times New Roman;Times;Serif" w:hAnsi="Times New Roman;Times;Serif"/>
          <w:b/>
          <w:i w:val="false"/>
          <w:caps w:val="false"/>
          <w:smallCaps w:val="false"/>
          <w:sz w:val="20"/>
        </w:rPr>
        <w:t>Rule 10b-18</w:t>
      </w:r>
      <w:r>
        <w:rPr>
          <w:rFonts w:ascii="Times New Roman;Times;Serif" w:hAnsi="Times New Roman;Times;Serif"/>
          <w:b w:val="false"/>
          <w:i w:val="false"/>
          <w:caps w:val="false"/>
          <w:smallCaps w:val="false"/>
          <w:sz w:val="20"/>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Counterparty acknowledges that the Transaction may constitute a purchase of its equity securities or a capital distribution. Counterparty further acknowledges that, pursuant to the provisions of the Coronavirus Aid, Relief and Economic Security Act (the “</w:t>
      </w:r>
      <w:r>
        <w:rPr>
          <w:rFonts w:ascii="Times New Roman;Times;Serif" w:hAnsi="Times New Roman;Times;Serif"/>
          <w:b/>
          <w:i w:val="false"/>
          <w:caps w:val="false"/>
          <w:smallCaps w:val="false"/>
          <w:sz w:val="20"/>
        </w:rPr>
        <w:t>CARES Act</w:t>
      </w:r>
      <w:r>
        <w:rPr>
          <w:rFonts w:ascii="Times New Roman;Times;Serif" w:hAnsi="Times New Roman;Times;Serif"/>
          <w:b w:val="false"/>
          <w:i w:val="false"/>
          <w:caps w:val="false"/>
          <w:smallCaps w:val="false"/>
          <w:sz w:val="20"/>
        </w:rPr>
        <w:t>”), the Counterparty will be required to agree to certain time-bound restrictions on its ability to purchase its equity securities or make capital distributions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or make capital distributions if it receives loans, loan guarantees or direct loans (as that term is defined in the CARES Act) under programs or facilities established by the Board of Governors of the Federal Reserve System or the U.S. Department of Treasury for the purpose of providing liquidity to the financial system, and may be required to agree to similar restrictions under programs or facilities established in the future. Accordingly, Counterparty represents and warrants that neither it nor any of its subsidiaries has applied for, and throughout the term of the Transaction shall not apply, for a loan, loan guarantee, direct loan (as that term is defined in the CARES Act) or other investment, or to receive any financial assistance or relief (howsoever defined) under any program or facility that (a) is established under applicable law (whether in existence as of the Trade Date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Counterparty or any of its subsidiaries agree, attest, certify or warrant that it has not, as of the date specified in such condition, repurchased, or will not repurchase, any equity security of Counterparty, and that it has not, as of the date specified in such condition, made a capital distribution or will not make a capital distribution (collectively, “</w:t>
      </w:r>
      <w:r>
        <w:rPr>
          <w:rFonts w:ascii="Times New Roman;Times;Serif" w:hAnsi="Times New Roman;Times;Serif"/>
          <w:b/>
          <w:i w:val="false"/>
          <w:caps w:val="false"/>
          <w:smallCaps w:val="false"/>
          <w:sz w:val="20"/>
        </w:rPr>
        <w:t>Restricted Financial Assistance</w:t>
      </w:r>
      <w:r>
        <w:rPr>
          <w:rFonts w:ascii="Times New Roman;Times;Serif" w:hAnsi="Times New Roman;Times;Serif"/>
          <w:b w:val="false"/>
          <w:i w:val="false"/>
          <w:caps w:val="false"/>
          <w:smallCaps w:val="false"/>
          <w:sz w:val="20"/>
        </w:rPr>
        <w:t xml:space="preserve">”); provided that Counterparty may apply for Restricted Financial Assistance if Counterparty either (a) determines, based on the advice of outside counsel of national standing, that the terms of the Transaction would not cause Counterparty to fail to satisfy any condition for application for or receipt or retention of such loan, loan guarantee, direct loan (as that term is defined in the CARES Act), investment, financial assistance or relief based on the terms of the program or facility as of the date of such advice or (b) delivers to Dealer evidence of a waiver or other guidance from a governmental authority with jurisdiction for such program or facility that the Transaction is permitted under such program or facility (either by specific reference to the Transaction or by general reference to transactions with attributes of the Transaction in all relevant respects). Counterparty further represents and warrants that the Premium is not being paid, in whole or in part, directly or indirectly, with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received under or pursuant to any program or facility, including the U.S. Small Business Administration’s “Paycheck Protection Program”, that (a) is established under applicable law (whether in existence as of the Trade Date or subsequently enacted, adopted or 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Right to Extend</w:t>
      </w:r>
      <w:r>
        <w:rPr>
          <w:rFonts w:ascii="Times New Roman;Times;Serif" w:hAnsi="Times New Roman;Times;Serif"/>
          <w:b w:val="false"/>
          <w:i w:val="false"/>
          <w:caps w:val="false"/>
          <w:smallCaps w:val="false"/>
          <w:sz w:val="20"/>
        </w:rPr>
        <w:t>. Dealer may postpone or add, in whole or in part, any Exercise Date or Settlement Date or any other date of valuation or delivery by Dealer, with respect to some or all of the relevant Options (in which event the Calculation Agent shall make appropriate adjustments to the Delivery Obligation), if Dealer determines, in its commercially reasonable discretion, that such extension or addition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 and in the case of policies or procedures, so long as such policies and procedures are consistently applied to transactions similar to the Transaction).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Additional Termination Events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 event of default with respect to Counterparty under the terms of the Convertible Securities as set forth in Section 7.01 of the Indenture that results in the acceleration of the Convertible Notes, or (B) an Amendment Event, in each case, shall constitute an Additional Termination Event with respect to which the Transaction is the sole Affected Transaction and Counterparty is the sole Affected Party, and Dealer shall be the party entitled to designate an Early Termination Date pursuant to Section 6(b) of the Agreement and to determine the amount payable pursuant to Section 6(e) of the Agreement. “</w:t>
      </w:r>
      <w:r>
        <w:rPr>
          <w:rFonts w:ascii="Times New Roman;Times;Serif" w:hAnsi="Times New Roman;Times;Serif"/>
          <w:b/>
          <w:i w:val="false"/>
          <w:caps w:val="false"/>
          <w:smallCaps w:val="false"/>
          <w:sz w:val="20"/>
        </w:rPr>
        <w:t>Amendment Event</w:t>
      </w:r>
      <w:r>
        <w:rPr>
          <w:rFonts w:ascii="Times New Roman;Times;Serif" w:hAnsi="Times New Roman;Times;Serif"/>
          <w:b w:val="false"/>
          <w:i w:val="false"/>
          <w:caps w:val="false"/>
          <w:smallCaps w:val="false"/>
          <w:sz w:val="20"/>
        </w:rPr>
        <w:t>” means that Counterparty amends, modifies, supplements, waives or obtains a waiver in respect of any term of the Indenture or the Convertible Securities governing the principal amount, coupon, maturity, repurchase obligation of Counterparty, any term relating to conversion of the Convertible Securities (including changes to the conversion rate, conversion rate adjustment provisions, conversion settlement dates or conversion conditions), or any term that would require consent of the holders of not less than 100% of the principal amount of the Convertible Securities to amend (other than, in each case, any amendment or supplement (x) pursuant to Section 8.01(I) of the Indenture that, as determined by the Calculation Agent, conforms the Indenture to the description of Convertible Securities in the Offering Memorandum or (y) pursuant to Section 5.08 of the Indenture), in each case, without the consent of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 Scheduled Trading Days promptly following any Repayment Event (as defined below), Counterparty shall notify Dealer of such Repayment Event and the aggregate principal amount of Convertible Notes subject to such Repayment Event or the portion of such aggregate principal amount that Counterparty elects to be subject to such Repayment Event) (any such notice, a “</w:t>
      </w:r>
      <w:r>
        <w:rPr>
          <w:rFonts w:ascii="Times New Roman;Times;Serif" w:hAnsi="Times New Roman;Times;Serif"/>
          <w:b/>
          <w:i w:val="false"/>
          <w:caps w:val="false"/>
          <w:smallCaps w:val="false"/>
          <w:sz w:val="20"/>
        </w:rPr>
        <w:t>Repayment Notice</w:t>
      </w:r>
      <w:r>
        <w:rPr>
          <w:rFonts w:ascii="Times New Roman;Times;Serif" w:hAnsi="Times New Roman;Times;Serif"/>
          <w:b w:val="false"/>
          <w:i w:val="false"/>
          <w:caps w:val="false"/>
          <w:smallCaps w:val="false"/>
          <w:sz w:val="20"/>
        </w:rPr>
        <w:t xml:space="preserve">”). Any Repayment Notice shall contain a written representation by Counterparty to Dealer that Counterparty is not, on the date of such Repayment Notice, in possession of any material non-public information with respect to Counterparty or the Shares. The receipt by Dealer from Counterparty of any Repayment Notice shall constitute an Additional Termination Event as provided in this Section 8(b)(B). Upon receipt of any such Repayment Notice, Dealer shall designate an Exchange Business Day following receipt of such Repayment Notice as an Early Termination Date with respect to the portion of the Transaction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corresponding to a number of Options (the “</w:t>
      </w:r>
      <w:r>
        <w:rPr>
          <w:rFonts w:ascii="Times New Roman;Times;Serif" w:hAnsi="Times New Roman;Times;Serif"/>
          <w:b/>
          <w:i w:val="false"/>
          <w:caps w:val="false"/>
          <w:smallCaps w:val="false"/>
          <w:sz w:val="20"/>
        </w:rPr>
        <w:t>Repayment Options</w:t>
      </w:r>
      <w:r>
        <w:rPr>
          <w:rFonts w:ascii="Times New Roman;Times;Serif" w:hAnsi="Times New Roman;Times;Serif"/>
          <w:b w:val="false"/>
          <w:i w:val="false"/>
          <w:caps w:val="false"/>
          <w:smallCaps w:val="false"/>
          <w:sz w:val="20"/>
        </w:rPr>
        <w:t xml:space="preserve">”) equal to the lesser of (A) the aggregate principal amount of such Convertible Notes specified in such Repayment Notice,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USD 1,000,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Times;Serif" w:hAnsi="Times New Roman;Times;Serif"/>
          <w:b/>
          <w:i w:val="false"/>
          <w:caps w:val="false"/>
          <w:smallCaps w:val="false"/>
          <w:sz w:val="20"/>
        </w:rPr>
        <w:t>Repayment Unwind Payment</w:t>
      </w:r>
      <w:r>
        <w:rPr>
          <w:rFonts w:ascii="Times New Roman;Times;Serif" w:hAnsi="Times New Roman;Times;Serif"/>
          <w:b w:val="false"/>
          <w:i w:val="false"/>
          <w:caps w:val="false"/>
          <w:smallCaps w:val="false"/>
          <w:sz w:val="20"/>
        </w:rPr>
        <w:t xml:space="preserve">”)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and (3) the terminated portion of the Transaction were the sole Affected Transaction;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the event of a Repayment Event pursuant to Section 4.02 of the Indenture or Section 4.03 of the Indenture, such payment shall not be greater than (x) the number of Repayment Options multiplied by (y) the product of (A) the Applicable Percentage and (B) the excess, if any of (I) the amount paid by Counterparty per Convertible Security pursuant to Section 4.02 of the Indenture or Section 4.03 of the Indenture, as the case may be, over (II) USD 1,000.” “</w:t>
      </w:r>
      <w:r>
        <w:rPr>
          <w:rFonts w:ascii="Times New Roman;Times;Serif" w:hAnsi="Times New Roman;Times;Serif"/>
          <w:b/>
          <w:i w:val="false"/>
          <w:caps w:val="false"/>
          <w:smallCaps w:val="false"/>
          <w:sz w:val="20"/>
        </w:rPr>
        <w:t>Repayment Event</w:t>
      </w:r>
      <w:r>
        <w:rPr>
          <w:rFonts w:ascii="Times New Roman;Times;Serif" w:hAnsi="Times New Roman;Times;Serif"/>
          <w:b w:val="false"/>
          <w:i w:val="false"/>
          <w:caps w:val="false"/>
          <w:smallCaps w:val="false"/>
          <w:sz w:val="20"/>
        </w:rPr>
        <w:t>” means that (i) any Convertible Notes are repurchased or redeemed (whether pursuant to Section 4.02 of the Indenture, Section 4.03 of the Indenture or for any other reason) by Counterparty or any of its subsidiaries, (ii) any Convertible Notes are delivered to Counterparty or any of its subsidiaries in exchange for delivery of any property or assets of such party (howsoever described), (iii) any principal of any of the Convertible Notes is repaid prior to the final maturity date of the Convertible Notes, or (iv) any Convertible Notes are exchanged by or for the benefit of the Holders (as such term is defined in the Indenture) thereof for any other securities of Counterparty or any of its subsidiaries (or any other property, or any combination thereof) pursuant to any exchange offer or similar transaction. For the avoidance of doubt, any conversion of Convertible Notes pursuant to the terms of the Indenture shall not constitute a Repayment Event.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Alternative Calculations and Payment on Early Termination and on Certain Extraordinary Events</w:t>
      </w:r>
      <w:r>
        <w:rPr>
          <w:rFonts w:ascii="Times New Roman;Times;Serif" w:hAnsi="Times New Roman;Times;Serif"/>
          <w:b w:val="false"/>
          <w:i w:val="false"/>
          <w:caps w:val="false"/>
          <w:smallCaps w:val="false"/>
          <w:sz w:val="20"/>
        </w:rPr>
        <w:t>. If Dealer shall owe Counterparty any amount pursuant to Section 6(d)(ii) of the Agreement (a “</w:t>
      </w:r>
      <w:r>
        <w:rPr>
          <w:rFonts w:ascii="Times New Roman;Times;Serif" w:hAnsi="Times New Roman;Times;Serif"/>
          <w:b/>
          <w:i w:val="false"/>
          <w:caps w:val="false"/>
          <w:smallCaps w:val="false"/>
          <w:sz w:val="20"/>
        </w:rPr>
        <w:t>Payment Obligation</w:t>
      </w:r>
      <w:r>
        <w:rPr>
          <w:rFonts w:ascii="Times New Roman;Times;Serif" w:hAnsi="Times New Roman;Times;Serif"/>
          <w:b w:val="false"/>
          <w:i w:val="false"/>
          <w:caps w:val="false"/>
          <w:smallCaps w:val="false"/>
          <w:sz w:val="20"/>
        </w:rPr>
        <w:t>”), Counterparty shall have the right, in its sole discretion, to require Dealer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relevant merger date, Announcement Date, Early Termination Date or date of cancellation or termination in respect of an Extraordinary Event, as applicable (“</w:t>
      </w:r>
      <w:r>
        <w:rPr>
          <w:rFonts w:ascii="Times New Roman;Times;Serif" w:hAnsi="Times New Roman;Times;Serif"/>
          <w:b/>
          <w:i w:val="false"/>
          <w:caps w:val="false"/>
          <w:smallCaps w:val="false"/>
          <w:sz w:val="20"/>
        </w:rPr>
        <w:t>Notice of Share Termination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does not elect to require Dealer to satisfy its Payment Obligation by the Share Termination Alternative, Dealer shall have the right, in its sole discretion, to elect to satisfy its Payment Obligation by the Share Termination Alternative, notwithstanding Counterparty’s failure to elect or election to the contrary;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relevant merger date, Announcement Date, Early Termination Date or date of cancellation or termination in respect of an Extraordinary Event, as applicable: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9"/>
        <w:gridCol w:w="60"/>
        <w:gridCol w:w="8786"/>
      </w:tblGrid>
      <w:tr>
        <w:trPr/>
        <w:tc>
          <w:tcPr>
            <w:tcW w:w="13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Termination Alternative:</w:t>
            </w:r>
          </w:p>
        </w:tc>
        <w:tc>
          <w:tcPr>
            <w:tcW w:w="60"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means that Dealer shall deliver to Counterparty the Share Termination Delivery Property on the date on which the Payment Obligation would otherwise be due pursuant to Section 6(d)(ii) of the Agreement or such later date or dates as Dealer may commercially reasonably determine (the “</w:t>
            </w:r>
            <w:r>
              <w:rPr>
                <w:rFonts w:ascii="Times New Roman;Times;Serif" w:hAnsi="Times New Roman;Times;Serif"/>
                <w:b/>
                <w:sz w:val="20"/>
              </w:rPr>
              <w:t>Share Termination Payment Date</w:t>
            </w:r>
            <w:r>
              <w:rPr>
                <w:rFonts w:ascii="Times New Roman;Times;Serif" w:hAnsi="Times New Roman;Times;Serif"/>
                <w:sz w:val="20"/>
              </w:rPr>
              <w:t>”) taking into account commercially reasonable hedging or hedge unwind activity, in satisfaction of the Payment Obligation.</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96"/>
        <w:gridCol w:w="60"/>
        <w:gridCol w:w="8849"/>
      </w:tblGrid>
      <w:tr>
        <w:trPr/>
        <w:tc>
          <w:tcPr>
            <w:tcW w:w="1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Termination Delivery Property:</w:t>
            </w:r>
          </w:p>
        </w:tc>
        <w:tc>
          <w:tcPr>
            <w:tcW w:w="60"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equal to the value of such fractional security based on the values used to calculate the Share Termination Unit Price.</w:t>
            </w:r>
          </w:p>
        </w:tc>
      </w:tr>
      <w:tr>
        <w:trPr/>
        <w:tc>
          <w:tcPr>
            <w:tcW w:w="1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both"/>
              <w:rPr/>
            </w:pPr>
            <w:r>
              <w:rPr/>
              <w:t> </w:t>
            </w:r>
          </w:p>
        </w:tc>
      </w:tr>
      <w:tr>
        <w:trPr/>
        <w:tc>
          <w:tcPr>
            <w:tcW w:w="1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Termination Unit Price:</w:t>
            </w:r>
          </w:p>
        </w:tc>
        <w:tc>
          <w:tcPr>
            <w:tcW w:w="60"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value of property contained in one Share Termination Delivery Unit on the date such Share Termination Delivery Units are to be delivered as Share Termination Delivery Property, as determined by the Calculation Agent and notified by the Calculation Agent to Dealer at the time of notification of the Payment Obligation.</w:t>
            </w:r>
          </w:p>
        </w:tc>
      </w:tr>
      <w:tr>
        <w:trPr/>
        <w:tc>
          <w:tcPr>
            <w:tcW w:w="1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both"/>
              <w:rPr/>
            </w:pPr>
            <w:r>
              <w:rPr/>
              <w:t> </w:t>
            </w:r>
          </w:p>
        </w:tc>
      </w:tr>
      <w:tr>
        <w:trPr/>
        <w:tc>
          <w:tcPr>
            <w:tcW w:w="1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Termination Delivery Unit:</w:t>
            </w:r>
          </w:p>
        </w:tc>
        <w:tc>
          <w:tcPr>
            <w:tcW w:w="60"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tc>
      </w:tr>
      <w:tr>
        <w:trPr/>
        <w:tc>
          <w:tcPr>
            <w:tcW w:w="1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both"/>
              <w:rPr/>
            </w:pPr>
            <w:r>
              <w:rPr/>
              <w:t> </w:t>
            </w:r>
          </w:p>
        </w:tc>
      </w:tr>
      <w:tr>
        <w:trPr/>
        <w:tc>
          <w:tcPr>
            <w:tcW w:w="1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Failure to Deliver:</w:t>
            </w:r>
          </w:p>
        </w:tc>
        <w:tc>
          <w:tcPr>
            <w:tcW w:w="60"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both"/>
              <w:rPr/>
            </w:pPr>
            <w:r>
              <w:rPr/>
              <w:t> </w:t>
            </w:r>
          </w:p>
        </w:tc>
      </w:tr>
      <w:tr>
        <w:trPr/>
        <w:tc>
          <w:tcPr>
            <w:tcW w:w="1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Applicable Provisions:</w:t>
            </w:r>
          </w:p>
        </w:tc>
        <w:tc>
          <w:tcPr>
            <w:tcW w:w="60"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Share Termination Alternative is applicable, the provisions of Sections 9.8, 9.9 and 9.11 of the Equity Definitions will be applicable as if “Physical Settlement” applied to the Transaction, except that all references to “Shares” shall be read as references to “Share Termination Delivery Units”; </w:t>
            </w:r>
            <w:r>
              <w:rPr>
                <w:rFonts w:ascii="Times New Roman;Times;Serif" w:hAnsi="Times New Roman;Times;Serif"/>
                <w:i/>
                <w:sz w:val="20"/>
              </w:rPr>
              <w:t>provided</w:t>
            </w:r>
            <w:r>
              <w:rPr>
                <w:rFonts w:ascii="Times New Roman;Times;Serif" w:hAnsi="Times New Roman;Times;Serif"/>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part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Disposition of Hedge Shares</w:t>
      </w:r>
      <w:r>
        <w:rPr>
          <w:rFonts w:ascii="Times New Roman;Times;Serif" w:hAnsi="Times New Roman;Times;Serif"/>
          <w:b w:val="false"/>
          <w:i w:val="false"/>
          <w:caps w:val="false"/>
          <w:smallCaps w:val="false"/>
          <w:sz w:val="20"/>
        </w:rPr>
        <w:t>. Counterparty hereby agrees that if, in the good faith reasonable judgment of Dealer, the Shares (the “</w:t>
      </w:r>
      <w:r>
        <w:rPr>
          <w:rFonts w:ascii="Times New Roman;Times;Serif" w:hAnsi="Times New Roman;Times;Serif"/>
          <w:b/>
          <w:i w:val="false"/>
          <w:caps w:val="false"/>
          <w:smallCaps w:val="false"/>
          <w:sz w:val="20"/>
        </w:rPr>
        <w:t>Hedge Shares</w:t>
      </w:r>
      <w:r>
        <w:rPr>
          <w:rFonts w:ascii="Times New Roman;Times;Serif" w:hAnsi="Times New Roman;Times;Serif"/>
          <w:b w:val="false"/>
          <w:i w:val="false"/>
          <w:caps w:val="false"/>
          <w:smallCaps w:val="false"/>
          <w:sz w:val="20"/>
        </w:rPr>
        <w:t xml:space="preserve">”) acquired by Dealer for the purpose of hedging its obligations pursuant to the Transaction in a commercially reasonable manner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(B) 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elects clause (i) above but the items referred to therein are not completed in a timely manner, or if Dealer, in its sole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substantially similar to private placement purchase agreements customary for private placements of equity securities, in form and substance commercially reasonably satisfactory to Dealer, including customary representations, covenants, blue sky and other governmental filings and/or registrations, indemnities to Dealer, due diligence rights (for Dealer or any designated buyer of the Hedge Shares from Dealer), and best efforts obligations to provide opinions and certificates and such other documentation as is customary for private placements agreements, all commercially reasonably acceptable to Dealer (in which case, the Calculation Agent shall make any adjustments to the terms of the Transaction that are necessary to compensate Dealer for any commercially reasonable discount from the public market price of the Shares incurred on the sale of Hedge Shares in a private placement); or (iii) purchase the Hedge Shares from Dealer at the “Daily VWAP” (as defined in the Indenture) on such Exchange Business Days, and in the amounts, commercially reasonably requested by Dealer. This Section 8(d) shall survive the termination, expiration or early unwind of the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Repurchase and Conversion Rate Adjustment Notices</w:t>
      </w:r>
      <w:r>
        <w:rPr>
          <w:rFonts w:ascii="Times New Roman;Times;Serif" w:hAnsi="Times New Roman;Times;Serif"/>
          <w:b w:val="false"/>
          <w:i w:val="false"/>
          <w:caps w:val="false"/>
          <w:smallCaps w:val="false"/>
          <w:sz w:val="20"/>
        </w:rPr>
        <w:t>. Counterparty shall, at least two Exchange Business Days prior to any day on which Counterparty effects any repurchase of Shares or consummates or otherwise engages in any transaction or event (a “</w:t>
      </w:r>
      <w:r>
        <w:rPr>
          <w:rFonts w:ascii="Times New Roman;Times;Serif" w:hAnsi="Times New Roman;Times;Serif"/>
          <w:b/>
          <w:i w:val="false"/>
          <w:caps w:val="false"/>
          <w:smallCaps w:val="false"/>
          <w:sz w:val="20"/>
        </w:rPr>
        <w:t>Conversion Rate Adjustment Event</w:t>
      </w:r>
      <w:r>
        <w:rPr>
          <w:rFonts w:ascii="Times New Roman;Times;Serif" w:hAnsi="Times New Roman;Times;Serif"/>
          <w:b w:val="false"/>
          <w:i w:val="false"/>
          <w:caps w:val="false"/>
          <w:smallCaps w:val="false"/>
          <w:sz w:val="20"/>
        </w:rPr>
        <w:t>”) that could reasonably be expected to lead to an increase in the Conversion Rate, give Dealer a written notice of such repurchase or Conversion Rate Adjustment Event (a “</w:t>
      </w:r>
      <w:r>
        <w:rPr>
          <w:rFonts w:ascii="Times New Roman;Times;Serif" w:hAnsi="Times New Roman;Times;Serif"/>
          <w:b/>
          <w:i w:val="false"/>
          <w:caps w:val="false"/>
          <w:smallCaps w:val="false"/>
          <w:sz w:val="20"/>
        </w:rPr>
        <w:t>Repurchase Notice</w:t>
      </w:r>
      <w:r>
        <w:rPr>
          <w:rFonts w:ascii="Times New Roman;Times;Serif" w:hAnsi="Times New Roman;Times;Serif"/>
          <w:b w:val="false"/>
          <w:i w:val="false"/>
          <w:caps w:val="false"/>
          <w:smallCaps w:val="false"/>
          <w:sz w:val="20"/>
        </w:rPr>
        <w:t>”) on such day if, following such repurchase or Conversion Rate Adjustment Event, the Notice Percentage would reasonably be expected to be (i) greater than 13.27% and (ii) greater by 0.5% than the Notice Percentage included in the immediately preceding Repurchase Notice (or, in the case of the first such Repurchase Notice, greater than the Notice Percentage as of the date hereof). The “</w:t>
      </w:r>
      <w:r>
        <w:rPr>
          <w:rFonts w:ascii="Times New Roman;Times;Serif" w:hAnsi="Times New Roman;Times;Serif"/>
          <w:b/>
          <w:i w:val="false"/>
          <w:caps w:val="false"/>
          <w:smallCaps w:val="false"/>
          <w:sz w:val="20"/>
        </w:rPr>
        <w:t>Notice Percentage</w:t>
      </w:r>
      <w:r>
        <w:rPr>
          <w:rFonts w:ascii="Times New Roman;Times;Serif" w:hAnsi="Times New Roman;Times;Serif"/>
          <w:b w:val="false"/>
          <w:i w:val="false"/>
          <w:caps w:val="false"/>
          <w:smallCaps w:val="false"/>
          <w:sz w:val="20"/>
        </w:rPr>
        <w:t>” as of any day is the fraction, expressed as a percentage, the numerator of which is the Number of Shares plus the number of shares underlying any other convertible bond hedge transactions or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from and against any and all losses (including losses relating to the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Party may become subject under applicable securities laws, including without limitation, Section 16 of the Exchange Act or under any state or federal law, regulation or regulatory order,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actual expenses (including reasonable counsel fees and expenses) as they are incurred (after notice to Counterparty and supported by invoices or other documentation setting forth in reasonable detail such expenses)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To the extent an Indemnified Party fails to provide notice of any action commenced against it in respect of which indemnity may be sought hereunder within a commercially reasonable period of time that would materially prejudice Counterparty (it being understood that any such notice delivered within 30 calendar days of the commencement of any such action shall be deemed to have been delivered within a commercially reasonable period of time for such purpose). Counterparty shall be relived from liability. This indemnity shall survive the completion of the Transaction contemplated by this Confirmation and any assignment and delegation of the Transaction made pursuant to this Confirmation or the Agreement and shall inure to the benefit of any permitted assignee of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Transfer and Assignment</w:t>
      </w:r>
      <w:r>
        <w:rPr>
          <w:rFonts w:ascii="Times New Roman;Times;Serif" w:hAnsi="Times New Roman;Times;Serif"/>
          <w:b w:val="false"/>
          <w:i w:val="false"/>
          <w:caps w:val="false"/>
          <w:smallCaps w:val="false"/>
          <w:sz w:val="20"/>
        </w:rPr>
        <w:t xml:space="preserve">. Either party may transfer or assign any of its rights or obligations under the Transaction with the prior written consent of the non-transferring party, such consent not to be unreasonably withheld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Dealer may transfer or assign without any consent of Counterparty its rights and obligations hereunder, in whole or in part, to (i) any affiliate of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or (ii) any person, or any person whose obligations hereunder would be guaranteed, pursuant to the terms of a customary guarantee in a form generally used for similar transactions, by a person, in either case, of credit quality at least equivalent to Dealer’s (or its ultimate parent’s). If at any time at which (1) the Equity Percentage exceeds 8.0% or (2) Dealer, Dealer Group (as defined below) or any person whose ownership position would be aggregated with that of Dealer or Dealer Group (Dealer, Dealer Group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the Minnesota Business Corporations Act or other federal, state or local law, rule, regulation or regulatory order or organizational documents or contracts of Counterparty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1% of the number of Shares outstanding on the date of determination (either such condition described in clause (1) or (2), an “</w:t>
      </w:r>
      <w:r>
        <w:rPr>
          <w:rFonts w:ascii="Times New Roman;Times;Serif" w:hAnsi="Times New Roman;Times;Serif"/>
          <w:b/>
          <w:i w:val="false"/>
          <w:caps w:val="false"/>
          <w:smallCaps w:val="false"/>
          <w:sz w:val="20"/>
        </w:rPr>
        <w:t xml:space="preserve">Excess Ownership </w:t>
      </w:r>
      <w:r>
        <w:rPr>
          <w:rFonts w:ascii="Times New Roman;Times;Serif" w:hAnsi="Times New Roman;Times;Serif"/>
          <w:b w:val="false"/>
          <w:i w:val="false"/>
          <w:caps w:val="false"/>
          <w:smallCaps w:val="false"/>
          <w:sz w:val="20"/>
        </w:rPr>
        <w:t>Position”), Dealer, in its discretion, is unable to effect a transfer or assignment to a third party after its commercially reasonable efforts on pricing and terms and within a time period reasonably acceptable to Dealer such that an Excess Ownership Position no longer exists, Dealer may designate any Scheduled Trading Day as an Early Termination Date with respect to a portion (the “</w:t>
      </w:r>
      <w:r>
        <w:rPr>
          <w:rFonts w:ascii="Times New Roman;Times;Serif" w:hAnsi="Times New Roman;Times;Serif"/>
          <w:b/>
          <w:i w:val="false"/>
          <w:caps w:val="false"/>
          <w:smallCaps w:val="false"/>
          <w:sz w:val="20"/>
        </w:rPr>
        <w:t>Terminated Portion</w:t>
      </w:r>
      <w:r>
        <w:rPr>
          <w:rFonts w:ascii="Times New Roman;Times;Serif" w:hAnsi="Times New Roman;Times;Serif"/>
          <w:b w:val="false"/>
          <w:i w:val="false"/>
          <w:caps w:val="false"/>
          <w:smallCaps w:val="false"/>
          <w:sz w:val="20"/>
        </w:rPr>
        <w:t>”) of the Transaction, such that an Excess Ownership Position would no longer exist following the resulting partial termination of the Transaction (after taking into account commercially reasonable adjustments to Dealer’s commercially reasonable Hedge Positions from such partial termination). In the event that Dealer so designates an Early Termination Date with respect to a portion of the Transaction, a payment or delivery shall be made pursuant to Section 6 of the Agreement or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Times New Roman;Times;Serif" w:hAnsi="Times New Roman;Times;Serif"/>
          <w:b/>
          <w:i w:val="false"/>
          <w:caps w:val="false"/>
          <w:smallCaps w:val="false"/>
          <w:sz w:val="20"/>
        </w:rPr>
        <w:t>Equity Percentage</w:t>
      </w:r>
      <w:r>
        <w:rPr>
          <w:rFonts w:ascii="Times New Roman;Times;Serif" w:hAnsi="Times New Roman;Times;Serif"/>
          <w:b w:val="false"/>
          <w:i w:val="false"/>
          <w:caps w:val="false"/>
          <w:smallCaps w:val="false"/>
          <w:sz w:val="20"/>
        </w:rPr>
        <w:t>” as of any day is the fraction, expressed as a percentage, (A) the numerator of which is the number of Shares that Dealer and any of its affiliates subject to aggregation with Dealer for purposes of the “beneficial ownership” test under Section 13 of the Exchange Act and all persons who may form a “group” (within the meaning of Rule 13d-5(b)(1) under the Exchange Act) with Dealer (collectively, “</w:t>
      </w:r>
      <w:r>
        <w:rPr>
          <w:rFonts w:ascii="Times New Roman;Times;Serif" w:hAnsi="Times New Roman;Times;Serif"/>
          <w:b/>
          <w:i w:val="false"/>
          <w:caps w:val="false"/>
          <w:smallCaps w:val="false"/>
          <w:sz w:val="20"/>
        </w:rPr>
        <w:t>Dealer Group</w:t>
      </w:r>
      <w:r>
        <w:rPr>
          <w:rFonts w:ascii="Times New Roman;Times;Serif" w:hAnsi="Times New Roman;Times;Serif"/>
          <w:b w:val="false"/>
          <w:i w:val="false"/>
          <w:caps w:val="false"/>
          <w:smallCaps w:val="false"/>
          <w:sz w:val="20"/>
        </w:rPr>
        <w:t>”) “beneficially own”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In the case of a transfer or assignment by Counterparty of its rights and obligations hereunder and under the Agreement, in whole or in part (any such Options so transferred or assigned, the “</w:t>
      </w:r>
      <w:r>
        <w:rPr>
          <w:rFonts w:ascii="Times New Roman;Times;Serif" w:hAnsi="Times New Roman;Times;Serif"/>
          <w:b/>
          <w:i w:val="false"/>
          <w:caps w:val="false"/>
          <w:smallCaps w:val="false"/>
          <w:sz w:val="20"/>
        </w:rPr>
        <w:t>Transfer Options</w:t>
      </w:r>
      <w:r>
        <w:rPr>
          <w:rFonts w:ascii="Times New Roman;Times;Serif" w:hAnsi="Times New Roman;Times;Serif"/>
          <w:b w:val="false"/>
          <w:i w:val="false"/>
          <w:caps w:val="false"/>
          <w:smallCaps w:val="false"/>
          <w:sz w:val="20"/>
        </w:rPr>
        <w:t>”), to any party, withholding of such consent by Dealer shall not be considered unreasonable if such transfer or assignment does not meet the reasonable conditions that Dealer may impose including, but not limited, to the following conditions: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Transfer Options, Counterparty shall not be released from its notice and indemnification obligations pursuant to Section 8(e) or any obligations under Section 2 (regarding Extraordinary Events) or 8(d) of this Confirmation;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Transfer Options shall only be transferred or assigned to a third party that is a United States person (as defined in Section 7701(a)(30) of the Internal Revenue Code of 1986, as amended (the “Code”));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matters by such third party and Counterparty as are requested by, and reasonably satisfactory to,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Dealer shall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Event of Default, Potential Event of Default or Termination Event shall not occur as a result of such transfer and assignment;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the generality of clause (B), Counterparty shall have caused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Counterparty shall be responsible for all reasonable costs and expenses, including reasonable counsel fees, incurred by Dealer in connection with such transfer or assignment.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Delivery of Shares</w:t>
      </w:r>
      <w:r>
        <w:rPr>
          <w:rFonts w:ascii="Times New Roman;Times;Serif" w:hAnsi="Times New Roman;Times;Serif"/>
          <w:b w:val="false"/>
          <w:i w:val="false"/>
          <w:caps w:val="false"/>
          <w:smallCaps w:val="false"/>
          <w:sz w:val="20"/>
        </w:rPr>
        <w:t>. Notwithstanding anything to the contrary herein, Dealer may, by prior notice to Counterparty, satisfy its obligation to deliver any Shares or other securities on any date due (an “</w:t>
      </w:r>
      <w:r>
        <w:rPr>
          <w:rFonts w:ascii="Times New Roman;Times;Serif" w:hAnsi="Times New Roman;Times;Serif"/>
          <w:b/>
          <w:i w:val="false"/>
          <w:caps w:val="false"/>
          <w:smallCaps w:val="false"/>
          <w:sz w:val="20"/>
        </w:rPr>
        <w:t>Original Delivery Date</w:t>
      </w:r>
      <w:r>
        <w:rPr>
          <w:rFonts w:ascii="Times New Roman;Times;Serif" w:hAnsi="Times New Roman;Times;Serif"/>
          <w:b w:val="false"/>
          <w:i w:val="false"/>
          <w:caps w:val="false"/>
          <w:smallCaps w:val="false"/>
          <w:sz w:val="20"/>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No Netting and Set-off. </w:t>
      </w:r>
      <w:r>
        <w:rPr>
          <w:rFonts w:ascii="Times New Roman;Times;Serif" w:hAnsi="Times New Roman;Times;Serif"/>
          <w:b w:val="false"/>
          <w:i w:val="false"/>
          <w:caps w:val="false"/>
          <w:smallCaps w:val="false"/>
          <w:sz w:val="20"/>
        </w:rPr>
        <w:t>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Equity Rights</w:t>
      </w:r>
      <w:r>
        <w:rPr>
          <w:rFonts w:ascii="Times New Roman;Times;Serif" w:hAnsi="Times New Roman;Times;Serif"/>
          <w:b w:val="false"/>
          <w:i w:val="false"/>
          <w:caps w:val="false"/>
          <w:smallCaps w:val="false"/>
          <w:sz w:val="20"/>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Early Unwind</w:t>
      </w:r>
      <w:r>
        <w:rPr>
          <w:rFonts w:ascii="Times New Roman;Times;Serif" w:hAnsi="Times New Roman;Times;Serif"/>
          <w:b w:val="false"/>
          <w:i w:val="false"/>
          <w:caps w:val="false"/>
          <w:smallCaps w:val="false"/>
          <w:sz w:val="20"/>
        </w:rPr>
        <w:t>. In the event the sale by Counterparty of the Firm Securities not consummated pursuant to the Purchase Agreement for any reason by the close of business in New York on January 23, 2024 (or such later date as agreed upon by the parties) (January 23, 2024 or such later date being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xml:space="preserve">”) on the Early Unwind Date and the Transaction and all of the respective rights and obligations of Dealer and Counterparty hereunder shall be cancelled and terminated and Counterparty shall pay to Dealer an amount in cash equal to the aggregate amount of costs and expenses relating to the unwinding of Dealer’s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26 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Agreements and Acknowledgements Regarding Hedgin</w:t>
      </w:r>
      <w:r>
        <w:rPr>
          <w:rFonts w:ascii="Times New Roman;Times;Serif" w:hAnsi="Times New Roman;Times;Serif"/>
          <w:b w:val="false"/>
          <w:i/>
          <w:caps w:val="false"/>
          <w:smallCaps w:val="false"/>
          <w:sz w:val="20"/>
          <w:u w:val="single"/>
        </w:rPr>
        <w:t>g</w:t>
      </w:r>
      <w:r>
        <w:rPr>
          <w:rFonts w:ascii="Times New Roman;Times;Serif" w:hAnsi="Times New Roman;Times;Serif"/>
          <w:b w:val="false"/>
          <w:i w:val="false"/>
          <w:caps w:val="false"/>
          <w:smallCaps w:val="false"/>
          <w:sz w:val="20"/>
        </w:rPr>
        <w:t>. Counterparty understands, acknowledges and agrees that: (A) at any time on 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“Daily VWAP” (as defined in the Indenture); (D) any market activities of Dealer and its affiliates with respect to Shares may affect the market price and volatility of Shares, as well as the “Daily VWAP” (as defined in the Indenture),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Wall Street Transparency and Accountability Act</w:t>
      </w:r>
      <w:r>
        <w:rPr>
          <w:rFonts w:ascii="Times New Roman;Times;Serif" w:hAnsi="Times New Roman;Times;Serif"/>
          <w:b w:val="false"/>
          <w:i w:val="false"/>
          <w:caps w:val="false"/>
          <w:smallCaps w:val="false"/>
          <w:sz w:val="20"/>
        </w:rPr>
        <w:t>. In connection with Section 739 of the Wall Street Transparency and Accountability Act of 2010 (the “</w:t>
      </w:r>
      <w:r>
        <w:rPr>
          <w:rFonts w:ascii="Times New Roman;Times;Serif" w:hAnsi="Times New Roman;Times;Serif"/>
          <w:b/>
          <w:i w:val="false"/>
          <w:caps w:val="false"/>
          <w:smallCaps w:val="false"/>
          <w:sz w:val="20"/>
        </w:rPr>
        <w:t>WSTAA</w:t>
      </w:r>
      <w:r>
        <w:rPr>
          <w:rFonts w:ascii="Times New Roman;Times;Serif" w:hAnsi="Times New Roman;Times;Serif"/>
          <w:b w:val="false"/>
          <w:i w:val="false"/>
          <w:caps w:val="false"/>
          <w:smallCaps w:val="false"/>
          <w:sz w:val="20"/>
        </w:rPr>
        <w:t>”),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 xml:space="preserve">Amendment. </w:t>
      </w:r>
      <w:r>
        <w:rPr>
          <w:rFonts w:ascii="Times New Roman;Times;Serif" w:hAnsi="Times New Roman;Times;Serif"/>
          <w:b w:val="false"/>
          <w:i w:val="false"/>
          <w:caps w:val="false"/>
          <w:smallCaps w:val="false"/>
          <w:sz w:val="20"/>
        </w:rPr>
        <w:t>This Confirmation and the Agreement may not be modified, amended or supplemented, except in a written instrument signed by Counterparty and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Confirmation may be executed in several counterparts, each of which shall be deemed an original but all of which together shall constitute one and the same instrument.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Withholding Tax imposed on payments to non-US counterparties under the United States Foreign Account Tax Compliance Act. “Indemnifiable Tax” as defined in Section 14 of the Agreement, shall not include any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27 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HIRE Act.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Times;Serif" w:hAnsi="Times New Roman;Times;Serif"/>
          <w:b/>
          <w:i w:val="false"/>
          <w:caps w:val="false"/>
          <w:smallCaps w:val="false"/>
          <w:sz w:val="20"/>
        </w:rPr>
        <w:t>871(m) Protocol</w:t>
      </w:r>
      <w:r>
        <w:rPr>
          <w:rFonts w:ascii="Times New Roman;Times;Serif" w:hAnsi="Times New Roman;Times;Serif"/>
          <w:b w:val="false"/>
          <w:i w:val="false"/>
          <w:caps w:val="false"/>
          <w:smallCaps w:val="false"/>
          <w:sz w:val="20"/>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Tax documentation.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W-9, or any successor thereto, (i) on or before the date of execution of this Confirmation, (ii) upon reasonable request of Counterparty and (iii) promptly upon learning that any such tax form previously provided by Dealer has become obsolete or incorrect.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 Representations. For the purpose of Section 3(f) of the Agreement, Counterparty is a corporation for U.S. federal income tax purposes and is organized under the laws of the State of Minnesota.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For the purpose of Section 3(f) of the Agreement, Dealer represents to Counterparty that for U.S. federal income tax purposes it is a “U.S. person” (as that term is used in section 1.1441-4(a)(3)(ii) of the United States Treasury Regulations) and an “exempt recipient” (as that term is used in section 1.6049-4(c)(1) of the United States Treasury Regulations)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QFC Stay Provisions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In the event that Dealer becomes subject to a proceeding under (i) the Federal Deposit Insurance Act and the regulations promulgated thereunder or (ii) Title II of the Dodd-Frank Wall Street Reform and Consumer Protection Act and the regulations promulgated thereunder (a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 Dealer are permitted to be exercised to no greater extent than such Default Rights could be exercised under the U.S. Special Resolution Regime if this Confirmation were governed by the laws of the United States or a state of the United States.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28 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except to the extent that the exercise of such Default Right would be permitted under the provisions of 12 C.F.R. 252.84, 12 C.F.R. 47.5 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Counterparty has previously adhered to, or subsequently adheres to, the ISDA 2018 U.S. Resolution Stay Protocol as published by the International Swaps and Derivatives Association, Inc. as of July 31, 2018 (the “</w:t>
      </w:r>
      <w:r>
        <w:rPr>
          <w:rFonts w:ascii="Times New Roman;Times;Serif" w:hAnsi="Times New Roman;Times;Serif"/>
          <w:b/>
          <w:i w:val="false"/>
          <w:caps w:val="false"/>
          <w:smallCaps w:val="false"/>
          <w:sz w:val="20"/>
        </w:rPr>
        <w:t>ISDA U.S. Protocol</w:t>
      </w:r>
      <w:r>
        <w:rPr>
          <w:rFonts w:ascii="Times New Roman;Times;Serif" w:hAnsi="Times New Roman;Times;Serif"/>
          <w:b w:val="false"/>
          <w:i w:val="false"/>
          <w:caps w:val="false"/>
          <w:smallCaps w:val="false"/>
          <w:sz w:val="20"/>
        </w:rPr>
        <w:t>”), the terms of such protocol shall be incorporated into and form a part of this Confirmation and the terms of the ISDA U.S. Protocol shall supersede and replace the terms of this Section 8(r).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w:t>
      </w:r>
      <w:r>
        <w:rPr>
          <w:rFonts w:ascii="Times New Roman;Times;Serif" w:hAnsi="Times New Roman;Times;Serif"/>
          <w:b/>
          <w:i w:val="false"/>
          <w:caps w:val="false"/>
          <w:smallCaps w:val="false"/>
          <w:sz w:val="20"/>
        </w:rPr>
        <w:t>Preexisting In-Scope Agreement</w:t>
      </w:r>
      <w:r>
        <w:rPr>
          <w:rFonts w:ascii="Times New Roman;Times;Serif" w:hAnsi="Times New Roman;Times;Serif"/>
          <w:b w:val="false"/>
          <w:i w:val="false"/>
          <w:caps w:val="false"/>
          <w:smallCaps w:val="false"/>
          <w:sz w:val="20"/>
        </w:rPr>
        <w:t>”), then each such Preexisting In-Scope Agreement is hereby amended to include the foregoing provisions in this Section 8(r), with references to “this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being understood to be references to the applicable Preexisting In-Scope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8(r):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is defined in, and shall be interpreted in accordance with, 12 U.S.C. § 1841(k).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Enhancement</w:t>
      </w:r>
      <w:r>
        <w:rPr>
          <w:rFonts w:ascii="Times New Roman;Times;Serif" w:hAnsi="Times New Roman;Times;Serif"/>
          <w:b w:val="false"/>
          <w:i w:val="false"/>
          <w:caps w:val="false"/>
          <w:smallCaps w:val="false"/>
          <w:sz w:val="20"/>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All parties to this Confirmation are giving up the right to sue each other in court, including the right to a trial by jury, except as provided by the rules of the arbitration forum in which a claim is filed.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Arbitration awards are generally final and binding; a party’s ability to have a court reverse or modify an arbitration award is very limited.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29 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The ability of the parties to obtain documents, witness statements and other discovery is generally more limited in arbitration than in court proceedings.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The arbitrators do not have to explain the reason(s) for their award.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The rules of some arbitration forums may impose time limits for bringing a claim in arbitration. In some cases, a claim that is ineligible for arbitration may be brought in court.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The rules of the arbitration forum in which the claim is filed, and any amendments thereto, shall be incorporated into this Confirmation.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the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 (iii) Counterparty is excluded from the class by the court.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Such forbearance to enforce an agreement to arbitrate shall not constitute a waiver of any rights under this Confirmation except to the extent stated herein.</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30 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Goldman Sachs &amp; Co. LLC, Equity Derivatives Documentation Department, Facsimile No. (212) 428-1980/83.</w:t>
      </w:r>
    </w:p>
    <w:p>
      <w:pPr>
        <w:pStyle w:val="TextBody"/>
        <w:bidi w:val="0"/>
        <w:spacing w:before="0" w:after="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75"/>
        <w:gridCol w:w="480"/>
        <w:gridCol w:w="2284"/>
      </w:tblGrid>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Yours faithfully,</w:t>
            </w:r>
          </w:p>
        </w:tc>
      </w:tr>
      <w:tr>
        <w:trPr/>
        <w:tc>
          <w:tcPr>
            <w:tcW w:w="75"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GOLDMAN SACHS &amp; CO. LLC</w:t>
            </w:r>
          </w:p>
        </w:tc>
      </w:tr>
      <w:tr>
        <w:trPr/>
        <w:tc>
          <w:tcPr>
            <w:tcW w:w="75"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8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Mike Voris</w:t>
            </w:r>
          </w:p>
        </w:tc>
      </w:tr>
      <w:tr>
        <w:trPr/>
        <w:tc>
          <w:tcPr>
            <w:tcW w:w="75"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Mike Voris</w:t>
            </w:r>
          </w:p>
        </w:tc>
      </w:tr>
      <w:tr>
        <w:trPr/>
        <w:tc>
          <w:tcPr>
            <w:tcW w:w="75"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left"/>
              <w:rPr/>
            </w:pPr>
            <w:r>
              <w:rPr/>
              <w:t> </w:t>
            </w:r>
          </w:p>
        </w:tc>
        <w:tc>
          <w:tcPr>
            <w:tcW w:w="22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Base Bond Hedge Confirmation]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380"/>
        <w:gridCol w:w="4550"/>
        <w:gridCol w:w="75"/>
      </w:tblGrid>
      <w:tr>
        <w:trPr/>
        <w:tc>
          <w:tcPr>
            <w:tcW w:w="50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Agreed and Accepted By:</w:t>
            </w:r>
          </w:p>
        </w:tc>
      </w:tr>
      <w:tr>
        <w:trPr/>
        <w:tc>
          <w:tcPr>
            <w:tcW w:w="38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05" w:type="dxa"/>
            <w:gridSpan w:val="3"/>
            <w:tcBorders/>
            <w:vAlign w:val="center"/>
          </w:tcPr>
          <w:p>
            <w:pPr>
              <w:pStyle w:val="TableContents"/>
              <w:bidi w:val="0"/>
              <w:spacing w:before="0" w:after="283"/>
              <w:jc w:val="left"/>
              <w:rPr/>
            </w:pPr>
            <w:r>
              <w:rPr>
                <w:rFonts w:ascii="Times New Roman;Times;Serif" w:hAnsi="Times New Roman;Times;Serif"/>
                <w:b/>
                <w:caps/>
                <w:sz w:val="20"/>
              </w:rPr>
              <w:t>WINNEBAGO industries</w:t>
            </w:r>
            <w:r>
              <w:rPr>
                <w:rFonts w:ascii="Times New Roman;Times;Serif" w:hAnsi="Times New Roman;Times;Serif"/>
                <w:b/>
                <w:sz w:val="20"/>
              </w:rPr>
              <w:t>, INC.</w:t>
            </w:r>
          </w:p>
        </w:tc>
      </w:tr>
      <w:tr>
        <w:trPr/>
        <w:tc>
          <w:tcPr>
            <w:tcW w:w="38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5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Bryan L. Hughes</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Bryan L. Hughes</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Chief Financial Officer and Senior Vice President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GS Bond Hedge Confirmation]</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8" w:name="tm243871d1_ex10-3.htm"/>
      <w:bookmarkStart w:id="29" w:name="kstm243871d1_ex103"/>
      <w:bookmarkEnd w:id="28"/>
      <w:bookmarkEnd w:id="29"/>
      <w:r>
        <w:rPr/>
        <w:t> </w:t>
      </w:r>
      <w:r>
        <w:br w:type="page"/>
      </w:r>
    </w:p>
    <w:p>
      <w:pPr>
        <w:pStyle w:val="TextBody"/>
        <w:bidi w:val="0"/>
        <w:jc w:val="right"/>
        <w:rPr>
          <w:b/>
        </w:rPr>
      </w:pPr>
      <w:r>
        <w:rPr>
          <w:b/>
        </w:rPr>
        <w:t>Exhibit 10.3</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Montreal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Bloor Street West,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M4W 1A5</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575"/>
        <w:gridCol w:w="3515"/>
      </w:tblGrid>
      <w:tr>
        <w:trPr/>
        <w:tc>
          <w:tcPr>
            <w:tcW w:w="575" w:type="dxa"/>
            <w:tcBorders/>
            <w:vAlign w:val="center"/>
          </w:tcPr>
          <w:p>
            <w:pPr>
              <w:pStyle w:val="TableContents"/>
              <w:bidi w:val="0"/>
              <w:spacing w:before="0" w:after="283"/>
              <w:jc w:val="left"/>
              <w:rPr>
                <w:b/>
                <w:sz w:val="20"/>
              </w:rPr>
            </w:pPr>
            <w:r>
              <w:rPr>
                <w:b/>
                <w:sz w:val="20"/>
              </w:rPr>
              <w:t>To:</w:t>
            </w:r>
          </w:p>
        </w:tc>
        <w:tc>
          <w:tcPr>
            <w:tcW w:w="3515" w:type="dxa"/>
            <w:tcBorders/>
            <w:vAlign w:val="center"/>
          </w:tcPr>
          <w:p>
            <w:pPr>
              <w:pStyle w:val="TableContents"/>
              <w:bidi w:val="0"/>
              <w:spacing w:before="0" w:after="283"/>
              <w:jc w:val="left"/>
              <w:rPr/>
            </w:pPr>
            <w:r>
              <w:rPr/>
              <w:t>Winnebago Industries, Inc.</w:t>
              <w:br/>
              <w:t>13200 Pioneer Trail</w:t>
              <w:br/>
              <w:t>Eden Prairie, Minnesota 55347</w:t>
            </w:r>
          </w:p>
        </w:tc>
      </w:tr>
      <w:tr>
        <w:trPr/>
        <w:tc>
          <w:tcPr>
            <w:tcW w:w="5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From:</w:t>
            </w:r>
          </w:p>
        </w:tc>
        <w:tc>
          <w:tcPr>
            <w:tcW w:w="3515" w:type="dxa"/>
            <w:tcBorders/>
            <w:vAlign w:val="center"/>
          </w:tcPr>
          <w:p>
            <w:pPr>
              <w:pStyle w:val="TableContents"/>
              <w:bidi w:val="0"/>
              <w:spacing w:before="0" w:after="283"/>
              <w:jc w:val="left"/>
              <w:rPr/>
            </w:pPr>
            <w:r>
              <w:rPr/>
              <w:t>Bank of Montreal</w:t>
            </w:r>
          </w:p>
        </w:tc>
      </w:tr>
      <w:tr>
        <w:trPr/>
        <w:tc>
          <w:tcPr>
            <w:tcW w:w="5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Re:</w:t>
            </w:r>
          </w:p>
        </w:tc>
        <w:tc>
          <w:tcPr>
            <w:tcW w:w="3515" w:type="dxa"/>
            <w:tcBorders/>
            <w:vAlign w:val="center"/>
          </w:tcPr>
          <w:p>
            <w:pPr>
              <w:pStyle w:val="TableContents"/>
              <w:bidi w:val="0"/>
              <w:spacing w:before="0" w:after="283"/>
              <w:jc w:val="left"/>
              <w:rPr>
                <w:sz w:val="20"/>
              </w:rPr>
            </w:pPr>
            <w:r>
              <w:rPr>
                <w:sz w:val="20"/>
              </w:rPr>
              <w:t>Base Convertible Bond Hedge Transaction</w:t>
            </w:r>
          </w:p>
        </w:tc>
      </w:tr>
      <w:tr>
        <w:trPr/>
        <w:tc>
          <w:tcPr>
            <w:tcW w:w="5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Date:</w:t>
            </w:r>
          </w:p>
        </w:tc>
        <w:tc>
          <w:tcPr>
            <w:tcW w:w="3515" w:type="dxa"/>
            <w:tcBorders/>
            <w:vAlign w:val="center"/>
          </w:tcPr>
          <w:p>
            <w:pPr>
              <w:pStyle w:val="TableContents"/>
              <w:bidi w:val="0"/>
              <w:spacing w:before="0" w:after="283"/>
              <w:jc w:val="both"/>
              <w:rPr>
                <w:sz w:val="20"/>
              </w:rPr>
            </w:pPr>
            <w:r>
              <w:rPr>
                <w:sz w:val="20"/>
              </w:rPr>
              <w:t>January 18, 2024</w:t>
            </w:r>
          </w:p>
        </w:tc>
      </w:tr>
    </w:tbl>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communication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set forth the terms and conditions of the above-referenced transaction entered into on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between Bank of Montreal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Winnebago Industries, Inc.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Dealer is acting as principal in this Transaction and BMO Capital Markets Corp.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its affiliate, is acting as agent for this Transaction solely in connection with Rule 15a-6 of the Exchange Act (as defined herein), as amended. This communication constitutes a “Confirmation” as referred to in the ISDA Master Agreement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Confirmation is subject to, and incorporates, the definitions and provisions of the 2006 ISDA Definitions (the “</w:t>
      </w:r>
      <w:r>
        <w:rPr>
          <w:rFonts w:ascii="Times New Roman;Times;Serif" w:hAnsi="Times New Roman;Times;Serif"/>
          <w:b/>
          <w:i w:val="false"/>
          <w:caps w:val="false"/>
          <w:smallCaps w:val="false"/>
          <w:sz w:val="20"/>
        </w:rPr>
        <w:t>2006 Definitions</w:t>
      </w:r>
      <w:r>
        <w:rPr>
          <w:rFonts w:ascii="Times New Roman;Times;Serif" w:hAnsi="Times New Roman;Times;Serif"/>
          <w:b w:val="false"/>
          <w:i w:val="false"/>
          <w:caps w:val="false"/>
          <w:smallCaps w:val="false"/>
          <w:sz w:val="20"/>
        </w:rPr>
        <w:t>”) and the definitions and provisions of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together with the 2006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Certain defined terms used herein have the meanings assigned to them in the Indenture to be dated as of January 23, 2024 between Counterparty and U.S. Bank Trust Company, National Association, as trustee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relating to the USD 300,000,000 principal amount of 3.25% Convertible Senior Notes due 2030 (the “</w:t>
      </w:r>
      <w:r>
        <w:rPr>
          <w:rFonts w:ascii="Times New Roman;Times;Serif" w:hAnsi="Times New Roman;Times;Serif"/>
          <w:b/>
          <w:i w:val="false"/>
          <w:caps w:val="false"/>
          <w:smallCaps w:val="false"/>
          <w:sz w:val="20"/>
        </w:rPr>
        <w:t>Base Convertible Securities</w:t>
      </w:r>
      <w:r>
        <w:rPr>
          <w:rFonts w:ascii="Times New Roman;Times;Serif" w:hAnsi="Times New Roman;Times;Serif"/>
          <w:b w:val="false"/>
          <w:i w:val="false"/>
          <w:caps w:val="false"/>
          <w:smallCaps w:val="false"/>
          <w:sz w:val="20"/>
        </w:rPr>
        <w:t>”) and the additional USD 50,000,000 principal amount of 3.25% Convertible Senior Notes due 2030 that may be issued pursuant to the option to purchase additional convertible securities (the “</w:t>
      </w:r>
      <w:r>
        <w:rPr>
          <w:rFonts w:ascii="Times New Roman;Times;Serif" w:hAnsi="Times New Roman;Times;Serif"/>
          <w:b/>
          <w:i w:val="false"/>
          <w:caps w:val="false"/>
          <w:smallCaps w:val="false"/>
          <w:sz w:val="20"/>
        </w:rPr>
        <w:t>Optional Convertible Securities</w:t>
      </w:r>
      <w:r>
        <w:rPr>
          <w:rFonts w:ascii="Times New Roman;Times;Serif" w:hAnsi="Times New Roman;Times;Serif"/>
          <w:b w:val="false"/>
          <w:i w:val="false"/>
          <w:caps w:val="false"/>
          <w:smallCaps w:val="false"/>
          <w:sz w:val="20"/>
        </w:rPr>
        <w:t>” and, together with the Base Convertible Securities, the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In the event of any inconsistency between the terms defined in the Indenture and this Confirmation, this Confirmation shall govern. For the avoidance of doubt, references herein to sections of, or definitions set forth in, the Indenture are based on the draft of the Indenture most recently reviewed by the parties at the time of execution of this Confirmation. If any relevant sections of, or definitions set forth in, the Indenture are changed, added or renumbered between the execution of this Confirmation and the execution of the Indenture, the parties will amend this Confirmation in good faith to preserve the economic intent of the parties, as evidenced by such draft of the Indenture. Subject to the foregoing, the parties acknowledge that references to the Indenture herein are references to the Indenture as in effect on the date of its execution and if the Indenture is, or the Convertible Securities are, amended, modified or supplemented following the date of their execution, any such amendment, modification or supplement (other than any amendment, modification or supplement pursuant to a Merger Supplemental Indenture (as defined below)) will be disregarded for purposes of this Confirmation unless the parties agree otherwise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evidences a complete and binding agreement between Dealer and Counterparty as to the terms of the Transaction to which this Confirmation relates. This Confirmation shall be subject to an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as the Termination Currency, (ii) the replacement of the word “third” in the last line of Section 5(a)(i) of the Agreement with the word “first”, and (iii) (a) the election that the “Cross Default” provisions of Section 5(a)(vi) of the Agreement shall apply to Counterparty with a “Threshold Amount” of USD35.0 million) (b) </w:t>
      </w:r>
      <w:r>
        <w:rPr>
          <w:rFonts w:ascii="Times New Roman;Times;Serif" w:hAnsi="Times New Roman;Times;Serif"/>
          <w:b w:val="false"/>
          <w:i w:val="false"/>
          <w:caps w:val="false"/>
          <w:smallCaps w:val="false"/>
          <w:sz w:val="20"/>
          <w:shd w:fill="FFFFFF" w:val="clear"/>
        </w:rPr>
        <w:t> the phrase “,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constitutes a Share Option Transaction for purposes of the Equity Definitions. The terms of the particular Transaction to which this Confirmation relates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7"/>
        <w:gridCol w:w="60"/>
        <w:gridCol w:w="8548"/>
      </w:tblGrid>
      <w:tr>
        <w:trPr/>
        <w:tc>
          <w:tcPr>
            <w:tcW w:w="1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Date:</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18, 2024</w:t>
            </w:r>
          </w:p>
        </w:tc>
      </w:tr>
      <w:tr>
        <w:trPr/>
        <w:tc>
          <w:tcPr>
            <w:tcW w:w="1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pPr>
            <w:r>
              <w:rPr/>
              <w:t> </w:t>
            </w:r>
          </w:p>
        </w:tc>
      </w:tr>
      <w:tr>
        <w:trPr/>
        <w:tc>
          <w:tcPr>
            <w:tcW w:w="1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date of the initial issuance of the Convertible Securities.</w:t>
            </w:r>
          </w:p>
        </w:tc>
      </w:tr>
      <w:tr>
        <w:trPr/>
        <w:tc>
          <w:tcPr>
            <w:tcW w:w="1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pPr>
            <w:r>
              <w:rPr/>
              <w:t> </w:t>
            </w:r>
          </w:p>
        </w:tc>
      </w:tr>
      <w:tr>
        <w:trPr/>
        <w:tc>
          <w:tcPr>
            <w:tcW w:w="1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Style:</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American, as described under “Procedures for Exercise” below.</w:t>
            </w:r>
          </w:p>
        </w:tc>
      </w:tr>
      <w:tr>
        <w:trPr/>
        <w:tc>
          <w:tcPr>
            <w:tcW w:w="1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pPr>
            <w:r>
              <w:rPr/>
              <w:t> </w:t>
            </w:r>
          </w:p>
        </w:tc>
      </w:tr>
      <w:tr>
        <w:trPr/>
        <w:tc>
          <w:tcPr>
            <w:tcW w:w="1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Type:</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w:t>
            </w:r>
          </w:p>
        </w:tc>
      </w:tr>
      <w:tr>
        <w:trPr/>
        <w:tc>
          <w:tcPr>
            <w:tcW w:w="1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pPr>
            <w:r>
              <w:rPr/>
              <w:t> </w:t>
            </w:r>
          </w:p>
        </w:tc>
      </w:tr>
      <w:tr>
        <w:trPr/>
        <w:tc>
          <w:tcPr>
            <w:tcW w:w="1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w:t>
            </w:r>
          </w:p>
        </w:tc>
      </w:tr>
      <w:tr>
        <w:trPr/>
        <w:tc>
          <w:tcPr>
            <w:tcW w:w="1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pPr>
            <w:r>
              <w:rPr/>
              <w:t> </w:t>
            </w:r>
          </w:p>
        </w:tc>
      </w:tr>
      <w:tr>
        <w:trPr/>
        <w:tc>
          <w:tcPr>
            <w:tcW w:w="1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w:t>
            </w:r>
          </w:p>
        </w:tc>
      </w:tr>
      <w:tr>
        <w:trPr/>
        <w:tc>
          <w:tcPr>
            <w:tcW w:w="1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pPr>
            <w:r>
              <w:rPr/>
              <w:t> </w:t>
            </w:r>
          </w:p>
        </w:tc>
      </w:tr>
      <w:tr>
        <w:trPr/>
        <w:tc>
          <w:tcPr>
            <w:tcW w:w="1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Counterparty, par value USD0.50 (Ticker Symbol: “WGO”).</w:t>
            </w:r>
          </w:p>
        </w:tc>
      </w:tr>
      <w:tr>
        <w:trPr/>
        <w:tc>
          <w:tcPr>
            <w:tcW w:w="1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pPr>
            <w:r>
              <w:rPr/>
              <w:t> </w:t>
            </w:r>
          </w:p>
        </w:tc>
      </w:tr>
      <w:tr>
        <w:trPr/>
        <w:tc>
          <w:tcPr>
            <w:tcW w:w="1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1/3%</w:t>
            </w:r>
          </w:p>
        </w:tc>
      </w:tr>
      <w:tr>
        <w:trPr/>
        <w:tc>
          <w:tcPr>
            <w:tcW w:w="159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left"/>
              <w:rPr/>
            </w:pPr>
            <w:r>
              <w:rPr/>
              <w:t> </w:t>
            </w:r>
          </w:p>
        </w:tc>
      </w:tr>
      <w:tr>
        <w:trPr/>
        <w:tc>
          <w:tcPr>
            <w:tcW w:w="1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Options:</w:t>
            </w:r>
          </w:p>
        </w:tc>
        <w:tc>
          <w:tcPr>
            <w:tcW w:w="60" w:type="dxa"/>
            <w:tcBorders/>
            <w:vAlign w:val="center"/>
          </w:tcPr>
          <w:p>
            <w:pPr>
              <w:pStyle w:val="TableContents"/>
              <w:bidi w:val="0"/>
              <w:spacing w:before="0" w:after="283"/>
              <w:jc w:val="left"/>
              <w:rPr/>
            </w:pPr>
            <w:r>
              <w:rPr/>
              <w:t> </w:t>
            </w:r>
          </w:p>
        </w:tc>
        <w:tc>
          <w:tcPr>
            <w:tcW w:w="85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Base Convertible Securities in denominations of USD1,000 principal amount issued by Counterparty on the closing date for the initial</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82"/>
        <w:gridCol w:w="60"/>
        <w:gridCol w:w="8363"/>
      </w:tblGrid>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the Convertible Securities. For the avoidance of doubt, the Number of Options outstanding shall be reduced by each exercise of Options hereunder.</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Entitlement: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11.3724</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Fundamental Change Adjustment: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adjustment to the Conversion Rate pursuant to Section 5.07 of the Indenture.</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Adjustment: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adjustment to the Conversion Rate pursuant to Section 5.06 of the Indenture.</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Strike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USD87.9322</w:t>
            </w:r>
          </w:p>
        </w:tc>
      </w:tr>
      <w:tr>
        <w:trPr/>
        <w:tc>
          <w:tcPr>
            <w:tcW w:w="1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Rounding of Strike Price/Option Entitlement: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adjustment to the Option Entitlement or Strike Price, the Option Entitlement or the Strike Price, as the case may be, shall be rounded by the Calculation Agent in accordance with the provisions of the Indenture relating to rounding of the “Conversion Price” or the “Conversion Rate” as applicable (each as defined in the Indenture).</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any date, a number of Shares equal to the product of (i) the Applicable Percentage, (ii) the Number of Options and (iii) the Option Entitlement.</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USD19,620,000.00</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 Payment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York Stock Exchange</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Exchange: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Exchanges</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Procedures for Exercise:</w:t>
      </w:r>
    </w:p>
    <w:tbl>
      <w:tblPr>
        <w:tblW w:w="10205" w:type="dxa"/>
        <w:jc w:val="left"/>
        <w:tblInd w:w="0" w:type="dxa"/>
        <w:tblLayout w:type="fixed"/>
        <w:tblCellMar>
          <w:top w:w="0" w:type="dxa"/>
          <w:left w:w="0" w:type="dxa"/>
          <w:bottom w:w="0" w:type="dxa"/>
          <w:right w:w="0" w:type="dxa"/>
        </w:tblCellMar>
      </w:tblPr>
      <w:tblGrid>
        <w:gridCol w:w="1795"/>
        <w:gridCol w:w="60"/>
        <w:gridCol w:w="8350"/>
      </w:tblGrid>
      <w:tr>
        <w:trPr/>
        <w:tc>
          <w:tcPr>
            <w:tcW w:w="17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Dates: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Conversion Date.</w:t>
            </w:r>
          </w:p>
        </w:tc>
      </w:tr>
      <w:tr>
        <w:trPr/>
        <w:tc>
          <w:tcPr>
            <w:tcW w:w="17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Each “Conversion Date” (as defined in the Indenture) occurring during the Exercise Period for Convertible Securities each in denominations of USD1,000 principal amount (such Convertible Securities, the “</w:t>
            </w:r>
            <w:r>
              <w:rPr>
                <w:rFonts w:ascii="Times New Roman;Times;Serif" w:hAnsi="Times New Roman;Times;Serif"/>
                <w:b/>
                <w:i w:val="false"/>
                <w:caps w:val="false"/>
                <w:smallCaps w:val="false"/>
                <w:sz w:val="20"/>
              </w:rPr>
              <w:t xml:space="preserve">Relevant Convertible Securities” </w:t>
            </w:r>
            <w:r>
              <w:rPr>
                <w:rFonts w:ascii="Times New Roman;Times;Serif" w:hAnsi="Times New Roman;Times;Serif"/>
                <w:b w:val="false"/>
                <w:i w:val="false"/>
                <w:caps w:val="false"/>
                <w:smallCaps w:val="false"/>
                <w:sz w:val="20"/>
              </w:rPr>
              <w:t>for such Conversion Date).</w:t>
            </w:r>
          </w:p>
        </w:tc>
      </w:tr>
      <w:tr>
        <w:trPr/>
        <w:tc>
          <w:tcPr>
            <w:tcW w:w="17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from and excluding the Effective Date to, and including, the Expiration Date.</w:t>
            </w:r>
          </w:p>
        </w:tc>
      </w:tr>
      <w:tr>
        <w:trPr/>
        <w:tc>
          <w:tcPr>
            <w:tcW w:w="17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earlier of (i) the last day on which any Convertible Securities remain outstanding and (ii) the second “Scheduled Trading Day” (as defined in the Indenture) immediately preceding the “Maturity Date” (as defined in the Indenture).</w:t>
            </w:r>
          </w:p>
        </w:tc>
      </w:tr>
      <w:tr>
        <w:trPr/>
        <w:tc>
          <w:tcPr>
            <w:tcW w:w="17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Automatic Exercise on Conversion Dates: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and means that on each Conversion Date, a number of Options equal to the number of Relevant Convertible Securities for such Conversion Date in denominations of USD1,000 principal amount shall be automatically exercised, subject to “Notice of Exercise” below.</w:t>
            </w:r>
          </w:p>
        </w:tc>
      </w:tr>
      <w:tr>
        <w:trPr/>
        <w:tc>
          <w:tcPr>
            <w:tcW w:w="17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18"/>
        <w:gridCol w:w="60"/>
        <w:gridCol w:w="9327"/>
      </w:tblGrid>
      <w:tr>
        <w:trPr/>
        <w:tc>
          <w:tcPr>
            <w:tcW w:w="8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r>
              <w:rPr/>
              <w:t> </w:t>
            </w:r>
          </w:p>
        </w:tc>
      </w:tr>
      <w:tr>
        <w:trPr/>
        <w:tc>
          <w:tcPr>
            <w:tcW w:w="8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Deadline: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27"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In respect of any exercise of Options hereunder on any Conversion Date, 5:00 P.M., New York City time, on (i) in the case the applicable Relevant Convertible Securities will be settled by Counterparty by delivery of Shares only (together with cash in lieu of any fractional Share), the “Trading Day” (as defined in the Indenture) immediately following the relevant Conversion Date, or (ii) otherwise, the Scheduled Trading Day immediately preceding the first day of the relevant Cash Settlement Averaging Period;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any exercise of Options hereunder in connection with the conversion of any Relevant Convertible Securities for any Conversion Date occurring during the period from and including the 85th “Scheduled Trading Day” (as defined in the Indenture) prior to the Maturity Date, to and including the Expiration Date (such period, the “</w:t>
            </w:r>
            <w:r>
              <w:rPr>
                <w:rFonts w:ascii="Times New Roman;Times;Serif" w:hAnsi="Times New Roman;Times;Serif"/>
                <w:b/>
                <w:i w:val="false"/>
                <w:caps w:val="false"/>
                <w:smallCaps w:val="false"/>
                <w:sz w:val="20"/>
              </w:rPr>
              <w:t>Final Conversion Period”</w:t>
            </w:r>
            <w:r>
              <w:rPr>
                <w:rFonts w:ascii="Times New Roman;Times;Serif" w:hAnsi="Times New Roman;Times;Serif"/>
                <w:b w:val="false"/>
                <w:i w:val="false"/>
                <w:caps w:val="false"/>
                <w:smallCaps w:val="false"/>
                <w:sz w:val="20"/>
              </w:rPr>
              <w:t>), the Notice Deadline shall be 5:00 P.M., New York City time, on the “Scheduled Trading Day” (as defined in the Indenture) immediately preceding the “Maturity Date” (as defined in the Indenture).</w:t>
            </w:r>
          </w:p>
        </w:tc>
      </w:tr>
      <w:tr>
        <w:trPr/>
        <w:tc>
          <w:tcPr>
            <w:tcW w:w="8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r>
              <w:rPr/>
              <w:t> </w:t>
            </w:r>
          </w:p>
        </w:tc>
      </w:tr>
      <w:tr>
        <w:trPr/>
        <w:tc>
          <w:tcPr>
            <w:tcW w:w="8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Exercise: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27"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the Equity Definitions, Dealer shall have no obligation to make any payment or delivery in respect of any exercise of Options hereunder and such obligation in respect of such exercise shall be permanently extinguished unless Counterparty notifies Dealer in writing prior to the Notice Deadline in respect of such exercise, of (i) the number of Relevant Convertible Securities being converted on the related Conversion Date (specifying, if applicable, whether all or any portion of such Convertible Securities are Convertible Securities as to which additional Shares would be added to the Conversion Rate (as defined in the Indenture) pursuant to Section 5.07 of the Indenture), (ii) the scheduled settlement date under the Indenture for the Relevant Convertible Securities for such Conversion Date, (iii) whether such Relevant Convertible Securities will be settled by Counterparty by delivery of cash or a combination of cash and Shares and, if such a combination, the “Specified Dollar Amount” (as defined in the Indenture) and (iv) the first day of the relevant “Observation Period” (as defined in the Indenture), if any;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any exercise of Options in connection with the conversion of any Relevant Convertible Securities for any Conversion Date occurring during the Final Conversion Period, the contents of such notice shall be as set forth in clauses (i) and (ii) above. Counterparty acknowledges its responsibilities under applicable securities laws, and in particular Section 9 and Section 10(b) of the Exchange Act (as defined below) and the rules and regulations thereunder, in respect of any election of a</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46"/>
        <w:gridCol w:w="60"/>
        <w:gridCol w:w="8099"/>
      </w:tblGrid>
      <w:tr>
        <w:trPr/>
        <w:tc>
          <w:tcPr>
            <w:tcW w:w="20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method with respect to the Convertible Securities. For the avoidance of doubt, if Counterparty fails to give such notice when due in respect of any exercise of Options hereunder, Dealer’s obligation to make any payment or delivery in respect of such exercise shall be permanently extinguished, and late notice shall not cure such failure. If applicable, the Notice of Exercise shall also contain the Settlement Method Election Provisions.</w:t>
            </w:r>
          </w:p>
        </w:tc>
      </w:tr>
      <w:tr>
        <w:trPr/>
        <w:tc>
          <w:tcPr>
            <w:tcW w:w="20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99" w:type="dxa"/>
            <w:tcBorders/>
            <w:vAlign w:val="center"/>
          </w:tcPr>
          <w:p>
            <w:pPr>
              <w:pStyle w:val="TableContents"/>
              <w:bidi w:val="0"/>
              <w:spacing w:before="0" w:after="283"/>
              <w:jc w:val="left"/>
              <w:rPr/>
            </w:pPr>
            <w:r>
              <w:rPr/>
              <w:t> </w:t>
            </w:r>
          </w:p>
        </w:tc>
      </w:tr>
      <w:tr>
        <w:trPr/>
        <w:tc>
          <w:tcPr>
            <w:tcW w:w="2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Final Convertible Security Settlement Method: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Counterparty shall notify Dealer in writing before 5:00 P.M., New York City time, on the “Scheduled Trading Day” (as defined in the Indenture) immediately preceding the 85th “Scheduled Trading Day” (as defined in the Indenture) prior to the Maturity Date of the settlement method (and, if applicable, the Specified Dollar Amount) elected (or deemed to be elected) with respect to Relevant Convertible Securities with a Conversion Date occurring during the Final Conversion Period (any such notice, a “</w:t>
            </w:r>
            <w:r>
              <w:rPr>
                <w:rFonts w:ascii="Times New Roman;Times;Serif" w:hAnsi="Times New Roman;Times;Serif"/>
                <w:b/>
                <w:i w:val="false"/>
                <w:caps w:val="false"/>
                <w:smallCaps w:val="false"/>
                <w:sz w:val="20"/>
              </w:rPr>
              <w:t>Notice of Final Convertible Security Settlement Method”</w:t>
            </w:r>
            <w:r>
              <w:rPr>
                <w:rFonts w:ascii="Times New Roman;Times;Serif" w:hAnsi="Times New Roman;Times;Serif"/>
                <w:b w:val="false"/>
                <w:i w:val="false"/>
                <w:caps w:val="false"/>
                <w:smallCaps w:val="false"/>
                <w:sz w:val="20"/>
              </w:rPr>
              <w:t>). If applicable, the Notice of Final Convertible Security Settlement Method shall also contain the Settlement Method Election Provisions.</w:t>
            </w:r>
          </w:p>
        </w:tc>
      </w:tr>
      <w:tr>
        <w:trPr/>
        <w:tc>
          <w:tcPr>
            <w:tcW w:w="20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99" w:type="dxa"/>
            <w:tcBorders/>
            <w:vAlign w:val="center"/>
          </w:tcPr>
          <w:p>
            <w:pPr>
              <w:pStyle w:val="TableContents"/>
              <w:bidi w:val="0"/>
              <w:spacing w:before="0" w:after="283"/>
              <w:jc w:val="left"/>
              <w:rPr/>
            </w:pPr>
            <w:r>
              <w:rPr/>
              <w:t> </w:t>
            </w:r>
          </w:p>
        </w:tc>
      </w:tr>
      <w:tr>
        <w:trPr/>
        <w:tc>
          <w:tcPr>
            <w:tcW w:w="2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Telephone Number and Telex and/or Facsimile Number and Contact Details for purpose of Giving Notice: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Section 6(b)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Terms:</w:t>
      </w:r>
    </w:p>
    <w:tbl>
      <w:tblPr>
        <w:tblW w:w="10205" w:type="dxa"/>
        <w:jc w:val="left"/>
        <w:tblInd w:w="0" w:type="dxa"/>
        <w:tblLayout w:type="fixed"/>
        <w:tblCellMar>
          <w:top w:w="0" w:type="dxa"/>
          <w:left w:w="0" w:type="dxa"/>
          <w:bottom w:w="0" w:type="dxa"/>
          <w:right w:w="0" w:type="dxa"/>
        </w:tblCellMar>
      </w:tblPr>
      <w:tblGrid>
        <w:gridCol w:w="1116"/>
        <w:gridCol w:w="60"/>
        <w:gridCol w:w="9029"/>
      </w:tblGrid>
      <w:tr>
        <w:trPr/>
        <w:tc>
          <w:tcPr>
            <w:tcW w:w="11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For any Exercise Date, the date one Settlement Cycle following the final day of the relevant Cash Settlement Averaging Period;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Settlement Date shall not be prior to the Exchange Business Day immediately following the date Counterparty provides the Notice of Delivery Obligation prior to 5:00 P.M., New York City time.</w:t>
            </w:r>
          </w:p>
        </w:tc>
      </w:tr>
      <w:tr>
        <w:trPr/>
        <w:tc>
          <w:tcPr>
            <w:tcW w:w="11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Obligation: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In lieu of the obligations set forth in Sections 8.1 and 9.1 of the Equity Definitions, and subject to “Notice of Exercise” above and “Discretionary Adjustments” , “Dividends” and “Consequences of Merger Events” below, in respect of an Exercise Date, Dealer will deliver to Counterparty on the related Settlement Date (the “</w:t>
            </w:r>
            <w:r>
              <w:rPr>
                <w:rFonts w:ascii="Times New Roman;Times;Serif" w:hAnsi="Times New Roman;Times;Serif"/>
                <w:b/>
                <w:i w:val="false"/>
                <w:caps w:val="false"/>
                <w:smallCaps w:val="false"/>
                <w:sz w:val="20"/>
              </w:rPr>
              <w:t>Delivery Obligation”</w:t>
            </w:r>
            <w:r>
              <w:rPr>
                <w:rFonts w:ascii="Times New Roman;Times;Serif" w:hAnsi="Times New Roman;Times;Serif"/>
                <w:b w:val="false"/>
                <w:i w:val="false"/>
                <w:caps w:val="false"/>
                <w:smallCaps w:val="false"/>
                <w:sz w:val="20"/>
              </w:rPr>
              <w:t>), amounts equal to the product of the Applicable Percentage and</w:t>
            </w:r>
          </w:p>
        </w:tc>
      </w:tr>
      <w:tr>
        <w:trPr/>
        <w:tc>
          <w:tcPr>
            <w:tcW w:w="11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r>
        <w:trPr/>
        <w:tc>
          <w:tcPr>
            <w:tcW w:w="11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 a number of Shares equal to the aggregate number of Shares, if any, that Counterparty would be obligated to deliver to the holder(s) of the Relevant Convertible Securities for such Conversion Date pursuant to Section 5.03 of the Indenture (except that such number of Shares shall be determined without taking into </w:t>
            </w:r>
          </w:p>
        </w:tc>
      </w:tr>
      <w:tr>
        <w:trPr/>
        <w:tc>
          <w:tcPr>
            <w:tcW w:w="111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283"/>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80"/>
        <w:gridCol w:w="60"/>
        <w:gridCol w:w="8965"/>
      </w:tblGrid>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any rounding pursuant to Section 5.03(B)(ii) of the Indenture and shall be rounded down to the nearest whole number) and (II) cash in lieu of any fractional Share resulting from such rounding; and/or</w:t>
            </w:r>
          </w:p>
        </w:tc>
      </w:tr>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pPr>
            <w:r>
              <w:rPr/>
              <w:t> </w:t>
            </w:r>
          </w:p>
        </w:tc>
      </w:tr>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aggregate amount of cash, if any, in excess of the principal amount of the Relevant Convertible Securities that Counterparty would be obligated to deliver to holder(s) of the Relevant Convertible Securities for such Conversion Date pursuant to Section 5.03 of the Indenture, determined, for each of clauses (i) and (ii), by the Calculation Agent (by reference to such Sections of the Indenture)</w:t>
            </w:r>
          </w:p>
        </w:tc>
      </w:tr>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pPr>
            <w:r>
              <w:rPr/>
              <w:t> </w:t>
            </w:r>
          </w:p>
        </w:tc>
      </w:tr>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6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as if Counterparty had elected to satisfy its conversion obligation in respect of such Relevant Convertible Securities by the Applicable Settlement Method, notwithstanding any different actual election by Counterparty with respect to the settlement of such Relevant Convertible Securities;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Delivery Obligation shall be determined excluding any Shares and/or cash that Counterparty is obligated to deliver to holder(s) of the Relevant Convertible Securities as a direct or indirect result of any adjustments to the Conversion Rate pursuant to a Fundamental Change Adjustment or a Discretionary Adjustment and any interest payment that Counterparty is (or would have been) obligated to deliver to holder(s) of the Relevant Convertible Securities for such Conversion Date. Notwithstanding the foregoing, if, in respect of any Exercise Date, (x)(I) the number of Shares included in the Delivery Obligation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 xml:space="preserve">the Share Obligation Value Price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(II) the amount of cash included in the Delivery Obligation, would otherwise exceed (y) the relevant Net Convertible Share Obligation Value, such number of Shares and such amount of cash shall be proportionately reduced to the extent necessary to eliminate such excess</w:t>
            </w:r>
            <w:r>
              <w:rPr>
                <w:rFonts w:ascii="Times New Roman;Times;Serif" w:hAnsi="Times New Roman;Times;Serif"/>
                <w:b w:val="false"/>
                <w:i/>
                <w:caps w:val="false"/>
                <w:smallCaps w:val="false"/>
                <w:sz w:val="20"/>
              </w:rPr>
              <w:t>.</w:t>
            </w:r>
          </w:p>
        </w:tc>
      </w:tr>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pPr>
            <w:r>
              <w:rPr/>
              <w:t> </w:t>
            </w:r>
          </w:p>
        </w:tc>
      </w:tr>
      <w:tr>
        <w:trPr/>
        <w:tc>
          <w:tcPr>
            <w:tcW w:w="1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Adjustment: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6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Notwithstanding anything to the contrary herein, in respect of any exercise of Options relating to a conversion of Relevant Convertible Securities in connection with which holders of the Relevant Convertible Securities would be entitled to receive additional Shares and/or cash as a result of adjustments to the Conversion Rate pursuant to a Fundamental Change Adjustment, the Delivery Obligation shall include such additional Shares and/or cash;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sum of (i) the product of (a) the number of Shares (if any) included in the Delivery Obligation per exercised Option and (b) the Share Obligation Value Price and (ii) the amount of cash (if any) included in the Delivery Obligation per exercised Option would otherwise</w:t>
            </w:r>
          </w:p>
        </w:tc>
      </w:tr>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0"/>
        <w:gridCol w:w="60"/>
        <w:gridCol w:w="8955"/>
      </w:tblGrid>
      <w:tr>
        <w:trPr/>
        <w:tc>
          <w:tcPr>
            <w:tcW w:w="1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exceed the amount per Option, as determined by the Calculation Agent, that would be payable by Dealer under Section 6 of the Agreement if (x) the relevant Conversion Date were an Early Termination Date resulting from an Additional Termination Event with respect to which the Transaction was the sole Affected Transaction and Counterparty was the sole Affected Party and (y) the provisions of the Indenture relating to the Fundamental Change Adjustment were deleted, then such number of Shares and such amount of cash shall be proportionately reduced to the extent necessary to eliminate such excess.</w:t>
            </w:r>
          </w:p>
        </w:tc>
      </w:tr>
      <w:tr>
        <w:trPr/>
        <w:tc>
          <w:tcPr>
            <w:tcW w:w="1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Settlement Method: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For any Relevant Convertible Securities, if such Notice of Exercise (or such Notice of Final Convertible Security Settlement Method, as the case may be) contains all of the Settlement Method Election Provisions, the Applicable Settlement Method shall be the settlement method actually so elected by Counterparty in respect of such Relevant Convertible Securities (the “</w:t>
            </w:r>
            <w:r>
              <w:rPr>
                <w:rFonts w:ascii="Times New Roman;Times;Serif" w:hAnsi="Times New Roman;Times;Serif"/>
                <w:b/>
                <w:i w:val="false"/>
                <w:caps w:val="false"/>
                <w:smallCaps w:val="false"/>
                <w:sz w:val="20"/>
              </w:rPr>
              <w:t>Convertible Securities Settlement Method”</w:t>
            </w:r>
            <w:r>
              <w:rPr>
                <w:rFonts w:ascii="Times New Roman;Times;Serif" w:hAnsi="Times New Roman;Times;Serif"/>
                <w:b w:val="false"/>
                <w:i w:val="false"/>
                <w:caps w:val="false"/>
                <w:smallCaps w:val="false"/>
                <w:sz w:val="20"/>
              </w:rPr>
              <w:t>); otherwise, the Applicable Settlement Method shall assume Counterparty had made a Cash Election with respect to such Relevant Convertible Securities (a “</w:t>
            </w:r>
            <w:r>
              <w:rPr>
                <w:rFonts w:ascii="Times New Roman;Times;Serif" w:hAnsi="Times New Roman;Times;Serif"/>
                <w:b/>
                <w:i w:val="false"/>
                <w:caps w:val="false"/>
                <w:smallCaps w:val="false"/>
                <w:sz w:val="20"/>
              </w:rPr>
              <w:t>Deemed Cash Election”</w:t>
            </w:r>
            <w:r>
              <w:rPr>
                <w:rFonts w:ascii="Times New Roman;Times;Serif" w:hAnsi="Times New Roman;Times;Serif"/>
                <w:b w:val="false"/>
                <w:i w:val="false"/>
                <w:caps w:val="false"/>
                <w:smallCaps w:val="false"/>
                <w:sz w:val="20"/>
              </w:rPr>
              <w:t>) with a Specified Dollar Amount of USD1,000 per Relevant Convertible Security and the Delivery Obligation shall be determined by the Calculation Agent as if the relevant “Observation Period” pursuant to Section 5.03(B)(i) of the Indenture were the Cash Settlement Averaging Period.</w:t>
            </w:r>
          </w:p>
        </w:tc>
      </w:tr>
      <w:tr>
        <w:trPr/>
        <w:tc>
          <w:tcPr>
            <w:tcW w:w="1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Settlement Averaging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40 “Trading Days” (as defined in the Indenture) commencing on (I) the third “Trading Day” (as defined in the Indenture) after the Conversion Date for conversions with a related Conversion Date occurring prior to the Final Conversion Period or (II) the 41st “Scheduled Trading Day” (as defined in the Indenture) prior to the “Maturity Date” (as defined in the Indenture) for conversions with a related Conversion Date occurring during the Final Conversion Period.</w:t>
            </w:r>
          </w:p>
        </w:tc>
      </w:tr>
      <w:tr>
        <w:trPr/>
        <w:tc>
          <w:tcPr>
            <w:tcW w:w="1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Method Election Provisions: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the Applicable Settlement Method to be the Convertible Securities Settlement Method in accordance with “Applicable Settlement Method” above, the related Notice of Exercise (or Notice of Final Convertible Security Settlement Method, as the case may be) must contain in writing the following representations and warranties from Counterparty to Dealer as of such notice delivery date:</w:t>
            </w:r>
          </w:p>
        </w:tc>
      </w:tr>
      <w:tr>
        <w:trPr/>
        <w:tc>
          <w:tcPr>
            <w:tcW w:w="1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none of Counterparty and its officers or directors, or any person that controls, potentially controls, or otherwise exercises influence over, Counterparty’s decision to elect the Convertible Security Settlement Method is aware of any</w:t>
            </w:r>
          </w:p>
        </w:tc>
      </w:tr>
      <w:tr>
        <w:trPr/>
        <w:tc>
          <w:tcPr>
            <w:tcW w:w="1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283"/>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42"/>
        <w:gridCol w:w="60"/>
        <w:gridCol w:w="9003"/>
      </w:tblGrid>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nonpublic information regarding Counterparty or the Shares;</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Counterparty is electing the Convertible Security Settlement Method in good faith and not as part of a plan or scheme to evade compliance with the U.S. federal securities laws; Counterparty is not electing the Convertible Security Settlement Method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and Counterparty has not entered into or altered any hedging transaction relating to the Shares corresponding to or offsetting the Transaction;</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left"/>
              <w:rPr/>
            </w:pPr>
            <w:r>
              <w:rPr/>
              <w:t> </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Counterparty has the power to make such election and to execute and deliver any documentation relating to such election that it is required by this Confirmation to deliver and to perform its obligations under this Confirmation and has taken all necessary action to authorize such election, execution, delivery and performance;</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left"/>
              <w:rPr/>
            </w:pPr>
            <w:r>
              <w:rPr/>
              <w:t> </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election and performance of its obligations under this Confirmation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 and</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left"/>
              <w:rPr/>
            </w:pPr>
            <w:r>
              <w:rPr/>
              <w:t> </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transaction that Dealer makes with respect to the Shares during the period beginning at the time that Counterparty delivers such notice and ending at the close of business on the final day of the Cash Settlement Averaging Period shall be made by Dealer at Dealer’s sole discretion for Dealer’s own account and Counterparty shall not have, and shall not attempt to exercise, any influence over how, when, whether or at what price Dealer effects such transactions, including, without limitation, the prices paid or received by Dealer per Share pursuant to such transactions, or whether such transactions are made on any securities exchange or privately.</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left"/>
              <w:rPr/>
            </w:pPr>
            <w:r>
              <w:rPr/>
              <w:t> </w:t>
            </w:r>
          </w:p>
        </w:tc>
      </w:tr>
      <w:tr>
        <w:trPr/>
        <w:tc>
          <w:tcPr>
            <w:tcW w:w="1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Delivery Obligation: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the Exchange Business Day immediately following the last day of the relevant Cash Settlement Averaging Period, Counterparty shall give Dealer notice of the final number of Shares</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89"/>
        <w:gridCol w:w="60"/>
        <w:gridCol w:w="8956"/>
      </w:tblGrid>
      <w:tr>
        <w:trPr/>
        <w:tc>
          <w:tcPr>
            <w:tcW w:w="1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and/or amount of cash included in the Total Convertible Share Obligation Value (as defined below);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Exercise Date occurring during the Final Conversion Period, Counterparty may provide Dealer with a single notice of the aggregate number of Shares and/or amount of cash included in the Total Convertible Share Obligation Value for all Exercise Dates occurring during such period (it being understood, for the avoidance of doubt, that the requirement of Counterparty to deliver such notice shall not limit Counterparty’s obligations with respect to a Notice of Exercise or Notice of Final Convertible Security Settlement Method, as the case may be, as set forth above, in any way).</w:t>
            </w:r>
          </w:p>
        </w:tc>
      </w:tr>
      <w:tr>
        <w:trPr/>
        <w:tc>
          <w:tcPr>
            <w:tcW w:w="1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pPr>
            <w:r>
              <w:rPr/>
              <w:t> </w:t>
            </w:r>
          </w:p>
        </w:tc>
      </w:tr>
      <w:tr>
        <w:trPr/>
        <w:tc>
          <w:tcPr>
            <w:tcW w:w="1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Convertible Share Obligation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With respect to Relevant Convertible Securities as to a Conversion Date, the product of (i) the Applicable Percentage and (ii)(A) the Total Convertible Share Obligation Value of such Relevant Convertible Securities for such Conversion Date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(B) the aggregate principal amount of such Relevant Convertible Securities for such Conversion Date.</w:t>
            </w:r>
          </w:p>
        </w:tc>
      </w:tr>
      <w:tr>
        <w:trPr/>
        <w:tc>
          <w:tcPr>
            <w:tcW w:w="1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pPr>
            <w:r>
              <w:rPr/>
              <w:t> </w:t>
            </w:r>
          </w:p>
        </w:tc>
      </w:tr>
      <w:tr>
        <w:trPr/>
        <w:tc>
          <w:tcPr>
            <w:tcW w:w="1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Convertible Share Obligation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With respect to Relevant Convertible Securities with respect to a Conversion Date, (i) (A) the number of Shares equal to the aggregate number of Shares that Counterparty is obligated to deliver to the holder(s) of Relevant Convertible Securities for such Conversion Date pursuant to the Indenture (it being understood that such number of Shares shall be determined taking into consideration any rounding pursuant to Section 5.03(B)(ii) of the Indenture)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 xml:space="preserve">(B) the Share Obligation Value Price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(ii) an amount of cash equal to the aggregate amount of cash that Counterparty is obligated to deliver to the holder(s) of Relevant Convertible Securities for such Conversion Date pursuant to the Indenture (including, for the avoidance of doubt, any cash payable by Counterparty in lieu of fractional Shares);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Total Convertible Share Obligation Value shall be determined excluding any Shares and/or cash that Counterparty is obligated to deliver to holder(s) of the Relevant Convertible Securities as a direct or indirect result of any adjustments to the Conversion Rate pursuant to a Fundamental Change Adjustment or a Discretionary Adjustment and any interest payment that Counterparty is (or would have been) obligated to deliver to holder(s) of the Relevant Convertible Securities for such Conversion Date.</w:t>
            </w:r>
          </w:p>
        </w:tc>
      </w:tr>
      <w:tr>
        <w:trPr/>
        <w:tc>
          <w:tcPr>
            <w:tcW w:w="1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pPr>
            <w:r>
              <w:rPr/>
              <w:t> </w:t>
            </w:r>
          </w:p>
        </w:tc>
      </w:tr>
      <w:tr>
        <w:trPr/>
        <w:tc>
          <w:tcPr>
            <w:tcW w:w="1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Obligation Value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price as displayed under the heading “Op” on Bloomberg page “WGO.N &lt;Equity&gt;” (or any successor thereto) on the applicable Settlement Date or other date of delivery.</w:t>
            </w:r>
          </w:p>
        </w:tc>
      </w:tr>
      <w:tr>
        <w:trPr/>
        <w:tc>
          <w:tcPr>
            <w:tcW w:w="1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62"/>
        <w:gridCol w:w="60"/>
        <w:gridCol w:w="8883"/>
      </w:tblGrid>
      <w:tr>
        <w:trPr/>
        <w:tc>
          <w:tcPr>
            <w:tcW w:w="1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Applicable Provisions: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83"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To the extent Dealer is obligated to deliver Shares hereunder, the provisions of Sections 9.8, 9.9 and 9.11 of the Equity Definitions will be applicable as if “Physical Settlement” applied to the Transaction;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of the Shares.</w:t>
            </w:r>
          </w:p>
        </w:tc>
      </w:tr>
      <w:tr>
        <w:trPr/>
        <w:tc>
          <w:tcPr>
            <w:tcW w:w="126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283"/>
              <w:jc w:val="left"/>
              <w:rPr/>
            </w:pPr>
            <w:r>
              <w:rPr/>
              <w:t> </w:t>
            </w:r>
          </w:p>
        </w:tc>
      </w:tr>
      <w:tr>
        <w:trPr/>
        <w:tc>
          <w:tcPr>
            <w:tcW w:w="1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Certificated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Equity Definitions, Dealer may, in whole or in part, deliver Shares required to be delivered to Counterparty hereunder in certificated form in lieu of delivery through the Clearance System. With respect to such certificated Shares, the Representation and Agreement contained in Section 9.11 of the Equity Definitions shall be modified by deleting the remainder of the provision after the word “encumbrance” in the fourth line thereof.</w:t>
            </w:r>
          </w:p>
        </w:tc>
      </w:tr>
      <w:tr>
        <w:trPr/>
        <w:tc>
          <w:tcPr>
            <w:tcW w:w="126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83"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tbl>
      <w:tblPr>
        <w:tblW w:w="10205" w:type="dxa"/>
        <w:jc w:val="left"/>
        <w:tblInd w:w="0" w:type="dxa"/>
        <w:tblLayout w:type="fixed"/>
        <w:tblCellMar>
          <w:top w:w="0" w:type="dxa"/>
          <w:left w:w="0" w:type="dxa"/>
          <w:bottom w:w="0" w:type="dxa"/>
          <w:right w:w="0" w:type="dxa"/>
        </w:tblCellMar>
      </w:tblPr>
      <w:tblGrid>
        <w:gridCol w:w="1073"/>
        <w:gridCol w:w="60"/>
        <w:gridCol w:w="9072"/>
      </w:tblGrid>
      <w:tr>
        <w:trPr/>
        <w:tc>
          <w:tcPr>
            <w:tcW w:w="1073"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pPr>
            <w:r>
              <w:rPr/>
              <w:t> </w:t>
            </w:r>
          </w:p>
        </w:tc>
      </w:tr>
      <w:tr>
        <w:trPr/>
        <w:tc>
          <w:tcPr>
            <w:tcW w:w="1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Adjustment: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7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Notwithstanding Section 11.2 of the Equity Definitions, upon the occurrence of any event or condition set forth in Section 5.05(A)(i), (ii), (iii), (iv) and (v) and Section 5.05(H) of the Indenture (a “</w:t>
            </w:r>
            <w:r>
              <w:rPr>
                <w:rFonts w:ascii="Times New Roman;Times;Serif" w:hAnsi="Times New Roman;Times;Serif"/>
                <w:b/>
                <w:i w:val="false"/>
                <w:caps w:val="false"/>
                <w:smallCaps w:val="false"/>
                <w:sz w:val="20"/>
              </w:rPr>
              <w:t>Potential Adjustment Event”</w:t>
            </w:r>
            <w:r>
              <w:rPr>
                <w:rFonts w:ascii="Times New Roman;Times;Serif" w:hAnsi="Times New Roman;Times;Serif"/>
                <w:b w:val="false"/>
                <w:i w:val="false"/>
                <w:caps w:val="false"/>
                <w:smallCaps w:val="false"/>
                <w:sz w:val="20"/>
              </w:rPr>
              <w:t>) that results in an adjustment under the Indenture, the Calculation Agent shall make a corresponding adjustment in respect of any one or more of the Strike Price, the Number of Options, the Option Entitlement and any other term relevant to the exercise, settlement or payment of the Transaction, subject to “Discretionary Adjustments” below. Promptly upon the occurrence of any Potential Adjustment Event, Counterparty shall notify the Calculation Agent of such Potential Adjustment Event; and once the adjustments to be made to the terms of the Indenture and the Convertible Securities in respect of such Potential Adjustment Event have been determined, Counterparty shall immediately notify the Calculation Agent in writing of the details of such adjustments.</w:t>
            </w:r>
          </w:p>
        </w:tc>
      </w:tr>
      <w:tr>
        <w:trPr/>
        <w:tc>
          <w:tcPr>
            <w:tcW w:w="1073"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pPr>
            <w:r>
              <w:rPr/>
              <w:t> </w:t>
            </w:r>
          </w:p>
        </w:tc>
      </w:tr>
      <w:tr>
        <w:trPr/>
        <w:tc>
          <w:tcPr>
            <w:tcW w:w="1073"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or in the Equity Definitions:</w:t>
            </w:r>
          </w:p>
        </w:tc>
      </w:tr>
      <w:tr>
        <w:trPr/>
        <w:tc>
          <w:tcPr>
            <w:tcW w:w="1073"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pPr>
            <w:r>
              <w:rPr/>
              <w:t> </w:t>
            </w:r>
          </w:p>
        </w:tc>
      </w:tr>
      <w:tr>
        <w:trPr/>
        <w:tc>
          <w:tcPr>
            <w:tcW w:w="1073"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connection with any Potential Adjustment Event as a result of an event or condition set forth in Section 5.05(A)(ii) of the Indenture or Section 5.05(A)(iii)(1) of the Indenture where, in either case, the period for determining “Y” (as such term is used in Section 5.05(A)(ii) of the Indenture) or “SP” (as such term is used in Section 5.05(A)(iii)(1) of the Indenture), as the</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 may be, begins before Counterparty has publicly announced the event or condition giving rise to such Potential Adjustment Event, then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event or condition not having been publicly announced prior to the beginning of such period;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(ii) if any Potential Adjustment Event is declared and (a) the event or condition giving rise to such Potential Adjustment Event is subsequently amended, modified, cancelled or abandoned, (b) the Conversion Rate is otherwise not adjusted at the time or in the manner contemplated by the Indenture based on such declaration or (c) the Conversion Rate is adjusted as a result of such Potential Adjustment Event and subsequently re-adjusted (each of clauses (a), (b) and (c), a “</w:t>
            </w:r>
            <w:r>
              <w:rPr>
                <w:rFonts w:ascii="Times New Roman;Times;Serif" w:hAnsi="Times New Roman;Times;Serif"/>
                <w:b/>
                <w:i w:val="false"/>
                <w:caps w:val="false"/>
                <w:smallCaps w:val="false"/>
                <w:sz w:val="20"/>
              </w:rPr>
              <w:t>Potential Adjustment Event Change”</w:t>
            </w:r>
            <w:r>
              <w:rPr>
                <w:rFonts w:ascii="Times New Roman;Times;Serif" w:hAnsi="Times New Roman;Times;Serif"/>
                <w:b w:val="false"/>
                <w:i w:val="false"/>
                <w:caps w:val="false"/>
                <w:smallCaps w:val="false"/>
                <w:sz w:val="20"/>
              </w:rPr>
              <w:t>), then, in each case,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Potential Adjustment Event 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Potential Adjustment Event Change, Counterparty shall immediately notify the Calculation Agent in writing of the details of such Potential Adjustment Event 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Dealer shall not have any payment or delivery obligation hereunder in respect of, and no adjustment shall be made to the terms of the Transaction on account of, (x) any distribution of cash, property or securities by Counterparty to the holders of Convertible Securities (upon conversion or otherwise) or (y) any other transaction in which holders of Convertible Securities are entitled to participate, in each case, in lieu of an adjustment under the Indenture in respect of a Potential Adjustment Event (including, without limitation, under the proviso to the first sentence of Section 5.05(A)(iii)(1) of the Indenture or the proviso to the first sentence of Section 5.05(A)(iv) of the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00"/>
        <w:gridCol w:w="60"/>
        <w:gridCol w:w="8945"/>
      </w:tblGrid>
      <w:tr>
        <w:trPr/>
        <w:tc>
          <w:tcPr>
            <w:tcW w:w="1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tc>
      </w:tr>
      <w:tr>
        <w:trPr/>
        <w:tc>
          <w:tcPr>
            <w:tcW w:w="1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Adjustments: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or in the Equity Definitions, if the Calculation Agent in good faith disagrees with any adjustment under the Indenture that involves an exercise of discretion by Counterparty or its board of directors (including, without limitation, pursuant to Section 5.05(H) of the Indenture or pursuant to Section 5.08(A)  of the Indenture or any supplemental indenture entered into thereunder (a “</w:t>
            </w:r>
            <w:r>
              <w:rPr>
                <w:rFonts w:ascii="Times New Roman;Times;Serif" w:hAnsi="Times New Roman;Times;Serif"/>
                <w:b/>
                <w:i w:val="false"/>
                <w:caps w:val="false"/>
                <w:smallCaps w:val="false"/>
                <w:sz w:val="20"/>
              </w:rPr>
              <w:t>Merger Supplemental Indenture</w:t>
            </w:r>
            <w:r>
              <w:rPr>
                <w:rFonts w:ascii="Times New Roman;Times;Serif" w:hAnsi="Times New Roman;Times;Serif"/>
                <w:b w:val="false"/>
                <w:i w:val="false"/>
                <w:caps w:val="false"/>
                <w:smallCaps w:val="false"/>
                <w:sz w:val="20"/>
              </w:rPr>
              <w:t xml:space="preserve">”) or in connection with the determination of the fair value of any securities, property, rights or other assets), then the Calculation Agent will determine the adjustment to be made to any one or more of the Strike Price, Number of Options, Option Entitlement and any other variable relevant to the exercise, settlement or payment of or under the Transaction in a commercially reasonable manner and, for the avoidance of doubt, the Delivery Obligation shall be calculated on the basis of such adjustments by the Calculation Agent;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notwithstanding the foregoing, in any Potential Adjustment Event occurs during the Cash Settlement Averaging Period but no adjustment was made to any Convertible Note under the Indenture because the relevant Holder (as such term is defined in the Indenture) was deemed to be a record holder of the underlying Shares on the related Conversion Date, then the Calculation Agent shall make an adjustment, as determined by it, to the terms hereof in order to account for such Potential Adjustment Event.</w:t>
            </w:r>
          </w:p>
        </w:tc>
      </w:tr>
      <w:tr>
        <w:trPr/>
        <w:tc>
          <w:tcPr>
            <w:tcW w:w="12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If (i) at any time during the period from and including the Trade Date, to but excluding the Expiration Date, an ex-dividend date for a regular quarterly cash dividend occurs with respect to the Shares (an “</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and that dividend is less than the Regular Dividend on a per Share basis or (ii) no Ex-Dividend Date for a regular quarterly cash dividend occurs with respect to the Shares in any quarterly dividend period of Counterparty, then the Calculation Agent will make a corresponding adjustment in respect of any one or more of the Strike Price, the Number of Options, the Option Entitlement and any other term relevant to the exercise, settlement or payment of the Transaction to account for the economic effect on the Transaction of such dividend or lack thereof, and, for the avoidance of doubt, any such adjustments shall be taken into</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jc w:val="both"/>
        <w:rPr/>
      </w:pPr>
      <w:r>
        <w:rPr>
          <w:position w:val="8"/>
          <w:sz w:val="19"/>
        </w:rPr>
        <w:t>1</w:t>
      </w:r>
      <w:r>
        <w:rPr/>
        <w:t xml:space="preserve"> Include references to provisions of Indenture providing for pass-through of cash or Distributed Property in lieu of Conversion Rate adjustments.</w:t>
      </w:r>
    </w:p>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56"/>
        <w:gridCol w:w="60"/>
        <w:gridCol w:w="8989"/>
      </w:tblGrid>
      <w:tr>
        <w:trPr/>
        <w:tc>
          <w:tcPr>
            <w:tcW w:w="11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in calculating the Delivery Obligation. “</w:t>
            </w:r>
            <w:r>
              <w:rPr>
                <w:rFonts w:ascii="Times New Roman;Times;Serif" w:hAnsi="Times New Roman;Times;Serif"/>
                <w:b/>
                <w:i w:val="false"/>
                <w:caps w:val="false"/>
                <w:smallCaps w:val="false"/>
                <w:sz w:val="20"/>
              </w:rPr>
              <w:t>Regular Dividend</w:t>
            </w:r>
            <w:r>
              <w:rPr>
                <w:rFonts w:ascii="Times New Roman;Times;Serif" w:hAnsi="Times New Roman;Times;Serif"/>
                <w:b w:val="false"/>
                <w:i w:val="false"/>
                <w:caps w:val="false"/>
                <w:smallCaps w:val="false"/>
                <w:sz w:val="20"/>
              </w:rPr>
              <w:t>” shall mean USD 0.31 per Share.</w:t>
            </w:r>
          </w:p>
        </w:tc>
      </w:tr>
      <w:tr>
        <w:trPr/>
        <w:tc>
          <w:tcPr>
            <w:tcW w:w="11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8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Certain Other Events: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shall give Dealer commercially reasonable advance (but in no event less than one Exchange Business Day) written notice of the section or sections of the Indenture and, if applicable, the formula therein, pursuant to which any adjustment will be made to the Convertible Securities in connection with any Potential Adjustment Event, Merger Event or Tender Offer.</w:t>
            </w:r>
          </w:p>
        </w:tc>
      </w:tr>
      <w:tr>
        <w:trPr/>
        <w:tc>
          <w:tcPr>
            <w:tcW w:w="11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89"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Extraordinary Events:</w:t>
      </w:r>
    </w:p>
    <w:tbl>
      <w:tblPr>
        <w:tblW w:w="10205" w:type="dxa"/>
        <w:jc w:val="left"/>
        <w:tblInd w:w="0" w:type="dxa"/>
        <w:tblLayout w:type="fixed"/>
        <w:tblCellMar>
          <w:top w:w="0" w:type="dxa"/>
          <w:left w:w="0" w:type="dxa"/>
          <w:bottom w:w="0" w:type="dxa"/>
          <w:right w:w="0" w:type="dxa"/>
        </w:tblCellMar>
      </w:tblPr>
      <w:tblGrid>
        <w:gridCol w:w="1288"/>
        <w:gridCol w:w="60"/>
        <w:gridCol w:w="8857"/>
      </w:tblGrid>
      <w:tr>
        <w:trPr/>
        <w:tc>
          <w:tcPr>
            <w:tcW w:w="12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57" w:type="dxa"/>
            <w:tcBorders/>
            <w:vAlign w:val="center"/>
          </w:tcPr>
          <w:p>
            <w:pPr>
              <w:pStyle w:val="TableContents"/>
              <w:bidi w:val="0"/>
              <w:spacing w:before="0" w:after="283"/>
              <w:jc w:val="left"/>
              <w:rPr/>
            </w:pPr>
            <w:r>
              <w:rPr/>
              <w:t> </w:t>
            </w:r>
          </w:p>
        </w:tc>
      </w:tr>
      <w:tr>
        <w:trPr/>
        <w:tc>
          <w:tcPr>
            <w:tcW w:w="12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Events: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12.1(b) of the Equity Definitions, “Merger Event” shall mean the occurrence of any event or condition set forth in the definition of “Common Stock Change Event” set forth in Section 5.08(A) of the Indenture.</w:t>
            </w:r>
          </w:p>
        </w:tc>
      </w:tr>
      <w:tr>
        <w:trPr/>
        <w:tc>
          <w:tcPr>
            <w:tcW w:w="12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57" w:type="dxa"/>
            <w:tcBorders/>
            <w:vAlign w:val="center"/>
          </w:tcPr>
          <w:p>
            <w:pPr>
              <w:pStyle w:val="TableContents"/>
              <w:bidi w:val="0"/>
              <w:spacing w:before="0" w:after="283"/>
              <w:jc w:val="left"/>
              <w:rPr/>
            </w:pPr>
            <w:r>
              <w:rPr/>
              <w:t> </w:t>
            </w:r>
          </w:p>
        </w:tc>
      </w:tr>
      <w:tr>
        <w:trPr/>
        <w:tc>
          <w:tcPr>
            <w:tcW w:w="12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Merger Events: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57"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Notwithstanding Section 12.2 of the Equity Definitions, upon the occurrence of a Merger Event, the Calculation Agent shall make an adjustment to the terms relevant to the exercise, settlement or payment of the Transaction corresponding to the adjustment required under Section 5.08 of the Indenture in respect of such Merger Event, as determined by the Calculation Agent (by reference to such Section), subject to “Discretionary Adjustments”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adjustment shall be made without regard to any adjustment to the Conversion Rate pursuant to a Fundamental Change Adjustment or a Discretionary Adjustment;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the Calculation Agent may make such further adjustments to the terms of the Transaction as may be necessary to ensure that the fair value of the Transaction to Dealer is not adversely affected as a result of any adjustment referenced in this paragraph and, for the avoidance of doubt, any such further adjustments shall be taken into account in calculating the Delivery Obligation;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if, with respect to a Merger Event, (i) the consideration for the Shares includes (or, at the option of a holder of Shares, may include) shares of an entity or person that is not a corporation organized under the laws of the United States, any state thereof or the District of Columbia or (ii) the Counterparty to the Transaction, following such Merger Event, will not be a corporation organized under the laws of the United States, any state thereof or the District of Columbia and/or will not be the Issuer, Dealer may elect in its sole discretion that Cancellation and Payment (Calculation Agent Determination) shall apply.</w:t>
            </w:r>
          </w:p>
        </w:tc>
      </w:tr>
      <w:tr>
        <w:trPr/>
        <w:tc>
          <w:tcPr>
            <w:tcW w:w="12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57"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982"/>
        <w:gridCol w:w="60"/>
        <w:gridCol w:w="7163"/>
      </w:tblGrid>
      <w:tr>
        <w:trPr/>
        <w:tc>
          <w:tcPr>
            <w:tcW w:w="29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Merger Consideration and Consequences: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Merger Event, Counterparty shall reasonably promptly (but in any event prior to the relevant merger date) notify the</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69"/>
        <w:gridCol w:w="60"/>
        <w:gridCol w:w="7676"/>
      </w:tblGrid>
      <w:tr>
        <w:trPr/>
        <w:tc>
          <w:tcPr>
            <w:tcW w:w="246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676" w:type="dxa"/>
            <w:tcBorders/>
            <w:vAlign w:val="center"/>
          </w:tcPr>
          <w:p>
            <w:pPr>
              <w:pStyle w:val="TableContents"/>
              <w:bidi w:val="0"/>
              <w:spacing w:before="0" w:after="283"/>
              <w:jc w:val="left"/>
              <w:rPr/>
            </w:pPr>
            <w:r>
              <w:rPr/>
              <w:t> </w:t>
            </w:r>
          </w:p>
        </w:tc>
      </w:tr>
      <w:tr>
        <w:trPr/>
        <w:tc>
          <w:tcPr>
            <w:tcW w:w="246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6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Agent of (i) in the case of a Merger Event that causes the Shares to be converted into the right to receive more than a single type of consideration (determined based in part upon any form of stockholder election), the types and amount of consideration actually received by such holders, and (ii) the details of the adjustment to be made under the Indenture in respect of such Merger Event.</w:t>
            </w:r>
          </w:p>
        </w:tc>
      </w:tr>
      <w:tr>
        <w:trPr/>
        <w:tc>
          <w:tcPr>
            <w:tcW w:w="246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676" w:type="dxa"/>
            <w:tcBorders/>
            <w:vAlign w:val="center"/>
          </w:tcPr>
          <w:p>
            <w:pPr>
              <w:pStyle w:val="TableContents"/>
              <w:bidi w:val="0"/>
              <w:spacing w:before="0" w:after="283"/>
              <w:jc w:val="left"/>
              <w:rPr/>
            </w:pPr>
            <w:r>
              <w:rPr/>
              <w:t> </w:t>
            </w:r>
          </w:p>
        </w:tc>
      </w:tr>
      <w:tr>
        <w:trPr/>
        <w:tc>
          <w:tcPr>
            <w:tcW w:w="24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Nationalization, Insolvency or Delisting: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7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Cancellation and Payment (Calculation Agent Determination);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r>
        <w:trPr/>
        <w:tc>
          <w:tcPr>
            <w:tcW w:w="246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676" w:type="dxa"/>
            <w:tcBorders/>
            <w:vAlign w:val="center"/>
          </w:tcPr>
          <w:p>
            <w:pPr>
              <w:pStyle w:val="TableContents"/>
              <w:bidi w:val="0"/>
              <w:spacing w:before="0" w:after="283"/>
              <w:jc w:val="left"/>
              <w:rPr/>
            </w:pPr>
            <w:r>
              <w:rPr/>
              <w:t> </w:t>
            </w:r>
          </w:p>
        </w:tc>
      </w:tr>
      <w:tr>
        <w:trPr/>
        <w:tc>
          <w:tcPr>
            <w:tcW w:w="24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Termination Event(s):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tc>
      </w:tr>
      <w:tr>
        <w:trPr/>
        <w:tc>
          <w:tcPr>
            <w:tcW w:w="246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676"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73"/>
        <w:gridCol w:w="60"/>
        <w:gridCol w:w="9072"/>
      </w:tblGrid>
      <w:tr>
        <w:trPr/>
        <w:tc>
          <w:tcPr>
            <w:tcW w:w="1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Disruption Events:</w:t>
            </w:r>
          </w:p>
        </w:tc>
        <w:tc>
          <w:tcPr>
            <w:tcW w:w="60"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pPr>
            <w:r>
              <w:rPr/>
              <w:t> </w:t>
            </w:r>
          </w:p>
        </w:tc>
      </w:tr>
      <w:tr>
        <w:trPr/>
        <w:tc>
          <w:tcPr>
            <w:tcW w:w="10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pPr>
            <w:r>
              <w:rPr/>
              <w:t> </w:t>
            </w:r>
          </w:p>
        </w:tc>
      </w:tr>
      <w:tr>
        <w:trPr/>
        <w:tc>
          <w:tcPr>
            <w:tcW w:w="1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Law:</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7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Section 12.9(a)(ii) of the Equity Definitions is hereby amended by (i) replacing the parenthetical beginning after the word “regulation” in the second line thereof the words “(including, for the avoidance of doubt and without limitation, (x) any tax law or (y) adoption or promulgation of new regulations authorized or mandated by existing statute)” and (ii) adding the words “, or holding, acquiring or disposing of Shares or any Hedge Positions relating to,” after the words </w:t>
            </w:r>
          </w:p>
        </w:tc>
      </w:tr>
      <w:tr>
        <w:trPr/>
        <w:tc>
          <w:tcPr>
            <w:tcW w:w="10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pPr>
            <w:r>
              <w:rPr/>
              <w:t>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p>
      <w:pPr>
        <w:pStyle w:val="TextBody"/>
        <w:bidi w:val="0"/>
        <w:spacing w:before="0" w:after="0"/>
        <w:ind w:left="0" w:right="0" w:hanging="0"/>
        <w:jc w:val="left"/>
        <w:rPr/>
      </w:pPr>
      <w:r>
        <w:rPr/>
        <w:t> </w:t>
      </w:r>
    </w:p>
    <w:tbl>
      <w:tblPr>
        <w:tblW w:w="5440" w:type="dxa"/>
        <w:jc w:val="left"/>
        <w:tblInd w:w="0" w:type="dxa"/>
        <w:tblLayout w:type="fixed"/>
        <w:tblCellMar>
          <w:top w:w="0" w:type="dxa"/>
          <w:left w:w="0" w:type="dxa"/>
          <w:bottom w:w="0" w:type="dxa"/>
          <w:right w:w="0" w:type="dxa"/>
        </w:tblCellMar>
      </w:tblPr>
      <w:tblGrid>
        <w:gridCol w:w="1985"/>
        <w:gridCol w:w="60"/>
        <w:gridCol w:w="3395"/>
      </w:tblGrid>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obligations under” in clause (Y) thereof.</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Failure to Deliver: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Insolvency Filing: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Hedging Disruption: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w:t>
            </w:r>
          </w:p>
        </w:tc>
      </w:tr>
    </w:tbl>
    <w:p>
      <w:pPr>
        <w:pStyle w:val="TextBody"/>
        <w:bidi w:val="0"/>
        <w:spacing w:before="0" w:after="283"/>
        <w:jc w:val="left"/>
        <w:rPr/>
      </w:pPr>
      <w:r>
        <w:rPr/>
        <w:t> </w:t>
      </w:r>
    </w:p>
    <w:tbl>
      <w:tblPr>
        <w:tblW w:w="5770" w:type="dxa"/>
        <w:jc w:val="left"/>
        <w:tblInd w:w="0" w:type="dxa"/>
        <w:tblLayout w:type="fixed"/>
        <w:tblCellMar>
          <w:top w:w="0" w:type="dxa"/>
          <w:left w:w="0" w:type="dxa"/>
          <w:bottom w:w="0" w:type="dxa"/>
          <w:right w:w="0" w:type="dxa"/>
        </w:tblCellMar>
      </w:tblPr>
      <w:tblGrid>
        <w:gridCol w:w="75"/>
        <w:gridCol w:w="60"/>
        <w:gridCol w:w="200"/>
        <w:gridCol w:w="5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12.9(a)(v) of the Equity Definitions is hereby amended by: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237"/>
        <w:gridCol w:w="97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inserting the following words at the end of clause (A) thereof: “in the manner contemplated by the Hedging Party on the Trade Date”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inserting the following paragraphs at the end of such Section: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5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Such inability described in clauses (A) or (B) above shall not constitute a “Hedging Disruption” if such inability results from Hedging Party’s creditworthiness.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77"/>
        <w:gridCol w:w="60"/>
        <w:gridCol w:w="325"/>
        <w:gridCol w:w="8543"/>
      </w:tblGrid>
      <w:tr>
        <w:trPr/>
        <w:tc>
          <w:tcPr>
            <w:tcW w:w="12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85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12.9(b)(iii) of the Equity Definitions is hereby amended by inserting in the third line thereof, after the words “to terminate the Transaction”, the words “or a portion of the Transaction affected by such Hedging Disruption”.</w:t>
            </w:r>
          </w:p>
        </w:tc>
      </w:tr>
      <w:tr>
        <w:trPr/>
        <w:tc>
          <w:tcPr>
            <w:tcW w:w="12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68" w:type="dxa"/>
            <w:gridSpan w:val="2"/>
            <w:tcBorders/>
            <w:vAlign w:val="center"/>
          </w:tcPr>
          <w:p>
            <w:pPr>
              <w:pStyle w:val="TableContents"/>
              <w:bidi w:val="0"/>
              <w:spacing w:before="0" w:after="283"/>
              <w:jc w:val="left"/>
              <w:rPr/>
            </w:pPr>
            <w:r>
              <w:rPr/>
              <w:t> </w:t>
            </w:r>
          </w:p>
        </w:tc>
      </w:tr>
      <w:tr>
        <w:trPr/>
        <w:tc>
          <w:tcPr>
            <w:tcW w:w="1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Increased Cost of Hedging: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68" w:type="dxa"/>
            <w:gridSpan w:val="2"/>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increased cost described in Section 12.9(vi) of the Equity Definitions shall not constitute an “Increased Cost of Hedging” if such increased cost results from Hedging Party’s creditworthiness.</w:t>
            </w:r>
          </w:p>
        </w:tc>
      </w:tr>
      <w:tr>
        <w:trPr/>
        <w:tc>
          <w:tcPr>
            <w:tcW w:w="12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68" w:type="dxa"/>
            <w:gridSpan w:val="2"/>
            <w:tcBorders/>
            <w:vAlign w:val="center"/>
          </w:tcPr>
          <w:p>
            <w:pPr>
              <w:pStyle w:val="TableContents"/>
              <w:bidi w:val="0"/>
              <w:spacing w:before="0" w:after="283"/>
              <w:jc w:val="left"/>
              <w:rPr/>
            </w:pPr>
            <w:r>
              <w:rPr/>
              <w:t> </w:t>
            </w:r>
          </w:p>
        </w:tc>
      </w:tr>
      <w:tr>
        <w:trPr/>
        <w:tc>
          <w:tcPr>
            <w:tcW w:w="1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Party: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68"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r>
      <w:tr>
        <w:trPr/>
        <w:tc>
          <w:tcPr>
            <w:tcW w:w="12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68" w:type="dxa"/>
            <w:gridSpan w:val="2"/>
            <w:tcBorders/>
            <w:vAlign w:val="center"/>
          </w:tcPr>
          <w:p>
            <w:pPr>
              <w:pStyle w:val="TableContents"/>
              <w:bidi w:val="0"/>
              <w:spacing w:before="0" w:after="283"/>
              <w:jc w:val="left"/>
              <w:rPr/>
            </w:pPr>
            <w:r>
              <w:rPr/>
              <w:t> </w:t>
            </w:r>
          </w:p>
        </w:tc>
      </w:tr>
      <w:tr>
        <w:trPr/>
        <w:tc>
          <w:tcPr>
            <w:tcW w:w="1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Party: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68" w:type="dxa"/>
            <w:gridSpan w:val="2"/>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Dealer. All calculations and determinations by the Determining Party shall be made in good faith and in a commercially reasonable manner. Following any calculation by the Determining Party hereunder, upon written request by Counterparty, the Determining Party will, within five Exchange Business Days immediately following such request, provide to Counterparty a report (in a commonly used file format for the storage and manipulation of financial data) displaying in reasonable detail the basis for such calculation;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no event will the Determining Party be obligated to share with</w:t>
            </w:r>
          </w:p>
        </w:tc>
      </w:tr>
      <w:tr>
        <w:trPr/>
        <w:tc>
          <w:tcPr>
            <w:tcW w:w="127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68" w:type="dxa"/>
            <w:gridSpan w:val="2"/>
            <w:tcBorders/>
            <w:vAlign w:val="center"/>
          </w:tcPr>
          <w:p>
            <w:pPr>
              <w:pStyle w:val="TableContents"/>
              <w:bidi w:val="0"/>
              <w:spacing w:before="0" w:after="283"/>
              <w:jc w:val="left"/>
              <w:rPr/>
            </w:pPr>
            <w:r>
              <w:rPr/>
              <w:t>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8"/>
        <w:gridCol w:w="60"/>
        <w:gridCol w:w="8257"/>
      </w:tblGrid>
      <w:tr>
        <w:trPr/>
        <w:tc>
          <w:tcPr>
            <w:tcW w:w="18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any proprietary or confidential data or information or any proprietary or confidential models used by it.</w:t>
            </w:r>
          </w:p>
        </w:tc>
      </w:tr>
      <w:tr>
        <w:trPr/>
        <w:tc>
          <w:tcPr>
            <w:tcW w:w="18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5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Non-Reliance: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18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and Acknowledgments Regarding Hedging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18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Acknowledgments: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w:t>
            </w:r>
          </w:p>
        </w:tc>
      </w:tr>
      <w:tr>
        <w:trPr/>
        <w:tc>
          <w:tcPr>
            <w:tcW w:w="18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57" w:type="dxa"/>
            <w:tcBorders/>
            <w:vAlign w:val="center"/>
          </w:tcPr>
          <w:p>
            <w:pPr>
              <w:pStyle w:val="TableContents"/>
              <w:bidi w:val="0"/>
              <w:spacing w:before="0" w:after="283"/>
              <w:ind w:left="0" w:right="0" w:firstLine="720"/>
              <w:jc w:val="left"/>
              <w:rPr>
                <w:caps w:val="false"/>
                <w:smallCaps w:val="false"/>
              </w:rPr>
            </w:pPr>
            <w:r>
              <w:rPr>
                <w:caps w:val="false"/>
                <w:smallCaps w:val="false"/>
              </w:rPr>
              <w:t> </w:t>
            </w:r>
          </w:p>
        </w:tc>
      </w:tr>
      <w:tr>
        <w:trPr/>
        <w:tc>
          <w:tcPr>
            <w:tcW w:w="1888"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Calculation Agent</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provided that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obligations of the Calculation Agent hereunder and such failure continues for five Exchange Business Days following notice to the Calculation Agent by Counterparty of such failure, Counterparty shall have the right to designate a nationally recognized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Calculation Agent.</w:t>
            </w:r>
          </w:p>
        </w:tc>
      </w:tr>
      <w:tr>
        <w:trPr/>
        <w:tc>
          <w:tcPr>
            <w:tcW w:w="18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57"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Following any calculation by the Calculation Agent hereunder, upon written request by Counterparty, the Calculation Agent will, within five Exchange Business Days immediately following such request, provide to Counterparty by email to the email address provided by Counterparty in such written request a report (in a commonly used file format for the storage and manipulation of financial data) displaying in reasonable detail the basis for such calculation;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in no event will Dealer be obligated to share with Counterparty any proprietary or confidential data or information or any proprietary or confidential models used by it or any information that is subject to an obligation not to disclose such information.</w:t>
            </w:r>
          </w:p>
        </w:tc>
      </w:tr>
      <w:tr>
        <w:trPr/>
        <w:tc>
          <w:tcPr>
            <w:tcW w:w="18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ind w:left="0" w:right="0" w:firstLine="720"/>
              <w:jc w:val="left"/>
              <w:rPr/>
            </w:pPr>
            <w:r>
              <w:rPr/>
              <w:t> </w:t>
            </w:r>
          </w:p>
        </w:tc>
      </w:tr>
      <w:tr>
        <w:trPr/>
        <w:tc>
          <w:tcPr>
            <w:tcW w:w="1888"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Account Details</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Payment Instructions:</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r>
        <w:trPr/>
        <w:tc>
          <w:tcPr>
            <w:tcW w:w="18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ind w:left="0" w:right="0" w:hanging="3060"/>
              <w:jc w:val="left"/>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Bank of New York</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ind w:left="0" w:right="0" w:hanging="3060"/>
              <w:jc w:val="left"/>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 021000018</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ind w:left="0" w:right="0" w:hanging="3060"/>
              <w:jc w:val="left"/>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8661062712</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Acct Name – BMO Nesbitt Burns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Payment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 by Counterparty.</w:t>
      </w:r>
    </w:p>
    <w:p>
      <w:pPr>
        <w:pStyle w:val="TextBody"/>
        <w:bidi w:val="0"/>
        <w:spacing w:before="0" w:after="0"/>
        <w:ind w:left="720" w:right="0" w:hanging="0"/>
        <w:jc w:val="both"/>
        <w:rPr>
          <w:caps w:val="false"/>
          <w:smallCaps w:val="false"/>
        </w:rPr>
      </w:pPr>
      <w:r>
        <w:rPr>
          <w:caps w:val="false"/>
          <w:smallCaps w:val="false"/>
        </w:rPr>
        <w:t> </w:t>
      </w:r>
    </w:p>
    <w:tbl>
      <w:tblPr>
        <w:tblW w:w="1023" w:type="dxa"/>
        <w:jc w:val="left"/>
        <w:tblInd w:w="0" w:type="dxa"/>
        <w:tblLayout w:type="fixed"/>
        <w:tblCellMar>
          <w:top w:w="0" w:type="dxa"/>
          <w:left w:w="0" w:type="dxa"/>
          <w:bottom w:w="0" w:type="dxa"/>
          <w:right w:w="0" w:type="dxa"/>
        </w:tblCellMar>
      </w:tblPr>
      <w:tblGrid>
        <w:gridCol w:w="38"/>
        <w:gridCol w:w="200"/>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785" w:type="dxa"/>
            <w:tcBorders/>
            <w:vAlign w:val="center"/>
          </w:tcPr>
          <w:p>
            <w:pPr>
              <w:pStyle w:val="TableContents"/>
              <w:bidi w:val="0"/>
              <w:spacing w:before="0" w:after="283"/>
              <w:jc w:val="both"/>
              <w:rPr/>
            </w:pPr>
            <w:r>
              <w:rPr>
                <w:u w:val="single"/>
              </w:rPr>
              <w:t>Offices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is a Multibranch Party and for purposes of this Confirmation and each Transaction, may act through its London and Toronto Offices.</w:t>
      </w:r>
    </w:p>
    <w:p>
      <w:pPr>
        <w:pStyle w:val="TextBody"/>
        <w:bidi w:val="0"/>
        <w:spacing w:before="0" w:after="283"/>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Counterparty for the Transaction is: Inapplicable, Counterparty is not a Multibranch Party.</w:t>
      </w:r>
    </w:p>
    <w:tbl>
      <w:tblPr>
        <w:tblW w:w="4368" w:type="dxa"/>
        <w:jc w:val="left"/>
        <w:tblInd w:w="0" w:type="dxa"/>
        <w:tblLayout w:type="fixed"/>
        <w:tblCellMar>
          <w:top w:w="0" w:type="dxa"/>
          <w:left w:w="0" w:type="dxa"/>
          <w:bottom w:w="0" w:type="dxa"/>
          <w:right w:w="0" w:type="dxa"/>
        </w:tblCellMar>
      </w:tblPr>
      <w:tblGrid>
        <w:gridCol w:w="38"/>
        <w:gridCol w:w="200"/>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4130" w:type="dxa"/>
            <w:tcBorders/>
            <w:vAlign w:val="center"/>
          </w:tcPr>
          <w:p>
            <w:pPr>
              <w:pStyle w:val="TableContents"/>
              <w:bidi w:val="0"/>
              <w:spacing w:before="0" w:after="283"/>
              <w:jc w:val="both"/>
              <w:rPr/>
            </w:pPr>
            <w:r>
              <w:rPr>
                <w:u w:val="single"/>
              </w:rPr>
              <w:t>Notices</w:t>
            </w:r>
            <w:r>
              <w:rPr/>
              <w:t>: For purposes of this Confirmation:</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230"/>
        <w:gridCol w:w="458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4580" w:type="dxa"/>
            <w:tcBorders/>
            <w:vAlign w:val="center"/>
          </w:tcPr>
          <w:p>
            <w:pPr>
              <w:pStyle w:val="TableContents"/>
              <w:bidi w:val="0"/>
              <w:spacing w:before="0" w:after="283"/>
              <w:jc w:val="both"/>
              <w:rPr>
                <w:sz w:val="20"/>
              </w:rPr>
            </w:pPr>
            <w:r>
              <w:rPr>
                <w:sz w:val="20"/>
              </w:rPr>
              <w:t>Address for notices or communications to Counterparty:</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both"/>
              <w:rPr>
                <w:sz w:val="20"/>
              </w:rPr>
            </w:pPr>
            <w:r>
              <w:rPr>
                <w:sz w:val="20"/>
              </w:rPr>
              <w:t>Winnebago Industries, Inc.</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both"/>
              <w:rPr>
                <w:sz w:val="20"/>
              </w:rPr>
            </w:pPr>
            <w:r>
              <w:rPr>
                <w:sz w:val="20"/>
              </w:rPr>
              <w:t>13200 Pioneer Trail, Suite 150</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both"/>
              <w:rPr>
                <w:sz w:val="20"/>
              </w:rPr>
            </w:pPr>
            <w:r>
              <w:rPr>
                <w:sz w:val="20"/>
              </w:rPr>
              <w:t>Eden Prairie, MN 55347</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both"/>
              <w:rPr>
                <w:sz w:val="20"/>
              </w:rPr>
            </w:pPr>
            <w:r>
              <w:rPr>
                <w:sz w:val="20"/>
              </w:rPr>
              <w:t>Attention: Kathy Hiebert, Treasurer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587"/>
        <w:gridCol w:w="9542"/>
      </w:tblGrid>
      <w:tr>
        <w:trPr/>
        <w:tc>
          <w:tcPr>
            <w:tcW w:w="7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pPr>
            <w:r>
              <w:rPr/>
              <w:t>(b)</w:t>
            </w:r>
          </w:p>
        </w:tc>
        <w:tc>
          <w:tcPr>
            <w:tcW w:w="9542" w:type="dxa"/>
            <w:tcBorders/>
            <w:vAlign w:val="center"/>
          </w:tcPr>
          <w:p>
            <w:pPr>
              <w:pStyle w:val="TableContents"/>
              <w:bidi w:val="0"/>
              <w:spacing w:before="0" w:after="283"/>
              <w:jc w:val="both"/>
              <w:rPr/>
            </w:pPr>
            <w:r>
              <w:rPr/>
              <w:t>Address for notices or communications to Dealer:</w:t>
            </w:r>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950"/>
        <w:gridCol w:w="2705"/>
      </w:tblGrid>
      <w:tr>
        <w:trPr/>
        <w:tc>
          <w:tcPr>
            <w:tcW w:w="7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To:</w:t>
            </w:r>
          </w:p>
        </w:tc>
        <w:tc>
          <w:tcPr>
            <w:tcW w:w="2705" w:type="dxa"/>
            <w:tcBorders/>
            <w:vAlign w:val="center"/>
          </w:tcPr>
          <w:p>
            <w:pPr>
              <w:pStyle w:val="TableContents"/>
              <w:bidi w:val="0"/>
              <w:spacing w:before="0" w:after="283"/>
              <w:jc w:val="both"/>
              <w:rPr>
                <w:sz w:val="20"/>
              </w:rPr>
            </w:pPr>
            <w:r>
              <w:rPr>
                <w:sz w:val="20"/>
              </w:rPr>
              <w:t>Bank of Montreal</w:t>
            </w:r>
          </w:p>
        </w:tc>
      </w:tr>
      <w:tr>
        <w:trPr/>
        <w:tc>
          <w:tcPr>
            <w:tcW w:w="7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both"/>
              <w:rPr>
                <w:sz w:val="20"/>
              </w:rPr>
            </w:pPr>
            <w:r>
              <w:rPr>
                <w:sz w:val="20"/>
              </w:rPr>
              <w:t>55 Bloor Street West, 18</w:t>
            </w:r>
            <w:r>
              <w:rPr>
                <w:position w:val="7"/>
                <w:sz w:val="16"/>
                <w:sz w:val="20"/>
              </w:rPr>
              <w:t>th</w:t>
            </w:r>
            <w:r>
              <w:rPr>
                <w:sz w:val="20"/>
              </w:rPr>
              <w:t xml:space="preserve"> Floor</w:t>
            </w:r>
          </w:p>
        </w:tc>
      </w:tr>
      <w:tr>
        <w:trPr/>
        <w:tc>
          <w:tcPr>
            <w:tcW w:w="7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both"/>
              <w:rPr>
                <w:sz w:val="20"/>
              </w:rPr>
            </w:pPr>
            <w:r>
              <w:rPr>
                <w:sz w:val="20"/>
              </w:rPr>
              <w:t>Toronto, Ontario M4W 1A5</w:t>
            </w:r>
          </w:p>
        </w:tc>
      </w:tr>
      <w:tr>
        <w:trPr/>
        <w:tc>
          <w:tcPr>
            <w:tcW w:w="7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both"/>
              <w:rPr>
                <w:sz w:val="20"/>
              </w:rPr>
            </w:pPr>
            <w:r>
              <w:rPr>
                <w:sz w:val="20"/>
              </w:rPr>
              <w:t>Canada</w:t>
            </w:r>
          </w:p>
        </w:tc>
      </w:tr>
      <w:tr>
        <w:trPr/>
        <w:tc>
          <w:tcPr>
            <w:tcW w:w="7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Attn:</w:t>
            </w:r>
          </w:p>
        </w:tc>
        <w:tc>
          <w:tcPr>
            <w:tcW w:w="2705" w:type="dxa"/>
            <w:tcBorders/>
            <w:vAlign w:val="center"/>
          </w:tcPr>
          <w:p>
            <w:pPr>
              <w:pStyle w:val="TableContents"/>
              <w:bidi w:val="0"/>
              <w:spacing w:before="0" w:after="283"/>
              <w:jc w:val="both"/>
              <w:rPr>
                <w:sz w:val="20"/>
              </w:rPr>
            </w:pPr>
            <w:r>
              <w:rPr>
                <w:sz w:val="20"/>
              </w:rPr>
              <w:t>Manager, Derivatives Operations</w:t>
            </w:r>
          </w:p>
        </w:tc>
      </w:tr>
      <w:tr>
        <w:trPr/>
        <w:tc>
          <w:tcPr>
            <w:tcW w:w="7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Telephone:</w:t>
            </w:r>
          </w:p>
        </w:tc>
        <w:tc>
          <w:tcPr>
            <w:tcW w:w="2705" w:type="dxa"/>
            <w:tcBorders/>
            <w:vAlign w:val="center"/>
          </w:tcPr>
          <w:p>
            <w:pPr>
              <w:pStyle w:val="TableContents"/>
              <w:bidi w:val="0"/>
              <w:spacing w:before="0" w:after="283"/>
              <w:jc w:val="left"/>
              <w:rPr>
                <w:sz w:val="20"/>
              </w:rPr>
            </w:pPr>
            <w:r>
              <w:rPr>
                <w:sz w:val="20"/>
              </w:rPr>
              <w:t>(416) 552-4177</w:t>
            </w:r>
          </w:p>
        </w:tc>
      </w:tr>
    </w:tbl>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BMOEquityLinked@bmo.com</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860"/>
        <w:gridCol w:w="6080"/>
      </w:tblGrid>
      <w:tr>
        <w:trPr/>
        <w:tc>
          <w:tcPr>
            <w:tcW w:w="75" w:type="dxa"/>
            <w:tcBorders/>
            <w:vAlign w:val="center"/>
          </w:tcPr>
          <w:p>
            <w:pPr>
              <w:pStyle w:val="TableContents"/>
              <w:bidi w:val="0"/>
              <w:spacing w:before="0" w:after="283"/>
              <w:ind w:left="1440" w:right="0" w:hanging="0"/>
              <w:jc w:val="left"/>
              <w:rPr>
                <w:sz w:val="4"/>
                <w:szCs w:val="4"/>
              </w:rPr>
            </w:pPr>
            <w:r>
              <w:rPr>
                <w:sz w:val="4"/>
                <w:szCs w:val="4"/>
              </w:rPr>
            </w:r>
          </w:p>
        </w:tc>
        <w:tc>
          <w:tcPr>
            <w:tcW w:w="860" w:type="dxa"/>
            <w:tcBorders/>
            <w:vAlign w:val="center"/>
          </w:tcPr>
          <w:p>
            <w:pPr>
              <w:pStyle w:val="TableContents"/>
              <w:bidi w:val="0"/>
              <w:spacing w:before="0" w:after="283"/>
              <w:ind w:left="1440" w:right="0" w:hanging="0"/>
              <w:jc w:val="left"/>
              <w:rPr>
                <w:sz w:val="20"/>
              </w:rPr>
            </w:pPr>
            <w:r>
              <w:rPr>
                <w:sz w:val="20"/>
              </w:rPr>
              <w:t>To:</w:t>
            </w:r>
          </w:p>
        </w:tc>
        <w:tc>
          <w:tcPr>
            <w:tcW w:w="6080" w:type="dxa"/>
            <w:tcBorders/>
            <w:vAlign w:val="center"/>
          </w:tcPr>
          <w:p>
            <w:pPr>
              <w:pStyle w:val="TableContents"/>
              <w:bidi w:val="0"/>
              <w:spacing w:before="0" w:after="0"/>
              <w:ind w:left="144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Bank of Montreal</w:t>
            </w:r>
          </w:p>
        </w:tc>
      </w:tr>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860" w:type="dxa"/>
            <w:tcBorders/>
            <w:vAlign w:val="center"/>
          </w:tcPr>
          <w:p>
            <w:pPr>
              <w:pStyle w:val="TableContents"/>
              <w:bidi w:val="0"/>
              <w:spacing w:before="0" w:after="283"/>
              <w:ind w:left="1440" w:right="0" w:hanging="0"/>
              <w:jc w:val="left"/>
              <w:rPr/>
            </w:pPr>
            <w:r>
              <w:rPr/>
              <w:t> </w:t>
            </w:r>
          </w:p>
        </w:tc>
        <w:tc>
          <w:tcPr>
            <w:tcW w:w="6080" w:type="dxa"/>
            <w:tcBorders/>
            <w:vAlign w:val="center"/>
          </w:tcPr>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King Street West,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tc>
      </w:tr>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860" w:type="dxa"/>
            <w:tcBorders/>
            <w:vAlign w:val="center"/>
          </w:tcPr>
          <w:p>
            <w:pPr>
              <w:pStyle w:val="TableContents"/>
              <w:bidi w:val="0"/>
              <w:spacing w:before="0" w:after="283"/>
              <w:ind w:left="1440" w:right="0" w:hanging="0"/>
              <w:jc w:val="left"/>
              <w:rPr/>
            </w:pPr>
            <w:r>
              <w:rPr/>
              <w:t> </w:t>
            </w:r>
          </w:p>
        </w:tc>
        <w:tc>
          <w:tcPr>
            <w:tcW w:w="6080" w:type="dxa"/>
            <w:tcBorders/>
            <w:vAlign w:val="center"/>
          </w:tcPr>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M5X 1A1</w:t>
            </w:r>
          </w:p>
        </w:tc>
      </w:tr>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860" w:type="dxa"/>
            <w:tcBorders/>
            <w:vAlign w:val="center"/>
          </w:tcPr>
          <w:p>
            <w:pPr>
              <w:pStyle w:val="TableContents"/>
              <w:bidi w:val="0"/>
              <w:spacing w:before="0" w:after="283"/>
              <w:ind w:left="1440" w:right="0" w:hanging="0"/>
              <w:jc w:val="left"/>
              <w:rPr/>
            </w:pPr>
            <w:r>
              <w:rPr/>
              <w:t> </w:t>
            </w:r>
          </w:p>
        </w:tc>
        <w:tc>
          <w:tcPr>
            <w:tcW w:w="60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r>
      <w:tr>
        <w:trPr/>
        <w:tc>
          <w:tcPr>
            <w:tcW w:w="7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Attn:</w:t>
            </w:r>
          </w:p>
        </w:tc>
        <w:tc>
          <w:tcPr>
            <w:tcW w:w="6080" w:type="dxa"/>
            <w:tcBorders/>
            <w:vAlign w:val="center"/>
          </w:tcPr>
          <w:p>
            <w:pPr>
              <w:pStyle w:val="TableContents"/>
              <w:bidi w:val="0"/>
              <w:spacing w:before="0" w:after="283"/>
              <w:jc w:val="left"/>
              <w:rPr>
                <w:sz w:val="20"/>
              </w:rPr>
            </w:pPr>
            <w:r>
              <w:rPr>
                <w:sz w:val="20"/>
              </w:rPr>
              <w:t>Associate General Counsel &amp; Managing Director, Derivatives Legal Group</w:t>
            </w:r>
          </w:p>
        </w:tc>
      </w:tr>
      <w:tr>
        <w:trPr/>
        <w:tc>
          <w:tcPr>
            <w:tcW w:w="7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Facsimile:</w:t>
            </w:r>
          </w:p>
        </w:tc>
        <w:tc>
          <w:tcPr>
            <w:tcW w:w="6080" w:type="dxa"/>
            <w:tcBorders/>
            <w:vAlign w:val="center"/>
          </w:tcPr>
          <w:p>
            <w:pPr>
              <w:pStyle w:val="TableContents"/>
              <w:bidi w:val="0"/>
              <w:spacing w:before="0" w:after="283"/>
              <w:jc w:val="left"/>
              <w:rPr>
                <w:sz w:val="20"/>
              </w:rPr>
            </w:pPr>
            <w:r>
              <w:rPr>
                <w:sz w:val="20"/>
              </w:rPr>
              <w:t>(416) 956-2318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 copy to:</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5"/>
        <w:gridCol w:w="950"/>
        <w:gridCol w:w="3050"/>
      </w:tblGrid>
      <w:tr>
        <w:trPr/>
        <w:tc>
          <w:tcPr>
            <w:tcW w:w="7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To:</w:t>
            </w:r>
          </w:p>
        </w:tc>
        <w:tc>
          <w:tcPr>
            <w:tcW w:w="3050" w:type="dxa"/>
            <w:tcBorders/>
            <w:vAlign w:val="center"/>
          </w:tcPr>
          <w:p>
            <w:pPr>
              <w:pStyle w:val="TableContents"/>
              <w:bidi w:val="0"/>
              <w:spacing w:before="0" w:after="283"/>
              <w:jc w:val="both"/>
              <w:rPr/>
            </w:pPr>
            <w:r>
              <w:rPr/>
              <w:t> </w:t>
            </w:r>
            <w:r>
              <w:rPr>
                <w:sz w:val="20"/>
              </w:rPr>
              <w:t>BMO Capital Markets Corp.</w:t>
            </w:r>
          </w:p>
        </w:tc>
      </w:tr>
      <w:tr>
        <w:trPr/>
        <w:tc>
          <w:tcPr>
            <w:tcW w:w="7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both"/>
              <w:rPr>
                <w:sz w:val="20"/>
              </w:rPr>
            </w:pPr>
            <w:r>
              <w:rPr>
                <w:sz w:val="20"/>
              </w:rPr>
              <w:t>151 West 42</w:t>
            </w:r>
            <w:r>
              <w:rPr>
                <w:position w:val="7"/>
                <w:sz w:val="16"/>
                <w:sz w:val="20"/>
              </w:rPr>
              <w:t xml:space="preserve">nd </w:t>
            </w:r>
            <w:r>
              <w:rPr>
                <w:sz w:val="20"/>
              </w:rPr>
              <w:t>Street 32</w:t>
            </w:r>
            <w:r>
              <w:rPr>
                <w:position w:val="7"/>
                <w:sz w:val="16"/>
                <w:sz w:val="20"/>
              </w:rPr>
              <w:t>nd</w:t>
            </w:r>
            <w:r>
              <w:rPr>
                <w:sz w:val="20"/>
              </w:rPr>
              <w:t xml:space="preserve"> Floor</w:t>
            </w:r>
          </w:p>
        </w:tc>
      </w:tr>
      <w:tr>
        <w:trPr/>
        <w:tc>
          <w:tcPr>
            <w:tcW w:w="7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both"/>
              <w:rPr>
                <w:sz w:val="20"/>
              </w:rPr>
            </w:pPr>
            <w:r>
              <w:rPr>
                <w:sz w:val="20"/>
              </w:rPr>
              <w:t>New York, New York 10036</w:t>
            </w:r>
          </w:p>
        </w:tc>
      </w:tr>
      <w:tr>
        <w:trPr/>
        <w:tc>
          <w:tcPr>
            <w:tcW w:w="7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Attn:</w:t>
            </w:r>
          </w:p>
        </w:tc>
        <w:tc>
          <w:tcPr>
            <w:tcW w:w="3050" w:type="dxa"/>
            <w:tcBorders/>
            <w:vAlign w:val="center"/>
          </w:tcPr>
          <w:p>
            <w:pPr>
              <w:pStyle w:val="TableContents"/>
              <w:bidi w:val="0"/>
              <w:spacing w:before="0" w:after="283"/>
              <w:jc w:val="both"/>
              <w:rPr/>
            </w:pPr>
            <w:r>
              <w:rPr/>
              <w:t> </w:t>
            </w:r>
            <w:r>
              <w:rPr>
                <w:sz w:val="20"/>
              </w:rPr>
              <w:t>Brian Riley</w:t>
            </w:r>
          </w:p>
        </w:tc>
      </w:tr>
      <w:tr>
        <w:trPr/>
        <w:tc>
          <w:tcPr>
            <w:tcW w:w="7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20"/>
              </w:rPr>
            </w:pPr>
            <w:r>
              <w:rPr>
                <w:sz w:val="20"/>
              </w:rPr>
              <w:t>Telephone:</w:t>
            </w:r>
          </w:p>
        </w:tc>
        <w:tc>
          <w:tcPr>
            <w:tcW w:w="3050" w:type="dxa"/>
            <w:tcBorders/>
            <w:vAlign w:val="center"/>
          </w:tcPr>
          <w:p>
            <w:pPr>
              <w:pStyle w:val="TableContents"/>
              <w:bidi w:val="0"/>
              <w:spacing w:before="0" w:after="283"/>
              <w:jc w:val="both"/>
              <w:rPr>
                <w:sz w:val="20"/>
              </w:rPr>
            </w:pPr>
            <w:r>
              <w:rPr>
                <w:sz w:val="20"/>
              </w:rPr>
              <w:t>(212) 605-1414</w:t>
            </w:r>
          </w:p>
        </w:tc>
      </w:tr>
      <w:tr>
        <w:trPr/>
        <w:tc>
          <w:tcPr>
            <w:tcW w:w="7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pPr>
            <w:r>
              <w:rPr/>
              <w:t>Email:</w:t>
            </w:r>
          </w:p>
        </w:tc>
        <w:tc>
          <w:tcPr>
            <w:tcW w:w="3050" w:type="dxa"/>
            <w:tcBorders/>
            <w:vAlign w:val="center"/>
          </w:tcPr>
          <w:p>
            <w:pPr>
              <w:pStyle w:val="TableContents"/>
              <w:bidi w:val="0"/>
              <w:spacing w:before="0" w:after="283"/>
              <w:jc w:val="both"/>
              <w:rPr/>
            </w:pPr>
            <w:r>
              <w:rPr/>
              <w:t> </w:t>
            </w:r>
            <w:r>
              <w:rPr/>
              <w:t>BMOEquityLinked@bmo.com</w:t>
            </w:r>
          </w:p>
        </w:tc>
      </w:tr>
    </w:tbl>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20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7.</w:t>
            </w:r>
          </w:p>
        </w:tc>
        <w:tc>
          <w:tcPr>
            <w:tcW w:w="4385" w:type="dxa"/>
            <w:tcBorders/>
            <w:vAlign w:val="center"/>
          </w:tcPr>
          <w:p>
            <w:pPr>
              <w:pStyle w:val="TableContents"/>
              <w:bidi w:val="0"/>
              <w:spacing w:before="0" w:after="283"/>
              <w:jc w:val="both"/>
              <w:rPr/>
            </w:pPr>
            <w:r>
              <w:rPr/>
              <w:t> </w:t>
            </w:r>
            <w:r>
              <w:rPr>
                <w:u w:val="single"/>
              </w:rPr>
              <w:t>Representations, Warranties and Agreements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Trade Date and as of the date of any Notice of Share Termination under (and as defined in) Section 8(c)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On the Trade Date, the Shares or securities that are convertible into, or exchangeable or exercisable for Shares, are not subject to a “restricted period,” as such term is defined in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or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(or any successor issue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Without limiting the generality of Section 3(a)(iii) of the Agreement, the Transaction will not violate Rule 13e-1 or Rule 13e-4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302A.673 of the Minnesota Business Corporations Act as an “interested shareholder”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On each of the Trade Date and the Premium Payment Date, Counterparty is not “insolvent” (as such term is defined under Section 101(32) of the U.S. Bankruptcy Code (Title 11 of the United States Code)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and Counterparty would be able to purchase the Number of Shares in compliance with the laws of the jurisdiction of Counterparty’s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representations and warranties of Counterparty set forth in Section 3 of the Agreement and Section 1 of the Purchase Agreement, dated as of January 18, 2024, between Goldman Sachs &amp; Co. LLC and BMO Capital Markets Corp. as the Representatives and Counterparty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are true and correct as of the Trade Date and the Effective Date and are hereby deemed to be repeated to Dealer as if set forth herein.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provided however, that Counterparty makes no representation or warranty regarding any such requirement that is applicable generally to the ownership of equity securities by Dealer or any of its affiliates as a result of it or any such affiliates being financial institutions or broker-dealers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 (C) has total assets of at least $50 million. Counterparty will notify Dealer if the immediately preceding statement contained in this Section 7(a)(xi) ceases to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26, 2023,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Dealer and Counterparty acknowledges that the offer and sale of the Transaction to it is intended to be exempt from registration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Dealer and Counterparty agrees and acknowledges that Dealer is a “financial institution” and “financial participant” within the meaning of Sections 101(22) and 101(22A) of the Bankruptcy Code.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entitled to the protections afforded by, among other sections, Sections 362(b)(6), 362(b)(27), 362(o), 546(e), 546(j), 548(d)(2), 555 and 561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a condition to the effectiveness of the Transaction, Counterparty shall deliver to Dealer (i) an incumbency certificate, dated as of the Premium Payment Date, of Counterparty in customary form and (ii) an opinion of counsel, dated as of the Premium Payment Date and reasonably acceptable to Dealer in form and substance, with respect to the matters set forth in Section 3(a) of the Agreement, Sections 7(a)(vii) and 7(a)(xii) hereof and such other matters as Dealer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Counterparty represents and warrants that it has received, read and understands the </w:t>
      </w:r>
      <w:r>
        <w:rPr>
          <w:rFonts w:ascii="Times New Roman;Times;Serif" w:hAnsi="Times New Roman;Times;Serif"/>
          <w:b/>
          <w:i w:val="false"/>
          <w:caps w:val="false"/>
          <w:smallCaps w:val="false"/>
          <w:sz w:val="20"/>
        </w:rPr>
        <w:t>OTC Options Risk Disclosure Statement</w:t>
      </w:r>
      <w:r>
        <w:rPr>
          <w:rFonts w:ascii="Times New Roman;Times;Serif" w:hAnsi="Times New Roman;Times;Serif"/>
          <w:b w:val="false"/>
          <w:i w:val="false"/>
          <w:caps w:val="false"/>
          <w:smallCaps w:val="false"/>
          <w:sz w:val="20"/>
        </w:rPr>
        <w:t xml:space="preserve"> and a copy of the most recent disclosure pamphlet prepared by The Options Clearing Corporation entitled “</w:t>
      </w:r>
      <w:r>
        <w:rPr>
          <w:rFonts w:ascii="Times New Roman;Times;Serif" w:hAnsi="Times New Roman;Times;Serif"/>
          <w:b/>
          <w:i w:val="false"/>
          <w:caps w:val="false"/>
          <w:smallCaps w:val="false"/>
          <w:sz w:val="20"/>
        </w:rPr>
        <w:t>Characteristics and Risks of Standardized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 acknowledges and agrees to be bound by the Conduct Rules of the Financial Industry Regulatory Authority, Inc. applicable to transactions in options, and further agrees not to violate the position and exercise limits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Counterparty represents and warrants that the assets used in the Transaction (i) are not assets of any “plan” (as such term is defined in Section 4975 of the U.S. Internal Revenue Code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subject to Section 4975 of the Code or any “employee benefit plan” (as such term is defined in Section 3(3) of the U.S. Employee Retirement Income Security Act of 1974, as amended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subject to Title I of ERISA, and (ii) do not constitute “plan assets” within the meaning of Department of Labor Regulation 2510.3-101, 29 CFR Section 2510-3-101.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On the Trade Date, neither Counterparty nor any “affiliate” or “affiliated purchaser” (each as defined in Rule 10b-18 under the Exchange Act (“</w:t>
      </w:r>
      <w:r>
        <w:rPr>
          <w:rFonts w:ascii="Times New Roman;Times;Serif" w:hAnsi="Times New Roman;Times;Serif"/>
          <w:b/>
          <w:i w:val="false"/>
          <w:caps w:val="false"/>
          <w:smallCaps w:val="false"/>
          <w:sz w:val="20"/>
        </w:rPr>
        <w:t>Rule 10b-18</w:t>
      </w:r>
      <w:r>
        <w:rPr>
          <w:rFonts w:ascii="Times New Roman;Times;Serif" w:hAnsi="Times New Roman;Times;Serif"/>
          <w:b w:val="false"/>
          <w:i w:val="false"/>
          <w:caps w:val="false"/>
          <w:smallCaps w:val="false"/>
          <w:sz w:val="20"/>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Counterparty acknowledges that the Transaction may constitute a purchase of its equity securities or a capital distribution. Counterparty further acknowledges that, pursuant to the provisions of the Coronavirus Aid, Relief and Economic Security Act (the “</w:t>
      </w:r>
      <w:r>
        <w:rPr>
          <w:rFonts w:ascii="Times New Roman;Times;Serif" w:hAnsi="Times New Roman;Times;Serif"/>
          <w:b/>
          <w:i w:val="false"/>
          <w:caps w:val="false"/>
          <w:smallCaps w:val="false"/>
          <w:sz w:val="20"/>
        </w:rPr>
        <w:t>CARES Act</w:t>
      </w:r>
      <w:r>
        <w:rPr>
          <w:rFonts w:ascii="Times New Roman;Times;Serif" w:hAnsi="Times New Roman;Times;Serif"/>
          <w:b w:val="false"/>
          <w:i w:val="false"/>
          <w:caps w:val="false"/>
          <w:smallCaps w:val="false"/>
          <w:sz w:val="20"/>
        </w:rPr>
        <w:t>”), the Counterparty will be required to agree to certain time-bound restrictions on its ability to purchase its equity securities or make capital distributions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or make capital distributions if it receives loans, loan guarantees or direct loans (as that term is defined in the CARES Act) under programs or facilities established by the Board of Governors of the Federal Reserve System or the U.S. Department of Treasury for the purpose of providing liquidity to the financial system, and may be required to agree to similar restrictions under programs or facilities established in the future. Accordingly, Counterparty represents and warrants that neither it nor any of its subsidiaries has applied for, and throughout the term of the Transaction shall not apply, for a loan, loan guarantee, direct loan (as that term is defined in the CARES Act) or other investment, or to receive any financial assistance or relief (howsoever defined) under any program or facility that (a) is established under applicable law (whether in existence as of the Trade Date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Counterparty or any of its subsidiaries agree, attest, certify or warrant that it has not, as of the date specified in such condition, repurchased, or will not repurchase, any equity security of Counterparty, and</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it has not, as of the date specified in such condition, made a capital distribution or will not make a capital distribution (collectively, “</w:t>
      </w:r>
      <w:r>
        <w:rPr>
          <w:rFonts w:ascii="Times New Roman;Times;Serif" w:hAnsi="Times New Roman;Times;Serif"/>
          <w:b/>
          <w:i w:val="false"/>
          <w:caps w:val="false"/>
          <w:smallCaps w:val="false"/>
          <w:sz w:val="20"/>
        </w:rPr>
        <w:t>Restricted Financial Assistance</w:t>
      </w:r>
      <w:r>
        <w:rPr>
          <w:rFonts w:ascii="Times New Roman;Times;Serif" w:hAnsi="Times New Roman;Times;Serif"/>
          <w:b w:val="false"/>
          <w:i w:val="false"/>
          <w:caps w:val="false"/>
          <w:smallCaps w:val="false"/>
          <w:sz w:val="20"/>
        </w:rPr>
        <w:t>”); provided that Counterparty may apply for Restricted Financial Assistance if Counterparty either (a) determines, based on the advice of outside counsel of national standing, that the terms of the Transaction would not cause Counterparty to fail to satisfy any condition for application for or receipt or retention of such loan, loan guarantee, direct loan (as that term is defined in the CARES Act), investment, financial assistance or relief based on the terms of the program or facility as of the date of such advice or (b) delivers to Dealer evidence of a waiver or other guidance from a governmental authority with jurisdiction for such program or facility that the Transaction is permitted under such program or facility (either by specific reference to the Transaction or by general reference to transactions with attributes of the Transaction in all relevant respects).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(whether in existence as of the Trade Date or subsequently enacted, adopted or 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Right to Extend</w:t>
      </w:r>
      <w:r>
        <w:rPr>
          <w:rFonts w:ascii="Times New Roman;Times;Serif" w:hAnsi="Times New Roman;Times;Serif"/>
          <w:b w:val="false"/>
          <w:i w:val="false"/>
          <w:caps w:val="false"/>
          <w:smallCaps w:val="false"/>
          <w:sz w:val="20"/>
        </w:rPr>
        <w:t>. Dealer may postpone or add, in whole or in part, any Exercise Date or Settlement Date or any other date of valuation or delivery by Dealer, with respect to some or all of the relevant Options (in which event the Calculation Agent shall make appropriate adjustments to the Delivery Obligation), if Dealer determines, in its commercially reasonable discretion, that such extension or addition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 and in the case of policies or procedures, so long as such policies and procedures are consistently applied to transactions similar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Additional Termination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 event of default with respect to Counterparty under the terms of the Convertible Securities as set forth in Section 7.01 of the Indenture that results in the acceleration of the Convertible Notes, or (B) an Amendment Event, in each case, shall constitute an Additional Termination Event with respect to which the Transaction is the sole Affected Transaction and Counterparty is the sole Affected Party, and Dealer shall be the party entitled to designate an Early Termination Date pursuant to Section 6(b) of the Agreement and to determine the amount payable pursuant to Section 6(e) of the Agreement. “</w:t>
      </w:r>
      <w:r>
        <w:rPr>
          <w:rFonts w:ascii="Times New Roman;Times;Serif" w:hAnsi="Times New Roman;Times;Serif"/>
          <w:b/>
          <w:i w:val="false"/>
          <w:caps w:val="false"/>
          <w:smallCaps w:val="false"/>
          <w:sz w:val="20"/>
        </w:rPr>
        <w:t>Amendment Event</w:t>
      </w:r>
      <w:r>
        <w:rPr>
          <w:rFonts w:ascii="Times New Roman;Times;Serif" w:hAnsi="Times New Roman;Times;Serif"/>
          <w:b w:val="false"/>
          <w:i w:val="false"/>
          <w:caps w:val="false"/>
          <w:smallCaps w:val="false"/>
          <w:sz w:val="20"/>
        </w:rPr>
        <w:t>” means that Counterparty amends, modifies, supplements, waives or obtains a waiver in respect of any term of the Indenture or the Convertible Securities governing the principal amount, coupon, maturity, repurchase obligation of Counterparty, any term relating to conversion of the Convertible Securities (including changes to the conversion rate, conversion rate adjustment provisions, conversion settlement dates or conversion conditions), or any term that would require consent of the holders of not less than 100% of the principal amount of the Convertible Securities to amend (other than, in each case, any amendment or supplement (x) pursuant to Section 8.01(I) of the Indenture that, as determined by the Calculation Agent, conforms the Indenture to the description of Convertible Securities in the Offering Memorandum or (y) pursuant to Section 5.08 of the Indenture), in each case, without the consent of Dealer.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 Scheduled Trading Days promptly following any Repayment Event (as defined below), Counterparty shall notify Dealer of such Repayment Event and the aggregate principal amount of Convertible Notes subject to such Repayment Event or the portion of such aggregate principal amount that Counterparty elects to be subject to such Repayment Event) (any such notice, a “</w:t>
      </w:r>
      <w:r>
        <w:rPr>
          <w:rFonts w:ascii="Times New Roman;Times;Serif" w:hAnsi="Times New Roman;Times;Serif"/>
          <w:b/>
          <w:i w:val="false"/>
          <w:caps w:val="false"/>
          <w:smallCaps w:val="false"/>
          <w:sz w:val="20"/>
        </w:rPr>
        <w:t>Repayment Notice</w:t>
      </w:r>
      <w:r>
        <w:rPr>
          <w:rFonts w:ascii="Times New Roman;Times;Serif" w:hAnsi="Times New Roman;Times;Serif"/>
          <w:b w:val="false"/>
          <w:i w:val="false"/>
          <w:caps w:val="false"/>
          <w:smallCaps w:val="false"/>
          <w:sz w:val="20"/>
        </w:rPr>
        <w:t>”). Any Repayment Notice shall contain a written representation by Counterparty to Dealer that Counterparty is not, on the date of such Repayment Notice, in possession of any material non-public information with respect to Counterparty or the Shares. The receipt by Dealer from Counterparty of any Repayment Notice shall constitute an Additional Termination Event as provided in this Section 8(b)(B). Upon receipt of any such Repayment Notice, Dealer shall designate an Exchange Business Day following receipt of such Repayment Notice as an Early Termination Date with respect to the portion of the Transaction corresponding to a number of Options (the “</w:t>
      </w:r>
      <w:r>
        <w:rPr>
          <w:rFonts w:ascii="Times New Roman;Times;Serif" w:hAnsi="Times New Roman;Times;Serif"/>
          <w:b/>
          <w:i w:val="false"/>
          <w:caps w:val="false"/>
          <w:smallCaps w:val="false"/>
          <w:sz w:val="20"/>
        </w:rPr>
        <w:t>Repayment Options</w:t>
      </w:r>
      <w:r>
        <w:rPr>
          <w:rFonts w:ascii="Times New Roman;Times;Serif" w:hAnsi="Times New Roman;Times;Serif"/>
          <w:b w:val="false"/>
          <w:i w:val="false"/>
          <w:caps w:val="false"/>
          <w:smallCaps w:val="false"/>
          <w:sz w:val="20"/>
        </w:rPr>
        <w:t xml:space="preserve">”) equal to the lesser of (A) the aggregate principal amount of such Convertible Notes specified in such Repayment Notice,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USD 1,000,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Times;Serif" w:hAnsi="Times New Roman;Times;Serif"/>
          <w:b/>
          <w:i w:val="false"/>
          <w:caps w:val="false"/>
          <w:smallCaps w:val="false"/>
          <w:sz w:val="20"/>
        </w:rPr>
        <w:t>Repayment Unwind Payment</w:t>
      </w:r>
      <w:r>
        <w:rPr>
          <w:rFonts w:ascii="Times New Roman;Times;Serif" w:hAnsi="Times New Roman;Times;Serif"/>
          <w:b w:val="false"/>
          <w:i w:val="false"/>
          <w:caps w:val="false"/>
          <w:smallCaps w:val="false"/>
          <w:sz w:val="20"/>
        </w:rPr>
        <w:t xml:space="preserve">”)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and (3) the terminated portion of the Transaction were the sole Affected Transaction;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the event of a Repayment Event pursuant to Section 4.02 of the Indenture or Section 4.03 of the Indenture, such payment shall not be greater than (x) the number of Repayment Options multiplied by (y) the product of (A) the Applicable Percentage and (B) the excess, if any of (I) the amount paid by Counterparty per Convertible Security pursuant to Section 4.02 of the Indenture or Section 4.03 of the Indenture, as the case may be, over (II) USD 1,000.” “</w:t>
      </w:r>
      <w:r>
        <w:rPr>
          <w:rFonts w:ascii="Times New Roman;Times;Serif" w:hAnsi="Times New Roman;Times;Serif"/>
          <w:b/>
          <w:i w:val="false"/>
          <w:caps w:val="false"/>
          <w:smallCaps w:val="false"/>
          <w:sz w:val="20"/>
        </w:rPr>
        <w:t>Repayment Event</w:t>
      </w:r>
      <w:r>
        <w:rPr>
          <w:rFonts w:ascii="Times New Roman;Times;Serif" w:hAnsi="Times New Roman;Times;Serif"/>
          <w:b w:val="false"/>
          <w:i w:val="false"/>
          <w:caps w:val="false"/>
          <w:smallCaps w:val="false"/>
          <w:sz w:val="20"/>
        </w:rPr>
        <w:t>” means that (i) any Convertible Notes are repurchased or redeemed (whether pursuant to Section 4.02 of the Indenture, Section 4.03 of the Indenture or for any other reason) by Counterparty or any of its subsidiaries, (ii) any Convertible Notes are delivered to Counterparty or any of its subsidiaries in exchange for delivery of any property or assets of such party (howsoever described), (iii) any principal of any of the Convertible Notes is repaid prior to the final maturity date of the Convertible Notes, or (iv) any Convertible Notes are exchanged by or for the benefit of the Holders (as such term is defined in the Indenture) thereof for any other securities of Counterparty or any of its subsidiaries (or any other property, or any combination thereof) pursuant to any exchange offer or similar transaction. For the avoidance of doubt, any conversion of Convertible Notes pursuant to the terms of the Indenture shall not constitute a Repayment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Alternative Calculations and Payment on Early Termination and on Certain Extraordinary Events</w:t>
      </w:r>
      <w:r>
        <w:rPr>
          <w:rFonts w:ascii="Times New Roman;Times;Serif" w:hAnsi="Times New Roman;Times;Serif"/>
          <w:b w:val="false"/>
          <w:i w:val="false"/>
          <w:caps w:val="false"/>
          <w:smallCaps w:val="false"/>
          <w:sz w:val="20"/>
        </w:rPr>
        <w:t>. If Dealer shall owe Counterparty any amount pursuant to Section 6(d)(ii) of the Agreement (a “</w:t>
      </w:r>
      <w:r>
        <w:rPr>
          <w:rFonts w:ascii="Times New Roman;Times;Serif" w:hAnsi="Times New Roman;Times;Serif"/>
          <w:b/>
          <w:i w:val="false"/>
          <w:caps w:val="false"/>
          <w:smallCaps w:val="false"/>
          <w:sz w:val="20"/>
        </w:rPr>
        <w:t>Payment Obligation</w:t>
      </w:r>
      <w:r>
        <w:rPr>
          <w:rFonts w:ascii="Times New Roman;Times;Serif" w:hAnsi="Times New Roman;Times;Serif"/>
          <w:b w:val="false"/>
          <w:i w:val="false"/>
          <w:caps w:val="false"/>
          <w:smallCaps w:val="false"/>
          <w:sz w:val="20"/>
        </w:rPr>
        <w:t>”), Counterparty shall have the right, in its sole discretion, to require Dealer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relevant merger date, Announcement Date, Early Termination Date or date of cancellation or termination in respect of an Extraordinary Event, as applicable (“</w:t>
      </w:r>
      <w:r>
        <w:rPr>
          <w:rFonts w:ascii="Times New Roman;Times;Serif" w:hAnsi="Times New Roman;Times;Serif"/>
          <w:b/>
          <w:i w:val="false"/>
          <w:caps w:val="false"/>
          <w:smallCaps w:val="false"/>
          <w:sz w:val="20"/>
        </w:rPr>
        <w:t>Notice of Share Termination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does not elect to require Dealer to satisfy its Payment Obligation by the Share Termination Alternative, Dealer shall have the right, in its sole discretion, to elect to satisfy its Payment Obligation by the Share Termination Alternative, notwithstanding Counterparty’s failure to elect or election to the contrary;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relevant merger date,</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 Date, Early Termination Date or date of cancellation or termination in respect of an Extraordinary Event, as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96"/>
        <w:gridCol w:w="60"/>
        <w:gridCol w:w="8849"/>
      </w:tblGrid>
      <w:tr>
        <w:trPr/>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Termination Alternative: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means that Dealer shall deliver to Counterparty the Share Termination Delivery Property on the date on which the Payment Obligation would otherwise be due pursuant to Section 6(d)(ii) of the Agreement or such later date or dates as Dealer may commercially reasonably determine (the “Share Termination Payment Date”) taking into account commercially reasonable hedging or hedge unwind activity, in satisfaction of the Payment Obligation.</w:t>
            </w:r>
          </w:p>
        </w:tc>
      </w:tr>
      <w:tr>
        <w:trPr/>
        <w:tc>
          <w:tcPr>
            <w:tcW w:w="129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Termination Delivery Property: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equal to the value of such fractional security based on the values used to calculate the Share Termination Unit Price.</w:t>
            </w:r>
          </w:p>
        </w:tc>
      </w:tr>
      <w:tr>
        <w:trPr/>
        <w:tc>
          <w:tcPr>
            <w:tcW w:w="129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left"/>
              <w:rPr/>
            </w:pPr>
            <w:r>
              <w:rPr/>
              <w:t> </w:t>
            </w:r>
          </w:p>
        </w:tc>
      </w:tr>
      <w:tr>
        <w:trPr/>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Termination Unit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property contained in one Share Termination Delivery Unit on the date such Share Termination Delivery Units are to be delivered as Share Termination Delivery Property, as determined by the Calculation Agent and notified by the Calculation Agent to Dealer at the time of notification of the Payment Obligation.</w:t>
            </w:r>
          </w:p>
        </w:tc>
      </w:tr>
      <w:tr>
        <w:trPr/>
        <w:tc>
          <w:tcPr>
            <w:tcW w:w="129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left"/>
              <w:rPr/>
            </w:pPr>
            <w:r>
              <w:rPr/>
              <w:t> </w:t>
            </w:r>
          </w:p>
        </w:tc>
      </w:tr>
      <w:tr>
        <w:trPr/>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Termination Delivery Unit: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tc>
      </w:tr>
      <w:tr>
        <w:trPr/>
        <w:tc>
          <w:tcPr>
            <w:tcW w:w="129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left"/>
              <w:rPr/>
            </w:pPr>
            <w:r>
              <w:rPr/>
              <w:t> </w:t>
            </w:r>
          </w:p>
        </w:tc>
      </w:tr>
      <w:tr>
        <w:trPr/>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Deliver: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129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left"/>
              <w:rPr/>
            </w:pPr>
            <w:r>
              <w:rPr/>
              <w:t> </w:t>
            </w:r>
          </w:p>
        </w:tc>
      </w:tr>
      <w:tr>
        <w:trPr/>
        <w:tc>
          <w:tcPr>
            <w:tcW w:w="1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Applicable Provisions: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If Share Termination Alternative is applicable, the provisions of Sections 9.8, 9.9 and 9.11 of the Equity Definitions will be applicable as if “Physical Settlement” applied to the Transaction, except that all references to “Shares” shall be read as references to “Share Termination Delivery Units”;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part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Disposition of Hedge Shares</w:t>
      </w:r>
      <w:r>
        <w:rPr>
          <w:rFonts w:ascii="Times New Roman;Times;Serif" w:hAnsi="Times New Roman;Times;Serif"/>
          <w:b w:val="false"/>
          <w:i w:val="false"/>
          <w:caps w:val="false"/>
          <w:smallCaps w:val="false"/>
          <w:sz w:val="20"/>
        </w:rPr>
        <w:t>. Counterparty hereby agrees that if, in the good faith reasonable judgment of Dealer, the Shares (the “</w:t>
      </w:r>
      <w:r>
        <w:rPr>
          <w:rFonts w:ascii="Times New Roman;Times;Serif" w:hAnsi="Times New Roman;Times;Serif"/>
          <w:b/>
          <w:i w:val="false"/>
          <w:caps w:val="false"/>
          <w:smallCaps w:val="false"/>
          <w:sz w:val="20"/>
        </w:rPr>
        <w:t>Hedge Shares</w:t>
      </w:r>
      <w:r>
        <w:rPr>
          <w:rFonts w:ascii="Times New Roman;Times;Serif" w:hAnsi="Times New Roman;Times;Serif"/>
          <w:b w:val="false"/>
          <w:i w:val="false"/>
          <w:caps w:val="false"/>
          <w:smallCaps w:val="false"/>
          <w:sz w:val="20"/>
        </w:rPr>
        <w:t>”) acquired by Dealer for the purpose of hedging its obligations pursuant to the Transaction in a commercially reasonable manner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form of an underwriting agreement for a registered offering, (B) 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elects clause (i) above but the items referred to therein are not completed in a timely manner, or if Dealer, in its sole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commercially reasonably satisfactory to Dealer, including customary representations, covenants, blue sky and other governmental filings and/or registrations, indemnities to Dealer, due diligence rights (for Dealer or any designated buyer of the Hedge Shares from Dealer), and best efforts obligations to provide opinions and certificates and such other documentation as is customary for private placements agreements, all commercially reasonably acceptable to Dealer (in which case, the Calculation Agent shall make any adjustments to the terms of the Transaction that are necessary to compensate Dealer for any commercially reasonable discount from the public market price of the Shares incurred on the sale of Hedge Shares in a private placement); or (iii) purchase the Hedge Shares from Dealer at the “Daily VWAP” (as defined in the Indenture) on such Exchange Business Days, and in the amounts, commercially reasonably requested by Dealer. This Section 8(d) shall survive the termination, expiration or early unwind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Repurchase and Conversion Rate Adjustment Notices</w:t>
      </w:r>
      <w:r>
        <w:rPr>
          <w:rFonts w:ascii="Times New Roman;Times;Serif" w:hAnsi="Times New Roman;Times;Serif"/>
          <w:b w:val="false"/>
          <w:i w:val="false"/>
          <w:caps w:val="false"/>
          <w:smallCaps w:val="false"/>
          <w:sz w:val="20"/>
        </w:rPr>
        <w:t>. Counterparty shall, at least two Exchange Business Days prior to any day on which Counterparty effects any repurchase of Shares or consummates or otherwise engages in any transaction or event (a “</w:t>
      </w:r>
      <w:r>
        <w:rPr>
          <w:rFonts w:ascii="Times New Roman;Times;Serif" w:hAnsi="Times New Roman;Times;Serif"/>
          <w:b/>
          <w:i w:val="false"/>
          <w:caps w:val="false"/>
          <w:smallCaps w:val="false"/>
          <w:sz w:val="20"/>
        </w:rPr>
        <w:t>Conversion Rate Adjustment Event</w:t>
      </w:r>
      <w:r>
        <w:rPr>
          <w:rFonts w:ascii="Times New Roman;Times;Serif" w:hAnsi="Times New Roman;Times;Serif"/>
          <w:b w:val="false"/>
          <w:i w:val="false"/>
          <w:caps w:val="false"/>
          <w:smallCaps w:val="false"/>
          <w:sz w:val="20"/>
        </w:rPr>
        <w:t>”) that could reasonably be expected to lead to an increase in the Conversion Rate, give Dealer a written notice of such repurchase or Conversion Rate Adjustment Event (a “</w:t>
      </w:r>
      <w:r>
        <w:rPr>
          <w:rFonts w:ascii="Times New Roman;Times;Serif" w:hAnsi="Times New Roman;Times;Serif"/>
          <w:b/>
          <w:i w:val="false"/>
          <w:caps w:val="false"/>
          <w:smallCaps w:val="false"/>
          <w:sz w:val="20"/>
        </w:rPr>
        <w:t>Repurchase Notice</w:t>
      </w:r>
      <w:r>
        <w:rPr>
          <w:rFonts w:ascii="Times New Roman;Times;Serif" w:hAnsi="Times New Roman;Times;Serif"/>
          <w:b w:val="false"/>
          <w:i w:val="false"/>
          <w:caps w:val="false"/>
          <w:smallCaps w:val="false"/>
          <w:sz w:val="20"/>
        </w:rPr>
        <w:t>”) on such day if, following such repurchase or Conversion Rate Adjustment Event, the Notice Percentage would reasonably be expected to be (i) greater than 13.27% and (ii) greater by 0.5% than the Notice Percentage included in the immediately preceding Repurchase Notice (or, in the case of the first such Repurchase Notice, greater than the Notice Percentage as of the date hereof). The “</w:t>
      </w:r>
      <w:r>
        <w:rPr>
          <w:rFonts w:ascii="Times New Roman;Times;Serif" w:hAnsi="Times New Roman;Times;Serif"/>
          <w:b/>
          <w:i w:val="false"/>
          <w:caps w:val="false"/>
          <w:smallCaps w:val="false"/>
          <w:sz w:val="20"/>
        </w:rPr>
        <w:t>Notice Percentage</w:t>
      </w:r>
      <w:r>
        <w:rPr>
          <w:rFonts w:ascii="Times New Roman;Times;Serif" w:hAnsi="Times New Roman;Times;Serif"/>
          <w:b w:val="false"/>
          <w:i w:val="false"/>
          <w:caps w:val="false"/>
          <w:smallCaps w:val="false"/>
          <w:sz w:val="20"/>
        </w:rPr>
        <w:t>” as of any day is the fraction, expressed as a percentage, the numerator of which is the Number of Shares plus the number of shares underlying any other convertible bond hedge transactions or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from and against any and all losses (including losses relating to the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Party may become subject under applicable securities laws, including without limitation, Section 16 of the Exchange Act or under any state or federal law, regulation or regulatory order,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actual expenses (including reasonable counsel fees and expenses) as they are incurred (after notice to Counterparty and supported by invoices or other documentation setting forth in reasonable detail such expenses)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To the extent an Indemnified Party fails to provide notice of any action commenced against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in respect of which indemnity may be sought hereunder within a commercially reasonable period of time that would materially prejudice Counterparty (it being understood that any such notice delivered within 30 calendar days of the commencement of any such action shall be deemed to have been delivered within a commercially reasonable period of time for such purpose). Counterparty shall be relived from liability. This indemnity shall survive the completion of the Transaction contemplated by this Confirmation and any assignment and delegation of the Transaction made pursuant to this Confirmation or the Agreement and shall inure to the benefit of any permitted assignee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Transfer and Assignment</w:t>
      </w:r>
      <w:r>
        <w:rPr>
          <w:rFonts w:ascii="Times New Roman;Times;Serif" w:hAnsi="Times New Roman;Times;Serif"/>
          <w:b w:val="false"/>
          <w:i w:val="false"/>
          <w:caps w:val="false"/>
          <w:smallCaps w:val="false"/>
          <w:sz w:val="20"/>
        </w:rPr>
        <w:t xml:space="preserve">. Either party may transfer or assign any of its rights or obligations under the Transaction with the prior written consent of the non-transferring party, such consent not to be unreasonably withheld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Dealer may transfer or assign without any consent of Counterparty its rights and obligations hereunder, in whole or in part, to (i) any affiliate of Dealer or (ii) any person, or any person whose obligations hereunder would be guaranteed, pursuant to the terms of a customary guarantee in a form generally used for similar transactions, by a person, in either case, of credit quality at least equivalent to Dealer’s (or its ultimate parent’s). If at any time at which (1) the Equity Percentage exceeds 8.0% or (2) Dealer, Dealer Group (as defined below) or any person whose ownership position would be aggregated with that of Dealer or Dealer Group (Dealer, Dealer Group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the Minnesota Business Corporations Act or other federal, state or local law, rule, regulation or regulatory order or organizational documents or contracts of Counterparty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1% of the number of Shares outstanding on the date of determination (either such condition described in clause (1) or (2), an “</w:t>
      </w:r>
      <w:r>
        <w:rPr>
          <w:rFonts w:ascii="Times New Roman;Times;Serif" w:hAnsi="Times New Roman;Times;Serif"/>
          <w:b/>
          <w:i w:val="false"/>
          <w:caps w:val="false"/>
          <w:smallCaps w:val="false"/>
          <w:sz w:val="20"/>
        </w:rPr>
        <w:t>Excess Ownership Position</w:t>
      </w:r>
      <w:r>
        <w:rPr>
          <w:rFonts w:ascii="Times New Roman;Times;Serif" w:hAnsi="Times New Roman;Times;Serif"/>
          <w:b w:val="false"/>
          <w:i w:val="false"/>
          <w:caps w:val="false"/>
          <w:smallCaps w:val="false"/>
          <w:sz w:val="20"/>
        </w:rPr>
        <w:t>”), Dealer, in its discretion, is unable to effect a transfer or assignment to a third party after its commercially reasonable efforts on pricing and terms and within a time period reasonably acceptable to Dealer such that an Excess Ownership Position no longer exists, Dealer may designate any Scheduled Trading Day as an Early Termination Date with respect to a portion (the “</w:t>
      </w:r>
      <w:r>
        <w:rPr>
          <w:rFonts w:ascii="Times New Roman;Times;Serif" w:hAnsi="Times New Roman;Times;Serif"/>
          <w:b/>
          <w:i w:val="false"/>
          <w:caps w:val="false"/>
          <w:smallCaps w:val="false"/>
          <w:sz w:val="20"/>
        </w:rPr>
        <w:t>Terminated Portion</w:t>
      </w:r>
      <w:r>
        <w:rPr>
          <w:rFonts w:ascii="Times New Roman;Times;Serif" w:hAnsi="Times New Roman;Times;Serif"/>
          <w:b w:val="false"/>
          <w:i w:val="false"/>
          <w:caps w:val="false"/>
          <w:smallCaps w:val="false"/>
          <w:sz w:val="20"/>
        </w:rPr>
        <w:t>”) of the Transaction, such that an Excess Ownership Position would no longer exist following the resulting partial termination of the Transaction (after taking into account commercially reasonable adjustments to Dealer’s commercially reasonable Hedge Positions from such partial termination). In the event that Dealer so designates an Early Termination Date with respect to a portion of the Transaction, a payment or delivery shall be made pursuant to Section 6 of the Agreement or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Times New Roman;Times;Serif" w:hAnsi="Times New Roman;Times;Serif"/>
          <w:b/>
          <w:i w:val="false"/>
          <w:caps w:val="false"/>
          <w:smallCaps w:val="false"/>
          <w:sz w:val="20"/>
        </w:rPr>
        <w:t>Equity Percentage</w:t>
      </w:r>
      <w:r>
        <w:rPr>
          <w:rFonts w:ascii="Times New Roman;Times;Serif" w:hAnsi="Times New Roman;Times;Serif"/>
          <w:b w:val="false"/>
          <w:i w:val="false"/>
          <w:caps w:val="false"/>
          <w:smallCaps w:val="false"/>
          <w:sz w:val="20"/>
        </w:rPr>
        <w:t>” as of any day is the fraction, expressed as a percentage, (A) the numerator of which is the number of Shares that Dealer and any of its affiliates subject to aggregation with Dealer for purposes of the “beneficial ownership” test under Section 13 of the Exchange Act and all persons who may form a “group” (within the meaning of Rule 13d-5(b)(1) under the Exchange Act) with Dealer (collectively, “</w:t>
      </w:r>
      <w:r>
        <w:rPr>
          <w:rFonts w:ascii="Times New Roman;Times;Serif" w:hAnsi="Times New Roman;Times;Serif"/>
          <w:b/>
          <w:i w:val="false"/>
          <w:caps w:val="false"/>
          <w:smallCaps w:val="false"/>
          <w:sz w:val="20"/>
        </w:rPr>
        <w:t>Dealer Group</w:t>
      </w:r>
      <w:r>
        <w:rPr>
          <w:rFonts w:ascii="Times New Roman;Times;Serif" w:hAnsi="Times New Roman;Times;Serif"/>
          <w:b w:val="false"/>
          <w:i w:val="false"/>
          <w:caps w:val="false"/>
          <w:smallCaps w:val="false"/>
          <w:sz w:val="20"/>
        </w:rPr>
        <w:t>”) “beneficially own”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In the case of a transfer or assignment by Counterparty of its rights and obligations hereunder and under the Agreement, in whole or in part (any such Options so transferred or assigned, the “</w:t>
      </w:r>
      <w:r>
        <w:rPr>
          <w:rFonts w:ascii="Times New Roman;Times;Serif" w:hAnsi="Times New Roman;Times;Serif"/>
          <w:b/>
          <w:i w:val="false"/>
          <w:caps w:val="false"/>
          <w:smallCaps w:val="false"/>
          <w:sz w:val="20"/>
        </w:rPr>
        <w:t>Transfer Options</w:t>
      </w:r>
      <w:r>
        <w:rPr>
          <w:rFonts w:ascii="Times New Roman;Times;Serif" w:hAnsi="Times New Roman;Times;Serif"/>
          <w:b w:val="false"/>
          <w:i w:val="false"/>
          <w:caps w:val="false"/>
          <w:smallCaps w:val="false"/>
          <w:sz w:val="20"/>
        </w:rPr>
        <w:t>”), to any party, withholding of such consent by Dealer shall not be considered unreasonable if such transfer or assignment does not meet the reasonable conditions that Dealer may impose including, but not limited, to the following conditions: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Transfer Options, Counterparty shall not be released from its notice and indemnification obligations pursuant to Section 8(e) or any obligations under Section 2 (regarding Extraordinary Events) or 8(d) of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Transfer Options shall only be transferred or assigned to a third party that is a United States person (as defined in Section 7701(a)(30) of the Internal Revenue Code of 1986, as amended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by, and reasonably satisfactory to,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Dealer shall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Event of Default, Potential Event of Default or Termination Event shall not occur as a result of such transfer and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the generality of clause (B), Counterparty shall have caused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Counterparty shall be responsible for all reasonable costs and expenses, including reasonable counsel fees, incurred by Dealer in connection with such transfer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Delivery of Shares</w:t>
      </w:r>
      <w:r>
        <w:rPr>
          <w:rFonts w:ascii="Times New Roman;Times;Serif" w:hAnsi="Times New Roman;Times;Serif"/>
          <w:b w:val="false"/>
          <w:i w:val="false"/>
          <w:caps w:val="false"/>
          <w:smallCaps w:val="false"/>
          <w:sz w:val="20"/>
        </w:rPr>
        <w:t>. Notwithstanding anything to the contrary herein, Dealer may, by prior notice to Counterparty, satisfy its obligation to deliver any Shares or other securities on any date due (an “</w:t>
      </w:r>
      <w:r>
        <w:rPr>
          <w:rFonts w:ascii="Times New Roman;Times;Serif" w:hAnsi="Times New Roman;Times;Serif"/>
          <w:b/>
          <w:i w:val="false"/>
          <w:caps w:val="false"/>
          <w:smallCaps w:val="false"/>
          <w:sz w:val="20"/>
        </w:rPr>
        <w:t>Original Delivery Date</w:t>
      </w:r>
      <w:r>
        <w:rPr>
          <w:rFonts w:ascii="Times New Roman;Times;Serif" w:hAnsi="Times New Roman;Times;Serif"/>
          <w:b w:val="false"/>
          <w:i w:val="false"/>
          <w:caps w:val="false"/>
          <w:smallCaps w:val="false"/>
          <w:sz w:val="20"/>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No Netting and Set-off. </w:t>
      </w:r>
      <w:r>
        <w:rPr>
          <w:rFonts w:ascii="Times New Roman;Times;Serif" w:hAnsi="Times New Roman;Times;Serif"/>
          <w:b w:val="false"/>
          <w:i w:val="false"/>
          <w:caps w:val="false"/>
          <w:smallCaps w:val="false"/>
          <w:sz w:val="20"/>
        </w:rPr>
        <w:t>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Equity Rights</w:t>
      </w:r>
      <w:r>
        <w:rPr>
          <w:rFonts w:ascii="Times New Roman;Times;Serif" w:hAnsi="Times New Roman;Times;Serif"/>
          <w:b w:val="false"/>
          <w:i w:val="false"/>
          <w:caps w:val="false"/>
          <w:smallCaps w:val="false"/>
          <w:sz w:val="20"/>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Early Unwind</w:t>
      </w:r>
      <w:r>
        <w:rPr>
          <w:rFonts w:ascii="Times New Roman;Times;Serif" w:hAnsi="Times New Roman;Times;Serif"/>
          <w:b w:val="false"/>
          <w:i w:val="false"/>
          <w:caps w:val="false"/>
          <w:smallCaps w:val="false"/>
          <w:sz w:val="20"/>
        </w:rPr>
        <w:t>. In the event the sale by Counterparty of the Firm Securities not consummated pursuant to the Purchase Agreement for any reason by the close of business in New York on January 23, 2024 (or such later date as agreed upon by the parties) (January 23, 2024 or such later date being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on the Early Unwind Date and the Transaction and all of the respective rights and obligations of Dealer and Counterparty hereunder shall be cancelled and terminated and Counterparty shall pay to Dealer an amount in cash equal to the aggregate amount of costs and expenses relating to the unwinding of Dealer’s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Agreements and Acknowledgements Regarding Hedgin</w:t>
      </w:r>
      <w:r>
        <w:rPr>
          <w:rFonts w:ascii="Times New Roman;Times;Serif" w:hAnsi="Times New Roman;Times;Serif"/>
          <w:b w:val="false"/>
          <w:i/>
          <w:caps w:val="false"/>
          <w:smallCaps w:val="false"/>
          <w:sz w:val="20"/>
          <w:u w:val="single"/>
        </w:rPr>
        <w:t>g</w:t>
      </w:r>
      <w:r>
        <w:rPr>
          <w:rFonts w:ascii="Times New Roman;Times;Serif" w:hAnsi="Times New Roman;Times;Serif"/>
          <w:b w:val="false"/>
          <w:i w:val="false"/>
          <w:caps w:val="false"/>
          <w:smallCaps w:val="false"/>
          <w:sz w:val="20"/>
        </w:rPr>
        <w:t>. Counterparty understands, acknowledges and agrees that: (A) at any time on 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“Daily VWAP” (as defined in the Indenture); (D) any market activities of Dealer and its affiliates with respect to Shares may affect the market price and volatility of Shares, as well as the “Daily VWAP” (as defined in the Indenture),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Wall Street Transparency and Accountability Act</w:t>
      </w:r>
      <w:r>
        <w:rPr>
          <w:rFonts w:ascii="Times New Roman;Times;Serif" w:hAnsi="Times New Roman;Times;Serif"/>
          <w:b w:val="false"/>
          <w:i w:val="false"/>
          <w:caps w:val="false"/>
          <w:smallCaps w:val="false"/>
          <w:sz w:val="20"/>
        </w:rPr>
        <w:t>. In connection with Section 739 of the Wall Street Transparency and Accountability Act of 2010 (the “</w:t>
      </w:r>
      <w:r>
        <w:rPr>
          <w:rFonts w:ascii="Times New Roman;Times;Serif" w:hAnsi="Times New Roman;Times;Serif"/>
          <w:b/>
          <w:i w:val="false"/>
          <w:caps w:val="false"/>
          <w:smallCaps w:val="false"/>
          <w:sz w:val="20"/>
        </w:rPr>
        <w:t>WSTAA</w:t>
      </w:r>
      <w:r>
        <w:rPr>
          <w:rFonts w:ascii="Times New Roman;Times;Serif" w:hAnsi="Times New Roman;Times;Serif"/>
          <w:b w:val="false"/>
          <w:i w:val="false"/>
          <w:caps w:val="false"/>
          <w:smallCaps w:val="false"/>
          <w:sz w:val="20"/>
        </w:rPr>
        <w:t>”),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xml:space="preserve"> This Confirmation and the Agreement may not be modified, amended or supplemented, except in a written instrument signed by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Confirmation may be executed in several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Withholding Tax imposed on payments to non-US counterparties under the United States Foreign Account Tax Compliance Act. “Indemnifiable Tax” as defined in Section 14 of the Agreement, shall not include any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HIRE Act.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Times;Serif" w:hAnsi="Times New Roman;Times;Serif"/>
          <w:b/>
          <w:i w:val="false"/>
          <w:caps w:val="false"/>
          <w:smallCaps w:val="false"/>
          <w:sz w:val="20"/>
        </w:rPr>
        <w:t>871(m) Protocol</w:t>
      </w:r>
      <w:r>
        <w:rPr>
          <w:rFonts w:ascii="Times New Roman;Times;Serif" w:hAnsi="Times New Roman;Times;Serif"/>
          <w:b w:val="false"/>
          <w:i w:val="false"/>
          <w:caps w:val="false"/>
          <w:smallCaps w:val="false"/>
          <w:sz w:val="20"/>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Tax documentation.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W-8ECI “Certificate of Foreign Person’s Claim That Income Is Effectively Connected With the Conduct of a Trade or Business in the United States”, or any successor thereto, (i) on or before the date of execution of this Confirmation, (ii) upon reasonable request of Counterparty and (iii) promptly upon learning that any such tax form previously provided by Dealer has become obsolete or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 Representations. For the purpose of Section 3(f) of the Agreement, Counterparty is a corporation for U.S. federal income tax purposes and is organized under the laws of the State of Minnesota.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For the purpose of Section 3(f) of the Agreement, Dealer represents to Counterparty that (A) it is a “foreign person” (as that term is used in section 1.6041-4(a)(4) of the United States Treasury Regulations) for U.S. federal income tax purposes and (B) each payment received or to be received by it under the Agreement will be effectively connected with its conduct of a trade or business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            Role of Agent</w:t>
      </w:r>
      <w:r>
        <w:rPr>
          <w:rFonts w:ascii="Times New Roman;Times;Serif" w:hAnsi="Times New Roman;Times;Serif"/>
          <w:b w:val="false"/>
          <w:i w:val="false"/>
          <w:caps w:val="false"/>
          <w:smallCaps w:val="false"/>
          <w:sz w:val="20"/>
        </w:rPr>
        <w:t>. Each of Dealer and Counterparty acknowledges to and agrees with the other party hereto and to and with the Agent that (i) the Agent is acting as agent for Dealer under the Transactions pursuant to instructions from such party, (ii) the Agent is not a principal or party to the Transactions, and may transfer its rights and obligations with respect to the Transactions, (iii) the Agent shall have no responsibility, obligation or liability, by way of issuance, guaranty, endorsement or otherwise in any manner with respect to the performance of either party under the Transactions, (iv) Dealer and the Agent have not given, and Counterparty is not relying (for purposes of making any investment decision or otherwise) upon, any statements, opinions or representations (whether written or oral) of Dealer or the Agent, other than the representations expressly set forth in this Confirmation or the Agreement, and (v) each party agrees to proceed solely against the other party, and not the Agent, to collect or recover any</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28 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or securities owed to it in connection with the Transactions. Each party hereto acknowledges and agrees that the Agent is an intended third party beneficiary hereunder. Counterparty acknowledges that the Agent is an affiliate of Dealer. Dealer will be acting for its own account in respect of this Confirmation and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All parties to this Confirmation are giving up the right to sue each other in court, including the right to a trial by jury, except as provided by the rules of the arbitration forum in which a claim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Arbitration awards are generally final and binding; a party’s ability to have a court reverse or modify an arbitration award is very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The ability of the parties to obtain documents, witness statements and other discovery is generally more limited in arbitration than in court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The arbitrators do not have to explain the reason(s) for their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The rules of some arbitration forums may impose time limits for bringing a claim in arbitration. In some cases, a claim that is ineligible for arbitration may be brought in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The rules of the arbitration forum in which the claim is filed, and any amendments thereto, shall be incorporated into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the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 (iii) Counterparty is excluded from the class by the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Such forbearance to enforce an agreement to arbitrate shall not constitute a waiver of any rights under this Confirmation except to the extent stated herein.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Dealer.</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545"/>
        <w:gridCol w:w="3350"/>
      </w:tblGrid>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Yours faithfully,</w:t>
            </w:r>
          </w:p>
        </w:tc>
      </w:tr>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BMO CAPITAL MARKETS CORP.</w:t>
            </w:r>
          </w:p>
        </w:tc>
      </w:tr>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agent for </w:t>
            </w:r>
            <w:r>
              <w:rPr>
                <w:rFonts w:ascii="Times New Roman;Times;Serif" w:hAnsi="Times New Roman;Times;Serif"/>
                <w:b/>
                <w:sz w:val="20"/>
              </w:rPr>
              <w:t>BANK OF MONTREAL</w:t>
            </w:r>
          </w:p>
        </w:tc>
      </w:tr>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3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Eric Benedict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Eric Benedict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Co-Head, Global Equity Capital Markets</w:t>
            </w:r>
          </w:p>
        </w:tc>
      </w:tr>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BANK OF MONTREAL</w:t>
            </w:r>
          </w:p>
        </w:tc>
      </w:tr>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35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Brian Riley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Brian Riley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Global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Base Bond Hedge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4915" w:type="dxa"/>
        <w:jc w:val="left"/>
        <w:tblInd w:w="0" w:type="dxa"/>
        <w:tblLayout w:type="fixed"/>
        <w:tblCellMar>
          <w:top w:w="0" w:type="dxa"/>
          <w:left w:w="0" w:type="dxa"/>
          <w:bottom w:w="0" w:type="dxa"/>
          <w:right w:w="0" w:type="dxa"/>
        </w:tblCellMar>
      </w:tblPr>
      <w:tblGrid>
        <w:gridCol w:w="335"/>
        <w:gridCol w:w="4505"/>
        <w:gridCol w:w="75"/>
      </w:tblGrid>
      <w:tr>
        <w:trPr/>
        <w:tc>
          <w:tcPr>
            <w:tcW w:w="48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8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and Accepted By:</w:t>
            </w:r>
          </w:p>
        </w:tc>
        <w:tc>
          <w:tcPr>
            <w:tcW w:w="75" w:type="dxa"/>
            <w:tcBorders/>
            <w:vAlign w:val="center"/>
          </w:tcPr>
          <w:p>
            <w:pPr>
              <w:pStyle w:val="TableContents"/>
              <w:bidi w:val="0"/>
              <w:spacing w:before="0" w:after="283"/>
              <w:jc w:val="left"/>
              <w:rPr/>
            </w:pPr>
            <w:r>
              <w:rPr/>
              <w:t> </w:t>
            </w:r>
          </w:p>
        </w:tc>
      </w:tr>
      <w:tr>
        <w:trPr/>
        <w:tc>
          <w:tcPr>
            <w:tcW w:w="48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484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WINNEBAGO industries, INC.</w:t>
            </w:r>
          </w:p>
        </w:tc>
        <w:tc>
          <w:tcPr>
            <w:tcW w:w="75" w:type="dxa"/>
            <w:tcBorders/>
            <w:vAlign w:val="center"/>
          </w:tcPr>
          <w:p>
            <w:pPr>
              <w:pStyle w:val="TableContents"/>
              <w:bidi w:val="0"/>
              <w:spacing w:before="0" w:after="283"/>
              <w:jc w:val="left"/>
              <w:rPr/>
            </w:pPr>
            <w:r>
              <w:rPr/>
              <w:t> </w:t>
            </w:r>
          </w:p>
        </w:tc>
      </w:tr>
      <w:tr>
        <w:trPr/>
        <w:tc>
          <w:tcPr>
            <w:tcW w:w="484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Bryan L. Hughes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Bryan L. Hughes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 and Senior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pPr>
      <w:r>
        <w:rPr/>
        <w:t>[Signature Page to BMO Bond Hedge Confirmation]</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30" w:name="tm243871d1_ex10-4.htm"/>
      <w:bookmarkStart w:id="31" w:name="kstm243871d1_ex104"/>
      <w:bookmarkEnd w:id="30"/>
      <w:bookmarkEnd w:id="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 Madison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Transaction</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575"/>
        <w:gridCol w:w="3515"/>
      </w:tblGrid>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w:t>
            </w:r>
          </w:p>
        </w:tc>
        <w:tc>
          <w:tcPr>
            <w:tcW w:w="35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Minnesota 55347</w:t>
            </w:r>
          </w:p>
        </w:tc>
      </w:tr>
      <w:tr>
        <w:trPr/>
        <w:tc>
          <w:tcPr>
            <w:tcW w:w="5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From:</w:t>
            </w:r>
          </w:p>
        </w:tc>
        <w:tc>
          <w:tcPr>
            <w:tcW w:w="35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r>
      <w:tr>
        <w:trPr/>
        <w:tc>
          <w:tcPr>
            <w:tcW w:w="5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Convertible Bond Hedge Transaction</w:t>
            </w:r>
          </w:p>
        </w:tc>
      </w:tr>
      <w:tr>
        <w:trPr/>
        <w:tc>
          <w:tcPr>
            <w:tcW w:w="5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3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18, 2024</w:t>
            </w:r>
          </w:p>
        </w:tc>
      </w:tr>
      <w:tr>
        <w:trPr/>
        <w:tc>
          <w:tcPr>
            <w:tcW w:w="5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both"/>
              <w:rPr/>
            </w:pPr>
            <w:r>
              <w:rPr/>
              <w:t> </w:t>
            </w:r>
          </w:p>
        </w:tc>
      </w:tr>
    </w:tbl>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communication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set forth the terms and conditions of the above-referenced transaction entered into on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between J.P. Morgan Securities LLC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Winnebago Industries, Inc.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This communication constitutes a “Confirmation” as referred to in the ISDA Master Agreement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Confirmation is subject to, and incorporates, the definitions and provisions of the 2006 ISDA Definitions (the “</w:t>
      </w:r>
      <w:r>
        <w:rPr>
          <w:rFonts w:ascii="Times New Roman;Times;Serif" w:hAnsi="Times New Roman;Times;Serif"/>
          <w:b/>
          <w:i w:val="false"/>
          <w:caps w:val="false"/>
          <w:smallCaps w:val="false"/>
          <w:sz w:val="20"/>
        </w:rPr>
        <w:t>2006 Definitions</w:t>
      </w:r>
      <w:r>
        <w:rPr>
          <w:rFonts w:ascii="Times New Roman;Times;Serif" w:hAnsi="Times New Roman;Times;Serif"/>
          <w:b w:val="false"/>
          <w:i w:val="false"/>
          <w:caps w:val="false"/>
          <w:smallCaps w:val="false"/>
          <w:sz w:val="20"/>
        </w:rPr>
        <w:t>”) and the definitions and provisions of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together with the 2006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Certain defined terms used herein have the meanings assigned to them in the Indenture to be dated as of January 23, 2024 between Counterparty and U.S. Bank Trust Company, National Association, as trustee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relating to the USD 300,000,000 principal amount of 3.25% Convertible Senior Notes due 2030 (the “</w:t>
      </w:r>
      <w:r>
        <w:rPr>
          <w:rFonts w:ascii="Times New Roman;Times;Serif" w:hAnsi="Times New Roman;Times;Serif"/>
          <w:b/>
          <w:i w:val="false"/>
          <w:caps w:val="false"/>
          <w:smallCaps w:val="false"/>
          <w:sz w:val="20"/>
        </w:rPr>
        <w:t>Base Convertible Securities</w:t>
      </w:r>
      <w:r>
        <w:rPr>
          <w:rFonts w:ascii="Times New Roman;Times;Serif" w:hAnsi="Times New Roman;Times;Serif"/>
          <w:b w:val="false"/>
          <w:i w:val="false"/>
          <w:caps w:val="false"/>
          <w:smallCaps w:val="false"/>
          <w:sz w:val="20"/>
        </w:rPr>
        <w:t>”) and the additional USD 50,000,000 principal amount of 3.25% Convertible Senior Notes due 2030 that may be issued pursuant to the option to purchase additional convertible securities (the “</w:t>
      </w:r>
      <w:r>
        <w:rPr>
          <w:rFonts w:ascii="Times New Roman;Times;Serif" w:hAnsi="Times New Roman;Times;Serif"/>
          <w:b/>
          <w:i w:val="false"/>
          <w:caps w:val="false"/>
          <w:smallCaps w:val="false"/>
          <w:sz w:val="20"/>
        </w:rPr>
        <w:t>Optional Convertible Securities</w:t>
      </w:r>
      <w:r>
        <w:rPr>
          <w:rFonts w:ascii="Times New Roman;Times;Serif" w:hAnsi="Times New Roman;Times;Serif"/>
          <w:b w:val="false"/>
          <w:i w:val="false"/>
          <w:caps w:val="false"/>
          <w:smallCaps w:val="false"/>
          <w:sz w:val="20"/>
        </w:rPr>
        <w:t>” and, together with the Base Convertible Securities, the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In the event of any inconsistency between the terms defined in the Indenture and this Confirmation, this Confirmation shall govern. For the avoidance of doubt, references herein to sections of, or definitions set forth in, the Indenture are based on the draft of the Indenture most recently reviewed by the parties at the time of execution of this Confirmation. If any relevant sections of, or definitions set forth in, the Indenture are changed, added or renumbered between the execution of this Confirmation and the execution of the Indenture, the parties will amend this Confirmation in good faith to preserve the economic intent of the parties, as evidenced by such draft of the Indenture. Subject to the foregoing, the parties acknowledge that references to the Indenture herein are references to the Indenture as in effect on the date of its execution and if the Indenture is, or the Convertible Securities are, amended, modified or supplemented following the date of their execution, any such amendment, modification or supplement (other than any amendment, modification or supplement pursuant to a Merger Supplemental Indenture (as defined below)) will be disregarded for purposes of this Confirmation unless the parties agree otherwise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evidences a complete and binding agreement between Dealer and Counterparty as to the terms of the Transaction to which this Confirmation relates. This Confirmation shall be subject to</w:t>
      </w:r>
    </w:p>
    <w:p>
      <w:pPr>
        <w:pStyle w:val="TextBody"/>
        <w:bidi w:val="0"/>
        <w:spacing w:before="0" w:after="0"/>
        <w:ind w:left="0" w:right="0" w:hanging="0"/>
        <w:jc w:val="left"/>
        <w:rPr>
          <w:caps w:val="false"/>
          <w:smallCaps w:val="false"/>
        </w:rPr>
      </w:pPr>
      <w:r>
        <w:rPr>
          <w:caps w:val="false"/>
          <w:smallCaps w:val="false"/>
        </w:rPr>
        <w:t> </w:t>
      </w:r>
    </w:p>
    <w:tbl>
      <w:tblPr>
        <w:tblW w:w="225" w:type="dxa"/>
        <w:jc w:val="left"/>
        <w:tblInd w:w="0" w:type="dxa"/>
        <w:tblLayout w:type="fixed"/>
        <w:tblCellMar>
          <w:top w:w="0" w:type="dxa"/>
          <w:left w:w="0" w:type="dxa"/>
          <w:bottom w:w="0" w:type="dxa"/>
          <w:right w:w="0" w:type="dxa"/>
        </w:tblCellMar>
      </w:tblPr>
      <w:tblGrid>
        <w:gridCol w:w="80"/>
        <w:gridCol w:w="65"/>
        <w:gridCol w:w="80"/>
      </w:tblGrid>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as the Termination Currency, (ii) the replacement of the word “third” in the last line of Section 5(a)(i) of the Agreement with the word “first”, and (iii) (a) the election that the “Cross Default” provisions of Section 5(a)(vi) of the Agreement shall apply to Counterparty with a “Threshold Amount” of USD35.0 million) (b) </w:t>
      </w:r>
      <w:r>
        <w:rPr>
          <w:rFonts w:ascii="Times New Roman;Times;Serif" w:hAnsi="Times New Roman;Times;Serif"/>
          <w:b w:val="false"/>
          <w:i w:val="false"/>
          <w:caps w:val="false"/>
          <w:smallCaps w:val="false"/>
          <w:sz w:val="20"/>
          <w:shd w:fill="FFFFFF" w:val="clear"/>
        </w:rPr>
        <w:t> the phrase “,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constitutes a Share Option Transaction for purposes of the Equity Definitions. The terms of the particular Transaction to which this Confirmation relates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5"/>
        <w:gridCol w:w="60"/>
        <w:gridCol w:w="8800"/>
      </w:tblGrid>
      <w:tr>
        <w:trPr/>
        <w:tc>
          <w:tcPr>
            <w:tcW w:w="1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Date:</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18, 2024</w:t>
            </w:r>
          </w:p>
        </w:tc>
      </w:tr>
      <w:tr>
        <w:trPr/>
        <w:tc>
          <w:tcPr>
            <w:tcW w:w="13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pPr>
            <w:r>
              <w:rPr/>
              <w:t> </w:t>
            </w:r>
          </w:p>
        </w:tc>
      </w:tr>
      <w:tr>
        <w:trPr/>
        <w:tc>
          <w:tcPr>
            <w:tcW w:w="1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date of the initial issuance of the Convertible Securities.</w:t>
            </w:r>
          </w:p>
        </w:tc>
      </w:tr>
      <w:tr>
        <w:trPr/>
        <w:tc>
          <w:tcPr>
            <w:tcW w:w="13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pPr>
            <w:r>
              <w:rPr/>
              <w:t> </w:t>
            </w:r>
          </w:p>
        </w:tc>
      </w:tr>
      <w:tr>
        <w:trPr/>
        <w:tc>
          <w:tcPr>
            <w:tcW w:w="1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Style:</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American, as described under “Procedures for Exercise” below.</w:t>
            </w:r>
          </w:p>
        </w:tc>
      </w:tr>
      <w:tr>
        <w:trPr/>
        <w:tc>
          <w:tcPr>
            <w:tcW w:w="13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pPr>
            <w:r>
              <w:rPr/>
              <w:t> </w:t>
            </w:r>
          </w:p>
        </w:tc>
      </w:tr>
      <w:tr>
        <w:trPr/>
        <w:tc>
          <w:tcPr>
            <w:tcW w:w="1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Type:</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w:t>
            </w:r>
          </w:p>
        </w:tc>
      </w:tr>
      <w:tr>
        <w:trPr/>
        <w:tc>
          <w:tcPr>
            <w:tcW w:w="13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pPr>
            <w:r>
              <w:rPr/>
              <w:t> </w:t>
            </w:r>
          </w:p>
        </w:tc>
      </w:tr>
      <w:tr>
        <w:trPr/>
        <w:tc>
          <w:tcPr>
            <w:tcW w:w="1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w:t>
            </w:r>
          </w:p>
        </w:tc>
      </w:tr>
      <w:tr>
        <w:trPr/>
        <w:tc>
          <w:tcPr>
            <w:tcW w:w="13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pPr>
            <w:r>
              <w:rPr/>
              <w:t> </w:t>
            </w:r>
          </w:p>
        </w:tc>
      </w:tr>
      <w:tr>
        <w:trPr/>
        <w:tc>
          <w:tcPr>
            <w:tcW w:w="1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w:t>
            </w:r>
          </w:p>
        </w:tc>
      </w:tr>
      <w:tr>
        <w:trPr/>
        <w:tc>
          <w:tcPr>
            <w:tcW w:w="13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pPr>
            <w:r>
              <w:rPr/>
              <w:t> </w:t>
            </w:r>
          </w:p>
        </w:tc>
      </w:tr>
      <w:tr>
        <w:trPr/>
        <w:tc>
          <w:tcPr>
            <w:tcW w:w="1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Counterparty, par value USD0.50 (Ticker Symbol: “WGO”).</w:t>
            </w:r>
          </w:p>
        </w:tc>
      </w:tr>
      <w:tr>
        <w:trPr/>
        <w:tc>
          <w:tcPr>
            <w:tcW w:w="13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pPr>
            <w:r>
              <w:rPr/>
              <w:t> </w:t>
            </w:r>
          </w:p>
        </w:tc>
      </w:tr>
      <w:tr>
        <w:trPr/>
        <w:tc>
          <w:tcPr>
            <w:tcW w:w="1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1/3%</w:t>
            </w:r>
          </w:p>
        </w:tc>
      </w:tr>
      <w:tr>
        <w:trPr/>
        <w:tc>
          <w:tcPr>
            <w:tcW w:w="13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left"/>
              <w:rPr/>
            </w:pPr>
            <w:r>
              <w:rPr/>
              <w:t> </w:t>
            </w:r>
          </w:p>
        </w:tc>
      </w:tr>
      <w:tr>
        <w:trPr/>
        <w:tc>
          <w:tcPr>
            <w:tcW w:w="1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Options:</w:t>
            </w:r>
          </w:p>
        </w:tc>
        <w:tc>
          <w:tcPr>
            <w:tcW w:w="60" w:type="dxa"/>
            <w:tcBorders/>
            <w:vAlign w:val="center"/>
          </w:tcPr>
          <w:p>
            <w:pPr>
              <w:pStyle w:val="TableContents"/>
              <w:bidi w:val="0"/>
              <w:spacing w:before="0" w:after="283"/>
              <w:jc w:val="left"/>
              <w:rPr/>
            </w:pPr>
            <w:r>
              <w:rPr/>
              <w:t> </w:t>
            </w:r>
          </w:p>
        </w:tc>
        <w:tc>
          <w:tcPr>
            <w:tcW w:w="8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Base Convertible Securities in denominations of USD1,000 principal amount issued by Counterparty on the closing date for the initial issuance of the Convertible Securities. For the avoidance of doubt, the Number of Options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82"/>
        <w:gridCol w:w="60"/>
        <w:gridCol w:w="8363"/>
      </w:tblGrid>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shall be reduced by each exercise of Options hereunder.</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Entitlement: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11.3724</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Fundamental Change Adjustment: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adjustment to the Conversion Rate pursuant to Section 5.07 of the Indenture.</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Adjustment: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adjustment to the Conversion Rate pursuant to Section 5.06 of the Indenture.</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Strike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USD87.9322</w:t>
            </w:r>
          </w:p>
        </w:tc>
      </w:tr>
      <w:tr>
        <w:trPr/>
        <w:tc>
          <w:tcPr>
            <w:tcW w:w="1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Rounding of Strike Price/Option Entitlement: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adjustment to the Option Entitlement or Strike Price, the Option Entitlement or the Strike Price, as the case may be, shall be rounded by the Calculation Agent in accordance with the provisions of the Indenture relating to rounding of the “Conversion Price” or the “Conversion Rate” as applicable (each as defined in the Indenture).</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any date, a number of Shares equal to the product of (i) the Applicable Percentage, (ii) the Number of Options and (iii) the Option Entitlement.</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USD19,620,000.00</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 Payment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York Stock Exchange</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r>
        <w:trPr/>
        <w:tc>
          <w:tcPr>
            <w:tcW w:w="17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Exchange: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Exchanges</w:t>
            </w:r>
          </w:p>
        </w:tc>
      </w:tr>
      <w:tr>
        <w:trPr/>
        <w:tc>
          <w:tcPr>
            <w:tcW w:w="178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Procedures for Exercise:</w:t>
      </w:r>
    </w:p>
    <w:tbl>
      <w:tblPr>
        <w:tblW w:w="10205" w:type="dxa"/>
        <w:jc w:val="left"/>
        <w:tblInd w:w="0" w:type="dxa"/>
        <w:tblLayout w:type="fixed"/>
        <w:tblCellMar>
          <w:top w:w="0" w:type="dxa"/>
          <w:left w:w="0" w:type="dxa"/>
          <w:bottom w:w="0" w:type="dxa"/>
          <w:right w:w="0" w:type="dxa"/>
        </w:tblCellMar>
      </w:tblPr>
      <w:tblGrid>
        <w:gridCol w:w="1795"/>
        <w:gridCol w:w="60"/>
        <w:gridCol w:w="8350"/>
      </w:tblGrid>
      <w:tr>
        <w:trPr/>
        <w:tc>
          <w:tcPr>
            <w:tcW w:w="17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Dates: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Conversion Date.</w:t>
            </w:r>
          </w:p>
        </w:tc>
      </w:tr>
      <w:tr>
        <w:trPr/>
        <w:tc>
          <w:tcPr>
            <w:tcW w:w="17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Each “Conversion Date” (as defined in the Indenture) occurring during the Exercise Period for Convertible Securities each in denominations of USD1,000 principal amount (such Convertible Securities, the “</w:t>
            </w:r>
            <w:r>
              <w:rPr>
                <w:rFonts w:ascii="Times New Roman;Times;Serif" w:hAnsi="Times New Roman;Times;Serif"/>
                <w:b/>
                <w:i w:val="false"/>
                <w:caps w:val="false"/>
                <w:smallCaps w:val="false"/>
                <w:sz w:val="20"/>
              </w:rPr>
              <w:t xml:space="preserve">Relevant Convertible Securities” </w:t>
            </w:r>
            <w:r>
              <w:rPr>
                <w:rFonts w:ascii="Times New Roman;Times;Serif" w:hAnsi="Times New Roman;Times;Serif"/>
                <w:b w:val="false"/>
                <w:i w:val="false"/>
                <w:caps w:val="false"/>
                <w:smallCaps w:val="false"/>
                <w:sz w:val="20"/>
              </w:rPr>
              <w:t>for such Conversion Date).</w:t>
            </w:r>
          </w:p>
        </w:tc>
      </w:tr>
      <w:tr>
        <w:trPr/>
        <w:tc>
          <w:tcPr>
            <w:tcW w:w="17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from and excluding the Effective Date to, and including, the Expiration Date.</w:t>
            </w:r>
          </w:p>
        </w:tc>
      </w:tr>
      <w:tr>
        <w:trPr/>
        <w:tc>
          <w:tcPr>
            <w:tcW w:w="17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earlier of (i) the last day on which any Convertible Securities remain outstanding and (ii) the second “Scheduled Trading Day” (as defined in the Indenture) immediately preceding the “Maturity Date” (as defined in the Indenture).</w:t>
            </w:r>
          </w:p>
        </w:tc>
      </w:tr>
      <w:tr>
        <w:trPr/>
        <w:tc>
          <w:tcPr>
            <w:tcW w:w="17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Automatic Exercise on Conversion Dates: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and means that on each Conversion Date, a number of Options equal to the number of Relevant Convertible Securities for such Conversion Date in denominations of USD1,000 principal amount shall be automatically exercised, subject to “Notice of Exercise” below.</w:t>
            </w:r>
          </w:p>
        </w:tc>
      </w:tr>
      <w:tr>
        <w:trPr/>
        <w:tc>
          <w:tcPr>
            <w:tcW w:w="17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50" w:type="dxa"/>
            <w:tcBorders/>
            <w:vAlign w:val="center"/>
          </w:tcPr>
          <w:p>
            <w:pPr>
              <w:pStyle w:val="TableContents"/>
              <w:bidi w:val="0"/>
              <w:spacing w:before="0" w:after="283"/>
              <w:jc w:val="left"/>
              <w:rPr/>
            </w:pPr>
            <w:r>
              <w:rPr/>
              <w:t> </w:t>
            </w:r>
          </w:p>
        </w:tc>
      </w:tr>
    </w:tbl>
    <w:tbl>
      <w:tblPr>
        <w:tblW w:w="9550" w:type="dxa"/>
        <w:jc w:val="left"/>
        <w:tblInd w:w="0" w:type="dxa"/>
        <w:tblLayout w:type="fixed"/>
        <w:tblCellMar>
          <w:top w:w="0" w:type="dxa"/>
          <w:left w:w="0" w:type="dxa"/>
          <w:bottom w:w="0" w:type="dxa"/>
          <w:right w:w="0" w:type="dxa"/>
        </w:tblCellMar>
      </w:tblPr>
      <w:tblGrid>
        <w:gridCol w:w="1415"/>
        <w:gridCol w:w="60"/>
        <w:gridCol w:w="8075"/>
      </w:tblGrid>
      <w:tr>
        <w:trPr/>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Deadline: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respect of any exercise of Options hereunder on any Conversion Date, 5:00 P.M., New York City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73"/>
        <w:gridCol w:w="60"/>
        <w:gridCol w:w="9372"/>
      </w:tblGrid>
      <w:tr>
        <w:trPr/>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72"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 xml:space="preserve">time, on (i) in the case the applicable Relevant Convertible Securities will be settled by Counterparty by delivery of Shares only (together with cash in lieu of any fractional Share), the “Trading Day” (as defined in the Indenture) immediately following the relevant Conversion Date, or (ii) otherwise, the Scheduled Trading Day immediately preceding the first day of the relevant Cash Settlement Averaging Period;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any exercise of Options hereunder in connection with the conversion of any Relevant Convertible Securities for any Conversion Date occurring during the period from and including the 85th “Scheduled Trading Day” (as defined in the Indenture) prior to the Maturity Date, to and including the Expiration Date (such period, the “Final Conversion Period”), the Notice Deadline shall be 5:00 P.M., New York City time, on the “Scheduled Trading Day” (as defined in the Indenture) immediately preceding the “Maturity Date” (as defined in the Indenture).</w:t>
            </w:r>
          </w:p>
        </w:tc>
      </w:tr>
      <w:tr>
        <w:trPr/>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7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Exercise: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7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the Equity Definitions, Dealer shall have no obligation to make any payment or delivery in respect of any exercise of Options hereunder and such obligation in respect of such exercise shall be permanently extinguished unless Counterparty notifies Dealer in writing prior to the Notice Deadline in respect of such exercise, of (i) the number of Relevant Convertible Securities being converted on the related Conversion Date (specifying, if applicable, whether all or any portion of such Convertible Securities are Convertible Securities as to which additional Shares would be added to the Conversion Rate (as defined in the Indenture) pursuant to Section 5.07 of the Indenture), (ii) the scheduled settlement date under the Indenture for the Relevant Convertible Securities for such Conversion Date, (iii) whether such Relevant Convertible Securities will be settled by Counterparty by delivery of cash or a combination of cash and Shares and, if such a combination, the “Specified Dollar Amount” (as defined in the Indenture) and (iv) the first day of the relevant “Observation Period” (as defined in the Indenture), if any;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any exercise of Options in connection with the conversion of any Relevant Convertible Securities for any Conversion Date occurring during the Final Conversion Period, the contents of such notice shall be as set forth in clauses (i) and (ii) above. Counterparty acknowledges its responsibilities under applicable securities laws, and in particular Section 9 and Section 10(b) of the Exchange Act (as defined below) and the rules and regulations thereunder, in respect of any election of a settlement method with respect to the Convertible Securities. For the avoidance of doubt, if</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46"/>
        <w:gridCol w:w="60"/>
        <w:gridCol w:w="8099"/>
      </w:tblGrid>
      <w:tr>
        <w:trPr/>
        <w:tc>
          <w:tcPr>
            <w:tcW w:w="20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fails to give such notice when due in respect of any exercise of Options hereunder, Dealer’s obligation to make any payment or delivery in respect of such exercise shall be permanently extinguished, and late notice shall not cure such failure. If applicable, the Notice of Exercise shall also contain the Settlement Method Election Provisions.</w:t>
            </w:r>
          </w:p>
        </w:tc>
      </w:tr>
      <w:tr>
        <w:trPr/>
        <w:tc>
          <w:tcPr>
            <w:tcW w:w="20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99" w:type="dxa"/>
            <w:tcBorders/>
            <w:vAlign w:val="center"/>
          </w:tcPr>
          <w:p>
            <w:pPr>
              <w:pStyle w:val="TableContents"/>
              <w:bidi w:val="0"/>
              <w:spacing w:before="0" w:after="283"/>
              <w:jc w:val="left"/>
              <w:rPr/>
            </w:pPr>
            <w:r>
              <w:rPr/>
              <w:t> </w:t>
            </w:r>
          </w:p>
        </w:tc>
      </w:tr>
      <w:tr>
        <w:trPr/>
        <w:tc>
          <w:tcPr>
            <w:tcW w:w="2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Final Convertible Security Settlement Method: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Counterparty shall notify Dealer in writing before 5:00 P.M., New York City time, on the “Scheduled Trading Day” (as defined in the Indenture) immediately preceding the 85th “Scheduled Trading Day” (as defined in the Indenture) prior to the Maturity Date of the settlement method (and, if applicable, the Specified Dollar Amount) elected (or deemed to be elected) with respect to Relevant Convertible Securities with a Conversion Date occurring during the Final Conversion Period (any such notice, a “</w:t>
            </w:r>
            <w:r>
              <w:rPr>
                <w:rFonts w:ascii="Times New Roman;Times;Serif" w:hAnsi="Times New Roman;Times;Serif"/>
                <w:b/>
                <w:i w:val="false"/>
                <w:caps w:val="false"/>
                <w:smallCaps w:val="false"/>
                <w:sz w:val="20"/>
              </w:rPr>
              <w:t>Notice of Final Convertible Security Settlement Method”</w:t>
            </w:r>
            <w:r>
              <w:rPr>
                <w:rFonts w:ascii="Times New Roman;Times;Serif" w:hAnsi="Times New Roman;Times;Serif"/>
                <w:b w:val="false"/>
                <w:i w:val="false"/>
                <w:caps w:val="false"/>
                <w:smallCaps w:val="false"/>
                <w:sz w:val="20"/>
              </w:rPr>
              <w:t>). If applicable, the Notice of Final Convertible Security Settlement Method shall also contain the Settlement Method Election Provisions.</w:t>
            </w:r>
          </w:p>
        </w:tc>
      </w:tr>
      <w:tr>
        <w:trPr/>
        <w:tc>
          <w:tcPr>
            <w:tcW w:w="204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99" w:type="dxa"/>
            <w:tcBorders/>
            <w:vAlign w:val="center"/>
          </w:tcPr>
          <w:p>
            <w:pPr>
              <w:pStyle w:val="TableContents"/>
              <w:bidi w:val="0"/>
              <w:spacing w:before="0" w:after="283"/>
              <w:jc w:val="left"/>
              <w:rPr/>
            </w:pPr>
            <w:r>
              <w:rPr/>
              <w:t> </w:t>
            </w:r>
          </w:p>
        </w:tc>
      </w:tr>
      <w:tr>
        <w:trPr/>
        <w:tc>
          <w:tcPr>
            <w:tcW w:w="2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Telephone Number and Telex and/or Facsimile Number and Contact Details for purpose of Giving Notice: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Section 6(b)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Terms:</w:t>
      </w:r>
    </w:p>
    <w:tbl>
      <w:tblPr>
        <w:tblW w:w="10205" w:type="dxa"/>
        <w:jc w:val="left"/>
        <w:tblInd w:w="0" w:type="dxa"/>
        <w:tblLayout w:type="fixed"/>
        <w:tblCellMar>
          <w:top w:w="0" w:type="dxa"/>
          <w:left w:w="0" w:type="dxa"/>
          <w:bottom w:w="0" w:type="dxa"/>
          <w:right w:w="0" w:type="dxa"/>
        </w:tblCellMar>
      </w:tblPr>
      <w:tblGrid>
        <w:gridCol w:w="1113"/>
        <w:gridCol w:w="60"/>
        <w:gridCol w:w="9032"/>
      </w:tblGrid>
      <w:tr>
        <w:trPr/>
        <w:tc>
          <w:tcPr>
            <w:tcW w:w="11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283"/>
              <w:jc w:val="left"/>
              <w:rPr/>
            </w:pPr>
            <w:r>
              <w:rPr/>
              <w:t> </w:t>
            </w:r>
          </w:p>
        </w:tc>
      </w:tr>
      <w:tr>
        <w:trPr/>
        <w:tc>
          <w:tcPr>
            <w:tcW w:w="11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3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For any Exercise Date, the date one Settlement Cycle following the final day of the relevant Cash Settlement Averaging Period;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Settlement Date shall not be prior to the Exchange Business Day immediately following the date Counterparty provides the Notice of Delivery Obligation prior to 5:00 P.M., New York City time.</w:t>
            </w:r>
          </w:p>
        </w:tc>
      </w:tr>
      <w:tr>
        <w:trPr/>
        <w:tc>
          <w:tcPr>
            <w:tcW w:w="11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283"/>
              <w:jc w:val="left"/>
              <w:rPr/>
            </w:pPr>
            <w:r>
              <w:rPr/>
              <w:t> </w:t>
            </w:r>
          </w:p>
        </w:tc>
      </w:tr>
      <w:tr>
        <w:trPr/>
        <w:tc>
          <w:tcPr>
            <w:tcW w:w="11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Obligation: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3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In lieu of the obligations set forth in Sections 8.1 and 9.1 of the Equity Definitions, and subject to “Notice of Exercise” above and “Discretionary Adjustments” , “Dividends” and “Consequences of Merger Events” below, in respect of an Exercise Date, Dealer will deliver to Counterparty on the related Settlement Date (the “</w:t>
            </w:r>
            <w:r>
              <w:rPr>
                <w:rFonts w:ascii="Times New Roman;Times;Serif" w:hAnsi="Times New Roman;Times;Serif"/>
                <w:b/>
                <w:i w:val="false"/>
                <w:caps w:val="false"/>
                <w:smallCaps w:val="false"/>
                <w:sz w:val="20"/>
              </w:rPr>
              <w:t>Delivery Obligation”</w:t>
            </w:r>
            <w:r>
              <w:rPr>
                <w:rFonts w:ascii="Times New Roman;Times;Serif" w:hAnsi="Times New Roman;Times;Serif"/>
                <w:b w:val="false"/>
                <w:i w:val="false"/>
                <w:caps w:val="false"/>
                <w:smallCaps w:val="false"/>
                <w:sz w:val="20"/>
              </w:rPr>
              <w:t>), amounts equal to the product of the Applicable Percentage and</w:t>
            </w:r>
          </w:p>
        </w:tc>
      </w:tr>
      <w:tr>
        <w:trPr/>
        <w:tc>
          <w:tcPr>
            <w:tcW w:w="11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283"/>
              <w:jc w:val="left"/>
              <w:rPr/>
            </w:pPr>
            <w:r>
              <w:rPr/>
              <w:t> </w:t>
            </w:r>
          </w:p>
        </w:tc>
      </w:tr>
      <w:tr>
        <w:trPr/>
        <w:tc>
          <w:tcPr>
            <w:tcW w:w="11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 a number of Shares equal to the aggregate number of Shares, if any, that Counterparty would be obligated to deliver to the holder(s) of the Relevant Convertible Securities for such Conversion Date pursuant to Section 5.03 of the Indenture (except that such number of Shares shall be determined without taking into consideration any rounding pursuant to Section 5.03(B)(ii) of the Indenture and shall be rounded</w:t>
            </w:r>
          </w:p>
        </w:tc>
      </w:tr>
      <w:tr>
        <w:trPr/>
        <w:tc>
          <w:tcPr>
            <w:tcW w:w="111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283"/>
              <w:jc w:val="left"/>
              <w:rPr/>
            </w:pPr>
            <w:r>
              <w:rPr/>
              <w:t> </w:t>
            </w:r>
          </w:p>
        </w:tc>
      </w:tr>
    </w:tbl>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80"/>
        <w:gridCol w:w="60"/>
        <w:gridCol w:w="8965"/>
      </w:tblGrid>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down to the nearest whole number) and (II) cash in lieu of any fractional Share resulting from such rounding; and/or</w:t>
            </w:r>
          </w:p>
        </w:tc>
      </w:tr>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pPr>
            <w:r>
              <w:rPr/>
              <w:t> </w:t>
            </w:r>
          </w:p>
        </w:tc>
      </w:tr>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aggregate amount of cash, if any, in excess of the principal amount of the Relevant Convertible Securities that Counterparty would be obligated to deliver to holder(s) of the Relevant Convertible Securities for such Conversion Date pursuant to Section 5.03 of the Indenture, determined, for each of clauses (i) and (ii), by the Calculation Agent (by reference to such Sections of the Indenture)</w:t>
            </w:r>
          </w:p>
        </w:tc>
      </w:tr>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pPr>
            <w:r>
              <w:rPr/>
              <w:t> </w:t>
            </w:r>
          </w:p>
        </w:tc>
      </w:tr>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6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as if Counterparty had elected to satisfy its conversion obligation in respect of such Relevant Convertible Securities by the Applicable Settlement Method, notwithstanding any different actual election by Counterparty with respect to the settlement of such Relevant Convertible Securities;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Delivery Obligation shall be determined excluding any Shares and/or cash that Counterparty is obligated to deliver to holder(s) of the Relevant Convertible Securities as a direct or indirect result of any adjustments to the Conversion Rate pursuant to a Fundamental Change Adjustment or a Discretionary Adjustment and any interest payment that Counterparty is (or would have been) obligated to deliver to holder(s) of the Relevant Convertible Securities for such Conversion Date. Notwithstanding the foregoing, if, in respect of any Exercise Date, (x)(I) the number of Shares included in the Delivery Obligation multiplied by the Share Obligation Value Price plus (II) the amount of cash included in the Delivery Obligation, would otherwise exceed (y) the relevant Net Convertible Share Obligation Value, such number of Shares and such amount of cash shall be proportionately reduced to the extent necessary to eliminate such excess</w:t>
            </w:r>
            <w:r>
              <w:rPr>
                <w:rFonts w:ascii="Times New Roman;Times;Serif" w:hAnsi="Times New Roman;Times;Serif"/>
                <w:b w:val="false"/>
                <w:i/>
                <w:caps w:val="false"/>
                <w:smallCaps w:val="false"/>
                <w:sz w:val="20"/>
              </w:rPr>
              <w:t>.</w:t>
            </w:r>
          </w:p>
        </w:tc>
      </w:tr>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pPr>
            <w:r>
              <w:rPr/>
              <w:t> </w:t>
            </w:r>
          </w:p>
        </w:tc>
      </w:tr>
      <w:tr>
        <w:trPr/>
        <w:tc>
          <w:tcPr>
            <w:tcW w:w="1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Adjustment: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6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Notwithstanding anything to the contrary herein, in respect of any exercise of Options relating to a conversion of Relevant Convertible Securities in connection with which holders of the Relevant Convertible Securities would be entitled to receive additional Shares and/or cash as a result of adjustments to the Conversion Rate pursuant to a Fundamental Change Adjustment, the Delivery Obligation shall include such additional Shares and/or cash;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sum of (i) the product of (a) the number of Shares (if any) included in the Delivery Obligation per exercised Option and (b) the Share Obligation Value Price and (ii) the amount of cash (if any) included in the Delivery Obligation per exercised Option would otherwise exceed the amount per Option, as determined by the Calculation Agent, that would be payable by Dealer</w:t>
            </w:r>
          </w:p>
        </w:tc>
      </w:tr>
      <w:tr>
        <w:trPr/>
        <w:tc>
          <w:tcPr>
            <w:tcW w:w="11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pPr>
            <w:r>
              <w:rPr/>
              <w:t> </w:t>
            </w:r>
          </w:p>
        </w:tc>
      </w:tr>
    </w:tbl>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1"/>
        <w:gridCol w:w="60"/>
        <w:gridCol w:w="8954"/>
      </w:tblGrid>
      <w:tr>
        <w:trPr/>
        <w:tc>
          <w:tcPr>
            <w:tcW w:w="119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6 of the Agreement if (x) the relevant Conversion Date were an Early Termination Date resulting from an Additional Termination Event with respect to which the Transaction was the sole Affected Transaction and Counterparty was the sole Affected Party and (y) the provisions of the Indenture relating to the Fundamental Change Adjustment were deleted, then such number of Shares and such amount of cash shall be proportionately reduced to the extent necessary to eliminate such excess.</w:t>
            </w:r>
          </w:p>
        </w:tc>
      </w:tr>
      <w:tr>
        <w:trPr/>
        <w:tc>
          <w:tcPr>
            <w:tcW w:w="119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pPr>
            <w:r>
              <w:rPr/>
              <w:t> </w:t>
            </w:r>
          </w:p>
        </w:tc>
      </w:tr>
      <w:tr>
        <w:trPr/>
        <w:tc>
          <w:tcPr>
            <w:tcW w:w="1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Settlement Method: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For any Relevant Convertible Securities, if such Notice of Exercise (or such Notice of Final Convertible Security Settlement Method, as the case may be) contains all of the Settlement Method Election Provisions, the Applicable Settlement Method shall be the settlement method actually so elected by Counterparty in respect of such Relevant Convertible Securities (the “</w:t>
            </w:r>
            <w:r>
              <w:rPr>
                <w:rFonts w:ascii="Times New Roman;Times;Serif" w:hAnsi="Times New Roman;Times;Serif"/>
                <w:b/>
                <w:i w:val="false"/>
                <w:caps w:val="false"/>
                <w:smallCaps w:val="false"/>
                <w:sz w:val="20"/>
              </w:rPr>
              <w:t>Convertible Securities Settlement Method”</w:t>
            </w:r>
            <w:r>
              <w:rPr>
                <w:rFonts w:ascii="Times New Roman;Times;Serif" w:hAnsi="Times New Roman;Times;Serif"/>
                <w:b w:val="false"/>
                <w:i w:val="false"/>
                <w:caps w:val="false"/>
                <w:smallCaps w:val="false"/>
                <w:sz w:val="20"/>
              </w:rPr>
              <w:t>); otherwise, the Applicable Settlement Method shall assume Counterparty had made a Cash Election with respect to such Relevant Convertible Securities (a “Deemed Cash Election”) with a Specified Dollar Amount of USD1,000 per Relevant Convertible Security and the Delivery Obligation shall be determined by the Calculation Agent as if the relevant “Observation Period” pursuant to Section 5.03(B)(i) of the Indenture were the Cash Settlement Averaging Period.</w:t>
            </w:r>
          </w:p>
        </w:tc>
      </w:tr>
      <w:tr>
        <w:trPr/>
        <w:tc>
          <w:tcPr>
            <w:tcW w:w="119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pPr>
            <w:r>
              <w:rPr/>
              <w:t> </w:t>
            </w:r>
          </w:p>
        </w:tc>
      </w:tr>
      <w:tr>
        <w:trPr/>
        <w:tc>
          <w:tcPr>
            <w:tcW w:w="1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Settlement Averaging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40 “Trading Days” (as defined in the Indenture) commencing on (I) the third “Trading Day” (as defined in the Indenture) after the Conversion Date for conversions with a related Conversion Date occurring prior to the Final Conversion Period or (II) the 41st “Scheduled Trading Day” (as defined in the Indenture) prior to the “Maturity Date” (as defined in the Indenture) for conversions with a related Conversion Date occurring during the Final Conversion Period.</w:t>
            </w:r>
          </w:p>
        </w:tc>
      </w:tr>
      <w:tr>
        <w:trPr/>
        <w:tc>
          <w:tcPr>
            <w:tcW w:w="119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pPr>
            <w:r>
              <w:rPr/>
              <w:t> </w:t>
            </w:r>
          </w:p>
        </w:tc>
      </w:tr>
      <w:tr>
        <w:trPr/>
        <w:tc>
          <w:tcPr>
            <w:tcW w:w="1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Method Election Provisions: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the Applicable Settlement Method to be the Convertible Securities Settlement Method in accordance with “Applicable Settlement Method” above, the related Notice of Exercise (or Notice of Final Convertible Security Settlement Method, as the case may be) must contain in writing the following representations and warranties from Counterparty to Dealer as of such notice delivery date:</w:t>
            </w:r>
          </w:p>
        </w:tc>
      </w:tr>
      <w:tr>
        <w:trPr/>
        <w:tc>
          <w:tcPr>
            <w:tcW w:w="119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pPr>
            <w:r>
              <w:rPr/>
              <w:t> </w:t>
            </w:r>
          </w:p>
        </w:tc>
      </w:tr>
      <w:tr>
        <w:trPr/>
        <w:tc>
          <w:tcPr>
            <w:tcW w:w="119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none of Counterparty and its officers or directors, or any person that controls, potentially controls, or otherwise exercises influence over, Counterparty’s decision to elect the Convertible Security Settlement Method is aware of any material nonpublic information regarding Counterparty or the Shares;</w:t>
            </w:r>
          </w:p>
        </w:tc>
      </w:tr>
      <w:tr>
        <w:trPr/>
        <w:tc>
          <w:tcPr>
            <w:tcW w:w="119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pPr>
            <w:r>
              <w:rPr/>
              <w:t> </w:t>
            </w:r>
          </w:p>
        </w:tc>
      </w:tr>
    </w:tbl>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42"/>
        <w:gridCol w:w="60"/>
        <w:gridCol w:w="9003"/>
      </w:tblGrid>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Counterparty is electing the Convertible Security Settlement Method in good faith and not as part of a plan or scheme to evade compliance with the U.S. federal securities laws; Counterparty is not electing the Convertible Security Settlement Method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and Counterparty has not entered into or altered any hedging transaction relating to the Shares corresponding to or offsetting the Transaction;</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left"/>
              <w:rPr/>
            </w:pPr>
            <w:r>
              <w:rPr/>
              <w:t> </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Counterparty has the power to make such election and to execute and deliver any documentation relating to such election that it is required by this Confirmation to deliver and to perform its obligations under this Confirmation and has taken all necessary action to authorize such election, execution, delivery and performance;</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left"/>
              <w:rPr/>
            </w:pPr>
            <w:r>
              <w:rPr/>
              <w:t> </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election and performance of its obligations under this Confirmation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 and</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left"/>
              <w:rPr/>
            </w:pPr>
            <w:r>
              <w:rPr/>
              <w:t> </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transaction that Dealer makes with respect to the Shares during the period beginning at the time that Counterparty delivers such notice and ending at the close of business on the final day of the Cash Settlement Averaging Period shall be made by Dealer at Dealer’s sole discretion for Dealer’s own account and Counterparty shall not have, and shall not attempt to exercise, any influence over how, when, whether or at what price Dealer effects such transactions, including, without limitation, the prices paid or received by Dealer per Share pursuant to such transactions, or whether such transactions are made on any securities exchange or privately.</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left"/>
              <w:rPr/>
            </w:pPr>
            <w:r>
              <w:rPr/>
              <w:t> </w:t>
            </w:r>
          </w:p>
        </w:tc>
      </w:tr>
      <w:tr>
        <w:trPr/>
        <w:tc>
          <w:tcPr>
            <w:tcW w:w="1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Delivery Obligation: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the Exchange Business Day immediately following the last day of the relevant Cash Settlement Averaging Period, Counterparty shall give Dealer notice of the final number of Shares and/or amount of cash included in the Total Convertible Share Obligation Value (as defined</w:t>
            </w:r>
          </w:p>
        </w:tc>
      </w:tr>
      <w:tr>
        <w:trPr/>
        <w:tc>
          <w:tcPr>
            <w:tcW w:w="11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3" w:type="dxa"/>
            <w:tcBorders/>
            <w:vAlign w:val="center"/>
          </w:tcPr>
          <w:p>
            <w:pPr>
              <w:pStyle w:val="TableContents"/>
              <w:bidi w:val="0"/>
              <w:spacing w:before="0" w:after="283"/>
              <w:jc w:val="left"/>
              <w:rPr/>
            </w:pPr>
            <w:r>
              <w:rPr/>
              <w:t> </w:t>
            </w:r>
          </w:p>
        </w:tc>
      </w:tr>
    </w:tbl>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89"/>
        <w:gridCol w:w="60"/>
        <w:gridCol w:w="8956"/>
      </w:tblGrid>
      <w:tr>
        <w:trPr/>
        <w:tc>
          <w:tcPr>
            <w:tcW w:w="1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below);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Exercise Date occurring during the Final Conversion Period, Counterparty may provide Dealer with a single notice of the aggregate number of Shares and/or amount of cash included in the Total Convertible Share Obligation Value for all Exercise Dates occurring during such period (it being understood, for the avoidance of doubt, that the requirement of Counterparty to deliver such notice shall not limit Counterparty’s obligations with respect to a Notice of Exercise or Notice of Final Convertible Security Settlement Method, as the case may be, as set forth above, in any way).</w:t>
            </w:r>
          </w:p>
        </w:tc>
      </w:tr>
      <w:tr>
        <w:trPr/>
        <w:tc>
          <w:tcPr>
            <w:tcW w:w="1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pPr>
            <w:r>
              <w:rPr/>
              <w:t> </w:t>
            </w:r>
          </w:p>
        </w:tc>
      </w:tr>
      <w:tr>
        <w:trPr/>
        <w:tc>
          <w:tcPr>
            <w:tcW w:w="1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Convertible Share Obligation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Relevant Convertible Securities as to a Conversion Date, the product of (i) the Applicable Percentage and (ii)(A) the Total Convertible Share Obligation Value of such Relevant Convertible Securities for such Conversion Date minus (B) the aggregate principal amount of such Relevant Convertible Securities for such Conversion Date.</w:t>
            </w:r>
          </w:p>
        </w:tc>
      </w:tr>
      <w:tr>
        <w:trPr/>
        <w:tc>
          <w:tcPr>
            <w:tcW w:w="1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pPr>
            <w:r>
              <w:rPr/>
              <w:t> </w:t>
            </w:r>
          </w:p>
        </w:tc>
      </w:tr>
      <w:tr>
        <w:trPr/>
        <w:tc>
          <w:tcPr>
            <w:tcW w:w="1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Convertible Share Obligation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With respect to Relevant Convertible Securities with respect to a Conversion Date, (i) (A) the number of Shares equal to the aggregate number of Shares that Counterparty is obligated to deliver to the holder(s) of Relevant Convertible Securities for such Conversion Date pursuant to the Indenture (it being understood that such number of Shares shall be determined taking into consideration any rounding pursuant to Section 5.03(B)(ii) of the Indenture) multiplied by (B) the Share Obligation Value Price plus (ii) an amount of cash equal to the aggregate amount of cash that Counterparty is obligated to deliver to the holder(s) of Relevant Convertible Securities for such Conversion Date pursuant to the Indenture (including, for the avoidance of doubt, any cash payable by Counterparty in lieu of fractional Shares);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Total Convertible Share Obligation Value shall be determined excluding any Shares and/or cash that Counterparty is obligated to deliver to holder(s) of the Relevant Convertible Securities as a direct or indirect result of any adjustments to the Conversion Rate pursuant to a Fundamental Change Adjustment or a Discretionary Adjustment and any interest payment that Counterparty is (or would have been) obligated to deliver to holder(s) of the Relevant Convertible Securities for such Conversion Date.</w:t>
            </w:r>
          </w:p>
        </w:tc>
      </w:tr>
      <w:tr>
        <w:trPr/>
        <w:tc>
          <w:tcPr>
            <w:tcW w:w="1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pPr>
            <w:r>
              <w:rPr/>
              <w:t> </w:t>
            </w:r>
          </w:p>
        </w:tc>
      </w:tr>
      <w:tr>
        <w:trPr/>
        <w:tc>
          <w:tcPr>
            <w:tcW w:w="1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Obligation Value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price as displayed under the heading “Op” on Bloomberg page “WGO.N &lt;Equity&gt;” (or any successor thereto) on the applicable Settlement Date or other date of delivery.</w:t>
            </w:r>
          </w:p>
        </w:tc>
      </w:tr>
      <w:tr>
        <w:trPr/>
        <w:tc>
          <w:tcPr>
            <w:tcW w:w="118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Applicable Provisions: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Dealer is obligated to deliver Shares hereunder, the provisions of Sections 9.8, 9.9 and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93"/>
        <w:gridCol w:w="60"/>
        <w:gridCol w:w="8852"/>
      </w:tblGrid>
      <w:tr>
        <w:trPr/>
        <w:tc>
          <w:tcPr>
            <w:tcW w:w="129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52"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9.11 of the Equity Definitions will be applicable as if “Physical Settlement” applied to the Transaction;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of the Shares.</w:t>
            </w:r>
          </w:p>
        </w:tc>
      </w:tr>
      <w:tr>
        <w:trPr/>
        <w:tc>
          <w:tcPr>
            <w:tcW w:w="129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52" w:type="dxa"/>
            <w:tcBorders/>
            <w:vAlign w:val="center"/>
          </w:tcPr>
          <w:p>
            <w:pPr>
              <w:pStyle w:val="TableContents"/>
              <w:bidi w:val="0"/>
              <w:spacing w:before="0" w:after="283"/>
              <w:jc w:val="left"/>
              <w:rPr/>
            </w:pPr>
            <w:r>
              <w:rPr/>
              <w:t> </w:t>
            </w:r>
          </w:p>
        </w:tc>
      </w:tr>
      <w:tr>
        <w:trPr/>
        <w:tc>
          <w:tcPr>
            <w:tcW w:w="12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Certificated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Equity Definitions, Dealer may, in whole or in part, deliver Shares required to be delivered to Counterparty hereunder in certificated form in lieu of delivery through the Clearance System. With respect to such certificated Shares, the Representation and Agreement contained in Section 9.11 of the Equity Definitions shall be modified by deleting the remainder of the provision after the word “encumbrance” in the fourth line thereof.</w:t>
            </w:r>
          </w:p>
        </w:tc>
      </w:tr>
      <w:tr>
        <w:trPr/>
        <w:tc>
          <w:tcPr>
            <w:tcW w:w="129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52"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tbl>
      <w:tblPr>
        <w:tblW w:w="10205" w:type="dxa"/>
        <w:jc w:val="left"/>
        <w:tblInd w:w="0" w:type="dxa"/>
        <w:tblLayout w:type="fixed"/>
        <w:tblCellMar>
          <w:top w:w="0" w:type="dxa"/>
          <w:left w:w="0" w:type="dxa"/>
          <w:bottom w:w="0" w:type="dxa"/>
          <w:right w:w="0" w:type="dxa"/>
        </w:tblCellMar>
      </w:tblPr>
      <w:tblGrid>
        <w:gridCol w:w="1073"/>
        <w:gridCol w:w="60"/>
        <w:gridCol w:w="9072"/>
      </w:tblGrid>
      <w:tr>
        <w:trPr/>
        <w:tc>
          <w:tcPr>
            <w:tcW w:w="1073"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pPr>
            <w:r>
              <w:rPr/>
              <w:t> </w:t>
            </w:r>
          </w:p>
        </w:tc>
      </w:tr>
      <w:tr>
        <w:trPr/>
        <w:tc>
          <w:tcPr>
            <w:tcW w:w="10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Adjustment: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11.2 of the Equity Definitions, upon the occurrence of any event or condition set forth in Section 5.05(A)(i), (ii), (iii), (iv) and (v) and Section 5.05(H) of the Indenture (a “Potential Adjustment Event”) that results in an adjustment under the Indenture, the Calculation Agent shall make a corresponding adjustment in respect of any one or more of the Strike Price, the Number of Options, the Option Entitlement and any other term relevant to the exercise, settlement or payment of the Transaction, subject to “Discretionary Adjustments” below. Promptly upon the occurrence of any Potential Adjustment Event, Counterparty shall notify the Calculation Agent of such Potential Adjustment Event; and once the adjustments to be made to the terms of the Indenture and the Convertible Securities in respect of such Potential Adjustment Event have been determined, Counterparty shall immediately notify the Calculation Agent in writing of the details of such adjustments.</w:t>
            </w:r>
          </w:p>
        </w:tc>
      </w:tr>
      <w:tr>
        <w:trPr/>
        <w:tc>
          <w:tcPr>
            <w:tcW w:w="1073"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pPr>
            <w:r>
              <w:rPr/>
              <w:t> </w:t>
            </w:r>
          </w:p>
        </w:tc>
      </w:tr>
      <w:tr>
        <w:trPr/>
        <w:tc>
          <w:tcPr>
            <w:tcW w:w="1073"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or in the Equity Definitions:</w:t>
            </w:r>
          </w:p>
        </w:tc>
      </w:tr>
      <w:tr>
        <w:trPr/>
        <w:tc>
          <w:tcPr>
            <w:tcW w:w="1073"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72" w:type="dxa"/>
            <w:tcBorders/>
            <w:vAlign w:val="center"/>
          </w:tcPr>
          <w:p>
            <w:pPr>
              <w:pStyle w:val="TableContents"/>
              <w:bidi w:val="0"/>
              <w:spacing w:before="0" w:after="283"/>
              <w:jc w:val="left"/>
              <w:rPr/>
            </w:pPr>
            <w:r>
              <w:rPr/>
              <w:t> </w:t>
            </w:r>
          </w:p>
        </w:tc>
      </w:tr>
      <w:tr>
        <w:trPr/>
        <w:tc>
          <w:tcPr>
            <w:tcW w:w="1073"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connection with any Potential Adjustment Event as a result of an event or condition set forth in Section 5.05(A)(ii) of the Indenture or Section 5.05(A)(iii)(1) of the Indenture where, in either case, the period for determining “Y” (as such term is used in Section 5.05(A)(ii) of the Indenture) or “SP” (as such term is used in Section 5.05(A)(iii)(1) of the Indenture), as the case may be, begins before Counterparty has publicly announced the event or condition giving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48"/>
        <w:gridCol w:w="60"/>
        <w:gridCol w:w="8897"/>
      </w:tblGrid>
      <w:tr>
        <w:trPr/>
        <w:tc>
          <w:tcPr>
            <w:tcW w:w="12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pPr>
            <w:r>
              <w:rPr/>
              <w:t> </w:t>
            </w:r>
          </w:p>
        </w:tc>
      </w:tr>
      <w:tr>
        <w:trPr/>
        <w:tc>
          <w:tcPr>
            <w:tcW w:w="12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rise to such Potential Adjustment Event, then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event or condition not having been publicly announced prior to the beginning of such period; and</w:t>
            </w:r>
          </w:p>
        </w:tc>
      </w:tr>
      <w:tr>
        <w:trPr/>
        <w:tc>
          <w:tcPr>
            <w:tcW w:w="12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pPr>
            <w:r>
              <w:rPr/>
              <w:t> </w:t>
            </w:r>
          </w:p>
        </w:tc>
      </w:tr>
      <w:tr>
        <w:trPr/>
        <w:tc>
          <w:tcPr>
            <w:tcW w:w="12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Potential Adjustment Event is declared and (a) the event or condition giving rise to such Potential Adjustment Event is subsequently amended, modified, cancelled or abandoned, (b) the Conversion Rate is otherwise not adjusted at the time or in the manner contemplated by the Indenture based on such declaration or (c) the Conversion Rate is adjusted as a result of such Potential Adjustment Event and subsequently re-adjusted (each of clauses (a), (b) and (c), a “Potential Adjustment Event Change”), then, in each case,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Potential Adjustment Event Change.</w:t>
            </w:r>
          </w:p>
        </w:tc>
      </w:tr>
      <w:tr>
        <w:trPr/>
        <w:tc>
          <w:tcPr>
            <w:tcW w:w="12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pPr>
            <w:r>
              <w:rPr/>
              <w:t> </w:t>
            </w:r>
          </w:p>
        </w:tc>
      </w:tr>
      <w:tr>
        <w:trPr/>
        <w:tc>
          <w:tcPr>
            <w:tcW w:w="12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Potential Adjustment Event Change, Counterparty shall immediately notify the Calculation Agent in writing of the details of such Potential Adjustment Event Change.</w:t>
            </w:r>
          </w:p>
        </w:tc>
      </w:tr>
      <w:tr>
        <w:trPr/>
        <w:tc>
          <w:tcPr>
            <w:tcW w:w="12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pPr>
            <w:r>
              <w:rPr/>
              <w:t> </w:t>
            </w:r>
          </w:p>
        </w:tc>
      </w:tr>
      <w:tr>
        <w:trPr/>
        <w:tc>
          <w:tcPr>
            <w:tcW w:w="12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Dealer shall not have any payment or delivery obligation hereunder in respect of, and no adjustment shall be made to the terms of the Transaction on account of, (x) any distribution of cash, property or securities by Counterparty to the holders of Convertible Securities (upon conversion or otherwise) or (y) any other transaction in which holders of Convertible Securities are entitled to participate, in each case, in lieu of an adjustment under the Indenture in respect of a Potential Adjustment Event (including, without limitation, under the proviso to the first sentence of Section 5.05(A)(iii)(1) of the Indenture or the proviso to the first sentence of Section 5.05(A)(iv) of the Indenture).</w:t>
            </w:r>
          </w:p>
        </w:tc>
      </w:tr>
      <w:tr>
        <w:trPr/>
        <w:tc>
          <w:tcPr>
            <w:tcW w:w="124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pPr>
            <w:r>
              <w:rPr/>
              <w:t> </w:t>
            </w:r>
          </w:p>
        </w:tc>
      </w:tr>
      <w:tr>
        <w:trPr/>
        <w:tc>
          <w:tcPr>
            <w:tcW w:w="1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Adjustments:</w:t>
            </w:r>
          </w:p>
        </w:tc>
        <w:tc>
          <w:tcPr>
            <w:tcW w:w="60"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20"/>
              </w:rPr>
            </w:pPr>
            <w:r>
              <w:rPr>
                <w:sz w:val="20"/>
              </w:rPr>
              <w:t>Notwithstanding anything to the contrary herein or in the Equity Definitions, if the Calculation Agent in good faith disagrees with any adjustment under the</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79"/>
        <w:gridCol w:w="60"/>
        <w:gridCol w:w="9266"/>
      </w:tblGrid>
      <w:tr>
        <w:trPr/>
        <w:tc>
          <w:tcPr>
            <w:tcW w:w="87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that involves an exercise of discretion by Counterparty or its board of directors (including, without limitation, pursuant to Section 5.05(H) of the Indenture or pursuant to Section 5.08(A)  of the Indenture or any supplemental indenture entered into thereunder (a “</w:t>
            </w:r>
            <w:r>
              <w:rPr>
                <w:rFonts w:ascii="Times New Roman;Times;Serif" w:hAnsi="Times New Roman;Times;Serif"/>
                <w:b/>
                <w:i w:val="false"/>
                <w:caps w:val="false"/>
                <w:smallCaps w:val="false"/>
                <w:sz w:val="20"/>
              </w:rPr>
              <w:t>Merger Supplemental Indenture</w:t>
            </w:r>
            <w:r>
              <w:rPr>
                <w:rFonts w:ascii="Times New Roman;Times;Serif" w:hAnsi="Times New Roman;Times;Serif"/>
                <w:b w:val="false"/>
                <w:i w:val="false"/>
                <w:caps w:val="false"/>
                <w:smallCaps w:val="false"/>
                <w:sz w:val="20"/>
              </w:rPr>
              <w:t xml:space="preserve">”) or in connection with the determination of the fair value of any securities, property, rights or other assets), then the Calculation Agent will determine the adjustment to be made to any one or more of the Strike Price, Number of Options, Option Entitlement and any other variable relevant to the exercise, settlement or payment of or under the Transaction in a commercially reasonable manner and, for the avoidance of doubt, the Delivery Obligation shall be calculated on the basis of such adjustments by the Calculation Agent;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notwithstanding the foregoing, in any Potential Adjustment Event occurs during the Cash Settlement Averaging Period but no adjustment was made to any Convertible Note under the Indenture because the relevant Holder (as such term is defined in the Indenture) was deemed to be a record holder of the underlying Shares on the related Conversion Date, then the Calculation Agent shall make an adjustment, as determined by it, to the terms hereof in order to account for such Potential Adjustment Event.</w:t>
            </w:r>
          </w:p>
        </w:tc>
      </w:tr>
      <w:tr>
        <w:trPr/>
        <w:tc>
          <w:tcPr>
            <w:tcW w:w="87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66"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If (i) at any time during the period from and including the Trade Date, to but excluding the Expiration Date, an ex-dividend date for a regular quarterly cash dividend occurs with respect to the Shares (an “Ex-Dividend Date”) and that dividend is less than the Regular Dividend on a per Share basis or (ii) no Ex-Dividend Date for a regular quarterly cash dividend occurs with respect to the Shares in any quarterly dividend period of Counterparty, then the Calculation Agent will make a corresponding adjustment in respect of any one or more of the Strike Price, the Number of Options, the Option Entitlement and any other term relevant to the exercise, settlement or payment of the Transaction to account for the economic effect on the Transaction of such dividend or lack thereof, and, for the avoidance of doubt, any such adjustments shall be taken into account in calculating the Delivery Obligation. “</w:t>
            </w:r>
            <w:r>
              <w:rPr>
                <w:rFonts w:ascii="Times New Roman;Times;Serif" w:hAnsi="Times New Roman;Times;Serif"/>
                <w:b/>
                <w:i w:val="false"/>
                <w:caps w:val="false"/>
                <w:smallCaps w:val="false"/>
                <w:sz w:val="20"/>
              </w:rPr>
              <w:t>Regular Dividend</w:t>
            </w:r>
            <w:r>
              <w:rPr>
                <w:rFonts w:ascii="Times New Roman;Times;Serif" w:hAnsi="Times New Roman;Times;Serif"/>
                <w:b w:val="false"/>
                <w:i w:val="false"/>
                <w:caps w:val="false"/>
                <w:smallCaps w:val="false"/>
                <w:sz w:val="20"/>
              </w:rPr>
              <w:t>” shall mean USD 0.31 per Share.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56"/>
        <w:gridCol w:w="60"/>
        <w:gridCol w:w="8989"/>
      </w:tblGrid>
      <w:tr>
        <w:trPr/>
        <w:tc>
          <w:tcPr>
            <w:tcW w:w="1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Certain Other Events: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shall give Dealer commercially reasonable advance (but in no event less than one Exchange Business Day) written notice of the section or sections of the Indenture and, if applicable, the formula therein, pursuant to which any adjustment will be made to the Convertible Securities in connection with any Potential Adjustment Event, Merger Event or Tender Offer.</w:t>
            </w:r>
          </w:p>
        </w:tc>
      </w:tr>
      <w:tr>
        <w:trPr/>
        <w:tc>
          <w:tcPr>
            <w:tcW w:w="115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8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Extraordinary Events:</w:t>
      </w:r>
    </w:p>
    <w:tbl>
      <w:tblPr>
        <w:tblW w:w="10205" w:type="dxa"/>
        <w:jc w:val="left"/>
        <w:tblInd w:w="0" w:type="dxa"/>
        <w:tblLayout w:type="fixed"/>
        <w:tblCellMar>
          <w:top w:w="0" w:type="dxa"/>
          <w:left w:w="0" w:type="dxa"/>
          <w:bottom w:w="0" w:type="dxa"/>
          <w:right w:w="0" w:type="dxa"/>
        </w:tblCellMar>
      </w:tblPr>
      <w:tblGrid>
        <w:gridCol w:w="1288"/>
        <w:gridCol w:w="60"/>
        <w:gridCol w:w="8857"/>
      </w:tblGrid>
      <w:tr>
        <w:trPr/>
        <w:tc>
          <w:tcPr>
            <w:tcW w:w="12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57" w:type="dxa"/>
            <w:tcBorders/>
            <w:vAlign w:val="center"/>
          </w:tcPr>
          <w:p>
            <w:pPr>
              <w:pStyle w:val="TableContents"/>
              <w:bidi w:val="0"/>
              <w:spacing w:before="0" w:after="283"/>
              <w:jc w:val="left"/>
              <w:rPr/>
            </w:pPr>
            <w:r>
              <w:rPr/>
              <w:t> </w:t>
            </w:r>
          </w:p>
        </w:tc>
      </w:tr>
      <w:tr>
        <w:trPr/>
        <w:tc>
          <w:tcPr>
            <w:tcW w:w="12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Events: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12.1(b) of the Equity Definitions, “Merger Event” shall mean the occurrence of any event or condition set forth in the definition of “Common Stock Change Event” set forth in Section 5.08(A) of the Indenture.</w:t>
            </w:r>
          </w:p>
        </w:tc>
      </w:tr>
      <w:tr>
        <w:trPr/>
        <w:tc>
          <w:tcPr>
            <w:tcW w:w="12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57" w:type="dxa"/>
            <w:tcBorders/>
            <w:vAlign w:val="center"/>
          </w:tcPr>
          <w:p>
            <w:pPr>
              <w:pStyle w:val="TableContents"/>
              <w:bidi w:val="0"/>
              <w:spacing w:before="0" w:after="283"/>
              <w:jc w:val="left"/>
              <w:rPr/>
            </w:pPr>
            <w:r>
              <w:rPr/>
              <w:t> </w:t>
            </w:r>
          </w:p>
        </w:tc>
      </w:tr>
      <w:tr>
        <w:trPr/>
        <w:tc>
          <w:tcPr>
            <w:tcW w:w="12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Merger Events: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57"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Notwithstanding Section 12.2 of the Equity Definitions, upon the occurrence of a Merger Event, the Calculation Agent shall make an adjustment to the terms relevant to the exercise, settlement or payment of the Transaction corresponding to the adjustment required under Section 5.08 of the Indenture in respect of such Merger Event, as determined by the Calculation Agent (by reference to such Section), subject to “Discretionary Adjustments”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adjustment shall be made without regard to any adjustment to the Conversion Rate pursuant to a Fundamental Change Adjustment or a Discretionary Adjustment; and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further that the Calculation Agent may make such further adjustments to the terms of the Transaction as may be necessary to ensure that the fair value of the Transaction to Dealer is not adversely affected as a result of any adjustment referenced in this paragraph and, for the avoidance of doubt, any such further adjustments shall be taken into account in calculating the Delivery Obligation; and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further that if, with respect to a Merger Event, (i) the consideration for the Shares includes (or, at the option of a holder of Shares, may include) shares of an entity or person that is not a corporation organized under the laws of the United States, any state thereof or the District of Columbia or (ii) the Counterparty to the Transaction, following such Merger Event, will not be a corporation organized under the laws of the United States, any state thereof or the District of Columbia and/or will not be the Issuer, Dealer may elect in its sole discretion that Cancellation and Payment (Calculation Agent Determination) shall apply.</w:t>
            </w:r>
          </w:p>
        </w:tc>
      </w:tr>
      <w:tr>
        <w:trPr/>
        <w:tc>
          <w:tcPr>
            <w:tcW w:w="128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57"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720"/>
        <w:gridCol w:w="60"/>
        <w:gridCol w:w="8425"/>
      </w:tblGrid>
      <w:tr>
        <w:trPr/>
        <w:tc>
          <w:tcPr>
            <w:tcW w:w="1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Merger Consideration and Consequences: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Merger Event, Counterparty shall reasonably promptly (but in any event prior to the relevant merger date) notify the Calculation Agent of (i) in the case of a Merger Event that causes the Shares to be converted into the right to receive more than a single type of consideration (determined based in part upon any form of stockholder election), the types and amount of consideration actually received by such holders, and (ii) the details of the adjustment to be made under the Indenture in respect of such Merger Event.</w:t>
            </w:r>
          </w:p>
        </w:tc>
      </w:tr>
    </w:tbl>
    <w:tbl>
      <w:tblPr>
        <w:tblW w:w="7240" w:type="dxa"/>
        <w:jc w:val="left"/>
        <w:tblInd w:w="0" w:type="dxa"/>
        <w:tblLayout w:type="fixed"/>
        <w:tblCellMar>
          <w:top w:w="0" w:type="dxa"/>
          <w:left w:w="0" w:type="dxa"/>
          <w:bottom w:w="0" w:type="dxa"/>
          <w:right w:w="0" w:type="dxa"/>
        </w:tblCellMar>
      </w:tblPr>
      <w:tblGrid>
        <w:gridCol w:w="3350"/>
        <w:gridCol w:w="60"/>
        <w:gridCol w:w="3830"/>
      </w:tblGrid>
      <w:tr>
        <w:trPr/>
        <w:tc>
          <w:tcPr>
            <w:tcW w:w="3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Nationalization, Insolvency or Delisting: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Cancellation and Payment (Calculation Agent </w:t>
            </w:r>
          </w:p>
        </w:tc>
      </w:tr>
      <w:tr>
        <w:trPr/>
        <w:tc>
          <w:tcPr>
            <w:tcW w:w="3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17"/>
        <w:gridCol w:w="60"/>
        <w:gridCol w:w="8828"/>
      </w:tblGrid>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Determination);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Termination Event(s):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28"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67"/>
        <w:gridCol w:w="60"/>
        <w:gridCol w:w="9078"/>
      </w:tblGrid>
      <w:tr>
        <w:trPr/>
        <w:tc>
          <w:tcPr>
            <w:tcW w:w="10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Disruption Events:</w:t>
            </w:r>
          </w:p>
        </w:tc>
        <w:tc>
          <w:tcPr>
            <w:tcW w:w="60"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283"/>
              <w:jc w:val="left"/>
              <w:rPr/>
            </w:pPr>
            <w:r>
              <w:rPr/>
              <w:t> </w:t>
            </w:r>
          </w:p>
        </w:tc>
      </w:tr>
      <w:tr>
        <w:trPr/>
        <w:tc>
          <w:tcPr>
            <w:tcW w:w="106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283"/>
              <w:jc w:val="left"/>
              <w:rPr/>
            </w:pPr>
            <w:r>
              <w:rPr/>
              <w:t> </w:t>
            </w:r>
          </w:p>
        </w:tc>
      </w:tr>
      <w:tr>
        <w:trPr/>
        <w:tc>
          <w:tcPr>
            <w:tcW w:w="10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Law:</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7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 and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further that Section 12.9(a)(ii) of the Equity Definitions is hereby amended by (i) replacing the parenthetical beginning after the word “regulation” in the second line thereof the words “(including, for the avoidance of doubt and without limitation, (x) any tax law or (y) adoption or promulgation of new regulations authorized or mandated by existing statute)” and (ii) adding the words “, or holding, acquiring or disposing of Shares or any Hedge Positions relating to,” after the words “obligations under” in clause (Y) thereof.</w:t>
            </w:r>
          </w:p>
        </w:tc>
      </w:tr>
    </w:tbl>
    <w:tbl>
      <w:tblPr>
        <w:tblW w:w="4240" w:type="dxa"/>
        <w:jc w:val="left"/>
        <w:tblInd w:w="0" w:type="dxa"/>
        <w:tblLayout w:type="fixed"/>
        <w:tblCellMar>
          <w:top w:w="0" w:type="dxa"/>
          <w:left w:w="0" w:type="dxa"/>
          <w:bottom w:w="0" w:type="dxa"/>
          <w:right w:w="0" w:type="dxa"/>
        </w:tblCellMar>
      </w:tblPr>
      <w:tblGrid>
        <w:gridCol w:w="1985"/>
        <w:gridCol w:w="60"/>
        <w:gridCol w:w="2195"/>
      </w:tblGrid>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Failure to Deliver: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Insolvency Filing: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Hedging Disruption: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w:t>
            </w:r>
          </w:p>
        </w:tc>
      </w:tr>
    </w:tbl>
    <w:p>
      <w:pPr>
        <w:pStyle w:val="TextBody"/>
        <w:bidi w:val="0"/>
        <w:spacing w:before="0" w:after="283"/>
        <w:jc w:val="left"/>
        <w:rPr/>
      </w:pPr>
      <w:r>
        <w:rPr/>
        <w:t> </w:t>
      </w:r>
    </w:p>
    <w:tbl>
      <w:tblPr>
        <w:tblW w:w="5770" w:type="dxa"/>
        <w:jc w:val="left"/>
        <w:tblInd w:w="0" w:type="dxa"/>
        <w:tblLayout w:type="fixed"/>
        <w:tblCellMar>
          <w:top w:w="0" w:type="dxa"/>
          <w:left w:w="0" w:type="dxa"/>
          <w:bottom w:w="0" w:type="dxa"/>
          <w:right w:w="0" w:type="dxa"/>
        </w:tblCellMar>
      </w:tblPr>
      <w:tblGrid>
        <w:gridCol w:w="75"/>
        <w:gridCol w:w="60"/>
        <w:gridCol w:w="200"/>
        <w:gridCol w:w="54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12.9(a)(v) of the Equity Definitions is hereby amended by:</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237"/>
        <w:gridCol w:w="977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inserting the following words at the end of clause (A) thereof: “in the manner contemplated by the Hedging Party on the Trade Date”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inserting the following paragraphs at the end of such Section: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5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Such inability described in clauses (A) or (B) above shall not constitute a “Hedging Disruption” if such inability results from Hedging Party’s creditworthiness.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07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42"/>
        <w:gridCol w:w="60"/>
        <w:gridCol w:w="332"/>
        <w:gridCol w:w="8571"/>
      </w:tblGrid>
      <w:tr>
        <w:trPr/>
        <w:tc>
          <w:tcPr>
            <w:tcW w:w="12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85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12.9(b)(iii) of the Equity Definitions is hereby amended by inserting in the third line thereof, after the words “to terminate the Transaction”, the words “or a portion of the Transaction affected by such Hedging Disruption”.</w:t>
            </w:r>
          </w:p>
        </w:tc>
      </w:tr>
      <w:tr>
        <w:trPr/>
        <w:tc>
          <w:tcPr>
            <w:tcW w:w="12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03" w:type="dxa"/>
            <w:gridSpan w:val="2"/>
            <w:tcBorders/>
            <w:vAlign w:val="center"/>
          </w:tcPr>
          <w:p>
            <w:pPr>
              <w:pStyle w:val="TableContents"/>
              <w:bidi w:val="0"/>
              <w:spacing w:before="0" w:after="283"/>
              <w:jc w:val="left"/>
              <w:rPr/>
            </w:pPr>
            <w:r>
              <w:rPr/>
              <w:t> </w:t>
            </w:r>
          </w:p>
        </w:tc>
      </w:tr>
      <w:tr>
        <w:trPr/>
        <w:tc>
          <w:tcPr>
            <w:tcW w:w="1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Increased Cost of Hedging: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3"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provided that such increased cost described in Section 12.9(vi) of the Equity Definitions shall not constitute an “Increased Cost of Hedging” if such increased cost results from Hedging Party’s creditworthiness.</w:t>
            </w:r>
          </w:p>
        </w:tc>
      </w:tr>
      <w:tr>
        <w:trPr/>
        <w:tc>
          <w:tcPr>
            <w:tcW w:w="12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03" w:type="dxa"/>
            <w:gridSpan w:val="2"/>
            <w:tcBorders/>
            <w:vAlign w:val="center"/>
          </w:tcPr>
          <w:p>
            <w:pPr>
              <w:pStyle w:val="TableContents"/>
              <w:bidi w:val="0"/>
              <w:spacing w:before="0" w:after="283"/>
              <w:jc w:val="left"/>
              <w:rPr/>
            </w:pPr>
            <w:r>
              <w:rPr/>
              <w:t> </w:t>
            </w:r>
          </w:p>
        </w:tc>
      </w:tr>
      <w:tr>
        <w:trPr/>
        <w:tc>
          <w:tcPr>
            <w:tcW w:w="1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Party: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3"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r>
      <w:tr>
        <w:trPr/>
        <w:tc>
          <w:tcPr>
            <w:tcW w:w="12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03" w:type="dxa"/>
            <w:gridSpan w:val="2"/>
            <w:tcBorders/>
            <w:vAlign w:val="center"/>
          </w:tcPr>
          <w:p>
            <w:pPr>
              <w:pStyle w:val="TableContents"/>
              <w:bidi w:val="0"/>
              <w:spacing w:before="0" w:after="283"/>
              <w:jc w:val="left"/>
              <w:rPr/>
            </w:pPr>
            <w:r>
              <w:rPr/>
              <w:t> </w:t>
            </w:r>
          </w:p>
        </w:tc>
      </w:tr>
      <w:tr>
        <w:trPr/>
        <w:tc>
          <w:tcPr>
            <w:tcW w:w="1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Party: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3" w:type="dxa"/>
            <w:gridSpan w:val="2"/>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Dealer. All calculations and determinations by the Determining Party shall be made in good faith and in a commercially reasonable manner. Following any calculation by the Determining Party hereunder, upon written request by Counterparty, the Determining Party will, within five Exchange Business Days immediately following such request, provide to Counterparty a report (in a commonly used file format for the storage and manipulation of financial data) displaying in reasonable detail the basis for such calculation;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in no event will the Determining Party be obligated to share with Counterparty any proprietary or confidential data or information or any proprietary or confidential models used by it.</w:t>
            </w:r>
          </w:p>
        </w:tc>
      </w:tr>
      <w:tr>
        <w:trPr/>
        <w:tc>
          <w:tcPr>
            <w:tcW w:w="124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03" w:type="dxa"/>
            <w:gridSpan w:val="2"/>
            <w:tcBorders/>
            <w:vAlign w:val="center"/>
          </w:tcPr>
          <w:p>
            <w:pPr>
              <w:pStyle w:val="TableContents"/>
              <w:bidi w:val="0"/>
              <w:spacing w:before="0" w:after="283"/>
              <w:jc w:val="left"/>
              <w:rPr/>
            </w:pPr>
            <w:r>
              <w:rPr/>
              <w:t> </w:t>
            </w:r>
          </w:p>
        </w:tc>
      </w:tr>
    </w:tbl>
    <w:tbl>
      <w:tblPr>
        <w:tblW w:w="6475" w:type="dxa"/>
        <w:jc w:val="left"/>
        <w:tblInd w:w="0" w:type="dxa"/>
        <w:tblLayout w:type="fixed"/>
        <w:tblCellMar>
          <w:top w:w="0" w:type="dxa"/>
          <w:left w:w="0" w:type="dxa"/>
          <w:bottom w:w="0" w:type="dxa"/>
          <w:right w:w="0" w:type="dxa"/>
        </w:tblCellMar>
      </w:tblPr>
      <w:tblGrid>
        <w:gridCol w:w="5435"/>
        <w:gridCol w:w="60"/>
        <w:gridCol w:w="980"/>
      </w:tblGrid>
      <w:tr>
        <w:trPr/>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Non-Reliance: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and Acknowledgments Regarding Hedging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Acknowledgments: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83"/>
        <w:gridCol w:w="60"/>
        <w:gridCol w:w="8362"/>
      </w:tblGrid>
      <w:tr>
        <w:trPr/>
        <w:tc>
          <w:tcPr>
            <w:tcW w:w="1783" w:type="dxa"/>
            <w:tcBorders/>
            <w:vAlign w:val="center"/>
          </w:tcPr>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Calculation Agent</w:t>
            </w: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8362" w:type="dxa"/>
            <w:tcBorders/>
            <w:vAlign w:val="center"/>
          </w:tcPr>
          <w:p>
            <w:pPr>
              <w:pStyle w:val="TableContents"/>
              <w:bidi w:val="0"/>
              <w:spacing w:before="0" w:after="283"/>
              <w:jc w:val="left"/>
              <w:rPr/>
            </w:pPr>
            <w:r>
              <w:rPr/>
              <w:t> </w:t>
            </w:r>
          </w:p>
        </w:tc>
      </w:tr>
      <w:tr>
        <w:trPr/>
        <w:tc>
          <w:tcPr>
            <w:tcW w:w="178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2" w:type="dxa"/>
            <w:tcBorders/>
            <w:vAlign w:val="center"/>
          </w:tcPr>
          <w:p>
            <w:pPr>
              <w:pStyle w:val="TableContents"/>
              <w:bidi w:val="0"/>
              <w:spacing w:before="0" w:after="283"/>
              <w:jc w:val="left"/>
              <w:rPr/>
            </w:pPr>
            <w:r>
              <w:rPr/>
              <w:t> </w:t>
            </w:r>
          </w:p>
        </w:tc>
      </w:tr>
      <w:tr>
        <w:trPr/>
        <w:tc>
          <w:tcPr>
            <w:tcW w:w="178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Dealer;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obligations of the Calculation Agent hereunder and such failure continues for five Exchange Business Days following notice to the Calculation Agent by Counterparty of such failure, Counterparty shall have the right to designate a nationally recognized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Calculation Agent.</w:t>
            </w:r>
          </w:p>
        </w:tc>
      </w:tr>
      <w:tr>
        <w:trPr/>
        <w:tc>
          <w:tcPr>
            <w:tcW w:w="178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362" w:type="dxa"/>
            <w:tcBorders/>
            <w:vAlign w:val="center"/>
          </w:tcPr>
          <w:p>
            <w:pPr>
              <w:pStyle w:val="TableContents"/>
              <w:bidi w:val="0"/>
              <w:spacing w:before="0" w:after="283"/>
              <w:jc w:val="left"/>
              <w:rPr/>
            </w:pPr>
            <w:r>
              <w:rPr/>
              <w:t> </w:t>
            </w:r>
          </w:p>
        </w:tc>
      </w:tr>
      <w:tr>
        <w:trPr/>
        <w:tc>
          <w:tcPr>
            <w:tcW w:w="178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any calculation by the Calculation Agent hereunder, upon written request by Counterparty, the Calculation Agent will, within five Exchange Business Days immediately following such request, provide to Counterparty by email to the email address provided by Counterparty in such written request a report (in a commonly used file format for the storage and manipulation of financial data) displaying in reasonable detail the basis for such calculation;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no event will Dealer be obligated to share with Counterparty any proprietary or confidential data or information or any proprietary or confidential models used by it or any information that is subject to an obligation not to disclose such information.</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Account Details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Payment Instructions:</w:t>
      </w:r>
    </w:p>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1040"/>
        <w:gridCol w:w="2330"/>
      </w:tblGrid>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JPMorgan Chase Bank, N.A.</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ABA#:</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021000021</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Acct No.:</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066914272</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Beneficiary:</w:t>
            </w:r>
          </w:p>
        </w:tc>
        <w:tc>
          <w:tcPr>
            <w:tcW w:w="2330" w:type="dxa"/>
            <w:tcBorders/>
            <w:vAlign w:val="center"/>
          </w:tcPr>
          <w:p>
            <w:pPr>
              <w:pStyle w:val="TableContents"/>
              <w:bidi w:val="0"/>
              <w:spacing w:before="0" w:after="283"/>
              <w:jc w:val="left"/>
              <w:rPr>
                <w:sz w:val="20"/>
              </w:rPr>
            </w:pPr>
            <w:r>
              <w:rPr>
                <w:sz w:val="20"/>
              </w:rPr>
              <w:t>J.P. Morgan Securities LLC</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Derivatives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Payment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 by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Dealer for the Transaction is: New York, New York</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 Madison Avenue</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Counterparty for the Transaction is: Inapplicable, Counterparty is not a Multibranch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For purposes of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Address for notices or communications to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 Suite 150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MN 55347</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Kathy Hiebert,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Address for notices or communications to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288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EDG Marketing Support </w:t>
      </w:r>
    </w:p>
    <w:tbl>
      <w:tblPr>
        <w:tblW w:w="3015" w:type="dxa"/>
        <w:jc w:val="left"/>
        <w:tblInd w:w="0" w:type="dxa"/>
        <w:tblLayout w:type="fixed"/>
        <w:tblCellMar>
          <w:top w:w="0" w:type="dxa"/>
          <w:left w:w="0" w:type="dxa"/>
          <w:bottom w:w="0" w:type="dxa"/>
          <w:right w:w="0" w:type="dxa"/>
        </w:tblCellMar>
      </w:tblPr>
      <w:tblGrid>
        <w:gridCol w:w="80"/>
        <w:gridCol w:w="560"/>
        <w:gridCol w:w="2375"/>
      </w:tblGrid>
      <w:tr>
        <w:trPr/>
        <w:tc>
          <w:tcPr>
            <w:tcW w:w="8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Email:</w:t>
            </w:r>
          </w:p>
        </w:tc>
        <w:tc>
          <w:tcPr>
            <w:tcW w:w="2375" w:type="dxa"/>
            <w:tcBorders/>
            <w:vAlign w:val="center"/>
          </w:tcPr>
          <w:p>
            <w:pPr>
              <w:pStyle w:val="TableContents"/>
              <w:bidi w:val="0"/>
              <w:spacing w:before="0" w:after="283"/>
              <w:jc w:val="left"/>
              <w:rPr>
                <w:sz w:val="20"/>
              </w:rPr>
            </w:pPr>
            <w:r>
              <w:rPr>
                <w:sz w:val="20"/>
              </w:rPr>
              <w:t>edg_notices@jpmorgan.com</w:t>
            </w:r>
          </w:p>
        </w:tc>
      </w:tr>
    </w:tbl>
    <w:p>
      <w:pPr>
        <w:pStyle w:val="TextBody"/>
        <w:bidi w:val="0"/>
        <w:spacing w:before="0" w:after="0"/>
        <w:ind w:left="28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edg.us.flow.corporates.mo@jpmorgan.com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tbl>
      <w:tblPr>
        <w:tblW w:w="2520" w:type="dxa"/>
        <w:jc w:val="left"/>
        <w:tblInd w:w="0" w:type="dxa"/>
        <w:tblLayout w:type="fixed"/>
        <w:tblCellMar>
          <w:top w:w="0" w:type="dxa"/>
          <w:left w:w="0" w:type="dxa"/>
          <w:bottom w:w="0" w:type="dxa"/>
          <w:right w:w="0" w:type="dxa"/>
        </w:tblCellMar>
      </w:tblPr>
      <w:tblGrid>
        <w:gridCol w:w="80"/>
        <w:gridCol w:w="860"/>
        <w:gridCol w:w="1580"/>
      </w:tblGrid>
      <w:tr>
        <w:trPr/>
        <w:tc>
          <w:tcPr>
            <w:tcW w:w="8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Gaurav Maria</w:t>
            </w:r>
          </w:p>
        </w:tc>
      </w:tr>
      <w:tr>
        <w:trPr/>
        <w:tc>
          <w:tcPr>
            <w:tcW w:w="8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tbl>
      <w:tblPr>
        <w:tblW w:w="3225" w:type="dxa"/>
        <w:jc w:val="left"/>
        <w:tblInd w:w="0" w:type="dxa"/>
        <w:tblLayout w:type="fixed"/>
        <w:tblCellMar>
          <w:top w:w="0" w:type="dxa"/>
          <w:left w:w="0" w:type="dxa"/>
          <w:bottom w:w="0" w:type="dxa"/>
          <w:right w:w="0" w:type="dxa"/>
        </w:tblCellMar>
      </w:tblPr>
      <w:tblGrid>
        <w:gridCol w:w="80"/>
        <w:gridCol w:w="560"/>
        <w:gridCol w:w="2585"/>
      </w:tblGrid>
      <w:tr>
        <w:trPr/>
        <w:tc>
          <w:tcPr>
            <w:tcW w:w="8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Email:</w:t>
            </w:r>
          </w:p>
        </w:tc>
        <w:tc>
          <w:tcPr>
            <w:tcW w:w="2585" w:type="dxa"/>
            <w:tcBorders/>
            <w:vAlign w:val="center"/>
          </w:tcPr>
          <w:p>
            <w:pPr>
              <w:pStyle w:val="TableContents"/>
              <w:bidi w:val="0"/>
              <w:spacing w:before="0" w:after="283"/>
              <w:jc w:val="left"/>
              <w:rPr>
                <w:sz w:val="20"/>
              </w:rPr>
            </w:pPr>
            <w:r>
              <w:rPr>
                <w:sz w:val="20"/>
              </w:rPr>
              <w:t>gaurav.x.maria@jpmorgan.com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Warranties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Trade Date and as of the date of any Notice of Share Termination under (and as defined in) Section 8(c)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On the Trade Date, the Shares or securities that are convertible into, or exchangeable or exercisable for Shares, are not subject to a “restricted period,” as such term is defined in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or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(or any successor issue statements).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Without limiting the generality of Section 3(a)(iii) of the Agreement, the Transaction will not violate Rule 13e-1 or Rule 13e-4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302A.673 of the Minnesota Business Corporations Act as an “interested shareholder”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On each of the Trade Date and the Premium Payment Date, Counterparty is not “insolvent” (as such term is defined under Section 101(32) of the U.S. Bankruptcy Code (Title 11 of the United States Code)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and Counterparty would be able to purchase the Number of Shares in compliance with the laws of the jurisdiction of Counterparty’s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representations and warranties of Counterparty set forth in Section 3 of the Agreement and Section 1 of the Purchase Agreement, dated as of January 18, 2024, between Goldman Sachs &amp; Co. LLC and BMO Capital Markets Corp. as the Representatives and Counterparty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are true and correct as of the Trade Date and the Effective Date and are hereby deemed to be repeated to Dealer as if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provided however, that Counterparty makes no representation or warranty regarding any such requirement that is applicable generally to the ownership of equity securities by Dealer or any of its affiliates as a result of it or any such affiliates being financial institutions or broker-dealers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 (C) has total assets of at least $50 million. Counterparty will notify Dealer if the immediately preceding statement contained in this Section 7(a)(xi) ceases to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26, 2023,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Dealer and Counterparty acknowledges that the offer and sale of the Transaction to it is intended to be exempt from registration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Dealer and Counterparty agrees and acknowledges that Dealer is a “financial institution” and “financial participant” within the meaning of Sections 101(22) and 101(22A) of the Bankruptcy Code.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a condition to the effectiveness of the Transaction, Counterparty shall deliver to Dealer (i) an incumbency certificate, dated as of the Premium Payment Date, of Counterparty in customary form and (ii) an opinion of counsel, dated as of the Premium Payment Date and reasonably acceptable to Dealer in form and substance, with respect to the matters set forth in Section 3(a) of the Agreement, Sections 7(a)(vii) and 7(a)(xii) hereof and such other matters as Dealer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Counterparty represents and warrants that it has received, read and understands the </w:t>
      </w:r>
      <w:r>
        <w:rPr>
          <w:rFonts w:ascii="Times New Roman;Times;Serif" w:hAnsi="Times New Roman;Times;Serif"/>
          <w:b/>
          <w:i w:val="false"/>
          <w:caps w:val="false"/>
          <w:smallCaps w:val="false"/>
          <w:sz w:val="20"/>
        </w:rPr>
        <w:t>OTC Options Risk Disclosure Statement</w:t>
      </w:r>
      <w:r>
        <w:rPr>
          <w:rFonts w:ascii="Times New Roman;Times;Serif" w:hAnsi="Times New Roman;Times;Serif"/>
          <w:b w:val="false"/>
          <w:i w:val="false"/>
          <w:caps w:val="false"/>
          <w:smallCaps w:val="false"/>
          <w:sz w:val="20"/>
        </w:rPr>
        <w:t xml:space="preserve"> and a copy of the most recent disclosure pamphlet prepared by The Options Clearing Corporation entitled “</w:t>
      </w:r>
      <w:r>
        <w:rPr>
          <w:rFonts w:ascii="Times New Roman;Times;Serif" w:hAnsi="Times New Roman;Times;Serif"/>
          <w:b/>
          <w:i w:val="false"/>
          <w:caps w:val="false"/>
          <w:smallCaps w:val="false"/>
          <w:sz w:val="20"/>
        </w:rPr>
        <w:t>Characteristics and Risks of Standardized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 acknowledges and agrees to be bound by the Conduct Rules of the Financial Industry Regulatory Authority, Inc. applicable to transactions in options, and further agrees not to violate the position and exercise limits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Counterparty represents and warrants that the assets used in the Transaction (i) are not assets of any “plan” (as such term is defined in Section 4975 of the U.S. Internal Revenue Code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subject to Section 4975 of the Code or any “employee benefit plan” (as such term is defined in Section 3(3) of the U.S. Employee Retirement Income Security Act of 1974, as amended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subject to Title I of ERISA, and (ii) do not constitute “plan assets” within the meaning of Department of Labor Regulation 2510.3-101, 29 CFR Section 2510-3-101.</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On the Trade Date, neither Counterparty nor any “affiliate” or “affiliated purchaser” (each as defined in Rule 10b-18 under the Exchange Act (“</w:t>
      </w:r>
      <w:r>
        <w:rPr>
          <w:rFonts w:ascii="Times New Roman;Times;Serif" w:hAnsi="Times New Roman;Times;Serif"/>
          <w:b/>
          <w:i w:val="false"/>
          <w:caps w:val="false"/>
          <w:smallCaps w:val="false"/>
          <w:sz w:val="20"/>
        </w:rPr>
        <w:t>Rule 10b-18</w:t>
      </w:r>
      <w:r>
        <w:rPr>
          <w:rFonts w:ascii="Times New Roman;Times;Serif" w:hAnsi="Times New Roman;Times;Serif"/>
          <w:b w:val="false"/>
          <w:i w:val="false"/>
          <w:caps w:val="false"/>
          <w:smallCaps w:val="false"/>
          <w:sz w:val="20"/>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Counterparty acknowledges that the Transaction may constitute a purchase of its equity securities or a capital distribution. Counterparty further acknowledges that, pursuant to the provisions of the Coronavirus Aid, Relief and Economic Security Act (the “</w:t>
      </w:r>
      <w:r>
        <w:rPr>
          <w:rFonts w:ascii="Times New Roman;Times;Serif" w:hAnsi="Times New Roman;Times;Serif"/>
          <w:b/>
          <w:i w:val="false"/>
          <w:caps w:val="false"/>
          <w:smallCaps w:val="false"/>
          <w:sz w:val="20"/>
        </w:rPr>
        <w:t>CARES Act</w:t>
      </w:r>
      <w:r>
        <w:rPr>
          <w:rFonts w:ascii="Times New Roman;Times;Serif" w:hAnsi="Times New Roman;Times;Serif"/>
          <w:b w:val="false"/>
          <w:i w:val="false"/>
          <w:caps w:val="false"/>
          <w:smallCaps w:val="false"/>
          <w:sz w:val="20"/>
        </w:rPr>
        <w:t>”), the Counterparty will be required to agree to certain time-bound restrictions on its ability to purchase its equity securities or make capital distributions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or make capital distributions if it receives loans, loan guarantees or direct loans (as that term is defined in the CARES Act) under programs or facilities established by the Board of Governors of the Federal Reserve System or the U.S. Department of Treasury for the purpose of providing liquidity to the financial system, and may be required to agree to similar restrictions under programs or facilities established in the future. Accordingly, Counterparty represents and warrants that neither it nor any of its subsidiaries has applied for, and throughout the term of the Transaction shall not apply, for a loan, loan guarantee, direct loan (as that term is defined in the CARES Act) or other investment, or to receive any financial assistance or relief (howsoever defined) under any program or facility that (a) is established under applicable law (whether in existence as of the Trade Date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Counterparty or any of its subsidiaries agree, attest, certify or warrant that it has not, as of the date specified in such condition, repurchased, or will not repurchase, any equity security of Counterparty, and that it has not, as of the date specified in such condition, made a capital distribution or will not make a capital distribution (collectively, “</w:t>
      </w:r>
      <w:r>
        <w:rPr>
          <w:rFonts w:ascii="Times New Roman;Times;Serif" w:hAnsi="Times New Roman;Times;Serif"/>
          <w:b/>
          <w:i w:val="false"/>
          <w:caps w:val="false"/>
          <w:smallCaps w:val="false"/>
          <w:sz w:val="20"/>
        </w:rPr>
        <w:t>Restricted Financial Assistance</w:t>
      </w:r>
      <w:r>
        <w:rPr>
          <w:rFonts w:ascii="Times New Roman;Times;Serif" w:hAnsi="Times New Roman;Times;Serif"/>
          <w:b w:val="false"/>
          <w:i w:val="false"/>
          <w:caps w:val="false"/>
          <w:smallCaps w:val="false"/>
          <w:sz w:val="20"/>
        </w:rPr>
        <w:t>”); provided that Counterparty may apply for Restricted Financial Assistance if Counterparty either (a) determines, based on the advice of outside counsel of national standing, that the terms of the Transaction would not cause Counterparty to fail to satisfy any condition for application for or receipt or retention of such loan, loan guarantee, direct loan (as that term is defined in the CARES Act), investment, financial assistance or relief based on the terms of the program or facility as of the date of such advice or (b) delivers to Dealer evidence of a waiver or other guidance from a governmental authority with jurisdiction for such program or facility that the Transaction is permitted under such program or facility (either by specific reference to the Transaction or by general reference to transactions with attributes of the Transaction in all relevant respects).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(whether in existence as of the Trade Date or subsequently enacted, adopted or 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Right to Extend</w:t>
      </w:r>
      <w:r>
        <w:rPr>
          <w:rFonts w:ascii="Times New Roman;Times;Serif" w:hAnsi="Times New Roman;Times;Serif"/>
          <w:b w:val="false"/>
          <w:i w:val="false"/>
          <w:caps w:val="false"/>
          <w:smallCaps w:val="false"/>
          <w:sz w:val="20"/>
        </w:rPr>
        <w:t>. Dealer may postpone or add, in whole or in part, any Exercise Date or Settlement Date or any other date of valuation or delivery by Dealer, with respect to some or all of the relevant Options (in which event the Calculation Agent shall make appropriate adjustments to the Delivery Obligation), if Dealer determines, in its commercially reasonable discretion, that such extension or addition is reasonably necessary or appropriate to preserve Dealer’s commercially reasonable hedging or hedge unwind activity hereunder in light of existing liquidity conditions in the cash market, the stock borrow</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 and in the case of policies or procedures, so long as such policies and procedures are consistently applied to transactions similar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Additional Termination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 event of default with respect to Counterparty under the terms of the Convertible Securities as set forth in Section 7.01 of the Indenture that results in the acceleration of the Convertible Notes, or (B) an Amendment Event, in each case, shall constitute an Additional Termination Event with respect to which the Transaction is the sole Affected Transaction and Counterparty is the sole Affected Party, and Dealer shall be the party entitled to designate an Early Termination Date pursuant to Section 6(b) of the Agreement and to determine the amount payable pursuant to Section 6(e) of the Agreement. “</w:t>
      </w:r>
      <w:r>
        <w:rPr>
          <w:rFonts w:ascii="Times New Roman;Times;Serif" w:hAnsi="Times New Roman;Times;Serif"/>
          <w:b/>
          <w:i w:val="false"/>
          <w:caps w:val="false"/>
          <w:smallCaps w:val="false"/>
          <w:sz w:val="20"/>
        </w:rPr>
        <w:t>Amendment Event</w:t>
      </w:r>
      <w:r>
        <w:rPr>
          <w:rFonts w:ascii="Times New Roman;Times;Serif" w:hAnsi="Times New Roman;Times;Serif"/>
          <w:b w:val="false"/>
          <w:i w:val="false"/>
          <w:caps w:val="false"/>
          <w:smallCaps w:val="false"/>
          <w:sz w:val="20"/>
        </w:rPr>
        <w:t>” means that Counterparty amends, modifies, supplements, waives or obtains a waiver in respect of any term of the Indenture or the Convertible Securities governing the principal amount, coupon, maturity, repurchase obligation of Counterparty, any term relating to conversion of the Convertible Securities (including changes to the conversion rate, conversion rate adjustment provisions, conversion settlement dates or conversion conditions), or any term that would require consent of the holders of not less than 100% of the principal amount of the Convertible Securities to amend (other than, in each case, any amendment or supplement (x) pursuant to Section 8.01(I) of the Indenture that, as determined by the Calculation Agent, conforms the Indenture to the description of Convertible Securities in the Offering Memorandum or (y) pursuant to Section 5.08 of the Indenture), in each case, without the consent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 Scheduled Trading Days promptly following any Repayment Event (as defined below), Counterparty shall notify Dealer of such Repayment Event and the aggregate principal amount of Convertible Notes subject to such Repayment Event or the portion of such aggregate principal amount that Counterparty elects to be subject to such Repayment Event) (any such notice, a “</w:t>
      </w:r>
      <w:r>
        <w:rPr>
          <w:rFonts w:ascii="Times New Roman;Times;Serif" w:hAnsi="Times New Roman;Times;Serif"/>
          <w:b/>
          <w:i w:val="false"/>
          <w:caps w:val="false"/>
          <w:smallCaps w:val="false"/>
          <w:sz w:val="20"/>
        </w:rPr>
        <w:t>Repayment Notice</w:t>
      </w:r>
      <w:r>
        <w:rPr>
          <w:rFonts w:ascii="Times New Roman;Times;Serif" w:hAnsi="Times New Roman;Times;Serif"/>
          <w:b w:val="false"/>
          <w:i w:val="false"/>
          <w:caps w:val="false"/>
          <w:smallCaps w:val="false"/>
          <w:sz w:val="20"/>
        </w:rPr>
        <w:t>”). Any Repayment Notice shall contain a written representation by Counterparty to Dealer that Counterparty is not, on the date of such Repayment Notice, in possession of any material non-public information with respect to Counterparty or the Shares. The receipt by Dealer from Counterparty of any Repayment Notice shall constitute an Additional Termination Event as provided in this Section 8(b)(B). Upon receipt of any such Repayment Notice, Dealer shall designate an Exchange Business Day following receipt of such Repayment Notice as an Early Termination Date with respect to the portion of the Transaction corresponding to a number of Options (the “</w:t>
      </w:r>
      <w:r>
        <w:rPr>
          <w:rFonts w:ascii="Times New Roman;Times;Serif" w:hAnsi="Times New Roman;Times;Serif"/>
          <w:b/>
          <w:i w:val="false"/>
          <w:caps w:val="false"/>
          <w:smallCaps w:val="false"/>
          <w:sz w:val="20"/>
        </w:rPr>
        <w:t>Repayment Options</w:t>
      </w:r>
      <w:r>
        <w:rPr>
          <w:rFonts w:ascii="Times New Roman;Times;Serif" w:hAnsi="Times New Roman;Times;Serif"/>
          <w:b w:val="false"/>
          <w:i w:val="false"/>
          <w:caps w:val="false"/>
          <w:smallCaps w:val="false"/>
          <w:sz w:val="20"/>
        </w:rPr>
        <w:t xml:space="preserve">”) equal to the lesser of (A) the aggregate principal amount of such Convertible Notes specified in such Repayment Notice,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USD 1,000,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Times;Serif" w:hAnsi="Times New Roman;Times;Serif"/>
          <w:b/>
          <w:i w:val="false"/>
          <w:caps w:val="false"/>
          <w:smallCaps w:val="false"/>
          <w:sz w:val="20"/>
        </w:rPr>
        <w:t>Repayment Unwind Payment</w:t>
      </w:r>
      <w:r>
        <w:rPr>
          <w:rFonts w:ascii="Times New Roman;Times;Serif" w:hAnsi="Times New Roman;Times;Serif"/>
          <w:b w:val="false"/>
          <w:i w:val="false"/>
          <w:caps w:val="false"/>
          <w:smallCaps w:val="false"/>
          <w:sz w:val="20"/>
        </w:rPr>
        <w:t xml:space="preserve">”)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and (3) the terminated portion of the Transaction were the sole Affected Transaction;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the event of a Repayment Event pursuant to Section 4.02 of the Indenture or Section 4.03 of the Indenture, such payment shall not be greater than (x) the number of Repayment Options multiplied by (y) the product of (A) the Applicable Percentage and (B) the excess, if any of (I) the amount paid by Counterparty per Convertible Security pursuant to Section 4.02 of the Indenture or Section 4.03 of the Indenture, as the case may be, over (II) USD 1,000.” “</w:t>
      </w:r>
      <w:r>
        <w:rPr>
          <w:rFonts w:ascii="Times New Roman;Times;Serif" w:hAnsi="Times New Roman;Times;Serif"/>
          <w:b/>
          <w:i w:val="false"/>
          <w:caps w:val="false"/>
          <w:smallCaps w:val="false"/>
          <w:sz w:val="20"/>
        </w:rPr>
        <w:t>Repayment Event</w:t>
      </w:r>
      <w:r>
        <w:rPr>
          <w:rFonts w:ascii="Times New Roman;Times;Serif" w:hAnsi="Times New Roman;Times;Serif"/>
          <w:b w:val="false"/>
          <w:i w:val="false"/>
          <w:caps w:val="false"/>
          <w:smallCaps w:val="false"/>
          <w:sz w:val="20"/>
        </w:rPr>
        <w:t>” means that (i) any Convertible Notes are repurchased or redeemed (whether pursuant to Section 4.02 of the Indenture, Section 4.03 of the Indenture or for any other reason) by Counterparty or any of its subsidiaries, (ii) any Convertible Notes are delivered to Counterparty or any of its subsidiaries in</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for delivery of any property or assets of such party (howsoever described), (iii) any principal of any of the Convertible Notes is repaid prior to the final maturity date of the Convertible Notes, or (iv) any Convertible Notes are exchanged by or for the benefit of the Holders (as such term is defined in the Indenture) thereof for any other securities of Counterparty or any of its subsidiaries (or any other property, or any combination thereof) pursuant to any exchange offer or similar transaction. For the avoidance of doubt, any conversion of Convertible Notes pursuant to the terms of the Indenture shall not constitute a Repayment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Alternative Calculations and Payment on Early Termination and on Certain Extraordinary Events</w:t>
      </w:r>
      <w:r>
        <w:rPr>
          <w:rFonts w:ascii="Times New Roman;Times;Serif" w:hAnsi="Times New Roman;Times;Serif"/>
          <w:b w:val="false"/>
          <w:i w:val="false"/>
          <w:caps w:val="false"/>
          <w:smallCaps w:val="false"/>
          <w:sz w:val="20"/>
        </w:rPr>
        <w:t>. If Dealer shall owe Counterparty any amount pursuant to Section 6(d)(ii) of the Agreement (a “</w:t>
      </w:r>
      <w:r>
        <w:rPr>
          <w:rFonts w:ascii="Times New Roman;Times;Serif" w:hAnsi="Times New Roman;Times;Serif"/>
          <w:b/>
          <w:i w:val="false"/>
          <w:caps w:val="false"/>
          <w:smallCaps w:val="false"/>
          <w:sz w:val="20"/>
        </w:rPr>
        <w:t>Payment Obligation</w:t>
      </w:r>
      <w:r>
        <w:rPr>
          <w:rFonts w:ascii="Times New Roman;Times;Serif" w:hAnsi="Times New Roman;Times;Serif"/>
          <w:b w:val="false"/>
          <w:i w:val="false"/>
          <w:caps w:val="false"/>
          <w:smallCaps w:val="false"/>
          <w:sz w:val="20"/>
        </w:rPr>
        <w:t>”), Counterparty shall have the right, in its sole discretion, to require Dealer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relevant merger date, Announcement Date, Early Termination Date or date of cancellation or termination in respect of an Extraordinary Event, as applicable (“</w:t>
      </w:r>
      <w:r>
        <w:rPr>
          <w:rFonts w:ascii="Times New Roman;Times;Serif" w:hAnsi="Times New Roman;Times;Serif"/>
          <w:b/>
          <w:i w:val="false"/>
          <w:caps w:val="false"/>
          <w:smallCaps w:val="false"/>
          <w:sz w:val="20"/>
        </w:rPr>
        <w:t>Notice of Share Termination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does not elect to require Dealer to satisfy its Payment Obligation by the Share Termination Alternative, Dealer shall have the right, in its sole discretion, to elect to satisfy its Payment Obligation by the Share Termination Alternative, notwithstanding Counterparty’s failure to elect or election to the contrary;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relevant merger date, Announcement Date, Early Termination Date or date of cancellation or termination in respect of an Extraordinary Event, as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4"/>
        <w:gridCol w:w="8731"/>
      </w:tblGrid>
      <w:tr>
        <w:trPr/>
        <w:tc>
          <w:tcPr>
            <w:tcW w:w="14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Termination Alternative:</w:t>
            </w:r>
          </w:p>
        </w:tc>
        <w:tc>
          <w:tcPr>
            <w:tcW w:w="87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means that Dealer shall deliver to Counterparty the Share Termination Delivery Property on the date on which the Payment Obligation would otherwise be due pursuant to Section 6(d)(ii) of the Agreement or such later date or dates as Dealer may commercially reasonably determine (the “</w:t>
            </w:r>
            <w:r>
              <w:rPr>
                <w:rFonts w:ascii="Times New Roman;Times;Serif" w:hAnsi="Times New Roman;Times;Serif"/>
                <w:b/>
                <w:sz w:val="20"/>
              </w:rPr>
              <w:t>Share Termination Payment Date</w:t>
            </w:r>
            <w:r>
              <w:rPr>
                <w:rFonts w:ascii="Times New Roman;Times;Serif" w:hAnsi="Times New Roman;Times;Serif"/>
                <w:sz w:val="20"/>
              </w:rPr>
              <w:t>”) taking into account commercially reasonable hedging or hedge unwind activity, in satisfaction of the Payment Obligation.</w:t>
            </w:r>
          </w:p>
        </w:tc>
      </w:tr>
      <w:tr>
        <w:trPr/>
        <w:tc>
          <w:tcPr>
            <w:tcW w:w="1474" w:type="dxa"/>
            <w:tcBorders/>
            <w:vAlign w:val="center"/>
          </w:tcPr>
          <w:p>
            <w:pPr>
              <w:pStyle w:val="TableContents"/>
              <w:bidi w:val="0"/>
              <w:spacing w:before="0" w:after="283"/>
              <w:jc w:val="left"/>
              <w:rPr/>
            </w:pPr>
            <w:r>
              <w:rPr/>
              <w:t> </w:t>
            </w:r>
          </w:p>
        </w:tc>
        <w:tc>
          <w:tcPr>
            <w:tcW w:w="8731" w:type="dxa"/>
            <w:tcBorders/>
            <w:vAlign w:val="center"/>
          </w:tcPr>
          <w:p>
            <w:pPr>
              <w:pStyle w:val="TableContents"/>
              <w:bidi w:val="0"/>
              <w:spacing w:before="0" w:after="283"/>
              <w:jc w:val="left"/>
              <w:rPr/>
            </w:pPr>
            <w:r>
              <w:rPr/>
              <w:t> </w:t>
            </w:r>
          </w:p>
        </w:tc>
      </w:tr>
      <w:tr>
        <w:trPr/>
        <w:tc>
          <w:tcPr>
            <w:tcW w:w="14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Share Termination Delivery Property: </w:t>
            </w:r>
          </w:p>
        </w:tc>
        <w:tc>
          <w:tcPr>
            <w:tcW w:w="8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equal to the value of such fractional security based on the values used to calculate the Share Termination Unit Price.</w:t>
            </w:r>
          </w:p>
        </w:tc>
      </w:tr>
      <w:tr>
        <w:trPr/>
        <w:tc>
          <w:tcPr>
            <w:tcW w:w="1474" w:type="dxa"/>
            <w:tcBorders/>
            <w:vAlign w:val="center"/>
          </w:tcPr>
          <w:p>
            <w:pPr>
              <w:pStyle w:val="TableContents"/>
              <w:bidi w:val="0"/>
              <w:spacing w:before="0" w:after="283"/>
              <w:jc w:val="left"/>
              <w:rPr/>
            </w:pPr>
            <w:r>
              <w:rPr/>
              <w:t> </w:t>
            </w:r>
          </w:p>
        </w:tc>
        <w:tc>
          <w:tcPr>
            <w:tcW w:w="8731" w:type="dxa"/>
            <w:tcBorders/>
            <w:vAlign w:val="center"/>
          </w:tcPr>
          <w:p>
            <w:pPr>
              <w:pStyle w:val="TableContents"/>
              <w:bidi w:val="0"/>
              <w:spacing w:before="0" w:after="283"/>
              <w:jc w:val="left"/>
              <w:rPr/>
            </w:pPr>
            <w:r>
              <w:rPr/>
              <w:t> </w:t>
            </w:r>
          </w:p>
        </w:tc>
      </w:tr>
      <w:tr>
        <w:trPr/>
        <w:tc>
          <w:tcPr>
            <w:tcW w:w="14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Termination Unit Price:</w:t>
            </w:r>
          </w:p>
        </w:tc>
        <w:tc>
          <w:tcPr>
            <w:tcW w:w="87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value of property contained in one Share Termination Delivery Unit on the date such Share Termination Delivery Units are to be delivered as Share Termination Delivery Property, as determined by the Calculation Agent and notified by the Calculation Agent to Dealer at the time of notification of the Payment Obligation.</w:t>
            </w:r>
          </w:p>
        </w:tc>
      </w:tr>
      <w:tr>
        <w:trPr/>
        <w:tc>
          <w:tcPr>
            <w:tcW w:w="1474" w:type="dxa"/>
            <w:tcBorders/>
            <w:vAlign w:val="center"/>
          </w:tcPr>
          <w:p>
            <w:pPr>
              <w:pStyle w:val="TableContents"/>
              <w:bidi w:val="0"/>
              <w:spacing w:before="0" w:after="283"/>
              <w:jc w:val="left"/>
              <w:rPr/>
            </w:pPr>
            <w:r>
              <w:rPr/>
              <w:t> </w:t>
            </w:r>
          </w:p>
        </w:tc>
        <w:tc>
          <w:tcPr>
            <w:tcW w:w="8731" w:type="dxa"/>
            <w:tcBorders/>
            <w:vAlign w:val="center"/>
          </w:tcPr>
          <w:p>
            <w:pPr>
              <w:pStyle w:val="TableContents"/>
              <w:bidi w:val="0"/>
              <w:spacing w:before="0" w:after="283"/>
              <w:jc w:val="left"/>
              <w:rPr/>
            </w:pPr>
            <w:r>
              <w:rPr/>
              <w:t> </w:t>
            </w:r>
          </w:p>
        </w:tc>
      </w:tr>
      <w:tr>
        <w:trPr/>
        <w:tc>
          <w:tcPr>
            <w:tcW w:w="14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Termination Delivery Unit:</w:t>
            </w:r>
          </w:p>
        </w:tc>
        <w:tc>
          <w:tcPr>
            <w:tcW w:w="87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50"/>
        <w:gridCol w:w="9055"/>
      </w:tblGrid>
      <w:tr>
        <w:trPr/>
        <w:tc>
          <w:tcPr>
            <w:tcW w:w="1150" w:type="dxa"/>
            <w:tcBorders/>
            <w:vAlign w:val="center"/>
          </w:tcPr>
          <w:p>
            <w:pPr>
              <w:pStyle w:val="TableContents"/>
              <w:bidi w:val="0"/>
              <w:spacing w:before="0" w:after="283"/>
              <w:jc w:val="left"/>
              <w:rPr/>
            </w:pPr>
            <w:r>
              <w:rPr/>
              <w:t> </w:t>
            </w:r>
          </w:p>
        </w:tc>
        <w:tc>
          <w:tcPr>
            <w:tcW w:w="9055" w:type="dxa"/>
            <w:tcBorders/>
            <w:vAlign w:val="center"/>
          </w:tcPr>
          <w:p>
            <w:pPr>
              <w:pStyle w:val="TableContents"/>
              <w:bidi w:val="0"/>
              <w:spacing w:before="0" w:after="283"/>
              <w:jc w:val="left"/>
              <w:rPr/>
            </w:pPr>
            <w:r>
              <w:rPr/>
              <w:t>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tc>
      </w:tr>
      <w:tr>
        <w:trPr/>
        <w:tc>
          <w:tcPr>
            <w:tcW w:w="1150" w:type="dxa"/>
            <w:tcBorders/>
            <w:vAlign w:val="center"/>
          </w:tcPr>
          <w:p>
            <w:pPr>
              <w:pStyle w:val="TableContents"/>
              <w:bidi w:val="0"/>
              <w:spacing w:before="0" w:after="283"/>
              <w:jc w:val="left"/>
              <w:rPr/>
            </w:pPr>
            <w:r>
              <w:rPr/>
              <w:t> </w:t>
            </w:r>
          </w:p>
        </w:tc>
        <w:tc>
          <w:tcPr>
            <w:tcW w:w="9055" w:type="dxa"/>
            <w:tcBorders/>
            <w:vAlign w:val="center"/>
          </w:tcPr>
          <w:p>
            <w:pPr>
              <w:pStyle w:val="TableContents"/>
              <w:bidi w:val="0"/>
              <w:spacing w:before="0" w:after="283"/>
              <w:jc w:val="left"/>
              <w:rPr/>
            </w:pPr>
            <w:r>
              <w:rPr/>
              <w:t> </w:t>
            </w:r>
          </w:p>
        </w:tc>
      </w:tr>
      <w:tr>
        <w:trPr/>
        <w:tc>
          <w:tcPr>
            <w:tcW w:w="1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Deliver:</w:t>
            </w:r>
          </w:p>
        </w:tc>
        <w:tc>
          <w:tcPr>
            <w:tcW w:w="9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150" w:type="dxa"/>
            <w:tcBorders/>
            <w:vAlign w:val="center"/>
          </w:tcPr>
          <w:p>
            <w:pPr>
              <w:pStyle w:val="TableContents"/>
              <w:bidi w:val="0"/>
              <w:spacing w:before="0" w:after="283"/>
              <w:jc w:val="left"/>
              <w:rPr/>
            </w:pPr>
            <w:r>
              <w:rPr/>
              <w:t> </w:t>
            </w:r>
          </w:p>
        </w:tc>
        <w:tc>
          <w:tcPr>
            <w:tcW w:w="9055" w:type="dxa"/>
            <w:tcBorders/>
            <w:vAlign w:val="center"/>
          </w:tcPr>
          <w:p>
            <w:pPr>
              <w:pStyle w:val="TableContents"/>
              <w:bidi w:val="0"/>
              <w:spacing w:before="0" w:after="283"/>
              <w:jc w:val="left"/>
              <w:rPr/>
            </w:pPr>
            <w:r>
              <w:rPr/>
              <w:t> </w:t>
            </w:r>
          </w:p>
        </w:tc>
      </w:tr>
      <w:tr>
        <w:trPr/>
        <w:tc>
          <w:tcPr>
            <w:tcW w:w="1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Applicable Provisions:</w:t>
            </w:r>
          </w:p>
        </w:tc>
        <w:tc>
          <w:tcPr>
            <w:tcW w:w="9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If Share Termination Alternative is applicable, the provisions of Sections 9.8, 9.9 and 9.11 of the Equity Definitions will be applicable as if “Physical Settlement” applied to the Transaction, except that all references to “Shares” shall be read as references to “Share Termination Delivery Units”; </w:t>
            </w:r>
            <w:r>
              <w:rPr>
                <w:rFonts w:ascii="Times New Roman;Times;Serif" w:hAnsi="Times New Roman;Times;Serif"/>
                <w:i/>
                <w:sz w:val="20"/>
              </w:rPr>
              <w:t>provided</w:t>
            </w:r>
            <w:r>
              <w:rPr>
                <w:rFonts w:ascii="Times New Roman;Times;Serif" w:hAnsi="Times New Roman;Times;Serif"/>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part thereof).</w:t>
            </w:r>
          </w:p>
        </w:tc>
      </w:tr>
    </w:tbl>
    <w:p>
      <w:pPr>
        <w:pStyle w:val="TextBody"/>
        <w:bidi w:val="0"/>
        <w:spacing w:before="0" w:after="0"/>
        <w:ind w:left="2880" w:right="0" w:hanging="28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Disposition of Hedge Shares</w:t>
      </w:r>
      <w:r>
        <w:rPr>
          <w:rFonts w:ascii="Times New Roman;Times;Serif" w:hAnsi="Times New Roman;Times;Serif"/>
          <w:b w:val="false"/>
          <w:i w:val="false"/>
          <w:caps w:val="false"/>
          <w:smallCaps w:val="false"/>
          <w:sz w:val="20"/>
        </w:rPr>
        <w:t>. Counterparty hereby agrees that if, in the good faith reasonable judgment of Dealer, the Shares (the “</w:t>
      </w:r>
      <w:r>
        <w:rPr>
          <w:rFonts w:ascii="Times New Roman;Times;Serif" w:hAnsi="Times New Roman;Times;Serif"/>
          <w:b/>
          <w:i w:val="false"/>
          <w:caps w:val="false"/>
          <w:smallCaps w:val="false"/>
          <w:sz w:val="20"/>
        </w:rPr>
        <w:t>Hedge Shares</w:t>
      </w:r>
      <w:r>
        <w:rPr>
          <w:rFonts w:ascii="Times New Roman;Times;Serif" w:hAnsi="Times New Roman;Times;Serif"/>
          <w:b w:val="false"/>
          <w:i w:val="false"/>
          <w:caps w:val="false"/>
          <w:smallCaps w:val="false"/>
          <w:sz w:val="20"/>
        </w:rPr>
        <w:t xml:space="preserve">”) acquired by Dealer for the purpose of hedging its obligations pursuant to the Transaction in a commercially reasonable manner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(B) 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elects clause (i) above but the items referred to therein are not completed in a timely manner, or if Dealer, in its sole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commercially reasonably satisfactory to Dealer, including customary representations, covenants, blue sky and other governmental filings and/or registrations, indemnities to Dealer, due diligence rights (for Dealer or any designated buyer of the Hedge Shares from Dealer), and best efforts obligations to provide opinions and certificates and such other documentation as is customary for private placements agreements, all commercially reasonably acceptable to Dealer (in which case, the Calculation Agent shall make any adjustments to the terms of the Transaction that are necessary to compensate Dealer for any commercially reasonable discount from the public market price of the Shares incurred on the sale of Hedge Shares in a private placement); or (iii) purchase the Hedge Shares from Dealer at the “Daily VWAP” (as defined in the Indenture) on such Exchange Business Days, and in the amounts, commercially reasonably requested by Dealer. This Section 8(d) shall survive the termination, expiration or early unwind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Repurchase and Conversion Rate Adjustment Notices</w:t>
      </w:r>
      <w:r>
        <w:rPr>
          <w:rFonts w:ascii="Times New Roman;Times;Serif" w:hAnsi="Times New Roman;Times;Serif"/>
          <w:b w:val="false"/>
          <w:i w:val="false"/>
          <w:caps w:val="false"/>
          <w:smallCaps w:val="false"/>
          <w:sz w:val="20"/>
        </w:rPr>
        <w:t>. Counterparty shall, at least two Exchange Business Days prior to any day on which Counterparty effects any repurchase of Shares or consummates or otherwise engages in any transaction or event (a “</w:t>
      </w:r>
      <w:r>
        <w:rPr>
          <w:rFonts w:ascii="Times New Roman;Times;Serif" w:hAnsi="Times New Roman;Times;Serif"/>
          <w:b/>
          <w:i w:val="false"/>
          <w:caps w:val="false"/>
          <w:smallCaps w:val="false"/>
          <w:sz w:val="20"/>
        </w:rPr>
        <w:t>Conversion Rate Adjustment Event</w:t>
      </w:r>
      <w:r>
        <w:rPr>
          <w:rFonts w:ascii="Times New Roman;Times;Serif" w:hAnsi="Times New Roman;Times;Serif"/>
          <w:b w:val="false"/>
          <w:i w:val="false"/>
          <w:caps w:val="false"/>
          <w:smallCaps w:val="false"/>
          <w:sz w:val="20"/>
        </w:rPr>
        <w:t>”) that could reasonably be expected to lead to an increase in the Conversion Rate, give Dealer a written notice of such repurchase or Conversion Rate Adjustment Event (a “</w:t>
      </w:r>
      <w:r>
        <w:rPr>
          <w:rFonts w:ascii="Times New Roman;Times;Serif" w:hAnsi="Times New Roman;Times;Serif"/>
          <w:b/>
          <w:i w:val="false"/>
          <w:caps w:val="false"/>
          <w:smallCaps w:val="false"/>
          <w:sz w:val="20"/>
        </w:rPr>
        <w:t>Repurchase Notice</w:t>
      </w:r>
      <w:r>
        <w:rPr>
          <w:rFonts w:ascii="Times New Roman;Times;Serif" w:hAnsi="Times New Roman;Times;Serif"/>
          <w:b w:val="false"/>
          <w:i w:val="false"/>
          <w:caps w:val="false"/>
          <w:smallCaps w:val="false"/>
          <w:sz w:val="20"/>
        </w:rPr>
        <w:t>”) on such day if, following such repurchase or Conversion Rate Adjustment Event, the Notice Percentage would reasonably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expected to be (i) greater than 13.27% and (ii) greater by 0.5% than the Notice Percentage included in the immediately preceding Repurchase Notice (or, in the case of the first such Repurchase Notice, greater than the Notice Percentage as of the date hereof). The “</w:t>
      </w:r>
      <w:r>
        <w:rPr>
          <w:rFonts w:ascii="Times New Roman;Times;Serif" w:hAnsi="Times New Roman;Times;Serif"/>
          <w:b/>
          <w:i w:val="false"/>
          <w:caps w:val="false"/>
          <w:smallCaps w:val="false"/>
          <w:sz w:val="20"/>
        </w:rPr>
        <w:t>Notice Percentage</w:t>
      </w:r>
      <w:r>
        <w:rPr>
          <w:rFonts w:ascii="Times New Roman;Times;Serif" w:hAnsi="Times New Roman;Times;Serif"/>
          <w:b w:val="false"/>
          <w:i w:val="false"/>
          <w:caps w:val="false"/>
          <w:smallCaps w:val="false"/>
          <w:sz w:val="20"/>
        </w:rPr>
        <w:t>” as of any day is the fraction, expressed as a percentage, the numerator of which is the Number of Shares plus the number of shares underlying any other convertible bond hedge transactions or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from and against any and all losses (including losses relating to the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Party may become subject under applicable securities laws, including without limitation, Section 16 of the Exchange Act or under any state or federal law, regulation or regulatory order,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actual expenses (including reasonable counsel fees and expenses) as they are incurred (after notice to Counterparty and supported by invoices or other documentation setting forth in reasonable detail such expenses)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To the extent an Indemnified Party fails to provide notice of any action commenced against it in respect of which indemnity may be sought hereunder within a commercially reasonable period of time that would materially prejudice Counterparty (it being understood that any such notice delivered within 30 calendar days of the commencement of any such action shall be deemed to have been delivered within a commercially reasonable period of time for such purpose). Counterparty shall be relived from liability. This indemnity shall survive the completion of the Transaction contemplated by this Confirmation and any assignment and delegation of the Transaction made pursuant to this Confirmation or the Agreement and shall inure to the benefit of any permitted assignee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Transfer and Assignment</w:t>
      </w:r>
      <w:r>
        <w:rPr>
          <w:rFonts w:ascii="Times New Roman;Times;Serif" w:hAnsi="Times New Roman;Times;Serif"/>
          <w:b w:val="false"/>
          <w:i w:val="false"/>
          <w:caps w:val="false"/>
          <w:smallCaps w:val="false"/>
          <w:sz w:val="20"/>
        </w:rPr>
        <w:t xml:space="preserve">. Either party may transfer or assign any of its rights or obligations under the Transaction with the prior written consent of the non-transferring party, such consent not to be unreasonably withheld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Dealer may transfer or assign without any consent of Counterparty its rights and obligations hereunder, in whole or in part, to (i) any affiliate of Dealer or (ii) any person, or any person whose obligations hereunder would be guaranteed, pursuant to the terms of a customary guarantee in a form generally used for similar transactions, by a person, in either case, of credit quality at least equivalent to Dealer’s (or its ultimate parent’s). If at any time at which (1) the Equity Percentage exceeds 8.0% or (2) Dealer, Dealer Group (as defined below) or any person whose ownership position would be aggregated with that of Dealer or Dealer Group (Dealer, Dealer Group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the Minnesota Business Corporations Act or other federal, state or local law, rule, regulation or regulatory order or organizational documents or contracts of Counterparty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1% of the number of Shares outstanding on the date of determination (either such condition described in clause (1) or (2), an “</w:t>
      </w:r>
      <w:r>
        <w:rPr>
          <w:rFonts w:ascii="Times New Roman;Times;Serif" w:hAnsi="Times New Roman;Times;Serif"/>
          <w:b/>
          <w:i w:val="false"/>
          <w:caps w:val="false"/>
          <w:smallCaps w:val="false"/>
          <w:sz w:val="20"/>
        </w:rPr>
        <w:t>Excess Ownership Position</w:t>
      </w:r>
      <w:r>
        <w:rPr>
          <w:rFonts w:ascii="Times New Roman;Times;Serif" w:hAnsi="Times New Roman;Times;Serif"/>
          <w:b w:val="false"/>
          <w:i w:val="false"/>
          <w:caps w:val="false"/>
          <w:smallCaps w:val="false"/>
          <w:sz w:val="20"/>
        </w:rPr>
        <w:t>”), Dealer, in its discretion, is unable to effect a transfer or assignment to a third party after its commercially reasonable efforts on pricing and terms and within a time period</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reasonably acceptable to Dealer such that an Excess Ownership Position no longer exists, Dealer may designate any Scheduled Trading Day as an Early Termination Date with respect to a portion (the “</w:t>
      </w:r>
      <w:r>
        <w:rPr>
          <w:rFonts w:ascii="Times New Roman;Times;Serif" w:hAnsi="Times New Roman;Times;Serif"/>
          <w:b/>
          <w:i w:val="false"/>
          <w:caps w:val="false"/>
          <w:smallCaps w:val="false"/>
          <w:sz w:val="20"/>
        </w:rPr>
        <w:t>Terminated Portion</w:t>
      </w:r>
      <w:r>
        <w:rPr>
          <w:rFonts w:ascii="Times New Roman;Times;Serif" w:hAnsi="Times New Roman;Times;Serif"/>
          <w:b w:val="false"/>
          <w:i w:val="false"/>
          <w:caps w:val="false"/>
          <w:smallCaps w:val="false"/>
          <w:sz w:val="20"/>
        </w:rPr>
        <w:t>”) of the Transaction, such that an Excess Ownership Position would no longer exist following the resulting partial termination of the Transaction (after taking into account commercially reasonable adjustments to Dealer’s commercially reasonable Hedge Positions from such partial termination). In the event that Dealer so designates an Early Termination Date with respect to a portion of the Transaction, a payment or delivery shall be made pursuant to Section 6 of the Agreement or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Times New Roman;Times;Serif" w:hAnsi="Times New Roman;Times;Serif"/>
          <w:b/>
          <w:i w:val="false"/>
          <w:caps w:val="false"/>
          <w:smallCaps w:val="false"/>
          <w:sz w:val="20"/>
        </w:rPr>
        <w:t>Equity Percentage</w:t>
      </w:r>
      <w:r>
        <w:rPr>
          <w:rFonts w:ascii="Times New Roman;Times;Serif" w:hAnsi="Times New Roman;Times;Serif"/>
          <w:b w:val="false"/>
          <w:i w:val="false"/>
          <w:caps w:val="false"/>
          <w:smallCaps w:val="false"/>
          <w:sz w:val="20"/>
        </w:rPr>
        <w:t>” as of any day is the fraction, expressed as a percentage, (A) the numerator of which is the number of Shares that Dealer and any of its affiliates subject to aggregation with Dealer for purposes of the “beneficial ownership” test under Section 13 of the Exchange Act and all persons who may form a “group” (within the meaning of Rule 13d-5(b)(1) under the Exchange Act) with Dealer (collectively, “</w:t>
      </w:r>
      <w:r>
        <w:rPr>
          <w:rFonts w:ascii="Times New Roman;Times;Serif" w:hAnsi="Times New Roman;Times;Serif"/>
          <w:b/>
          <w:i w:val="false"/>
          <w:caps w:val="false"/>
          <w:smallCaps w:val="false"/>
          <w:sz w:val="20"/>
        </w:rPr>
        <w:t>Dealer Group</w:t>
      </w:r>
      <w:r>
        <w:rPr>
          <w:rFonts w:ascii="Times New Roman;Times;Serif" w:hAnsi="Times New Roman;Times;Serif"/>
          <w:b w:val="false"/>
          <w:i w:val="false"/>
          <w:caps w:val="false"/>
          <w:smallCaps w:val="false"/>
          <w:sz w:val="20"/>
        </w:rPr>
        <w:t>”) “beneficially own”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In the case of a transfer or assignment by Counterparty of its rights and obligations hereunder and under the Agreement, in whole or in part (any such Options so transferred or assigned, the “</w:t>
      </w:r>
      <w:r>
        <w:rPr>
          <w:rFonts w:ascii="Times New Roman;Times;Serif" w:hAnsi="Times New Roman;Times;Serif"/>
          <w:b/>
          <w:i w:val="false"/>
          <w:caps w:val="false"/>
          <w:smallCaps w:val="false"/>
          <w:sz w:val="20"/>
        </w:rPr>
        <w:t>Transfer Options</w:t>
      </w:r>
      <w:r>
        <w:rPr>
          <w:rFonts w:ascii="Times New Roman;Times;Serif" w:hAnsi="Times New Roman;Times;Serif"/>
          <w:b w:val="false"/>
          <w:i w:val="false"/>
          <w:caps w:val="false"/>
          <w:smallCaps w:val="false"/>
          <w:sz w:val="20"/>
        </w:rPr>
        <w:t>”), to any party, withholding of such consent by Dealer shall not be considered unreasonable if such transfer or assignment does not meet the reasonable conditions that Dealer may impose including, but not limited,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Transfer Options, Counterparty shall not be released from its notice and indemnification obligations pursuant to Section 8(e) or any obligations under Section 2 (regarding Extraordinary Events) or 8(d) of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Transfer Options shall only be transferred or assigned to a third party that is a United States person (as defined in Section 7701(a)(30) of the Internal Revenue Code of 1986, as amended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by, and reasonably satisfactory to,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Dealer shall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Event of Default, Potential Event of Default or Termination Event shall not occur as a result of such transfer and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the generality of clause (B), Counterparty shall have caused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Counterparty shall be responsible for all reasonable costs and expenses, including reasonable counsel fees, incurred by Dealer in connection with such transfer or assignment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Delivery of Shares</w:t>
      </w:r>
      <w:r>
        <w:rPr>
          <w:rFonts w:ascii="Times New Roman;Times;Serif" w:hAnsi="Times New Roman;Times;Serif"/>
          <w:b w:val="false"/>
          <w:i w:val="false"/>
          <w:caps w:val="false"/>
          <w:smallCaps w:val="false"/>
          <w:sz w:val="20"/>
        </w:rPr>
        <w:t>. Notwithstanding anything to the contrary herein, Dealer may, by prior notice to Counterparty, satisfy its obligation to deliver any Shares or other securities on any date due (an “</w:t>
      </w:r>
      <w:r>
        <w:rPr>
          <w:rFonts w:ascii="Times New Roman;Times;Serif" w:hAnsi="Times New Roman;Times;Serif"/>
          <w:b/>
          <w:i w:val="false"/>
          <w:caps w:val="false"/>
          <w:smallCaps w:val="false"/>
          <w:sz w:val="20"/>
        </w:rPr>
        <w:t>Original Delivery Date</w:t>
      </w:r>
      <w:r>
        <w:rPr>
          <w:rFonts w:ascii="Times New Roman;Times;Serif" w:hAnsi="Times New Roman;Times;Serif"/>
          <w:b w:val="false"/>
          <w:i w:val="false"/>
          <w:caps w:val="false"/>
          <w:smallCaps w:val="false"/>
          <w:sz w:val="20"/>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No Netting and Set-off. </w:t>
      </w:r>
      <w:r>
        <w:rPr>
          <w:rFonts w:ascii="Times New Roman;Times;Serif" w:hAnsi="Times New Roman;Times;Serif"/>
          <w:b w:val="false"/>
          <w:i w:val="false"/>
          <w:caps w:val="false"/>
          <w:smallCaps w:val="false"/>
          <w:sz w:val="20"/>
        </w:rPr>
        <w:t>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Equity Rights</w:t>
      </w:r>
      <w:r>
        <w:rPr>
          <w:rFonts w:ascii="Times New Roman;Times;Serif" w:hAnsi="Times New Roman;Times;Serif"/>
          <w:b w:val="false"/>
          <w:i w:val="false"/>
          <w:caps w:val="false"/>
          <w:smallCaps w:val="false"/>
          <w:sz w:val="20"/>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Early Unwind</w:t>
      </w:r>
      <w:r>
        <w:rPr>
          <w:rFonts w:ascii="Times New Roman;Times;Serif" w:hAnsi="Times New Roman;Times;Serif"/>
          <w:b w:val="false"/>
          <w:i w:val="false"/>
          <w:caps w:val="false"/>
          <w:smallCaps w:val="false"/>
          <w:sz w:val="20"/>
        </w:rPr>
        <w:t>. In the event the sale by Counterparty of the Firm Securities not consummated pursuant to the Purchase Agreement for any reason by the close of business in New York on January 23, 2024 (or such later date as agreed upon by the parties) (January 23, 2024 or such later date being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on the Early Unwind Date and the Transaction and all of the respective rights and obligations of Dealer and Counterparty hereunder shall be cancelled and terminated and Counterparty shall pay to Dealer an amount in cash equal to the aggregate amount of costs and expenses relating to the unwinding of Dealer’s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Agreements and Acknowledgements Regarding Hedgin</w:t>
      </w:r>
      <w:r>
        <w:rPr>
          <w:rFonts w:ascii="Times New Roman;Times;Serif" w:hAnsi="Times New Roman;Times;Serif"/>
          <w:b w:val="false"/>
          <w:i/>
          <w:caps w:val="false"/>
          <w:smallCaps w:val="false"/>
          <w:sz w:val="20"/>
          <w:u w:val="single"/>
        </w:rPr>
        <w:t>g</w:t>
      </w:r>
      <w:r>
        <w:rPr>
          <w:rFonts w:ascii="Times New Roman;Times;Serif" w:hAnsi="Times New Roman;Times;Serif"/>
          <w:b w:val="false"/>
          <w:i w:val="false"/>
          <w:caps w:val="false"/>
          <w:smallCaps w:val="false"/>
          <w:sz w:val="20"/>
        </w:rPr>
        <w:t>. Counterparty understands, acknowledges and agrees that: (A) at any time on 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what manner any hedging or market activities in securities of Issuer shall be conducted and shall do so in a manner that it deems appropriate to hedge its price and market risk with respect to the “Daily VWAP” (as defined in the Indenture); (D) any market activities of Dealer and its affiliates with respect to Shares may affect the market price and volatility of Shares, as well as the “Daily VWAP” (as defined in the Indenture),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Wall Street Transparency and Accountability Act</w:t>
      </w:r>
      <w:r>
        <w:rPr>
          <w:rFonts w:ascii="Times New Roman;Times;Serif" w:hAnsi="Times New Roman;Times;Serif"/>
          <w:b w:val="false"/>
          <w:i w:val="false"/>
          <w:caps w:val="false"/>
          <w:smallCaps w:val="false"/>
          <w:sz w:val="20"/>
        </w:rPr>
        <w:t>. In connection with Section 739 of the Wall Street Transparency and Accountability Act of 2010 (the “</w:t>
      </w:r>
      <w:r>
        <w:rPr>
          <w:rFonts w:ascii="Times New Roman;Times;Serif" w:hAnsi="Times New Roman;Times;Serif"/>
          <w:b/>
          <w:i w:val="false"/>
          <w:caps w:val="false"/>
          <w:smallCaps w:val="false"/>
          <w:sz w:val="20"/>
        </w:rPr>
        <w:t>WSTAA</w:t>
      </w:r>
      <w:r>
        <w:rPr>
          <w:rFonts w:ascii="Times New Roman;Times;Serif" w:hAnsi="Times New Roman;Times;Serif"/>
          <w:b w:val="false"/>
          <w:i w:val="false"/>
          <w:caps w:val="false"/>
          <w:smallCaps w:val="false"/>
          <w:sz w:val="20"/>
        </w:rPr>
        <w:t>”),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Governing </w:t>
      </w:r>
      <w:r>
        <w:rPr>
          <w:rFonts w:ascii="Times New Roman;Times;Serif" w:hAnsi="Times New Roman;Times;Serif"/>
          <w:b w:val="false"/>
          <w:i/>
          <w:caps w:val="false"/>
          <w:smallCaps w:val="false"/>
          <w:sz w:val="20"/>
        </w:rPr>
        <w:t>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 xml:space="preserve">Amendment. </w:t>
      </w:r>
      <w:r>
        <w:rPr>
          <w:rFonts w:ascii="Times New Roman;Times;Serif" w:hAnsi="Times New Roman;Times;Serif"/>
          <w:b w:val="false"/>
          <w:i w:val="false"/>
          <w:caps w:val="false"/>
          <w:smallCaps w:val="false"/>
          <w:sz w:val="20"/>
        </w:rPr>
        <w:t>This Confirmation and the Agreement may not be modified, amended or supplemented, except in a written instrument signed by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Confirmation may be executed in several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Withholding Tax imposed on payments to non-US counterparties under the United States Foreign Account Tax Compliance Act. “Indemnifiable Tax” as defined in Section 14 of the Agreement, shall not include any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HIRE Act.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Times;Serif" w:hAnsi="Times New Roman;Times;Serif"/>
          <w:b/>
          <w:i w:val="false"/>
          <w:caps w:val="false"/>
          <w:smallCaps w:val="false"/>
          <w:sz w:val="20"/>
        </w:rPr>
        <w:t>871(m) Protocol</w:t>
      </w:r>
      <w:r>
        <w:rPr>
          <w:rFonts w:ascii="Times New Roman;Times;Serif" w:hAnsi="Times New Roman;Times;Serif"/>
          <w:b w:val="false"/>
          <w:i w:val="false"/>
          <w:caps w:val="false"/>
          <w:smallCaps w:val="false"/>
          <w:sz w:val="20"/>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Tax documentation.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W-9, or any successor thereto, (i) on or before the date of execution of this Confirmation, (ii) upon reasonable request of Counterparty and (iii) promptly upon learning that any such tax form previously provided by Dealer has become obsolete or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 Representations. For the purpose of Section 3(f) of the Agreement, Counterparty is a corporation for U.S. federal income tax purposes and is organized under the laws of the State of Minnesota.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For the purpose of Section 3(f) of the Agreement, Dealer represents to Counterparty that for U.S. federal income tax purposes it is a “U.S. person” (as that term is used in section 1.1441-4(a)(3)(ii) of the United States Treasury Regulations) and an “exempt recipient” (as that term is used in section 1.6049-4(c)(1) of the United States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QFC Stay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In the event that Dealer becomes subject to a proceeding under (i) the Federal Deposit Insurance Act and the regulations promulgated thereunder or (ii) Title II of the Dodd-Frank Wall Street Reform and Consumer Protection Act and the regulations promulgated thereunder (a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 Dealer are permitted to be exercised to no greater extent than such Default Rights could be exercised under the U.S. Special Resolution Regime if this Confirmation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except to the extent that the exercise of such Default Right would be permitted under the provisions of 12 C.F.R. 252.84, 12 C.F.R. 47.5 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Counterparty has previously adhered to, or subsequently adheres to, the ISDA 2018 U.S. Resolution Stay Protocol as published by the International Swaps and Derivatives Association, Inc. as of July 31, 2018 (the “</w:t>
      </w:r>
      <w:r>
        <w:rPr>
          <w:rFonts w:ascii="Times New Roman;Times;Serif" w:hAnsi="Times New Roman;Times;Serif"/>
          <w:b/>
          <w:i w:val="false"/>
          <w:caps w:val="false"/>
          <w:smallCaps w:val="false"/>
          <w:sz w:val="20"/>
        </w:rPr>
        <w:t>ISDA U.S. Protocol</w:t>
      </w:r>
      <w:r>
        <w:rPr>
          <w:rFonts w:ascii="Times New Roman;Times;Serif" w:hAnsi="Times New Roman;Times;Serif"/>
          <w:b w:val="false"/>
          <w:i w:val="false"/>
          <w:caps w:val="false"/>
          <w:smallCaps w:val="false"/>
          <w:sz w:val="20"/>
        </w:rPr>
        <w:t>”), the terms</w:t>
      </w:r>
    </w:p>
    <w:p>
      <w:pPr>
        <w:pStyle w:val="TextBody"/>
        <w:bidi w:val="0"/>
        <w:spacing w:before="0" w:after="0"/>
        <w:ind w:left="144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such protocol shall be incorporated into and form a part of this Confirmation and the terms of the ISDA U.S. Protocol shall supersede and replace the terms of this Section 8(r).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w:t>
      </w:r>
      <w:r>
        <w:rPr>
          <w:rFonts w:ascii="Times New Roman;Times;Serif" w:hAnsi="Times New Roman;Times;Serif"/>
          <w:b/>
          <w:i w:val="false"/>
          <w:caps w:val="false"/>
          <w:smallCaps w:val="false"/>
          <w:sz w:val="20"/>
        </w:rPr>
        <w:t>Preexisting In-Scope Agreement</w:t>
      </w:r>
      <w:r>
        <w:rPr>
          <w:rFonts w:ascii="Times New Roman;Times;Serif" w:hAnsi="Times New Roman;Times;Serif"/>
          <w:b w:val="false"/>
          <w:i w:val="false"/>
          <w:caps w:val="false"/>
          <w:smallCaps w:val="false"/>
          <w:sz w:val="20"/>
        </w:rPr>
        <w:t>”), then each such Preexisting In-Scope Agreement is hereby amended to include the foregoing provisions in this Section 8(r), with references to “this Confirmation” being understood to be references to the applicable Preexisting In-Scope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For purposes of this Section 8(r):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“Affiliate</w:t>
      </w:r>
      <w:r>
        <w:rPr>
          <w:rFonts w:ascii="Times New Roman;Times;Serif" w:hAnsi="Times New Roman;Times;Serif"/>
          <w:b w:val="false"/>
          <w:i w:val="false"/>
          <w:caps w:val="false"/>
          <w:smallCaps w:val="false"/>
          <w:sz w:val="20"/>
        </w:rPr>
        <w:t>” is defined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Enhancement</w:t>
      </w:r>
      <w:r>
        <w:rPr>
          <w:rFonts w:ascii="Times New Roman;Times;Serif" w:hAnsi="Times New Roman;Times;Serif"/>
          <w:b w:val="false"/>
          <w:i w:val="false"/>
          <w:caps w:val="false"/>
          <w:smallCaps w:val="false"/>
          <w:sz w:val="20"/>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Exclusive Jurisdiction; Waiver of Jury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Section 13(b) of the Agreement is deleted in its entirety and replaced by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The courts of the United States of America for the Southern District of New York and appellate courts from thereof will have the sole and exclusive jurisdiction over any and all claims, disputes or causes of action arising out of, in connection with, or relating to this Agreement or the transactions and relationships between the parties contemplated by this Agreement. If such courts lack federal subject matter jurisdiction, the Supreme Court of the State of New York, sitting in New York County and any appellate court from thereof, will have sole and exclusive jurisdiction. Subject to the foregoing, either of these courts will be the proper venue and the parties waive any objection to venue or their convenience as a forum. The parties agree to submit to the jurisdiction of any of the courts specified and to accept service of process to vest personal jurisdiction over them in any of these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EACH OF COUNTERPARTY AND DEALER HEREBY IRREVOCABLY WAIVES (ON ITS OWN BEHALF AND, TO THE EXTENT PERMITTED BY APPLICABLE LAW, ON BEHALF OF ITS STOCKHOLDERS) ALL RIGHT TO TRIAL BY JURY IN ANY ACTION, PROCEEDING OR COUNTERCLAIM (WHETHER BASED ON CONTRACT, TORT OR OTHERWISE) ARISING OUT OF OR RELATING TO THIS CONFIRMATION OR THE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the terms of our agreement by executing this Confirmation and returning it to J.P. Morgan Securities LLC, 383 Madison Ave, New York, NY 10179, and by email to EDG_Notices@jpmorgan.com and edg.us.flow.corporates.mo@jpmorgan.com.</w:t>
      </w:r>
    </w:p>
    <w:p>
      <w:pPr>
        <w:pStyle w:val="TextBody"/>
        <w:bidi w:val="0"/>
        <w:spacing w:before="0" w:after="0"/>
        <w:ind w:left="0" w:right="0" w:hanging="0"/>
        <w:jc w:val="left"/>
        <w:rPr>
          <w:caps w:val="false"/>
          <w:smallCaps w:val="false"/>
        </w:rPr>
      </w:pPr>
      <w:r>
        <w:rPr>
          <w:caps w:val="false"/>
          <w:smallCaps w:val="false"/>
        </w:rPr>
        <w:t> </w:t>
      </w:r>
    </w:p>
    <w:tbl>
      <w:tblPr>
        <w:tblW w:w="2570" w:type="dxa"/>
        <w:jc w:val="left"/>
        <w:tblInd w:w="0" w:type="dxa"/>
        <w:tblLayout w:type="fixed"/>
        <w:tblCellMar>
          <w:top w:w="0" w:type="dxa"/>
          <w:left w:w="0" w:type="dxa"/>
          <w:bottom w:w="0" w:type="dxa"/>
          <w:right w:w="0" w:type="dxa"/>
        </w:tblCellMar>
      </w:tblPr>
      <w:tblGrid>
        <w:gridCol w:w="80"/>
        <w:gridCol w:w="320"/>
        <w:gridCol w:w="590"/>
        <w:gridCol w:w="1580"/>
      </w:tblGrid>
      <w:tr>
        <w:trPr/>
        <w:tc>
          <w:tcPr>
            <w:tcW w:w="80" w:type="dxa"/>
            <w:tcBorders/>
            <w:vAlign w:val="center"/>
          </w:tcPr>
          <w:p>
            <w:pPr>
              <w:pStyle w:val="TableContents"/>
              <w:bidi w:val="0"/>
              <w:spacing w:before="0" w:after="283"/>
              <w:jc w:val="left"/>
              <w:rPr/>
            </w:pPr>
            <w:r>
              <w:rPr/>
              <w:t> </w:t>
            </w:r>
          </w:p>
        </w:tc>
        <w:tc>
          <w:tcPr>
            <w:tcW w:w="249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Yours faithfully,</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49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J.P. Morgan Securities LLC</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Gaurav Maria</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Gaurav Maria</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Base Bond Hedge Confirmation]</w:t>
      </w:r>
    </w:p>
    <w:p>
      <w:pPr>
        <w:pStyle w:val="TextBody"/>
        <w:bidi w:val="0"/>
        <w:spacing w:before="0" w:after="0"/>
        <w:ind w:left="0" w:right="0" w:hanging="0"/>
        <w:jc w:val="left"/>
        <w:rPr>
          <w:caps w:val="false"/>
          <w:smallCaps w:val="false"/>
        </w:rPr>
      </w:pPr>
      <w:r>
        <w:rPr>
          <w:caps w:val="false"/>
          <w:smallCaps w:val="false"/>
        </w:rPr>
        <w:t> </w:t>
      </w:r>
    </w:p>
    <w:tbl>
      <w:tblPr>
        <w:tblW w:w="225" w:type="dxa"/>
        <w:jc w:val="left"/>
        <w:tblInd w:w="0" w:type="dxa"/>
        <w:tblLayout w:type="fixed"/>
        <w:tblCellMar>
          <w:top w:w="0" w:type="dxa"/>
          <w:left w:w="0" w:type="dxa"/>
          <w:bottom w:w="0" w:type="dxa"/>
          <w:right w:w="0" w:type="dxa"/>
        </w:tblCellMar>
      </w:tblPr>
      <w:tblGrid>
        <w:gridCol w:w="80"/>
        <w:gridCol w:w="65"/>
        <w:gridCol w:w="80"/>
      </w:tblGrid>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and Accepted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WINNEBAGO industries</w:t>
      </w:r>
      <w:r>
        <w:rPr>
          <w:rFonts w:ascii="Times New Roman;Times;Serif" w:hAnsi="Times New Roman;Times;Serif"/>
          <w:b/>
          <w:i w:val="false"/>
          <w:caps w:val="false"/>
          <w:smallCaps w:val="false"/>
          <w:sz w:val="20"/>
        </w:rPr>
        <w:t>, INC.</w:t>
      </w:r>
    </w:p>
    <w:p>
      <w:pPr>
        <w:pStyle w:val="TextBody"/>
        <w:bidi w:val="0"/>
        <w:spacing w:before="0" w:after="0"/>
        <w:ind w:left="0" w:right="0" w:hanging="0"/>
        <w:jc w:val="left"/>
        <w:rPr>
          <w:caps w:val="false"/>
          <w:smallCaps w:val="false"/>
        </w:rPr>
      </w:pPr>
      <w:r>
        <w:rPr>
          <w:caps w:val="false"/>
          <w:smallCaps w:val="false"/>
        </w:rPr>
        <w:t> </w:t>
      </w:r>
    </w:p>
    <w:tbl>
      <w:tblPr>
        <w:tblW w:w="3275" w:type="dxa"/>
        <w:jc w:val="left"/>
        <w:tblInd w:w="0" w:type="dxa"/>
        <w:tblLayout w:type="fixed"/>
        <w:tblCellMar>
          <w:top w:w="0" w:type="dxa"/>
          <w:left w:w="0" w:type="dxa"/>
          <w:bottom w:w="0" w:type="dxa"/>
          <w:right w:w="0" w:type="dxa"/>
        </w:tblCellMar>
      </w:tblPr>
      <w:tblGrid>
        <w:gridCol w:w="380"/>
        <w:gridCol w:w="590"/>
        <w:gridCol w:w="2225"/>
        <w:gridCol w:w="80"/>
      </w:tblGrid>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8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Bryan L. Hughes</w:t>
            </w:r>
          </w:p>
        </w:tc>
        <w:tc>
          <w:tcPr>
            <w:tcW w:w="8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Bryan L. Hughes</w:t>
            </w:r>
          </w:p>
        </w:tc>
        <w:tc>
          <w:tcPr>
            <w:tcW w:w="8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w:t>
            </w:r>
          </w:p>
        </w:tc>
        <w:tc>
          <w:tcPr>
            <w:tcW w:w="8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JPM Bond Hedge Confirmation]</w:t>
      </w:r>
    </w:p>
    <w:p>
      <w:pPr>
        <w:pStyle w:val="TextBody"/>
        <w:bidi w:val="0"/>
        <w:spacing w:before="0" w:after="0"/>
        <w:jc w:val="left"/>
        <w:rPr>
          <w:caps w:val="false"/>
          <w:smallCaps w:val="false"/>
        </w:rPr>
      </w:pPr>
      <w:r>
        <w:rPr>
          <w:caps w:val="false"/>
          <w:smallCaps w:val="false"/>
        </w:rPr>
        <w:t> </w:t>
      </w:r>
    </w:p>
    <w:tbl>
      <w:tblPr>
        <w:tblW w:w="225" w:type="dxa"/>
        <w:jc w:val="left"/>
        <w:tblInd w:w="0" w:type="dxa"/>
        <w:tblLayout w:type="fixed"/>
        <w:tblCellMar>
          <w:top w:w="0" w:type="dxa"/>
          <w:left w:w="0" w:type="dxa"/>
          <w:bottom w:w="0" w:type="dxa"/>
          <w:right w:w="0" w:type="dxa"/>
        </w:tblCellMar>
      </w:tblPr>
      <w:tblGrid>
        <w:gridCol w:w="80"/>
        <w:gridCol w:w="65"/>
        <w:gridCol w:w="80"/>
      </w:tblGrid>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2" w:name="tm243871d1_ex10-5.htm"/>
      <w:bookmarkStart w:id="33" w:name="kstm243871d1_ex105"/>
      <w:bookmarkEnd w:id="32"/>
      <w:bookmarkEnd w:id="3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GOLDMAN SACHS &amp; CO. LLC | 200 WEST STREET | NEW YORK, NEW YORK 10282-2198 | TEL: 212-902-1000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Transaction</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575"/>
        <w:gridCol w:w="4010"/>
      </w:tblGrid>
      <w:tr>
        <w:trPr/>
        <w:tc>
          <w:tcPr>
            <w:tcW w:w="575" w:type="dxa"/>
            <w:tcBorders/>
            <w:vAlign w:val="center"/>
          </w:tcPr>
          <w:p>
            <w:pPr>
              <w:pStyle w:val="TableContents"/>
              <w:bidi w:val="0"/>
              <w:spacing w:before="0" w:after="283"/>
              <w:jc w:val="left"/>
              <w:rPr>
                <w:b/>
                <w:sz w:val="20"/>
              </w:rPr>
            </w:pPr>
            <w:r>
              <w:rPr>
                <w:b/>
                <w:sz w:val="20"/>
              </w:rPr>
              <w:t>To:</w:t>
            </w:r>
          </w:p>
        </w:tc>
        <w:tc>
          <w:tcPr>
            <w:tcW w:w="40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Minnesota 55347</w:t>
            </w:r>
          </w:p>
        </w:tc>
      </w:tr>
      <w:tr>
        <w:trPr/>
        <w:tc>
          <w:tcPr>
            <w:tcW w:w="57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From:</w:t>
            </w:r>
          </w:p>
        </w:tc>
        <w:tc>
          <w:tcPr>
            <w:tcW w:w="4010" w:type="dxa"/>
            <w:tcBorders/>
            <w:vAlign w:val="center"/>
          </w:tcPr>
          <w:p>
            <w:pPr>
              <w:pStyle w:val="TableContents"/>
              <w:bidi w:val="0"/>
              <w:spacing w:before="0" w:after="283"/>
              <w:jc w:val="left"/>
              <w:rPr>
                <w:sz w:val="20"/>
              </w:rPr>
            </w:pPr>
            <w:r>
              <w:rPr>
                <w:sz w:val="20"/>
              </w:rPr>
              <w:t>Goldman Sachs &amp; Co. LLC</w:t>
            </w:r>
          </w:p>
        </w:tc>
      </w:tr>
      <w:tr>
        <w:trPr/>
        <w:tc>
          <w:tcPr>
            <w:tcW w:w="57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Re:</w:t>
            </w:r>
          </w:p>
        </w:tc>
        <w:tc>
          <w:tcPr>
            <w:tcW w:w="4010" w:type="dxa"/>
            <w:tcBorders/>
            <w:vAlign w:val="center"/>
          </w:tcPr>
          <w:p>
            <w:pPr>
              <w:pStyle w:val="TableContents"/>
              <w:bidi w:val="0"/>
              <w:spacing w:before="0" w:after="283"/>
              <w:jc w:val="left"/>
              <w:rPr>
                <w:sz w:val="20"/>
              </w:rPr>
            </w:pPr>
            <w:r>
              <w:rPr>
                <w:sz w:val="20"/>
              </w:rPr>
              <w:t>Additional Convertible Bond Hedge Transaction</w:t>
            </w:r>
          </w:p>
        </w:tc>
      </w:tr>
      <w:tr>
        <w:trPr/>
        <w:tc>
          <w:tcPr>
            <w:tcW w:w="57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Date:</w:t>
            </w:r>
          </w:p>
        </w:tc>
        <w:tc>
          <w:tcPr>
            <w:tcW w:w="4010" w:type="dxa"/>
            <w:tcBorders/>
            <w:vAlign w:val="center"/>
          </w:tcPr>
          <w:p>
            <w:pPr>
              <w:pStyle w:val="TableContents"/>
              <w:bidi w:val="0"/>
              <w:spacing w:before="0" w:after="283"/>
              <w:jc w:val="both"/>
              <w:rPr>
                <w:sz w:val="20"/>
              </w:rPr>
            </w:pPr>
            <w:r>
              <w:rPr>
                <w:sz w:val="20"/>
              </w:rPr>
              <w:t>January 19, 2024</w:t>
            </w:r>
          </w:p>
        </w:tc>
      </w:tr>
    </w:tbl>
    <w:p>
      <w:pPr>
        <w:pStyle w:val="TextBody"/>
        <w:bidi w:val="0"/>
        <w:spacing w:before="20" w:after="20"/>
        <w:jc w:val="left"/>
        <w:rPr/>
      </w:pPr>
      <w:r>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communication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set forth the terms and conditions of the above-referenced transaction entered into on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between Goldman Sachs &amp; Co. LLC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Winnebago Industries, Inc.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Dealer is acting as principal in this Transaction and BMO Capital Markets Corp.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its affiliate, is acting as agent for this Transaction solely in connection with Rule 15a-6 of the Exchange Act (as defined herein), as amended. This communication constitutes a “Confirmation” as referred to in the ISDA Master Agreement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Confirmation is subject to, and incorporates, the definitions and provisions of the 2006 ISDA Definitions (the “</w:t>
      </w:r>
      <w:r>
        <w:rPr>
          <w:rFonts w:ascii="Times New Roman;Times;Serif" w:hAnsi="Times New Roman;Times;Serif"/>
          <w:b/>
          <w:i w:val="false"/>
          <w:caps w:val="false"/>
          <w:smallCaps w:val="false"/>
          <w:sz w:val="20"/>
        </w:rPr>
        <w:t>2006 Definitions</w:t>
      </w:r>
      <w:r>
        <w:rPr>
          <w:rFonts w:ascii="Times New Roman;Times;Serif" w:hAnsi="Times New Roman;Times;Serif"/>
          <w:b w:val="false"/>
          <w:i w:val="false"/>
          <w:caps w:val="false"/>
          <w:smallCaps w:val="false"/>
          <w:sz w:val="20"/>
        </w:rPr>
        <w:t>”) and the definitions and provisions of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together with the 2006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Certain defined terms used herein have the meanings assigned to them in the Indenture to be dated as of January 23, 2024 between Counterparty and U.S. Bank Trust Company, National Association, as trustee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relating to the USD 300,000,000 principal amount of 3.25% Convertible Senior Notes due 2030 (the “</w:t>
      </w:r>
      <w:r>
        <w:rPr>
          <w:rFonts w:ascii="Times New Roman;Times;Serif" w:hAnsi="Times New Roman;Times;Serif"/>
          <w:b/>
          <w:i w:val="false"/>
          <w:caps w:val="false"/>
          <w:smallCaps w:val="false"/>
          <w:sz w:val="20"/>
        </w:rPr>
        <w:t>Base Convertible Securities</w:t>
      </w:r>
      <w:r>
        <w:rPr>
          <w:rFonts w:ascii="Times New Roman;Times;Serif" w:hAnsi="Times New Roman;Times;Serif"/>
          <w:b w:val="false"/>
          <w:i w:val="false"/>
          <w:caps w:val="false"/>
          <w:smallCaps w:val="false"/>
          <w:sz w:val="20"/>
        </w:rPr>
        <w:t>”) and the additional USD 50,000,000 principal amount of 3.25% Convertible Senior Notes due 2030 issued pursuant to the option to purchase additional convertible securities exercised on the date hereof (the “</w:t>
      </w:r>
      <w:r>
        <w:rPr>
          <w:rFonts w:ascii="Times New Roman;Times;Serif" w:hAnsi="Times New Roman;Times;Serif"/>
          <w:b/>
          <w:i w:val="false"/>
          <w:caps w:val="false"/>
          <w:smallCaps w:val="false"/>
          <w:sz w:val="20"/>
        </w:rPr>
        <w:t>Optional Convertible Securities</w:t>
      </w:r>
      <w:r>
        <w:rPr>
          <w:rFonts w:ascii="Times New Roman;Times;Serif" w:hAnsi="Times New Roman;Times;Serif"/>
          <w:b w:val="false"/>
          <w:i w:val="false"/>
          <w:caps w:val="false"/>
          <w:smallCaps w:val="false"/>
          <w:sz w:val="20"/>
        </w:rPr>
        <w:t>” and, together with the Base Convertible Securities, the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In the event of any inconsistency between the terms defined in the Indenture and this Confirmation, this Confirmation shall govern. For the avoidance of doubt, references herein to sections of, or definitions set forth in, the Indenture are based on the draft of the Indenture most recently reviewed by the parties at the time of execution of this Confirmation. If any relevant sections of, or definitions set forth in, the Indenture are changed, added or renumbered between the execution of this Confirmation and the execution of the Indenture, the parties will amend this Confirmation in good faith to preserve the economic intent of the parties, as evidenced by such draft of the Indenture. Subject to the foregoing, the parties acknowledge that references to the Indenture herein are references to the Indenture as in effect on the date of its execution and if the Indenture is, or the Convertible Securities are, amended, modified or supplemented following the date of their execution, any such amendment, modification or supplement (other than any amendment, modification or supplement pursuant to a Merger Supplemental Indenture (as defined below)) will be disregarded for purposes of this Confirmation unless the parties agree otherwise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0" w:after="0"/>
        <w:ind w:left="0" w:right="0" w:hanging="0"/>
        <w:jc w:val="left"/>
        <w:rPr>
          <w:caps w:val="false"/>
          <w:smallCaps w:val="false"/>
        </w:rPr>
      </w:pPr>
      <w:r>
        <w:rPr>
          <w:caps w:val="false"/>
          <w:smallCaps w:val="false"/>
        </w:rPr>
        <w:t> </w:t>
      </w:r>
    </w:p>
    <w:tbl>
      <w:tblPr>
        <w:tblW w:w="225" w:type="dxa"/>
        <w:jc w:val="left"/>
        <w:tblInd w:w="0" w:type="dxa"/>
        <w:tblLayout w:type="fixed"/>
        <w:tblCellMar>
          <w:top w:w="0" w:type="dxa"/>
          <w:left w:w="0" w:type="dxa"/>
          <w:bottom w:w="0" w:type="dxa"/>
          <w:right w:w="0" w:type="dxa"/>
        </w:tblCellMar>
      </w:tblPr>
      <w:tblGrid>
        <w:gridCol w:w="80"/>
        <w:gridCol w:w="65"/>
        <w:gridCol w:w="80"/>
      </w:tblGrid>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evidences a complete and binding agreement between Dealer and Counterparty as to the terms of the Transaction to which this Confirmation relates. This Confirmation shall be subject to an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as the Termination Currency, (ii) the replacement of the word “third” in the last line of Section 5(a)(i) of the Agreement with the word “first”, and (iii) (a) the election that the “Cross Default” provisions of Section 5(a)(vi) of the Agreement shall apply to Counterparty with a “Threshold Amount” of USD35.0 million) (b) </w:t>
      </w:r>
      <w:r>
        <w:rPr>
          <w:rFonts w:ascii="Times New Roman;Times;Serif" w:hAnsi="Times New Roman;Times;Serif"/>
          <w:b w:val="false"/>
          <w:i w:val="false"/>
          <w:caps w:val="false"/>
          <w:smallCaps w:val="false"/>
          <w:sz w:val="20"/>
          <w:shd w:fill="FFFFFF" w:val="clear"/>
        </w:rPr>
        <w:t> the phrase “,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constitutes a Share Option Transaction for purposes of the Equity Definitions. The terms of the particular Transaction to which this Confirmation relates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3"/>
        <w:gridCol w:w="65"/>
        <w:gridCol w:w="8607"/>
      </w:tblGrid>
      <w:tr>
        <w:trPr/>
        <w:tc>
          <w:tcPr>
            <w:tcW w:w="15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Date:</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2024</w:t>
            </w:r>
          </w:p>
        </w:tc>
      </w:tr>
      <w:tr>
        <w:trPr/>
        <w:tc>
          <w:tcPr>
            <w:tcW w:w="153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left"/>
              <w:rPr/>
            </w:pPr>
            <w:r>
              <w:rPr/>
              <w:t> </w:t>
            </w:r>
          </w:p>
        </w:tc>
      </w:tr>
      <w:tr>
        <w:trPr/>
        <w:tc>
          <w:tcPr>
            <w:tcW w:w="15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date of the issuance of the Convertible Securities issued pursuant to the option to purchase additional Convertible Securities exercised on the date hereof.</w:t>
            </w:r>
          </w:p>
        </w:tc>
      </w:tr>
      <w:tr>
        <w:trPr/>
        <w:tc>
          <w:tcPr>
            <w:tcW w:w="153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left"/>
              <w:rPr/>
            </w:pPr>
            <w:r>
              <w:rPr/>
              <w:t> </w:t>
            </w:r>
          </w:p>
        </w:tc>
      </w:tr>
      <w:tr>
        <w:trPr/>
        <w:tc>
          <w:tcPr>
            <w:tcW w:w="15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Style:</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American, as described under “Procedures for Exercise” below.</w:t>
            </w:r>
          </w:p>
        </w:tc>
      </w:tr>
      <w:tr>
        <w:trPr/>
        <w:tc>
          <w:tcPr>
            <w:tcW w:w="153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left"/>
              <w:rPr/>
            </w:pPr>
            <w:r>
              <w:rPr/>
              <w:t> </w:t>
            </w:r>
          </w:p>
        </w:tc>
      </w:tr>
      <w:tr>
        <w:trPr/>
        <w:tc>
          <w:tcPr>
            <w:tcW w:w="15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Type:</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w:t>
            </w:r>
          </w:p>
        </w:tc>
      </w:tr>
      <w:tr>
        <w:trPr/>
        <w:tc>
          <w:tcPr>
            <w:tcW w:w="153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left"/>
              <w:rPr/>
            </w:pPr>
            <w:r>
              <w:rPr/>
              <w:t> </w:t>
            </w:r>
          </w:p>
        </w:tc>
      </w:tr>
      <w:tr>
        <w:trPr/>
        <w:tc>
          <w:tcPr>
            <w:tcW w:w="15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w:t>
            </w:r>
          </w:p>
        </w:tc>
      </w:tr>
      <w:tr>
        <w:trPr/>
        <w:tc>
          <w:tcPr>
            <w:tcW w:w="153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left"/>
              <w:rPr/>
            </w:pPr>
            <w:r>
              <w:rPr/>
              <w:t> </w:t>
            </w:r>
          </w:p>
        </w:tc>
      </w:tr>
      <w:tr>
        <w:trPr/>
        <w:tc>
          <w:tcPr>
            <w:tcW w:w="15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w:t>
            </w:r>
          </w:p>
        </w:tc>
      </w:tr>
      <w:tr>
        <w:trPr/>
        <w:tc>
          <w:tcPr>
            <w:tcW w:w="153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left"/>
              <w:rPr/>
            </w:pPr>
            <w:r>
              <w:rPr/>
              <w:t> </w:t>
            </w:r>
          </w:p>
        </w:tc>
      </w:tr>
      <w:tr>
        <w:trPr/>
        <w:tc>
          <w:tcPr>
            <w:tcW w:w="15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Counterparty, par value USD0.50 (Ticker Symbol: “WGO”).</w:t>
            </w:r>
          </w:p>
        </w:tc>
      </w:tr>
      <w:tr>
        <w:trPr/>
        <w:tc>
          <w:tcPr>
            <w:tcW w:w="153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left"/>
              <w:rPr/>
            </w:pPr>
            <w:r>
              <w:rPr/>
              <w:t> </w:t>
            </w:r>
          </w:p>
        </w:tc>
      </w:tr>
      <w:tr>
        <w:trPr/>
        <w:tc>
          <w:tcPr>
            <w:tcW w:w="15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1/3%</w:t>
            </w:r>
          </w:p>
        </w:tc>
      </w:tr>
      <w:tr>
        <w:trPr/>
        <w:tc>
          <w:tcPr>
            <w:tcW w:w="153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left"/>
              <w:rPr/>
            </w:pPr>
            <w:r>
              <w:rPr/>
              <w:t> </w:t>
            </w:r>
          </w:p>
        </w:tc>
      </w:tr>
      <w:tr>
        <w:trPr/>
        <w:tc>
          <w:tcPr>
            <w:tcW w:w="15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Options:</w:t>
            </w:r>
          </w:p>
        </w:tc>
        <w:tc>
          <w:tcPr>
            <w:tcW w:w="65" w:type="dxa"/>
            <w:tcBorders/>
            <w:vAlign w:val="center"/>
          </w:tcPr>
          <w:p>
            <w:pPr>
              <w:pStyle w:val="TableContents"/>
              <w:bidi w:val="0"/>
              <w:spacing w:before="0" w:after="283"/>
              <w:jc w:val="left"/>
              <w:rPr/>
            </w:pPr>
            <w:r>
              <w:rPr/>
              <w:t> </w:t>
            </w:r>
          </w:p>
        </w:tc>
        <w:tc>
          <w:tcPr>
            <w:tcW w:w="86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Optional Convertible Securities in</w:t>
            </w:r>
          </w:p>
        </w:tc>
      </w:tr>
    </w:tbl>
    <w:p>
      <w:pPr>
        <w:pStyle w:val="TextBody"/>
        <w:bidi w:val="0"/>
        <w:spacing w:before="0" w:after="0"/>
        <w:ind w:left="0" w:right="0" w:hanging="0"/>
        <w:jc w:val="left"/>
        <w:rPr>
          <w:caps w:val="false"/>
          <w:smallCaps w:val="false"/>
        </w:rPr>
      </w:pPr>
      <w:r>
        <w:rPr>
          <w:caps w:val="false"/>
          <w:smallCaps w:val="false"/>
        </w:rPr>
        <w:t> </w:t>
      </w:r>
    </w:p>
    <w:tbl>
      <w:tblPr>
        <w:tblW w:w="300" w:type="dxa"/>
        <w:jc w:val="left"/>
        <w:tblInd w:w="0" w:type="dxa"/>
        <w:tblLayout w:type="fixed"/>
        <w:tblCellMar>
          <w:top w:w="0" w:type="dxa"/>
          <w:left w:w="0" w:type="dxa"/>
          <w:bottom w:w="0" w:type="dxa"/>
          <w:right w:w="0" w:type="dxa"/>
        </w:tblCellMar>
      </w:tblPr>
      <w:tblGrid>
        <w:gridCol w:w="80"/>
        <w:gridCol w:w="140"/>
        <w:gridCol w:w="80"/>
      </w:tblGrid>
      <w:tr>
        <w:trPr/>
        <w:tc>
          <w:tcPr>
            <w:tcW w:w="8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04"/>
        <w:gridCol w:w="65"/>
        <w:gridCol w:w="8336"/>
      </w:tblGrid>
      <w:tr>
        <w:trPr/>
        <w:tc>
          <w:tcPr>
            <w:tcW w:w="180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denominations of USD1,000 principal amount purchased by the Initial Purchasers (as defined in the Purchase Agreement), at their option pursuant to Section 2 of the Purchase Agreement (as defined below). For the avoidance of doubt, the Number of Options outstanding shall be reduced by each exercise of Options hereunder.</w:t>
            </w:r>
          </w:p>
        </w:tc>
      </w:tr>
      <w:tr>
        <w:trPr/>
        <w:tc>
          <w:tcPr>
            <w:tcW w:w="180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Entitlement: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11.3724</w:t>
            </w:r>
          </w:p>
        </w:tc>
      </w:tr>
      <w:tr>
        <w:trPr/>
        <w:tc>
          <w:tcPr>
            <w:tcW w:w="180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Fundamental Change Adjustment: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adjustment to the Conversion Rate pursuant to Section 5.07 of the Indenture.</w:t>
            </w:r>
          </w:p>
        </w:tc>
      </w:tr>
      <w:tr>
        <w:trPr/>
        <w:tc>
          <w:tcPr>
            <w:tcW w:w="180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Adjustment: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adjustment to the Conversion Rate pursuant to Section 5.06 of the Indenture.</w:t>
            </w:r>
          </w:p>
        </w:tc>
      </w:tr>
      <w:tr>
        <w:trPr/>
        <w:tc>
          <w:tcPr>
            <w:tcW w:w="180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Strike Price: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USD87.9322</w:t>
            </w:r>
          </w:p>
        </w:tc>
      </w:tr>
      <w:tr>
        <w:trPr/>
        <w:tc>
          <w:tcPr>
            <w:tcW w:w="180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Rounding of Strike Price/Option Entitlement: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adjustment to the Option Entitlement or Strike Price, the Option Entitlement or the Strike Price, as the case may be, shall be rounded by the Calculation Agent in accordance with the provisions of the Indenture relating to rounding of the “Conversion Price” or the “Conversion Rate” as applicable (each as defined in the Indenture).</w:t>
            </w:r>
          </w:p>
        </w:tc>
      </w:tr>
      <w:tr>
        <w:trPr/>
        <w:tc>
          <w:tcPr>
            <w:tcW w:w="180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any date, a number of Shares equal to the product of (i) the Applicable Percentage, (ii) the Number of Options and (iii) the Option Entitlement.</w:t>
            </w:r>
          </w:p>
        </w:tc>
      </w:tr>
      <w:tr>
        <w:trPr/>
        <w:tc>
          <w:tcPr>
            <w:tcW w:w="180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USD3,270,000</w:t>
            </w:r>
          </w:p>
        </w:tc>
      </w:tr>
      <w:tr>
        <w:trPr/>
        <w:tc>
          <w:tcPr>
            <w:tcW w:w="180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 Payment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w:t>
            </w:r>
          </w:p>
        </w:tc>
      </w:tr>
      <w:tr>
        <w:trPr/>
        <w:tc>
          <w:tcPr>
            <w:tcW w:w="180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York Stock Exchange</w:t>
            </w:r>
          </w:p>
        </w:tc>
      </w:tr>
      <w:tr>
        <w:trPr/>
        <w:tc>
          <w:tcPr>
            <w:tcW w:w="180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jc w:val="left"/>
              <w:rPr/>
            </w:pPr>
            <w:r>
              <w:rPr/>
              <w:t> </w:t>
            </w:r>
          </w:p>
        </w:tc>
      </w:tr>
      <w:tr>
        <w:trPr/>
        <w:tc>
          <w:tcPr>
            <w:tcW w:w="18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Exchange: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Exchanges</w:t>
            </w:r>
          </w:p>
        </w:tc>
      </w:tr>
      <w:tr>
        <w:trPr/>
        <w:tc>
          <w:tcPr>
            <w:tcW w:w="180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3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Procedures for Exercise:</w:t>
      </w:r>
    </w:p>
    <w:tbl>
      <w:tblPr>
        <w:tblW w:w="10205" w:type="dxa"/>
        <w:jc w:val="left"/>
        <w:tblInd w:w="0" w:type="dxa"/>
        <w:tblLayout w:type="fixed"/>
        <w:tblCellMar>
          <w:top w:w="0" w:type="dxa"/>
          <w:left w:w="0" w:type="dxa"/>
          <w:bottom w:w="0" w:type="dxa"/>
          <w:right w:w="0" w:type="dxa"/>
        </w:tblCellMar>
      </w:tblPr>
      <w:tblGrid>
        <w:gridCol w:w="1029"/>
        <w:gridCol w:w="65"/>
        <w:gridCol w:w="9111"/>
      </w:tblGrid>
      <w:tr>
        <w:trPr/>
        <w:tc>
          <w:tcPr>
            <w:tcW w:w="1029"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9111" w:type="dxa"/>
            <w:tcBorders/>
            <w:vAlign w:val="center"/>
          </w:tcPr>
          <w:p>
            <w:pPr>
              <w:pStyle w:val="TableContents"/>
              <w:bidi w:val="0"/>
              <w:spacing w:before="0" w:after="283"/>
              <w:jc w:val="left"/>
              <w:rPr/>
            </w:pPr>
            <w:r>
              <w:rPr/>
              <w:t> </w:t>
            </w:r>
          </w:p>
        </w:tc>
      </w:tr>
      <w:tr>
        <w:trPr/>
        <w:tc>
          <w:tcPr>
            <w:tcW w:w="10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Dates: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1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Conversion Date.</w:t>
            </w:r>
          </w:p>
        </w:tc>
      </w:tr>
      <w:tr>
        <w:trPr/>
        <w:tc>
          <w:tcPr>
            <w:tcW w:w="1029"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9111" w:type="dxa"/>
            <w:tcBorders/>
            <w:vAlign w:val="center"/>
          </w:tcPr>
          <w:p>
            <w:pPr>
              <w:pStyle w:val="TableContents"/>
              <w:bidi w:val="0"/>
              <w:spacing w:before="0" w:after="283"/>
              <w:jc w:val="left"/>
              <w:rPr/>
            </w:pPr>
            <w:r>
              <w:rPr/>
              <w:t> </w:t>
            </w:r>
          </w:p>
        </w:tc>
      </w:tr>
      <w:tr>
        <w:trPr/>
        <w:tc>
          <w:tcPr>
            <w:tcW w:w="10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1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“Conversion Date” (as defined in the Indenture) occurring during the Exercise Period for Convertible Securities each in denominations of USD1,000 principal amount that are not “Relevant Convertible Securities” under (and as defined in) the confirmation between the parties hereto regarding the Base Convertible Bond Hedge Transaction dated January 18, 2024 (the “</w:t>
            </w:r>
            <w:r>
              <w:rPr>
                <w:rFonts w:ascii="Times New Roman;Times;Serif" w:hAnsi="Times New Roman;Times;Serif"/>
                <w:b/>
                <w:i w:val="false"/>
                <w:caps w:val="false"/>
                <w:smallCaps w:val="false"/>
                <w:sz w:val="20"/>
              </w:rPr>
              <w:t>Base Convertible Bond Hedge Transaction Confirmation</w:t>
            </w:r>
            <w:r>
              <w:rPr>
                <w:rFonts w:ascii="Times New Roman;Times;Serif" w:hAnsi="Times New Roman;Times;Serif"/>
                <w:b w:val="false"/>
                <w:i w:val="false"/>
                <w:caps w:val="false"/>
                <w:smallCaps w:val="false"/>
                <w:sz w:val="20"/>
              </w:rPr>
              <w:t>”) (such Convertible Securities, the “</w:t>
            </w:r>
            <w:r>
              <w:rPr>
                <w:rFonts w:ascii="Times New Roman;Times;Serif" w:hAnsi="Times New Roman;Times;Serif"/>
                <w:b/>
                <w:i w:val="false"/>
                <w:caps w:val="false"/>
                <w:smallCaps w:val="false"/>
                <w:sz w:val="20"/>
              </w:rPr>
              <w:t>Relevant Convertible Securities</w:t>
            </w:r>
            <w:r>
              <w:rPr>
                <w:rFonts w:ascii="Times New Roman;Times;Serif" w:hAnsi="Times New Roman;Times;Serif"/>
                <w:b w:val="false"/>
                <w:i w:val="false"/>
                <w:caps w:val="false"/>
                <w:smallCaps w:val="false"/>
                <w:sz w:val="20"/>
              </w:rPr>
              <w:t>” for such Conversion Date). For the purposes of determining whether any Convertible Securities will be Relevant Convertible Securities hereunder or “Relevant Convertible Securities” under the Base Convertible Bond Hedge Transaction Confirmation, Convertible Securities that are converted pursuant to the Indenture shall be allocated first to the Base Convertible Bond Hedge Transaction Confirmation until all Options thereunder are exercised or</w:t>
            </w:r>
          </w:p>
        </w:tc>
      </w:tr>
      <w:tr>
        <w:trPr/>
        <w:tc>
          <w:tcPr>
            <w:tcW w:w="1029"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111"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300" w:type="dxa"/>
        <w:jc w:val="left"/>
        <w:tblInd w:w="0" w:type="dxa"/>
        <w:tblLayout w:type="fixed"/>
        <w:tblCellMar>
          <w:top w:w="0" w:type="dxa"/>
          <w:left w:w="0" w:type="dxa"/>
          <w:bottom w:w="0" w:type="dxa"/>
          <w:right w:w="0" w:type="dxa"/>
        </w:tblCellMar>
      </w:tblPr>
      <w:tblGrid>
        <w:gridCol w:w="80"/>
        <w:gridCol w:w="140"/>
        <w:gridCol w:w="80"/>
      </w:tblGrid>
      <w:tr>
        <w:trPr/>
        <w:tc>
          <w:tcPr>
            <w:tcW w:w="8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67"/>
        <w:gridCol w:w="65"/>
        <w:gridCol w:w="8373"/>
      </w:tblGrid>
      <w:tr>
        <w:trPr/>
        <w:tc>
          <w:tcPr>
            <w:tcW w:w="176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terminated.Exercise Period: The period from and excluding the Effective Date to, and including, the Expiration Date.</w:t>
            </w:r>
          </w:p>
        </w:tc>
      </w:tr>
      <w:tr>
        <w:trPr/>
        <w:tc>
          <w:tcPr>
            <w:tcW w:w="176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73" w:type="dxa"/>
            <w:tcBorders/>
            <w:vAlign w:val="center"/>
          </w:tcPr>
          <w:p>
            <w:pPr>
              <w:pStyle w:val="TableContents"/>
              <w:bidi w:val="0"/>
              <w:spacing w:before="0" w:after="283"/>
              <w:jc w:val="left"/>
              <w:rPr/>
            </w:pPr>
            <w:r>
              <w:rPr/>
              <w:t> </w:t>
            </w:r>
          </w:p>
        </w:tc>
      </w:tr>
      <w:tr>
        <w:trPr/>
        <w:tc>
          <w:tcPr>
            <w:tcW w:w="17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earlier of (i) the last day on which any Convertible Securities remain outstanding and (ii) the second “Scheduled Trading Day” (as defined in the Indenture) immediately preceding the “Maturity Date” (as defined in the Indenture).</w:t>
            </w:r>
          </w:p>
        </w:tc>
      </w:tr>
      <w:tr>
        <w:trPr/>
        <w:tc>
          <w:tcPr>
            <w:tcW w:w="176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73" w:type="dxa"/>
            <w:tcBorders/>
            <w:vAlign w:val="center"/>
          </w:tcPr>
          <w:p>
            <w:pPr>
              <w:pStyle w:val="TableContents"/>
              <w:bidi w:val="0"/>
              <w:spacing w:before="0" w:after="283"/>
              <w:jc w:val="left"/>
              <w:rPr/>
            </w:pPr>
            <w:r>
              <w:rPr/>
              <w:t> </w:t>
            </w:r>
          </w:p>
        </w:tc>
      </w:tr>
      <w:tr>
        <w:trPr/>
        <w:tc>
          <w:tcPr>
            <w:tcW w:w="17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Automatic Exercise on Conversion Dates: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and means that on each Conversion Date, a number of Options equal to the number of Relevant Convertible Securities for such Conversion Date in denominations of USD1,000 principal amount shall be automatically exercised, subject to “Notice of Exercise” below.</w:t>
            </w:r>
          </w:p>
        </w:tc>
      </w:tr>
      <w:tr>
        <w:trPr/>
        <w:tc>
          <w:tcPr>
            <w:tcW w:w="176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73"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830"/>
        <w:gridCol w:w="65"/>
        <w:gridCol w:w="9310"/>
      </w:tblGrid>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Deadline: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310"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val="false"/>
                <w:i w:val="false"/>
                <w:caps w:val="false"/>
                <w:smallCaps w:val="false"/>
                <w:sz w:val="20"/>
              </w:rPr>
              <w:t>In respect of any exercise of Options hereunder on any Conversion Date, 5:00 P.M., New York City time, on (i) in the case the applicable Relevant Convertible Securities will be settled by Counterparty by delivery of Shares only (together with cash in lieu of any fractional Share), the “Trading Day” (as defined in the Indenture) immediately following the relevant Conversion Date, or (ii) otherwise, the Scheduled Trading Day immediately preceding the first day of the relevant Cash Settlement Averaging Period; provided that in the case of any exercise of Options hereunder in connection with the conversion of any Relevant Convertible Securities for any Conversion Date occurring during the period from and including the 85th “Scheduled Trading Day” (as defined in the Indenture) prior to the Maturity Date, to and including the Expiration Date (such period, the “</w:t>
            </w:r>
            <w:r>
              <w:rPr>
                <w:rFonts w:ascii="Times New Roman;Times;Serif" w:hAnsi="Times New Roman;Times;Serif"/>
                <w:b/>
                <w:i/>
                <w:caps w:val="false"/>
                <w:smallCaps w:val="false"/>
                <w:sz w:val="20"/>
              </w:rPr>
              <w:t>Final Conversion Period”</w:t>
            </w:r>
            <w:r>
              <w:rPr>
                <w:rFonts w:ascii="Times New Roman;Times;Serif" w:hAnsi="Times New Roman;Times;Serif"/>
                <w:b w:val="false"/>
                <w:i/>
                <w:caps w:val="false"/>
                <w:smallCaps w:val="false"/>
                <w:sz w:val="20"/>
              </w:rPr>
              <w:t>), the Notice Deadline shall be 5:00 P.M., New York City time, on the “Scheduled Trading Day” (as defined in the Indenture) immediately preceding the “Maturity Date” (as defined in the Indenture).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30"/>
        <w:gridCol w:w="65"/>
        <w:gridCol w:w="9310"/>
      </w:tblGrid>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Exercise: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Equity Definitions, Dealer shall have no obligation to make any payment or delivery in respect of any exercise of Options hereunder and such obligation in respect of such exercise shall be permanently extinguished unless Counterparty notifies Dealer in writing prior to the Notice Deadline in respect of such exercise, of (i) the number of Relevant Convertible Securities being converted on the related Conversion Date (specifying, if applicable, whether all or any portion of such Convertible Securities are Convertible Securities as to which additional Shares would be added to the Conversion Rate (as defined in the Indenture) pursuant to Section 5.07 of the Indenture), (ii) the scheduled settlement date under the Indenture for the Relevant Convertible Securities</w:t>
            </w:r>
          </w:p>
        </w:tc>
      </w:tr>
      <w:tr>
        <w:trPr/>
        <w:tc>
          <w:tcPr>
            <w:tcW w:w="83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31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such Conversion Date, (iii) whether such Relevant Convertible Securities will be settled by Counterparty by delivery of cash or a combination of cash and Shares and, if such a combination, the “Specified Dollar Amount” (as defined in the Indenture) and (iv) the first day of the relevant “Observation Period” (as defined in the Indenture), if any; provided that in the case of any exercise of Options in connection with the conversion of any Relevant Convertible Securities for any Conversion Date occurring during the Final Conversion Period, the contents of such notice shall be as set forth in clauses (i) and (ii) above;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any “Notice of Exercise” delivered to Dealer pursuant to the Base Convertible Bond Hedge Transaction Confirmation shall be deemed to be a Notice of Exercise pursuant to this Confirmation and the terms of such Notice of Exercise shall apply, mutatis mutandis, to this Confirmation. Counterparty acknowledges its responsibilities under applicable securities laws, and in particular Section 9 and Section 10(b) of the Exchange Act (as defined below) and the rules and regulations thereunder, in respect of any election of a settlement method with respect to the Convertible Securities. For the avoidance of doubt, if Counterparty fails to give such notice when due in respect of any exercise of Options hereunder, Dealer’s obligation to make any payment or delivery in respect of such exercise shall be permanently extinguished, and late notice shall not cure such failure. If applicable, the Notice of Exercise shall also contain the Settlement Method Election Provisions.</w:t>
            </w:r>
          </w:p>
        </w:tc>
      </w:tr>
    </w:tbl>
    <w:tbl>
      <w:tblPr>
        <w:tblW w:w="10205" w:type="dxa"/>
        <w:jc w:val="left"/>
        <w:tblInd w:w="0" w:type="dxa"/>
        <w:tblLayout w:type="fixed"/>
        <w:tblCellMar>
          <w:top w:w="0" w:type="dxa"/>
          <w:left w:w="0" w:type="dxa"/>
          <w:bottom w:w="0" w:type="dxa"/>
          <w:right w:w="0" w:type="dxa"/>
        </w:tblCellMar>
      </w:tblPr>
      <w:tblGrid>
        <w:gridCol w:w="2049"/>
        <w:gridCol w:w="65"/>
        <w:gridCol w:w="8091"/>
      </w:tblGrid>
      <w:tr>
        <w:trPr/>
        <w:tc>
          <w:tcPr>
            <w:tcW w:w="2049"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091" w:type="dxa"/>
            <w:tcBorders/>
            <w:vAlign w:val="center"/>
          </w:tcPr>
          <w:p>
            <w:pPr>
              <w:pStyle w:val="TableContents"/>
              <w:bidi w:val="0"/>
              <w:spacing w:before="0" w:after="283"/>
              <w:jc w:val="left"/>
              <w:rPr/>
            </w:pPr>
            <w:r>
              <w:rPr/>
              <w:t> </w:t>
            </w:r>
          </w:p>
        </w:tc>
      </w:tr>
      <w:tr>
        <w:trPr/>
        <w:tc>
          <w:tcPr>
            <w:tcW w:w="2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Final Convertible Security Settlement Method: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091"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Counterparty shall notify Dealer in writing before 5:00 P.M., New York City time, on the “Scheduled Trading Day” (as defined in the Indenture) immediately preceding the 85th “Scheduled Trading Day” (as defined in the Indenture) prior to the Maturity Date of the settlement method (and, if applicable, the Specified Dollar Amount) elected (or deemed to be elected) with respect to Relevant Convertible Securities with a Conversion Date occurring during the Final Conversion Period (any such notice, a “</w:t>
            </w:r>
            <w:r>
              <w:rPr>
                <w:rFonts w:ascii="Times New Roman;Times;Serif" w:hAnsi="Times New Roman;Times;Serif"/>
                <w:b/>
                <w:i w:val="false"/>
                <w:caps w:val="false"/>
                <w:smallCaps w:val="false"/>
                <w:sz w:val="20"/>
              </w:rPr>
              <w:t>Notice of Final Convertible Security Settlement Method”</w:t>
            </w:r>
            <w:r>
              <w:rPr>
                <w:rFonts w:ascii="Times New Roman;Times;Serif" w:hAnsi="Times New Roman;Times;Serif"/>
                <w:b w:val="false"/>
                <w:i w:val="false"/>
                <w:caps w:val="false"/>
                <w:smallCaps w:val="false"/>
                <w:sz w:val="20"/>
              </w:rPr>
              <w:t>). If applicable, the Notice of Final Convertible Security Settlement Method shall also contain the Settlement Method Election Provisions.</w:t>
            </w:r>
          </w:p>
        </w:tc>
      </w:tr>
      <w:tr>
        <w:trPr/>
        <w:tc>
          <w:tcPr>
            <w:tcW w:w="2049"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091" w:type="dxa"/>
            <w:tcBorders/>
            <w:vAlign w:val="center"/>
          </w:tcPr>
          <w:p>
            <w:pPr>
              <w:pStyle w:val="TableContents"/>
              <w:bidi w:val="0"/>
              <w:spacing w:before="0" w:after="283"/>
              <w:jc w:val="left"/>
              <w:rPr/>
            </w:pPr>
            <w:r>
              <w:rPr/>
              <w:t> </w:t>
            </w:r>
          </w:p>
        </w:tc>
      </w:tr>
      <w:tr>
        <w:trPr/>
        <w:tc>
          <w:tcPr>
            <w:tcW w:w="2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Telephone Number and Telex and/or Facsimile Number and Contact Details for purpose of Giving Notice: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0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Section 6(b) below.</w:t>
            </w:r>
          </w:p>
        </w:tc>
      </w:tr>
    </w:tbl>
    <w:p>
      <w:pPr>
        <w:pStyle w:val="TextBody"/>
        <w:bidi w:val="0"/>
        <w:spacing w:before="0" w:after="0"/>
        <w:ind w:left="0" w:right="0" w:hanging="0"/>
        <w:jc w:val="left"/>
        <w:rPr>
          <w:caps w:val="false"/>
          <w:smallCaps w:val="false"/>
        </w:rPr>
      </w:pPr>
      <w:r>
        <w:rPr>
          <w:caps w:val="false"/>
          <w:smallCaps w:val="false"/>
        </w:rPr>
        <w:t> </w:t>
      </w:r>
    </w:p>
    <w:tbl>
      <w:tblPr>
        <w:tblW w:w="300" w:type="dxa"/>
        <w:jc w:val="left"/>
        <w:tblInd w:w="0" w:type="dxa"/>
        <w:tblLayout w:type="fixed"/>
        <w:tblCellMar>
          <w:top w:w="0" w:type="dxa"/>
          <w:left w:w="0" w:type="dxa"/>
          <w:bottom w:w="0" w:type="dxa"/>
          <w:right w:w="0" w:type="dxa"/>
        </w:tblCellMar>
      </w:tblPr>
      <w:tblGrid>
        <w:gridCol w:w="80"/>
        <w:gridCol w:w="140"/>
        <w:gridCol w:w="80"/>
      </w:tblGrid>
      <w:tr>
        <w:trPr/>
        <w:tc>
          <w:tcPr>
            <w:tcW w:w="8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Terms:</w:t>
      </w:r>
    </w:p>
    <w:tbl>
      <w:tblPr>
        <w:tblW w:w="10205" w:type="dxa"/>
        <w:jc w:val="left"/>
        <w:tblInd w:w="0" w:type="dxa"/>
        <w:tblLayout w:type="fixed"/>
        <w:tblCellMar>
          <w:top w:w="0" w:type="dxa"/>
          <w:left w:w="0" w:type="dxa"/>
          <w:bottom w:w="0" w:type="dxa"/>
          <w:right w:w="0" w:type="dxa"/>
        </w:tblCellMar>
      </w:tblPr>
      <w:tblGrid>
        <w:gridCol w:w="1070"/>
        <w:gridCol w:w="65"/>
        <w:gridCol w:w="9070"/>
      </w:tblGrid>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Date: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Exercise Date, the date one Settlement Cycle following the final day of the relevant Cash Settlement Averaging Period; provided that the Settlement Date shall not be prior to the Exchange Business Day immediately following the date Counterparty provides the Notice of Delivery Obligation prior to 5:00 P.M., New York City time.</w:t>
            </w:r>
          </w:p>
        </w:tc>
      </w:tr>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Obligation: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0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In lieu of the obligations set forth in Sections 8.1 and 9.1 of the Equity Definitions, and subject to “Notice of Exercise” above and “Discretionary Adjustments” , “Dividends” and “Consequences of Merger Events” below, in respect of an Exercise Date, Dealer will deliver to Counterparty on the related Settlement Date (the “</w:t>
            </w:r>
            <w:r>
              <w:rPr>
                <w:rFonts w:ascii="Times New Roman;Times;Serif" w:hAnsi="Times New Roman;Times;Serif"/>
                <w:b/>
                <w:i w:val="false"/>
                <w:caps w:val="false"/>
                <w:smallCaps w:val="false"/>
                <w:sz w:val="20"/>
              </w:rPr>
              <w:t>Delivery Obligation”</w:t>
            </w:r>
            <w:r>
              <w:rPr>
                <w:rFonts w:ascii="Times New Roman;Times;Serif" w:hAnsi="Times New Roman;Times;Serif"/>
                <w:b w:val="false"/>
                <w:i w:val="false"/>
                <w:caps w:val="false"/>
                <w:smallCaps w:val="false"/>
                <w:sz w:val="20"/>
              </w:rPr>
              <w:t>), amounts equal to the product of the Applicable Percentage and</w:t>
            </w:r>
          </w:p>
        </w:tc>
      </w:tr>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 a number of Shares equal to the aggregate number of Shares, if any, that Counterparty would be obligated to deliver to the holder(s) of the Relevant Convertible Securities for such Conversion Date pursuant to Section 5.03 of the Indenture (except that such number of Shares shall be determined without taking into consideration any rounding pursuant to Section 5.03(B)(ii) of the Indenture and shall be rounded down to the nearest whole number) and (II) cash in lieu of any fractional Share resulting from such rounding; and/or</w:t>
            </w:r>
          </w:p>
        </w:tc>
      </w:tr>
    </w:tbl>
    <w:tbl>
      <w:tblPr>
        <w:tblW w:w="10205" w:type="dxa"/>
        <w:jc w:val="left"/>
        <w:tblInd w:w="0" w:type="dxa"/>
        <w:tblLayout w:type="fixed"/>
        <w:tblCellMar>
          <w:top w:w="0" w:type="dxa"/>
          <w:left w:w="0" w:type="dxa"/>
          <w:bottom w:w="0" w:type="dxa"/>
          <w:right w:w="0" w:type="dxa"/>
        </w:tblCellMar>
      </w:tblPr>
      <w:tblGrid>
        <w:gridCol w:w="80"/>
        <w:gridCol w:w="65"/>
        <w:gridCol w:w="10060"/>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1006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aggregate amount of cash, if any, in excess of the principal amount of the Relevant Convertible Securities that Counterparty would be obligated to deliver to holder(s) of the Relevant Convertible Securities for such Conversion Date pursuant to Section 5.03 of the Indenture, determined, for each of clauses (i) and (ii), by the Calculation Agent (by reference to such Sections of the Indenture)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1006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if Counterparty had elected to satisfy its conversion obligation in respect of such Relevant Convertible Securities by the Applicable Settlement Method, notwithstanding any different actual election by Counterparty with respect to the settlement of such Relevant Convertible Securities; provided that the Delivery Obligation shall be determined excluding any Shares and/or cash that Counterparty is obligated to deliver to holder(s) of the Relevant Convertible Securities as a direct or indirect result of any adjustments to the Conversion Rate pursuant to a Fundamental Change Adjustment or a Discretionary Adjustment and any interest payment that Counterparty is (or would have been) obligated to deliver to holder(s) of the Relevant Convertible Securities for such Conversion Date.</w:t>
            </w:r>
          </w:p>
        </w:tc>
      </w:tr>
    </w:tbl>
    <w:p>
      <w:pPr>
        <w:pStyle w:val="TextBody"/>
        <w:bidi w:val="0"/>
        <w:spacing w:before="0" w:after="283"/>
        <w:jc w:val="left"/>
        <w:rPr/>
      </w:pPr>
      <w:r>
        <w:rPr/>
        <w:t> </w:t>
      </w:r>
    </w:p>
    <w:tbl>
      <w:tblPr>
        <w:tblW w:w="300" w:type="dxa"/>
        <w:jc w:val="left"/>
        <w:tblInd w:w="0" w:type="dxa"/>
        <w:tblLayout w:type="fixed"/>
        <w:tblCellMar>
          <w:top w:w="0" w:type="dxa"/>
          <w:left w:w="0" w:type="dxa"/>
          <w:bottom w:w="0" w:type="dxa"/>
          <w:right w:w="0" w:type="dxa"/>
        </w:tblCellMar>
      </w:tblPr>
      <w:tblGrid>
        <w:gridCol w:w="80"/>
        <w:gridCol w:w="140"/>
        <w:gridCol w:w="80"/>
      </w:tblGrid>
      <w:tr>
        <w:trPr/>
        <w:tc>
          <w:tcPr>
            <w:tcW w:w="8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74"/>
        <w:gridCol w:w="65"/>
        <w:gridCol w:w="8966"/>
      </w:tblGrid>
      <w:tr>
        <w:trPr/>
        <w:tc>
          <w:tcPr>
            <w:tcW w:w="117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in respect of any Exercise Date, (x)(I) the number of Shares included in the Delivery Obligation multiplied by the Share Obligation Value Price plus (II) the amount of cash included in the Delivery Obligation, would otherwise exceed (y) the relevant Net Convertible Share Obligation Value, such number of Shares and such amount of cash shall be proportionately reduced to the extent necessary to eliminate such excess.</w:t>
            </w:r>
          </w:p>
        </w:tc>
      </w:tr>
      <w:tr>
        <w:trPr/>
        <w:tc>
          <w:tcPr>
            <w:tcW w:w="117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966" w:type="dxa"/>
            <w:tcBorders/>
            <w:vAlign w:val="center"/>
          </w:tcPr>
          <w:p>
            <w:pPr>
              <w:pStyle w:val="TableContents"/>
              <w:bidi w:val="0"/>
              <w:spacing w:before="0" w:after="283"/>
              <w:jc w:val="left"/>
              <w:rPr/>
            </w:pPr>
            <w:r>
              <w:rPr/>
              <w:t> </w:t>
            </w:r>
          </w:p>
        </w:tc>
      </w:tr>
      <w:tr>
        <w:trPr/>
        <w:tc>
          <w:tcPr>
            <w:tcW w:w="1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Adjustment: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in respect of any exercise of Options relating to a conversion of Relevant Convertible Securities in connection with which holders of the Relevant Convertible Securities would be entitled to receive additional Shares and/or cash as a result of adjustments to the Conversion Rate pursuant to a Fundamental Change Adjustment, the Delivery Obligation shall include such additional Shares and/or cash; provided that if the sum of (i) the product of (a) the number of Shares (if any) included in the Delivery Obligation per exercised Option and (b) the Share Obligation Value Price and (ii) the amount of cash (if any) included in the Delivery Obligation per exercised Option would otherwise exceed the amount per Option, as determined by the Calculation Agent, that would be payable by Dealer under Section 6 of the Agreement if (x) the relevant Conversion Date were an Early Termination Date resulting from an Additional Termination Event with respect to which the Transaction was the sole Affected Transaction and Counterparty was the sole Affected Party and (y) the provisions of the Indenture relating to the Fundamental Change Adjustment were deleted, then such number of Shares and such amount of cash shall be proportionately reduced to the extent necessary to eliminate such excess.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21"/>
        <w:gridCol w:w="65"/>
        <w:gridCol w:w="9019"/>
      </w:tblGrid>
      <w:tr>
        <w:trPr/>
        <w:tc>
          <w:tcPr>
            <w:tcW w:w="11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Settlement Method: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01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For any Relevant Convertible Securities, if such Notice of Exercise (or such Notice of Final Convertible Security Settlement Method, as the case may be) contains all of the Settlement Method Election Provisions, the Applicable Settlement Method shall be the settlement method actually so elected by Counterparty in respect of such Relevant Convertible Securities (the “</w:t>
            </w:r>
            <w:r>
              <w:rPr>
                <w:rFonts w:ascii="Times New Roman;Times;Serif" w:hAnsi="Times New Roman;Times;Serif"/>
                <w:b/>
                <w:i w:val="false"/>
                <w:caps w:val="false"/>
                <w:smallCaps w:val="false"/>
                <w:sz w:val="20"/>
              </w:rPr>
              <w:t>Convertible Securities Settlement Method”</w:t>
            </w:r>
            <w:r>
              <w:rPr>
                <w:rFonts w:ascii="Times New Roman;Times;Serif" w:hAnsi="Times New Roman;Times;Serif"/>
                <w:b w:val="false"/>
                <w:i w:val="false"/>
                <w:caps w:val="false"/>
                <w:smallCaps w:val="false"/>
                <w:sz w:val="20"/>
              </w:rPr>
              <w:t>); otherwise, the Applicable Settlement Method shall assume Counterparty had made a Cash Election with respect to such Relevant Convertible Securities (a “</w:t>
            </w:r>
            <w:r>
              <w:rPr>
                <w:rFonts w:ascii="Times New Roman;Times;Serif" w:hAnsi="Times New Roman;Times;Serif"/>
                <w:b/>
                <w:i w:val="false"/>
                <w:caps w:val="false"/>
                <w:smallCaps w:val="false"/>
                <w:sz w:val="20"/>
              </w:rPr>
              <w:t>Deemed Cash Election”</w:t>
            </w:r>
            <w:r>
              <w:rPr>
                <w:rFonts w:ascii="Times New Roman;Times;Serif" w:hAnsi="Times New Roman;Times;Serif"/>
                <w:b w:val="false"/>
                <w:i w:val="false"/>
                <w:caps w:val="false"/>
                <w:smallCaps w:val="false"/>
                <w:sz w:val="20"/>
              </w:rPr>
              <w:t>) with a Specified Dollar Amount of USD1,000 per Relevant Convertible Security and the Delivery Obligation shall be determined by the Calculation Agent as if the relevant “Observation Period” pursuant to Section 5.03(B)(i) of the Indenture were the Cash Settlement Averaging Period.</w:t>
            </w:r>
          </w:p>
        </w:tc>
      </w:tr>
    </w:tbl>
    <w:p>
      <w:pPr>
        <w:pStyle w:val="TextBody"/>
        <w:bidi w:val="0"/>
        <w:spacing w:before="0" w:after="283"/>
        <w:jc w:val="left"/>
        <w:rPr/>
      </w:pPr>
      <w:r>
        <w:rPr/>
        <w:t> </w:t>
      </w:r>
    </w:p>
    <w:tbl>
      <w:tblPr>
        <w:tblW w:w="300" w:type="dxa"/>
        <w:jc w:val="left"/>
        <w:tblInd w:w="0" w:type="dxa"/>
        <w:tblLayout w:type="fixed"/>
        <w:tblCellMar>
          <w:top w:w="0" w:type="dxa"/>
          <w:left w:w="0" w:type="dxa"/>
          <w:bottom w:w="0" w:type="dxa"/>
          <w:right w:w="0" w:type="dxa"/>
        </w:tblCellMar>
      </w:tblPr>
      <w:tblGrid>
        <w:gridCol w:w="80"/>
        <w:gridCol w:w="140"/>
        <w:gridCol w:w="80"/>
      </w:tblGrid>
      <w:tr>
        <w:trPr/>
        <w:tc>
          <w:tcPr>
            <w:tcW w:w="8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93"/>
        <w:gridCol w:w="65"/>
        <w:gridCol w:w="8747"/>
      </w:tblGrid>
      <w:tr>
        <w:trPr/>
        <w:tc>
          <w:tcPr>
            <w:tcW w:w="13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Settlement Averaging Period:</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40 “Trading Days” (as defined in the Indenture) commencing on (I) the third “Trading Day” (as defined in the Indenture) after the Conversion Date for conversions with a related Conversion Date occurring prior to the Final Conversion Period or (II) the 41st “Scheduled Trading Day” (as defined in the Indenture) prior to the “Maturity Date” (as defined in the Indenture) for conversions with a related Conversion Date occurring during the Final Conversion Period.</w:t>
            </w:r>
          </w:p>
        </w:tc>
      </w:tr>
      <w:tr>
        <w:trPr/>
        <w:tc>
          <w:tcPr>
            <w:tcW w:w="139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747" w:type="dxa"/>
            <w:tcBorders/>
            <w:vAlign w:val="center"/>
          </w:tcPr>
          <w:p>
            <w:pPr>
              <w:pStyle w:val="TableContents"/>
              <w:bidi w:val="0"/>
              <w:spacing w:before="0" w:after="283"/>
              <w:jc w:val="left"/>
              <w:rPr/>
            </w:pPr>
            <w:r>
              <w:rPr/>
              <w:t> </w:t>
            </w:r>
          </w:p>
        </w:tc>
      </w:tr>
      <w:tr>
        <w:trPr/>
        <w:tc>
          <w:tcPr>
            <w:tcW w:w="13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Method Election Provisions: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the Applicable Settlement Method to be the Convertible Securities Settlement Method in accordance with “Applicable Settlement Method” above, the related Notice of Exercise (or Notice of Final Convertible Security Settlement Method, as the case may be) must contain in writing the following representations and warranties from Counterparty to Dealer as of such notice delivery date:</w:t>
            </w:r>
          </w:p>
        </w:tc>
      </w:tr>
      <w:tr>
        <w:trPr/>
        <w:tc>
          <w:tcPr>
            <w:tcW w:w="139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747" w:type="dxa"/>
            <w:tcBorders/>
            <w:vAlign w:val="center"/>
          </w:tcPr>
          <w:p>
            <w:pPr>
              <w:pStyle w:val="TableContents"/>
              <w:bidi w:val="0"/>
              <w:spacing w:before="0" w:after="283"/>
              <w:jc w:val="left"/>
              <w:rPr/>
            </w:pPr>
            <w:r>
              <w:rPr/>
              <w:t> </w:t>
            </w:r>
          </w:p>
        </w:tc>
      </w:tr>
      <w:tr>
        <w:trPr/>
        <w:tc>
          <w:tcPr>
            <w:tcW w:w="139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7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none of Counterparty and its officers or directors, or any person that controls, potentially controls, or otherwise exercises influence over, Counterparty’s decision to elect the Convertible Security Settlement Method is aware of any material nonpublic information regarding Counterparty or the Shares;</w:t>
            </w:r>
          </w:p>
        </w:tc>
      </w:tr>
      <w:tr>
        <w:trPr/>
        <w:tc>
          <w:tcPr>
            <w:tcW w:w="139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747"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80"/>
        <w:gridCol w:w="65"/>
        <w:gridCol w:w="10060"/>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Counterparty is electing the Convertible Security Settlement Method in good faith and not as part of a plan or scheme to evade compliance with the U.S. federal securities laws; Counterparty is not electing the Convertible Security Settlement Method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and Counterparty has not entered into or altered any hedging transaction relating to the Shares corresponding to or offsetting the Transaction;</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1006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Counterparty has the power to make such election and to execute and deliver any documentation relating to such election that it is required by this Confirmation to deliver and to perform its obligations under this Confirmation and has taken all necessary action to authorize such election, execution, delivery and performance;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1006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such election and performance of its obligations under this Confirmation do not violate or conflict with any law applicable to it, any provision of its constitutional documents, </w:t>
            </w:r>
          </w:p>
        </w:tc>
      </w:tr>
    </w:tbl>
    <w:p>
      <w:pPr>
        <w:pStyle w:val="TextBody"/>
        <w:bidi w:val="0"/>
        <w:spacing w:before="0" w:after="283"/>
        <w:jc w:val="left"/>
        <w:rPr/>
      </w:pPr>
      <w:r>
        <w:rPr/>
        <w:t> </w:t>
      </w:r>
    </w:p>
    <w:tbl>
      <w:tblPr>
        <w:tblW w:w="300" w:type="dxa"/>
        <w:jc w:val="left"/>
        <w:tblInd w:w="0" w:type="dxa"/>
        <w:tblLayout w:type="fixed"/>
        <w:tblCellMar>
          <w:top w:w="0" w:type="dxa"/>
          <w:left w:w="0" w:type="dxa"/>
          <w:bottom w:w="0" w:type="dxa"/>
          <w:right w:w="0" w:type="dxa"/>
        </w:tblCellMar>
      </w:tblPr>
      <w:tblGrid>
        <w:gridCol w:w="80"/>
        <w:gridCol w:w="140"/>
        <w:gridCol w:w="80"/>
      </w:tblGrid>
      <w:tr>
        <w:trPr/>
        <w:tc>
          <w:tcPr>
            <w:tcW w:w="8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92"/>
        <w:gridCol w:w="65"/>
        <w:gridCol w:w="9048"/>
      </w:tblGrid>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order or judgment of any court or other agency of government applicable to it or any of its assets or any contractual restriction binding on or affecting it or any of its assets; and</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9048" w:type="dxa"/>
            <w:tcBorders/>
            <w:vAlign w:val="center"/>
          </w:tcPr>
          <w:p>
            <w:pPr>
              <w:pStyle w:val="TableContents"/>
              <w:bidi w:val="0"/>
              <w:spacing w:before="0" w:after="283"/>
              <w:jc w:val="left"/>
              <w:rPr/>
            </w:pPr>
            <w:r>
              <w:rPr/>
              <w:t> </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transaction that Dealer makes with respect to the Shares during the period beginning at the time that Counterparty delivers such notice and ending at the close of business on the final day of the Cash Settlement Averaging Period shall be made by Dealer at Dealer’s sole discretion for Dealer’s own account and Counterparty shall not have, and shall not attempt to exercise, any influence over how, when, whether or at what price Dealer effects such transactions, including, without limitation, the prices paid or received by Dealer per Share pursuant to such transactions, or whether such transactions are made on any securities exchange or privately.</w:t>
            </w:r>
          </w:p>
        </w:tc>
      </w:tr>
      <w:tr>
        <w:trPr/>
        <w:tc>
          <w:tcPr>
            <w:tcW w:w="1092"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9048" w:type="dxa"/>
            <w:tcBorders/>
            <w:vAlign w:val="center"/>
          </w:tcPr>
          <w:p>
            <w:pPr>
              <w:pStyle w:val="TableContents"/>
              <w:bidi w:val="0"/>
              <w:spacing w:before="0" w:after="283"/>
              <w:jc w:val="lef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Delivery Obligation: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the Exchange Business Day immediately following the last day of the relevant Cash Settlement Averaging Period, Counterparty shall give Dealer notice of the final number of Shares and/or amount of cash included in the Total Convertible Share Obligation Value (as defined below); provided that, with respect to any Exercise Date occurring during the Final Conversion Period, Counterparty may provide Dealer with a single notice of the aggregate number of Shares and/or amount of cash included in the Total Convertible Share Obligation Value for all Exercise Dates occurring during such period (it being understood, for the avoidance of doubt, that the requirement of Counterparty to deliver such notice shall not limit Counterparty’s obligations with respect to a Notice of Exercise or Notice of Final Convertible Security Settlement Method, as the case may be, as set forth above, in any way).</w:t>
            </w:r>
          </w:p>
        </w:tc>
      </w:tr>
    </w:tbl>
    <w:tbl>
      <w:tblPr>
        <w:tblW w:w="10205" w:type="dxa"/>
        <w:jc w:val="left"/>
        <w:tblInd w:w="0" w:type="dxa"/>
        <w:tblLayout w:type="fixed"/>
        <w:tblCellMar>
          <w:top w:w="0" w:type="dxa"/>
          <w:left w:w="0" w:type="dxa"/>
          <w:bottom w:w="0" w:type="dxa"/>
          <w:right w:w="0" w:type="dxa"/>
        </w:tblCellMar>
      </w:tblPr>
      <w:tblGrid>
        <w:gridCol w:w="1594"/>
        <w:gridCol w:w="65"/>
        <w:gridCol w:w="8546"/>
      </w:tblGrid>
      <w:tr>
        <w:trPr/>
        <w:tc>
          <w:tcPr>
            <w:tcW w:w="159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546" w:type="dxa"/>
            <w:tcBorders/>
            <w:vAlign w:val="center"/>
          </w:tcPr>
          <w:p>
            <w:pPr>
              <w:pStyle w:val="TableContents"/>
              <w:bidi w:val="0"/>
              <w:spacing w:before="0" w:after="283"/>
              <w:jc w:val="left"/>
              <w:rPr/>
            </w:pPr>
            <w:r>
              <w:rPr/>
              <w:t> </w:t>
            </w:r>
          </w:p>
        </w:tc>
      </w:tr>
      <w:tr>
        <w:trPr/>
        <w:tc>
          <w:tcPr>
            <w:tcW w:w="15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Convertible Share Obligation Value: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5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Relevant Convertible Securities as to a Conversion Date, the product of (i) the Applicable Percentage and (ii)(A) the Total Convertible Share Obligation Value of such Relevant Convertible Securities for such Conversion Date minus (B) the aggregate principal amount of such Relevant Convertible Securities for such Conversion Date.</w:t>
            </w:r>
          </w:p>
        </w:tc>
      </w:tr>
      <w:tr>
        <w:trPr/>
        <w:tc>
          <w:tcPr>
            <w:tcW w:w="159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546" w:type="dxa"/>
            <w:tcBorders/>
            <w:vAlign w:val="center"/>
          </w:tcPr>
          <w:p>
            <w:pPr>
              <w:pStyle w:val="TableContents"/>
              <w:bidi w:val="0"/>
              <w:spacing w:before="0" w:after="283"/>
              <w:jc w:val="left"/>
              <w:rPr/>
            </w:pPr>
            <w:r>
              <w:rPr/>
              <w:t> </w:t>
            </w:r>
          </w:p>
        </w:tc>
      </w:tr>
      <w:tr>
        <w:trPr/>
        <w:tc>
          <w:tcPr>
            <w:tcW w:w="15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Convertible Share Obligation Value: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5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Relevant Convertible Securities with respect to a Conversion Date, (i) (A) the number of Shares equal to the aggregate number of Shares that Counterparty is obligated to deliver to the holder(s) of Relevant Convertible Securities for such Conversion Date pursuant to the Indenture (it being understood that such number of Shares shall be determined taking into consideration any rounding </w:t>
            </w:r>
          </w:p>
        </w:tc>
      </w:tr>
      <w:tr>
        <w:trPr/>
        <w:tc>
          <w:tcPr>
            <w:tcW w:w="159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546"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300" w:type="dxa"/>
        <w:jc w:val="left"/>
        <w:tblInd w:w="0" w:type="dxa"/>
        <w:tblLayout w:type="fixed"/>
        <w:tblCellMar>
          <w:top w:w="0" w:type="dxa"/>
          <w:left w:w="0" w:type="dxa"/>
          <w:bottom w:w="0" w:type="dxa"/>
          <w:right w:w="0" w:type="dxa"/>
        </w:tblCellMar>
      </w:tblPr>
      <w:tblGrid>
        <w:gridCol w:w="80"/>
        <w:gridCol w:w="140"/>
        <w:gridCol w:w="80"/>
      </w:tblGrid>
      <w:tr>
        <w:trPr/>
        <w:tc>
          <w:tcPr>
            <w:tcW w:w="8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94"/>
        <w:gridCol w:w="65"/>
        <w:gridCol w:w="9046"/>
      </w:tblGrid>
      <w:tr>
        <w:trPr/>
        <w:tc>
          <w:tcPr>
            <w:tcW w:w="109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04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pursuant to Section 5.03(B)(ii) of the Indenture)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 xml:space="preserve">(B) the Share Obligation Value Price plus (ii) an amount of cash equal to the aggregate amount of cash that Counterparty is obligated to deliver to the holder(s) of Relevant Convertible Securities for such Conversion Date pursuant to the Indenture (including, for the avoidance of doubt, any cash payable by Counterparty in lieu of fractional Shares);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Total Convertible Share Obligation Value shall be determined excluding any Shares and/or cash that Counterparty is obligated to deliver to holder(s) of the Relevant Convertible Securities as a direct or indirect result of any adjustments to the Conversion Rate pursuant to a Fundamental Change Adjustment or a Discretionary Adjustment and any interest payment that Counterparty is (or would have been) obligated to deliver to holder(s) of the Relevant Convertible Securities for such Conversion Date.</w:t>
            </w:r>
          </w:p>
        </w:tc>
      </w:tr>
      <w:tr>
        <w:trPr/>
        <w:tc>
          <w:tcPr>
            <w:tcW w:w="109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283"/>
              <w:jc w:val="left"/>
              <w:rPr/>
            </w:pPr>
            <w:r>
              <w:rPr/>
              <w:t> </w:t>
            </w:r>
          </w:p>
        </w:tc>
      </w:tr>
      <w:tr>
        <w:trPr/>
        <w:tc>
          <w:tcPr>
            <w:tcW w:w="10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Obligation Value Price: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opening price as displayed under the heading “Op” on Bloomberg page “WGO.N &lt;Equity&gt;” (or any successor thereto) on the applicable Settlement Date or other date of delivery.</w:t>
            </w:r>
          </w:p>
        </w:tc>
      </w:tr>
      <w:tr>
        <w:trPr/>
        <w:tc>
          <w:tcPr>
            <w:tcW w:w="109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0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Applicable Provisions: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Dealer is obligated to deliver Shares hereunder, the provisions of Sections 9.8, 9.9 and 9.11 of the Equity Definitions will be applicable as if “Physical Settlement” applied to the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of the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93"/>
        <w:gridCol w:w="65"/>
        <w:gridCol w:w="8847"/>
      </w:tblGrid>
      <w:tr>
        <w:trPr/>
        <w:tc>
          <w:tcPr>
            <w:tcW w:w="12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Certificated Shares: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8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Equity Definitions, Dealer may, in whole or in part, deliver Shares required to be delivered to Counterparty hereunder in certificated form in lieu of delivery through the Clearance System. With respect to such certificated Shares, the Representation and Agreement contained in Section 9.11 of the Equity Definitions shall be modified by deleting the remainder of the provision after the word “encumbrance” in the fourth line thereof.</w:t>
            </w:r>
          </w:p>
        </w:tc>
      </w:tr>
      <w:tr>
        <w:trPr/>
        <w:tc>
          <w:tcPr>
            <w:tcW w:w="129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847"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tbl>
      <w:tblPr>
        <w:tblW w:w="10205" w:type="dxa"/>
        <w:jc w:val="left"/>
        <w:tblInd w:w="0" w:type="dxa"/>
        <w:tblLayout w:type="fixed"/>
        <w:tblCellMar>
          <w:top w:w="0" w:type="dxa"/>
          <w:left w:w="0" w:type="dxa"/>
          <w:bottom w:w="0" w:type="dxa"/>
          <w:right w:w="0" w:type="dxa"/>
        </w:tblCellMar>
      </w:tblPr>
      <w:tblGrid>
        <w:gridCol w:w="1219"/>
        <w:gridCol w:w="65"/>
        <w:gridCol w:w="8921"/>
      </w:tblGrid>
      <w:tr>
        <w:trPr/>
        <w:tc>
          <w:tcPr>
            <w:tcW w:w="1219"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left"/>
              <w:rPr/>
            </w:pPr>
            <w:r>
              <w:rPr/>
              <w:t> </w:t>
            </w:r>
          </w:p>
        </w:tc>
      </w:tr>
      <w:tr>
        <w:trPr/>
        <w:tc>
          <w:tcPr>
            <w:tcW w:w="1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Adjustment: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21"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Notwithstanding Section 11.2 of the Equity Definitions, upon the occurrence of any event or condition set forth in Section 5.05(A)(i), (ii), (iii), (iv) and (v) and Section 5.05(H) of the Indenture (a “</w:t>
            </w:r>
            <w:r>
              <w:rPr>
                <w:rFonts w:ascii="Times New Roman;Times;Serif" w:hAnsi="Times New Roman;Times;Serif"/>
                <w:b/>
                <w:i w:val="false"/>
                <w:caps w:val="false"/>
                <w:smallCaps w:val="false"/>
                <w:sz w:val="20"/>
              </w:rPr>
              <w:t>Potential Adjustment Event”</w:t>
            </w:r>
            <w:r>
              <w:rPr>
                <w:rFonts w:ascii="Times New Roman;Times;Serif" w:hAnsi="Times New Roman;Times;Serif"/>
                <w:b w:val="false"/>
                <w:i w:val="false"/>
                <w:caps w:val="false"/>
                <w:smallCaps w:val="false"/>
                <w:sz w:val="20"/>
              </w:rPr>
              <w:t xml:space="preserve">) that results in an adjustment under the Indenture, the Calculation Agent shall make a corresponding adjustment in respect of any one or more of the Strike Price, the </w:t>
            </w:r>
          </w:p>
        </w:tc>
      </w:tr>
    </w:tbl>
    <w:p>
      <w:pPr>
        <w:pStyle w:val="TextBody"/>
        <w:bidi w:val="0"/>
        <w:spacing w:before="0" w:after="283"/>
        <w:jc w:val="left"/>
        <w:rPr/>
      </w:pPr>
      <w:r>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0"/>
        <w:gridCol w:w="65"/>
        <w:gridCol w:w="10060"/>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Options, the Option Entitlement and any other term relevant to the exercise, settlement or payment of the Transaction, subject to “Discretionary Adjustments” below. Promptly upon the occurrence of any Potential Adjustment Event, Counterparty shall notify the Calculation Agent of such Potential Adjustment Event; and once the adjustments to be made to the terms of the Indenture and the Convertible Securities in respect of such Potential Adjustment Event have been determined, Counterparty shall immediately notify the Calculation Agent in writing of the details of such adjustments.</w:t>
            </w:r>
          </w:p>
        </w:tc>
      </w:tr>
      <w:tr>
        <w:trPr/>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1006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or in the Equity Definitions:</w:t>
            </w:r>
          </w:p>
        </w:tc>
      </w:tr>
      <w:tr>
        <w:trPr/>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10060"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connection with any Potential Adjustment Event as a result of an event or condition set forth in Section 5.05(A)(ii) of the Indenture or Section 5.05(A)(iii)(1) of the Indenture where, in either case, the period for determining “Y” (as such term is used in Section 5.05(A)(ii) of the Indenture) or “SP” (as such term is used in Section 5.05(A)(iii)(1) of the Indenture), as the case may be, begins before Counterparty has publicly announced the event or condition giving rise to such Potential Adjustment Event, then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event or condition not having been publicly announced prior to the beginning of such period;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65"/>
        <w:gridCol w:w="10060"/>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(ii) if any Potential Adjustment Event is declared and (a) the event or condition giving rise to such Potential Adjustment Event is subsequently amended, modified, cancelled or abandoned, (b) the Conversion Rate is otherwise not adjusted at the time or in the manner contemplated by the Indenture based on such declaration or (c) the Conversion Rate is adjusted as a result of such Potential Adjustment Event and subsequently re-adjusted (each of clauses (a), (b) and (c), a “</w:t>
            </w:r>
            <w:r>
              <w:rPr>
                <w:rFonts w:ascii="Times New Roman;Times;Serif" w:hAnsi="Times New Roman;Times;Serif"/>
                <w:b/>
                <w:i w:val="false"/>
                <w:caps w:val="false"/>
                <w:smallCaps w:val="false"/>
                <w:sz w:val="20"/>
              </w:rPr>
              <w:t>Potential Adjustment Event Change”</w:t>
            </w:r>
            <w:r>
              <w:rPr>
                <w:rFonts w:ascii="Times New Roman;Times;Serif" w:hAnsi="Times New Roman;Times;Serif"/>
                <w:b w:val="false"/>
                <w:i w:val="false"/>
                <w:caps w:val="false"/>
                <w:smallCaps w:val="false"/>
                <w:sz w:val="20"/>
              </w:rPr>
              <w:t xml:space="preserve">), then, in each case,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w:t>
            </w:r>
          </w:p>
        </w:tc>
      </w:tr>
    </w:tbl>
    <w:p>
      <w:pPr>
        <w:pStyle w:val="TextBody"/>
        <w:bidi w:val="0"/>
        <w:spacing w:before="0" w:after="283"/>
        <w:jc w:val="left"/>
        <w:rPr/>
      </w:pPr>
      <w:r>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03"/>
        <w:gridCol w:w="65"/>
        <w:gridCol w:w="8937"/>
      </w:tblGrid>
      <w:tr>
        <w:trPr/>
        <w:tc>
          <w:tcPr>
            <w:tcW w:w="120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activities as a result of such Potential Adjustment Event Change.</w:t>
            </w:r>
          </w:p>
        </w:tc>
      </w:tr>
      <w:tr>
        <w:trPr/>
        <w:tc>
          <w:tcPr>
            <w:tcW w:w="120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283"/>
              <w:jc w:val="left"/>
              <w:rPr/>
            </w:pPr>
            <w:r>
              <w:rPr/>
              <w:t> </w:t>
            </w:r>
          </w:p>
        </w:tc>
      </w:tr>
      <w:tr>
        <w:trPr/>
        <w:tc>
          <w:tcPr>
            <w:tcW w:w="120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Potential Adjustment Event Change, Counterparty shall immediately notify the Calculation Agent in writing of the details of such Potential Adjustment Event Change.</w:t>
            </w:r>
          </w:p>
        </w:tc>
      </w:tr>
      <w:tr>
        <w:trPr/>
        <w:tc>
          <w:tcPr>
            <w:tcW w:w="120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283"/>
              <w:jc w:val="left"/>
              <w:rPr/>
            </w:pPr>
            <w:r>
              <w:rPr/>
              <w:t> </w:t>
            </w:r>
          </w:p>
        </w:tc>
      </w:tr>
      <w:tr>
        <w:trPr/>
        <w:tc>
          <w:tcPr>
            <w:tcW w:w="120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Dealer shall not have any payment or delivery obligation hereunder in respect of, and no adjustment shall be made to the terms of the Transaction on account of, (x) any distribution of cash, property or securities by Counterparty to the holders of Convertible Securities (upon conversion or otherwise) or (y) any other transaction in which holders of Convertible Securities are entitled to participate, in each case, in lieu of an adjustment under the Indenture in respect of a Potential Adjustment Event (including, without limitation, under the proviso to the first sentence of Section 5.05(A)(iii)(1) of the Indenture or the proviso to the first sentence of Section 5.05(A)(iv) of the Indenture)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tc>
      </w:tr>
      <w:tr>
        <w:trPr/>
        <w:tc>
          <w:tcPr>
            <w:tcW w:w="120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283"/>
              <w:jc w:val="left"/>
              <w:rPr/>
            </w:pPr>
            <w:r>
              <w:rPr/>
              <w:t> </w:t>
            </w:r>
          </w:p>
        </w:tc>
      </w:tr>
      <w:tr>
        <w:trPr/>
        <w:tc>
          <w:tcPr>
            <w:tcW w:w="1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Adjustments:</w:t>
            </w:r>
          </w:p>
        </w:tc>
        <w:tc>
          <w:tcPr>
            <w:tcW w:w="65"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283"/>
              <w:jc w:val="both"/>
              <w:rPr>
                <w:sz w:val="20"/>
              </w:rPr>
            </w:pPr>
            <w:r>
              <w:rPr>
                <w:sz w:val="20"/>
              </w:rPr>
              <w:t>Notwithstanding anything to the contrary herein or in the Equity Definitions, if the Calculation Agent in good faith disagrees with any adjustment under the Indenture that involves an exercise of discretion by Counterparty or its board of directors (including, without limitation, pursuant to Section 5.05(H) of the Indenture or pursuant to Section 5.08(A)  of the Indenture or any supplemental indenture entered into thereunder (a “</w:t>
            </w:r>
            <w:r>
              <w:rPr>
                <w:b/>
                <w:sz w:val="20"/>
              </w:rPr>
              <w:t>Merger Supplemental Indenture</w:t>
            </w:r>
            <w:r>
              <w:rPr>
                <w:sz w:val="20"/>
              </w:rPr>
              <w:t>”</w:t>
            </w:r>
            <w:r>
              <w:rPr>
                <w:b w:val="false"/>
                <w:sz w:val="20"/>
              </w:rPr>
              <w:t xml:space="preserve">) or in connection with the determination of the fair value of any securities, property, rights or other assets), then the Calculation Agent will determine the adjustment to be made to any one or more of the Strike Price, Number of Options, Option Entitlement and any other variable relevant to the exercise, settlement or payment of or under the Transaction in a commercially reasonable manner and, for the avoidance of doubt, the Delivery Obligation shall be calculated on the basis of such adjustments by the Calculation Agent; provided that, notwithstanding the foregoing, in any Potential Adjustment Event occurs during the Cash Settlement Averaging Period but no adjustment was made to any Convertible Note under the Indenture because the relevant Holder (as such term is defined in the Indenture) was deemed to be a record holder of the underlying Shares on the related Conversion Date, then the Calculation Agent shall make an adjustment, as determined by it, to the terms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position w:val="8"/>
          <w:sz w:val="19"/>
        </w:rPr>
        <w:t>1</w:t>
      </w:r>
      <w:r>
        <w:rPr/>
        <w:t xml:space="preserve"> Include references to provisions of Indenture providing for pass-through of cash or Distributed Property in lieu of Conversion Rate adjustments.</w:t>
      </w:r>
    </w:p>
    <w:p>
      <w:pPr>
        <w:pStyle w:val="TextBody"/>
        <w:bidi w:val="0"/>
        <w:spacing w:before="0" w:after="283"/>
        <w:jc w:val="left"/>
        <w:rPr/>
      </w:pPr>
      <w:r>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295" w:type="dxa"/>
        <w:jc w:val="left"/>
        <w:tblInd w:w="0" w:type="dxa"/>
        <w:tblLayout w:type="fixed"/>
        <w:tblCellMar>
          <w:top w:w="0" w:type="dxa"/>
          <w:left w:w="0" w:type="dxa"/>
          <w:bottom w:w="0" w:type="dxa"/>
          <w:right w:w="0" w:type="dxa"/>
        </w:tblCellMar>
      </w:tblPr>
      <w:tblGrid>
        <w:gridCol w:w="80"/>
        <w:gridCol w:w="65"/>
        <w:gridCol w:w="5150"/>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sz w:val="20"/>
              </w:rPr>
            </w:pPr>
            <w:r>
              <w:rPr>
                <w:sz w:val="20"/>
              </w:rPr>
              <w:t>hereof in order to account for such Potential Adjustment Event.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81"/>
        <w:gridCol w:w="65"/>
        <w:gridCol w:w="9259"/>
      </w:tblGrid>
      <w:tr>
        <w:trPr/>
        <w:tc>
          <w:tcPr>
            <w:tcW w:w="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259"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If (i) at any time during the period from and including the Trade Date, to but excluding the Expiration Date, an ex-dividend date for a regular quarterly cash dividend occurs with respect to the Shares (an “</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and that dividend is less than the Regular Dividend on a per Share basis or (ii) no Ex-Dividend Date for a regular quarterly cash dividend occurs with respect to the Shares in any quarterly dividend period of Counterparty, then the Calculation Agent will make a corresponding adjustment in respect of any one or more of the Strike Price, the Number of Options, the Option Entitlement and any other term relevant to the exercise, settlement or payment of the Transaction to account for the economic effect on the Transaction of such dividend or lack thereof, and, for the avoidance of doubt, any such adjustments shall be taken into account in calculating the Delivery Obligation. “</w:t>
            </w:r>
            <w:r>
              <w:rPr>
                <w:rFonts w:ascii="Times New Roman;Times;Serif" w:hAnsi="Times New Roman;Times;Serif"/>
                <w:b/>
                <w:i w:val="false"/>
                <w:caps w:val="false"/>
                <w:smallCaps w:val="false"/>
                <w:sz w:val="20"/>
              </w:rPr>
              <w:t xml:space="preserve">Regular Dividend” </w:t>
            </w:r>
            <w:r>
              <w:rPr>
                <w:rFonts w:ascii="Times New Roman;Times;Serif" w:hAnsi="Times New Roman;Times;Serif"/>
                <w:b w:val="false"/>
                <w:i w:val="false"/>
                <w:caps w:val="false"/>
                <w:smallCaps w:val="false"/>
                <w:sz w:val="20"/>
              </w:rPr>
              <w:t>shall mean USD 0.31 per Share.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56"/>
        <w:gridCol w:w="65"/>
        <w:gridCol w:w="8984"/>
      </w:tblGrid>
      <w:tr>
        <w:trPr/>
        <w:tc>
          <w:tcPr>
            <w:tcW w:w="1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Certain Other Events: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shall give Dealer commercially reasonable advance (but in no event less than one Exchange Business Day) written notice of the section or sections of the Indenture and, if applicable, the formula therein, pursuant to which any adjustment will be made to the Convertible Securities in connection with any Potential Adjustment Event, Merger Event or Tender Offer.</w:t>
            </w:r>
          </w:p>
        </w:tc>
      </w:tr>
      <w:tr>
        <w:trPr/>
        <w:tc>
          <w:tcPr>
            <w:tcW w:w="1156"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984"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Extraordinary Events:</w:t>
      </w:r>
    </w:p>
    <w:tbl>
      <w:tblPr>
        <w:tblW w:w="10205" w:type="dxa"/>
        <w:jc w:val="left"/>
        <w:tblInd w:w="0" w:type="dxa"/>
        <w:tblLayout w:type="fixed"/>
        <w:tblCellMar>
          <w:top w:w="0" w:type="dxa"/>
          <w:left w:w="0" w:type="dxa"/>
          <w:bottom w:w="0" w:type="dxa"/>
          <w:right w:w="0" w:type="dxa"/>
        </w:tblCellMar>
      </w:tblPr>
      <w:tblGrid>
        <w:gridCol w:w="1354"/>
        <w:gridCol w:w="65"/>
        <w:gridCol w:w="8786"/>
      </w:tblGrid>
      <w:tr>
        <w:trPr/>
        <w:tc>
          <w:tcPr>
            <w:tcW w:w="135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13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Events: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7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12.1(b) of the Equity Definitions, “Merger Event” shall mean the occurrence of any event or condition set forth in the definition of “Common Stock Change Event” set forth in Section 5.08(A) of the Indenture.</w:t>
            </w:r>
          </w:p>
        </w:tc>
      </w:tr>
      <w:tr>
        <w:trPr/>
        <w:tc>
          <w:tcPr>
            <w:tcW w:w="1354"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786" w:type="dxa"/>
            <w:tcBorders/>
            <w:vAlign w:val="center"/>
          </w:tcPr>
          <w:p>
            <w:pPr>
              <w:pStyle w:val="TableContents"/>
              <w:bidi w:val="0"/>
              <w:spacing w:before="0" w:after="283"/>
              <w:jc w:val="left"/>
              <w:rPr/>
            </w:pPr>
            <w:r>
              <w:rPr/>
              <w:t> </w:t>
            </w:r>
          </w:p>
        </w:tc>
      </w:tr>
      <w:tr>
        <w:trPr/>
        <w:tc>
          <w:tcPr>
            <w:tcW w:w="13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Merger Events: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786"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Notwithstanding Section 12.2 of the Equity Definitions, upon the occurrence of a Merger Event, the Calculation Agent shall make an adjustment to the terms relevant to the exercise, settlement or payment of the Transaction corresponding to the adjustment required under Section 5.08 of the Indenture in respect of such Merger Event, as determined by the Calculation Agent (by reference to such Section), subject to “Discretionary Adjustments”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adjustment shall be made without regard to any adjustment to the Conversion Rate pursuant to a Fundamental Change Adjustment or a Discretionary Adjustment;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the Calculation Agent may make such further adjustments to the terms of the Transaction as may be necessary to ensure that the fair value of the Transaction to Dealer is not adversely affected as a result of any adjustment referenced in this paragraph and, for the avoidance of </w:t>
            </w:r>
          </w:p>
        </w:tc>
      </w:tr>
    </w:tbl>
    <w:p>
      <w:pPr>
        <w:pStyle w:val="TextBody"/>
        <w:bidi w:val="0"/>
        <w:spacing w:before="0" w:after="283"/>
        <w:jc w:val="left"/>
        <w:rPr/>
      </w:pPr>
      <w:r>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0"/>
        <w:gridCol w:w="65"/>
        <w:gridCol w:w="10060"/>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doubt, any such further adjustments shall be taken into account in calculating the Delivery Obligation;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with respect to a Merger Event, (i) the consideration for the Shares includes (or, at the option of a holder of Shares, may include) shares of an entity or person that is not a corporation organized under the laws of the United States, any state thereof or the District of Columbia or (ii) the Counterparty to the Transaction, following such Merger Event, will not be a corporation organized under the laws of the United States, any state thereof or the District of Columbia and/or will not be the Issuer, Dealer may elect in its sole discretion that Cancellation and Payment (Calculation Agent Determination) shall apply.</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100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720"/>
        <w:gridCol w:w="65"/>
        <w:gridCol w:w="8420"/>
      </w:tblGrid>
      <w:tr>
        <w:trPr/>
        <w:tc>
          <w:tcPr>
            <w:tcW w:w="1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Merger Consideration and Consequences: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Merger Event, Counterparty shall reasonably promptly (but in any event prior to the relevant merger date) notify the Calculation Agent of (i) in the case of a Merger Event that causes the Shares to be converted into the right to receive more than a single type of consideration (determined based in part upon any form of stockholder election), the types and amount of consideration actually received by such holders, and (ii) the details of the adjustment to be made under the Indenture in respect of such Merger Event.</w:t>
            </w:r>
          </w:p>
        </w:tc>
      </w:tr>
    </w:tbl>
    <w:tbl>
      <w:tblPr>
        <w:tblW w:w="10205" w:type="dxa"/>
        <w:jc w:val="left"/>
        <w:tblInd w:w="0" w:type="dxa"/>
        <w:tblLayout w:type="fixed"/>
        <w:tblCellMar>
          <w:top w:w="0" w:type="dxa"/>
          <w:left w:w="0" w:type="dxa"/>
          <w:bottom w:w="0" w:type="dxa"/>
          <w:right w:w="0" w:type="dxa"/>
        </w:tblCellMar>
      </w:tblPr>
      <w:tblGrid>
        <w:gridCol w:w="1666"/>
        <w:gridCol w:w="65"/>
        <w:gridCol w:w="8474"/>
      </w:tblGrid>
      <w:tr>
        <w:trPr/>
        <w:tc>
          <w:tcPr>
            <w:tcW w:w="1666"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474"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Nationalization, Insolvency or Delisting:</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474"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Cancellation and Payment (Calculation Agent Determination);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bl>
    <w:tbl>
      <w:tblPr>
        <w:tblW w:w="10205" w:type="dxa"/>
        <w:jc w:val="left"/>
        <w:tblInd w:w="0" w:type="dxa"/>
        <w:tblLayout w:type="fixed"/>
        <w:tblCellMar>
          <w:top w:w="0" w:type="dxa"/>
          <w:left w:w="0" w:type="dxa"/>
          <w:bottom w:w="0" w:type="dxa"/>
          <w:right w:w="0" w:type="dxa"/>
        </w:tblCellMar>
      </w:tblPr>
      <w:tblGrid>
        <w:gridCol w:w="1317"/>
        <w:gridCol w:w="65"/>
        <w:gridCol w:w="8823"/>
      </w:tblGrid>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8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Termination Event(s):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8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tc>
      </w:tr>
      <w:tr>
        <w:trPr/>
        <w:tc>
          <w:tcPr>
            <w:tcW w:w="131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823" w:type="dxa"/>
            <w:tcBorders/>
            <w:vAlign w:val="center"/>
          </w:tcPr>
          <w:p>
            <w:pPr>
              <w:pStyle w:val="TableContents"/>
              <w:bidi w:val="0"/>
              <w:spacing w:before="0" w:after="283"/>
              <w:jc w:val="left"/>
              <w:rPr/>
            </w:pPr>
            <w:r>
              <w:rPr/>
              <w:t> </w:t>
            </w:r>
          </w:p>
        </w:tc>
      </w:tr>
    </w:tbl>
    <w:tbl>
      <w:tblPr>
        <w:tblW w:w="2640" w:type="dxa"/>
        <w:jc w:val="left"/>
        <w:tblInd w:w="0" w:type="dxa"/>
        <w:tblLayout w:type="fixed"/>
        <w:tblCellMar>
          <w:top w:w="0" w:type="dxa"/>
          <w:left w:w="0" w:type="dxa"/>
          <w:bottom w:w="0" w:type="dxa"/>
          <w:right w:w="0" w:type="dxa"/>
        </w:tblCellMar>
      </w:tblPr>
      <w:tblGrid>
        <w:gridCol w:w="2495"/>
        <w:gridCol w:w="65"/>
        <w:gridCol w:w="80"/>
      </w:tblGrid>
      <w:tr>
        <w:trPr/>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Disruption Events:</w:t>
            </w:r>
          </w:p>
        </w:tc>
        <w:tc>
          <w:tcPr>
            <w:tcW w:w="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bl>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5"/>
        <w:gridCol w:w="964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Law:</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64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Applicable; provided 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Section 12.9(a)(ii) of the Equity Definitions is hereby amended by (i) replacing the parenthetical beginning after the word “regulation” in the second line thereof the words “(including, for the avoidance of doubt and without limitation, (x) any tax law or (y) adoption or promulgation of new regulations authorized or mandated by existing statute)” and (ii) adding the words “, or holding, acquiring or disposing of Shares or any Hedge Positions relating to,” after the words “obligations under” in clause (Y) thereof.</w:t>
            </w:r>
          </w:p>
        </w:tc>
      </w:tr>
    </w:tbl>
    <w:tbl>
      <w:tblPr>
        <w:tblW w:w="4245" w:type="dxa"/>
        <w:jc w:val="left"/>
        <w:tblInd w:w="0" w:type="dxa"/>
        <w:tblLayout w:type="fixed"/>
        <w:tblCellMar>
          <w:top w:w="0" w:type="dxa"/>
          <w:left w:w="0" w:type="dxa"/>
          <w:bottom w:w="0" w:type="dxa"/>
          <w:right w:w="0" w:type="dxa"/>
        </w:tblCellMar>
      </w:tblPr>
      <w:tblGrid>
        <w:gridCol w:w="1985"/>
        <w:gridCol w:w="65"/>
        <w:gridCol w:w="2195"/>
      </w:tblGrid>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Failure to Deliver:</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Insolvency Filing:</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Hedging Disruption:</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w:t>
            </w:r>
          </w:p>
        </w:tc>
      </w:tr>
    </w:tbl>
    <w:p>
      <w:pPr>
        <w:pStyle w:val="TextBody"/>
        <w:bidi w:val="0"/>
        <w:spacing w:before="0" w:after="283"/>
        <w:jc w:val="left"/>
        <w:rPr/>
      </w:pPr>
      <w:r>
        <w:rPr/>
        <w:t> </w:t>
      </w:r>
    </w:p>
    <w:tbl>
      <w:tblPr>
        <w:tblW w:w="5750" w:type="dxa"/>
        <w:jc w:val="left"/>
        <w:tblInd w:w="0" w:type="dxa"/>
        <w:tblLayout w:type="fixed"/>
        <w:tblCellMar>
          <w:top w:w="0" w:type="dxa"/>
          <w:left w:w="0" w:type="dxa"/>
          <w:bottom w:w="0" w:type="dxa"/>
          <w:right w:w="0" w:type="dxa"/>
        </w:tblCellMar>
      </w:tblPr>
      <w:tblGrid>
        <w:gridCol w:w="80"/>
        <w:gridCol w:w="65"/>
        <w:gridCol w:w="200"/>
        <w:gridCol w:w="5405"/>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4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12.9(a)(v) of the Equity Definitions is hereby amended by: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0"/>
        <w:gridCol w:w="65"/>
        <w:gridCol w:w="65"/>
        <w:gridCol w:w="237"/>
        <w:gridCol w:w="9758"/>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inserting the following words at the end of clause (A) thereof: “in the manner contemplated by the Hedging Party on the Trade Date” and</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inserting the following paragraphs at the end of such Section: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0"/>
        <w:gridCol w:w="65"/>
        <w:gridCol w:w="65"/>
        <w:gridCol w:w="65"/>
        <w:gridCol w:w="9930"/>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Such inability described in clauses (A) or (B) above shall not constitute a “Hedging Disruption” if such inability results from Hedging Party’s creditworthiness.</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10060" w:type="dxa"/>
            <w:gridSpan w:val="3"/>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65" w:type="dxa"/>
            <w:tcBorders/>
            <w:vAlign w:val="center"/>
          </w:tcPr>
          <w:p>
            <w:pPr>
              <w:pStyle w:val="TableContents"/>
              <w:bidi w:val="0"/>
              <w:spacing w:before="0" w:after="283"/>
              <w:jc w:val="both"/>
              <w:rPr>
                <w:caps w:val="false"/>
                <w:smallCaps w:val="false"/>
              </w:rPr>
            </w:pPr>
            <w:r>
              <w:rPr>
                <w:caps w:val="false"/>
                <w:smallCaps w:val="false"/>
              </w:rPr>
              <w:t> </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0"/>
        <w:gridCol w:w="65"/>
        <w:gridCol w:w="230"/>
        <w:gridCol w:w="9830"/>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12.9(b)(iii) of the Equity Definitions is hereby amended by inserting in the third line thereof, after the words “to terminate the Transaction”, the words “or a portion of the Transaction affected by such Hedging Disruption”.</w:t>
            </w:r>
          </w:p>
        </w:tc>
      </w:tr>
    </w:tbl>
    <w:p>
      <w:pPr>
        <w:pStyle w:val="TextBody"/>
        <w:bidi w:val="0"/>
        <w:spacing w:before="0" w:after="283"/>
        <w:jc w:val="left"/>
        <w:rPr/>
      </w:pPr>
      <w:r>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241"/>
        <w:gridCol w:w="65"/>
        <w:gridCol w:w="3986"/>
        <w:gridCol w:w="4913"/>
      </w:tblGrid>
      <w:tr>
        <w:trPr/>
        <w:tc>
          <w:tcPr>
            <w:tcW w:w="1241"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3986" w:type="dxa"/>
            <w:tcBorders/>
            <w:vAlign w:val="center"/>
          </w:tcPr>
          <w:p>
            <w:pPr>
              <w:pStyle w:val="TableContents"/>
              <w:bidi w:val="0"/>
              <w:spacing w:before="0" w:after="283"/>
              <w:jc w:val="left"/>
              <w:rPr/>
            </w:pPr>
            <w:r>
              <w:rPr/>
              <w:t> </w:t>
            </w:r>
          </w:p>
        </w:tc>
        <w:tc>
          <w:tcPr>
            <w:tcW w:w="4913" w:type="dxa"/>
            <w:tcBorders/>
            <w:vAlign w:val="center"/>
          </w:tcPr>
          <w:p>
            <w:pPr>
              <w:pStyle w:val="TableContents"/>
              <w:bidi w:val="0"/>
              <w:spacing w:before="0" w:after="283"/>
              <w:jc w:val="left"/>
              <w:rPr/>
            </w:pPr>
            <w:r>
              <w:rPr/>
              <w:t> </w:t>
            </w:r>
          </w:p>
        </w:tc>
      </w:tr>
      <w:tr>
        <w:trPr/>
        <w:tc>
          <w:tcPr>
            <w:tcW w:w="1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Increased Cost of Hedging:</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899" w:type="dxa"/>
            <w:gridSpan w:val="2"/>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increased cost described in Section 12.9(vi) of the Equity Definitions shall not constitute an “Increased Cost of Hedging” if such increased cost results from Hedging Party’s creditworthiness.</w:t>
            </w:r>
          </w:p>
        </w:tc>
      </w:tr>
      <w:tr>
        <w:trPr/>
        <w:tc>
          <w:tcPr>
            <w:tcW w:w="1241"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899" w:type="dxa"/>
            <w:gridSpan w:val="2"/>
            <w:tcBorders/>
            <w:vAlign w:val="center"/>
          </w:tcPr>
          <w:p>
            <w:pPr>
              <w:pStyle w:val="TableContents"/>
              <w:bidi w:val="0"/>
              <w:spacing w:before="0" w:after="283"/>
              <w:jc w:val="left"/>
              <w:rPr/>
            </w:pPr>
            <w:r>
              <w:rPr/>
              <w:t> </w:t>
            </w:r>
          </w:p>
        </w:tc>
      </w:tr>
      <w:tr>
        <w:trPr/>
        <w:tc>
          <w:tcPr>
            <w:tcW w:w="1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Party: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8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r>
      <w:tr>
        <w:trPr/>
        <w:tc>
          <w:tcPr>
            <w:tcW w:w="1241"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899" w:type="dxa"/>
            <w:gridSpan w:val="2"/>
            <w:tcBorders/>
            <w:vAlign w:val="center"/>
          </w:tcPr>
          <w:p>
            <w:pPr>
              <w:pStyle w:val="TableContents"/>
              <w:bidi w:val="0"/>
              <w:spacing w:before="0" w:after="283"/>
              <w:jc w:val="left"/>
              <w:rPr/>
            </w:pPr>
            <w:r>
              <w:rPr/>
              <w:t> </w:t>
            </w:r>
          </w:p>
        </w:tc>
      </w:tr>
      <w:tr>
        <w:trPr/>
        <w:tc>
          <w:tcPr>
            <w:tcW w:w="1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Party:</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899" w:type="dxa"/>
            <w:gridSpan w:val="2"/>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Dealer. All calculations and determinations by the Determining Party shall be made in good faith and in a commercially reasonable manner. Following any calculation by the Determining Party hereunder, upon written request by Counterparty, the Determining Party will, within five Exchange Business Days immediately following such request, provide to Counterparty a report (in a commonly used file format for the storage and manipulation of financial data) displaying in reasonable detail the basis for such calculation;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in no event will the Determining Party be obligated to share with Counterparty any proprietary or confidential data or information or any proprietary or confidential models used by it.</w:t>
            </w:r>
          </w:p>
        </w:tc>
      </w:tr>
      <w:tr>
        <w:trPr/>
        <w:tc>
          <w:tcPr>
            <w:tcW w:w="1241"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899" w:type="dxa"/>
            <w:gridSpan w:val="2"/>
            <w:tcBorders/>
            <w:vAlign w:val="center"/>
          </w:tcPr>
          <w:p>
            <w:pPr>
              <w:pStyle w:val="TableContents"/>
              <w:bidi w:val="0"/>
              <w:spacing w:before="0" w:after="283"/>
              <w:jc w:val="left"/>
              <w:rPr/>
            </w:pPr>
            <w:r>
              <w:rPr/>
              <w:t> </w:t>
            </w:r>
          </w:p>
        </w:tc>
      </w:tr>
    </w:tbl>
    <w:tbl>
      <w:tblPr>
        <w:tblW w:w="6465" w:type="dxa"/>
        <w:jc w:val="left"/>
        <w:tblInd w:w="0" w:type="dxa"/>
        <w:tblLayout w:type="fixed"/>
        <w:tblCellMar>
          <w:top w:w="0" w:type="dxa"/>
          <w:left w:w="0" w:type="dxa"/>
          <w:bottom w:w="0" w:type="dxa"/>
          <w:right w:w="0" w:type="dxa"/>
        </w:tblCellMar>
      </w:tblPr>
      <w:tblGrid>
        <w:gridCol w:w="5435"/>
        <w:gridCol w:w="65"/>
        <w:gridCol w:w="965"/>
      </w:tblGrid>
      <w:tr>
        <w:trPr/>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Non-Reliance:</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and Acknowledgments Regarding Hedging Activities: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Acknowledgments:</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w:t>
            </w:r>
          </w:p>
        </w:tc>
      </w:tr>
      <w:tr>
        <w:trPr/>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1783"/>
        <w:gridCol w:w="65"/>
        <w:gridCol w:w="8357"/>
      </w:tblGrid>
      <w:tr>
        <w:trPr/>
        <w:tc>
          <w:tcPr>
            <w:tcW w:w="1783" w:type="dxa"/>
            <w:tcBorders/>
            <w:vAlign w:val="center"/>
          </w:tcPr>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Calculation Agent</w:t>
            </w:r>
            <w:r>
              <w:rPr>
                <w:rFonts w:ascii="Times New Roman;Times;Serif" w:hAnsi="Times New Roman;Times;Serif"/>
                <w:b w:val="false"/>
                <w:i w:val="false"/>
                <w:caps w:val="false"/>
                <w:smallCaps w:val="false"/>
                <w:sz w:val="20"/>
              </w:rPr>
              <w:t>:</w:t>
            </w:r>
          </w:p>
        </w:tc>
        <w:tc>
          <w:tcPr>
            <w:tcW w:w="65" w:type="dxa"/>
            <w:tcBorders/>
            <w:vAlign w:val="center"/>
          </w:tcPr>
          <w:p>
            <w:pPr>
              <w:pStyle w:val="TableContents"/>
              <w:bidi w:val="0"/>
              <w:spacing w:before="0" w:after="283"/>
              <w:jc w:val="left"/>
              <w:rPr/>
            </w:pPr>
            <w:r>
              <w:rPr/>
              <w:t> </w:t>
            </w:r>
          </w:p>
        </w:tc>
        <w:tc>
          <w:tcPr>
            <w:tcW w:w="8357" w:type="dxa"/>
            <w:tcBorders/>
            <w:vAlign w:val="center"/>
          </w:tcPr>
          <w:p>
            <w:pPr>
              <w:pStyle w:val="TableContents"/>
              <w:bidi w:val="0"/>
              <w:spacing w:before="0" w:after="283"/>
              <w:jc w:val="left"/>
              <w:rPr/>
            </w:pPr>
            <w:r>
              <w:rPr/>
              <w:t> </w:t>
            </w:r>
          </w:p>
        </w:tc>
      </w:tr>
      <w:tr>
        <w:trPr/>
        <w:tc>
          <w:tcPr>
            <w:tcW w:w="178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57" w:type="dxa"/>
            <w:tcBorders/>
            <w:vAlign w:val="center"/>
          </w:tcPr>
          <w:p>
            <w:pPr>
              <w:pStyle w:val="TableContents"/>
              <w:bidi w:val="0"/>
              <w:spacing w:before="0" w:after="283"/>
              <w:jc w:val="left"/>
              <w:rPr/>
            </w:pPr>
            <w:r>
              <w:rPr/>
              <w:t> </w:t>
            </w:r>
          </w:p>
        </w:tc>
      </w:tr>
      <w:tr>
        <w:trPr/>
        <w:tc>
          <w:tcPr>
            <w:tcW w:w="178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provided that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obligations of the Calculation Agent hereunder and such failure continues for five Exchange Business Days following notice to the Calculation Agent by Counterparty of such failure, Counterparty shall have the right to designate a nationally recognized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Calculation Agent.</w:t>
            </w:r>
          </w:p>
        </w:tc>
      </w:tr>
      <w:tr>
        <w:trPr/>
        <w:tc>
          <w:tcPr>
            <w:tcW w:w="178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8357" w:type="dxa"/>
            <w:tcBorders/>
            <w:vAlign w:val="center"/>
          </w:tcPr>
          <w:p>
            <w:pPr>
              <w:pStyle w:val="TableContents"/>
              <w:bidi w:val="0"/>
              <w:spacing w:before="0" w:after="283"/>
              <w:jc w:val="left"/>
              <w:rPr/>
            </w:pPr>
            <w:r>
              <w:rPr/>
              <w:t> </w:t>
            </w:r>
          </w:p>
        </w:tc>
      </w:tr>
      <w:tr>
        <w:trPr/>
        <w:tc>
          <w:tcPr>
            <w:tcW w:w="178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any calculation by the Calculation Agent hereunder, upon written request by Counterparty, the </w:t>
            </w:r>
          </w:p>
        </w:tc>
      </w:tr>
      <w:tr>
        <w:trPr/>
        <w:tc>
          <w:tcPr>
            <w:tcW w:w="1783"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35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0"/>
        <w:gridCol w:w="65"/>
        <w:gridCol w:w="10060"/>
      </w:tblGrid>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0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Calculation Agent will, within five Exchange Business Days immediately following such request, provide to Counterparty by email to the email address provided by Counterparty in such written request a report (in a commonly used file format for the storage and manipulation of financial data) displaying in reasonable detail the basis for such calculation;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in no event will Dealer be obligated to share with Counterparty any proprietary or confidential data or information or any proprietary or confidential models used by it or any information that is subject to an obligation not to disclose such information.</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Account Details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Payment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Chase Manhattan Bank New York</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 Goldman, Sachs &amp; Co.</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#930-1-011483</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 021-000021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Payment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80" w:right="0" w:hanging="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 by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Dealer for the Transaction is: 200 West Street, New York, New York 10282-2198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Counterparty for the Transaction is: Inapplicable, Counterparty is not a Multibranch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For purposes of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Address for notices or communications to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MN 55347</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Kathy Hiebert, Treasurer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587"/>
        <w:gridCol w:w="9542"/>
      </w:tblGrid>
      <w:tr>
        <w:trPr/>
        <w:tc>
          <w:tcPr>
            <w:tcW w:w="7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pPr>
            <w:r>
              <w:rPr/>
              <w:t>(b)</w:t>
            </w:r>
          </w:p>
        </w:tc>
        <w:tc>
          <w:tcPr>
            <w:tcW w:w="9542" w:type="dxa"/>
            <w:tcBorders/>
            <w:vAlign w:val="center"/>
          </w:tcPr>
          <w:p>
            <w:pPr>
              <w:pStyle w:val="TableContents"/>
              <w:bidi w:val="0"/>
              <w:spacing w:before="0" w:after="283"/>
              <w:jc w:val="both"/>
              <w:rPr/>
            </w:pPr>
            <w:r>
              <w:rPr/>
              <w:t>Address for notices or communications to Dealer:</w:t>
            </w:r>
          </w:p>
        </w:tc>
      </w:tr>
    </w:tbl>
    <w:p>
      <w:pPr>
        <w:pStyle w:val="TextBody"/>
        <w:bidi w:val="0"/>
        <w:spacing w:before="0" w:after="0"/>
        <w:ind w:left="0" w:right="0" w:hanging="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35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To:</w:t>
            </w:r>
          </w:p>
        </w:tc>
        <w:tc>
          <w:tcPr>
            <w:tcW w:w="2690" w:type="dxa"/>
            <w:tcBorders/>
            <w:vAlign w:val="center"/>
          </w:tcPr>
          <w:p>
            <w:pPr>
              <w:pStyle w:val="TableContents"/>
              <w:bidi w:val="0"/>
              <w:spacing w:before="0" w:after="283"/>
              <w:jc w:val="both"/>
              <w:rPr/>
            </w:pPr>
            <w:r>
              <w:rPr/>
              <w:t>Goldman Sachs &amp; Co. LLC</w:t>
            </w:r>
          </w:p>
        </w:tc>
      </w:tr>
    </w:tbl>
    <w:p>
      <w:pPr>
        <w:pStyle w:val="TextBody"/>
        <w:bidi w:val="0"/>
        <w:spacing w:before="0" w:after="0"/>
        <w:ind w:left="5040" w:right="0" w:hanging="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5040" w:right="0" w:hanging="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10282-2198</w:t>
      </w:r>
    </w:p>
    <w:p>
      <w:pPr>
        <w:pStyle w:val="TextBody"/>
        <w:bidi w:val="0"/>
        <w:spacing w:before="0" w:after="0"/>
        <w:ind w:left="5040" w:right="0" w:hanging="216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Michael Voris, Equity Capital Markets Telephone: 212-902-4895</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212-256-5738</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michael.voris@gs.com With a copy to:</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Jan Debeuckelaer Telephone: 212-934-0893</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212-256-5738</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jan.debeuckelaer@gs.com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Garrett Cohen Telephone: 212-357-3427</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212-256-5738</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garrett.cohen@gs.com</w:t>
      </w:r>
    </w:p>
    <w:p>
      <w:pPr>
        <w:pStyle w:val="TextBody"/>
        <w:bidi w:val="0"/>
        <w:spacing w:before="0" w:after="0"/>
        <w:ind w:left="0" w:right="0" w:hanging="0"/>
        <w:jc w:val="left"/>
        <w:rPr>
          <w:caps w:val="false"/>
          <w:smallCaps w:val="false"/>
        </w:rPr>
      </w:pPr>
      <w:r>
        <w:rPr>
          <w:caps w:val="false"/>
          <w:smallCaps w:val="false"/>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email notification to the following address: Eq-derivs-notifications@ny.ibd.gs.com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Warranties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Trade Date and as of the date of any Notice of Share Termination under (and as defined in) Section 8(c)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On the Trade Date, the Shares or securities that are convertible into, or exchangeable or exercisable for Shares, are not subject to a “restricted period,” as such term is defined in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or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(or any successor issue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Without limiting the generality of Section 3(a)(iii) of the Agreement, the Transaction will not violate Rule 13e-1 or Rule 13e-4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302A.673 of the Minnesota Business Corporations Act as an “interested shareholder”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On each of the Trade Date and the Premium Payment Date, Counterparty is not “insolvent” (as such term is defined under Section 101(32) of the U.S. Bankruptcy Code (Title 11 of the United States Code)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and Counterparty would be able to purchase the Number of Shares in compliance with the laws of the jurisdiction of Counterparty’s incorporation.</w:t>
      </w:r>
    </w:p>
    <w:p>
      <w:pPr>
        <w:pStyle w:val="TextBody"/>
        <w:bidi w:val="0"/>
        <w:spacing w:before="0" w:after="0"/>
        <w:ind w:left="0" w:right="0" w:hanging="0"/>
        <w:jc w:val="left"/>
        <w:rPr>
          <w:caps w:val="false"/>
          <w:smallCaps w:val="false"/>
        </w:rPr>
      </w:pPr>
      <w:r>
        <w:rPr>
          <w:caps w:val="false"/>
          <w:smallCaps w:val="false"/>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representations and warranties of Counterparty set forth in Section 3 of the Agreement and Section 1 of the Purchase Agreement, dated as of January 18, 2024, between Goldman Sachs &amp; Co. LLC and BMO Capital Markets Corp. as the Representatives and Counterparty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are true and correct as of the Trade Date and the Effective Date and are hereby deemed to be repeated to Dealer as if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provided however, that Counterparty makes no representation or warranty regarding any such requirement that is applicable generally to the ownership of equity securities by Dealer or any of its affiliates as a result of it or any such affiliates being financial institutions or broker-dealers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 (C) has total assets of at least $50 million. Counterparty will notify Dealer if the immediately preceding statement contained in this Section 7(a)(xi) ceases to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26, 2023,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Dealer and Counterparty acknowledges that the offer and sale of the Transaction to it is intended to be exempt from registration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Dealer and Counterparty agrees and acknowledges that Dealer is a “financial institution” and “financial participant” within the meaning of Sections 101(22) and 101(22A) of the Bankruptcy Code. The parties hereto further agree and acknowledge (A) that this Confirmation is a</w:t>
      </w:r>
    </w:p>
    <w:p>
      <w:pPr>
        <w:pStyle w:val="TextBody"/>
        <w:bidi w:val="0"/>
        <w:spacing w:before="0" w:after="0"/>
        <w:ind w:left="0" w:right="0" w:firstLine="720"/>
        <w:jc w:val="both"/>
        <w:rPr>
          <w:caps w:val="false"/>
          <w:smallCaps w:val="false"/>
        </w:rPr>
      </w:pPr>
      <w:r>
        <w:rPr>
          <w:caps w:val="false"/>
          <w:smallCaps w:val="false"/>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a condition to the effectiveness of the Transaction, Counterparty shall deliver to Dealer (i) an incumbency certificate, dated as of the Premium Payment Date, of Counterparty in customary form and (ii) an opinion of counsel, dated as of the Premium Payment Date and reasonably acceptable to Dealer in form and substance, with respect to the matters set forth in Section 3(a) of the Agreement, Sections 7(a)(vii) and 7(a)(xii) hereof and such other matters as Dealer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Counterparty represents and warrants that it has received, read and understands the </w:t>
      </w:r>
      <w:r>
        <w:rPr>
          <w:rFonts w:ascii="Times New Roman;Times;Serif" w:hAnsi="Times New Roman;Times;Serif"/>
          <w:b/>
          <w:i w:val="false"/>
          <w:caps w:val="false"/>
          <w:smallCaps w:val="false"/>
          <w:sz w:val="20"/>
        </w:rPr>
        <w:t>OTC Options Risk Disclosure Statement</w:t>
      </w:r>
      <w:r>
        <w:rPr>
          <w:rFonts w:ascii="Times New Roman;Times;Serif" w:hAnsi="Times New Roman;Times;Serif"/>
          <w:b w:val="false"/>
          <w:i w:val="false"/>
          <w:caps w:val="false"/>
          <w:smallCaps w:val="false"/>
          <w:sz w:val="20"/>
        </w:rPr>
        <w:t xml:space="preserve"> and a copy of the most recent disclosure pamphlet prepared by The Options Clearing Corporation entitled “</w:t>
      </w:r>
      <w:r>
        <w:rPr>
          <w:rFonts w:ascii="Times New Roman;Times;Serif" w:hAnsi="Times New Roman;Times;Serif"/>
          <w:b/>
          <w:i w:val="false"/>
          <w:caps w:val="false"/>
          <w:smallCaps w:val="false"/>
          <w:sz w:val="20"/>
        </w:rPr>
        <w:t>Characteristics and Risks of Standardized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 acknowledges and agrees to be bound by the Conduct Rules of the Financial Industry Regulatory Authority, Inc. applicable to transactions in options, and further agrees not to violate the position and exercise limits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Counterparty represents and warrants that the assets used in the Transaction (i) are not assets of any “plan” (as such term is defined in Section 4975 of the U.S. Internal Revenue Code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subject to Section 4975 of the Code or any “employee benefit plan” (as such term is defined in Section 3(3) of the U.S. Employee Retirement Income Security Act of 1974, as amended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subject to Title I of ERISA, and (ii) do not constitute “plan assets” within the meaning of Department of Labor Regulation 2510.3-101, 29 CFR Section 2510-3-101.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On the Trade Date, neither Counterparty nor any “affiliate” or “affiliated purchaser” (each as defined in Rule 10b-18 under the Exchange Act (“</w:t>
      </w:r>
      <w:r>
        <w:rPr>
          <w:rFonts w:ascii="Times New Roman;Times;Serif" w:hAnsi="Times New Roman;Times;Serif"/>
          <w:b/>
          <w:i w:val="false"/>
          <w:caps w:val="false"/>
          <w:smallCaps w:val="false"/>
          <w:sz w:val="20"/>
        </w:rPr>
        <w:t>Rule 10b-18</w:t>
      </w:r>
      <w:r>
        <w:rPr>
          <w:rFonts w:ascii="Times New Roman;Times;Serif" w:hAnsi="Times New Roman;Times;Serif"/>
          <w:b w:val="false"/>
          <w:i w:val="false"/>
          <w:caps w:val="false"/>
          <w:smallCaps w:val="false"/>
          <w:sz w:val="20"/>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Counterparty acknowledges that the Transaction may constitute a purchase of its equity securities or a capital distribution. Counterparty further acknowledges that, pursuant to the provisions of the Coronavirus Aid, Relief and Economic Security Act (the “</w:t>
      </w:r>
      <w:r>
        <w:rPr>
          <w:rFonts w:ascii="Times New Roman;Times;Serif" w:hAnsi="Times New Roman;Times;Serif"/>
          <w:b/>
          <w:i w:val="false"/>
          <w:caps w:val="false"/>
          <w:smallCaps w:val="false"/>
          <w:sz w:val="20"/>
        </w:rPr>
        <w:t>CARES Act</w:t>
      </w:r>
      <w:r>
        <w:rPr>
          <w:rFonts w:ascii="Times New Roman;Times;Serif" w:hAnsi="Times New Roman;Times;Serif"/>
          <w:b w:val="false"/>
          <w:i w:val="false"/>
          <w:caps w:val="false"/>
          <w:smallCaps w:val="false"/>
          <w:sz w:val="20"/>
        </w:rPr>
        <w:t>”), the Counterparty will be required to agree to certain time-bound restrictions on its ability to purchase its equity securities or make capital distributions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or make capital distributions if it receives loans, loan guarantees or direct loans (as that term is defined in the CARES Act) under programs or facilities established by the Board of Governors of the Federal Reserve System or the U.S. Department of Treasury for the purpose of providing liquidity to the financial system, and may be required to agree to similar restrictions under programs or facilities established in the future. Accordingly, Counterparty represents and warrants that neither it nor any of its subsidiaries has applied for, and throughout the term of the Transaction shall not apply, for a loan, loan guarantee, direct loan (as that term is defined in the CARES Act) or other investment, or to receive any financial assistance or relief (howsoever defined) under any program or facility that (a) is established under applicable law (whether in existence as of the Trade Date or subsequently enacted, adopted or amended), including without limitation the CARES Act and the Federal Reserve Act, as amended, and (b) requires under applicable law (or any</w:t>
      </w:r>
    </w:p>
    <w:p>
      <w:pPr>
        <w:pStyle w:val="TextBody"/>
        <w:bidi w:val="0"/>
        <w:spacing w:before="0" w:after="0"/>
        <w:ind w:left="0" w:right="0" w:firstLine="720"/>
        <w:jc w:val="both"/>
        <w:rPr>
          <w:caps w:val="false"/>
          <w:smallCaps w:val="false"/>
        </w:rPr>
      </w:pPr>
      <w:r>
        <w:rPr>
          <w:caps w:val="false"/>
          <w:smallCaps w:val="false"/>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guidance, interpretation or other pronouncement thereunder), as a condition of such loan, loan guarantee, direct loan (as that term is defined in the CARES Act), investment, financial assistance or relief, that Counterparty or any of its subsidiaries agree, attest, certify or warrant that it has not, as of the date specified in such condition, repurchased, or will not repurchase, any equity security of Counterparty, and that it has not, as of the date specified in such condition, made a capital distribution or will not make a capital distribution (collectively, “</w:t>
      </w:r>
      <w:r>
        <w:rPr>
          <w:rFonts w:ascii="Times New Roman;Times;Serif" w:hAnsi="Times New Roman;Times;Serif"/>
          <w:b/>
          <w:i w:val="false"/>
          <w:caps w:val="false"/>
          <w:smallCaps w:val="false"/>
          <w:sz w:val="20"/>
        </w:rPr>
        <w:t>Restricted Financial Assistance</w:t>
      </w:r>
      <w:r>
        <w:rPr>
          <w:rFonts w:ascii="Times New Roman;Times;Serif" w:hAnsi="Times New Roman;Times;Serif"/>
          <w:b w:val="false"/>
          <w:i w:val="false"/>
          <w:caps w:val="false"/>
          <w:smallCaps w:val="false"/>
          <w:sz w:val="20"/>
        </w:rPr>
        <w:t>”); provided that Counterparty may apply for Restricted Financial Assistance if Counterparty either (a) determines, based on the advice of outside counsel of national standing, that the terms of the Transaction would not cause Counterparty to fail to satisfy any condition for application for or receipt or retention of such loan, loan guarantee, direct loan (as that term is defined in the CARES Act), investment, financial assistance or relief based on the terms of the program or facility as of the date of such advice or (b) delivers to Dealer evidence of a waiver or other guidance from a governmental authority with jurisdiction for such program or facility that the Transaction is permitted under such program or facility (either by specific reference to the Transaction or by general reference to transactions with attributes of the Transaction in all relevant respects).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(whether in existence as of the Trade Date or subsequently enacted, adopted or 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Right to Extend</w:t>
      </w:r>
      <w:r>
        <w:rPr>
          <w:rFonts w:ascii="Times New Roman;Times;Serif" w:hAnsi="Times New Roman;Times;Serif"/>
          <w:b w:val="false"/>
          <w:i w:val="false"/>
          <w:caps w:val="false"/>
          <w:smallCaps w:val="false"/>
          <w:sz w:val="20"/>
        </w:rPr>
        <w:t>. Dealer may postpone or add, in whole or in part, any Exercise Date or Settlement Date or any other date of valuation or delivery by Dealer, with respect to some or all of the relevant Options (in which event the Calculation Agent shall make appropriate adjustments to the Delivery Obligation), if Dealer determines, in its commercially reasonable discretion, that such extension or addition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 and in the case of policies or procedures, so long as such policies and procedures are consistently applied to transactions similar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Additional Termination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 event of default with respect to Counterparty under the terms of the Convertible Securities as set forth in Section 7.01 of the Indenture that results in the acceleration of the Convertible Notes, or (B) an Amendment Event, in each case, shall constitute an Additional Termination Event with respect to which the Transaction is the sole Affected Transaction and Counterparty is the sole Affected Party, and Dealer shall be the party entitled to designate an Early Termination Date pursuant to Section 6(b) of the Agreement and to determine the amount payable pursuant to Section 6(e) of the Agreement. “</w:t>
      </w:r>
      <w:r>
        <w:rPr>
          <w:rFonts w:ascii="Times New Roman;Times;Serif" w:hAnsi="Times New Roman;Times;Serif"/>
          <w:b/>
          <w:i w:val="false"/>
          <w:caps w:val="false"/>
          <w:smallCaps w:val="false"/>
          <w:sz w:val="20"/>
        </w:rPr>
        <w:t>Amendment Event</w:t>
      </w:r>
      <w:r>
        <w:rPr>
          <w:rFonts w:ascii="Times New Roman;Times;Serif" w:hAnsi="Times New Roman;Times;Serif"/>
          <w:b w:val="false"/>
          <w:i w:val="false"/>
          <w:caps w:val="false"/>
          <w:smallCaps w:val="false"/>
          <w:sz w:val="20"/>
        </w:rPr>
        <w:t>” means that Counterparty amends, modifies, supplements, waives or obtains a waiver in respect of any term of the Indenture or the Convertible Securities governing the principal amount, coupon, maturity, repurchase obligation of Counterparty, any term relating to conversion of the Convertible Securities (including changes to the conversion rate, conversion rate adjustment provisions, conversion settlement dates or conversion conditions), or any term that would require consent of the holders of not less than 100% of the principal amount of the Convertible Securities to amend (other than, in each case, any amendment or supplement (x) pursuant to Section 8.01(I) of the</w:t>
      </w:r>
    </w:p>
    <w:p>
      <w:pPr>
        <w:pStyle w:val="TextBody"/>
        <w:bidi w:val="0"/>
        <w:spacing w:before="0" w:after="0"/>
        <w:ind w:left="720" w:right="0" w:firstLine="720"/>
        <w:jc w:val="both"/>
        <w:rPr>
          <w:caps w:val="false"/>
          <w:smallCaps w:val="false"/>
        </w:rPr>
      </w:pPr>
      <w:r>
        <w:rPr>
          <w:caps w:val="false"/>
          <w:smallCaps w:val="false"/>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that, as determined by the Calculation Agent, conforms the Indenture to the description of Convertible Securities in the Offering Memorandum or (y) pursuant to Section 5.08 of the Indenture), in each case, without the consent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 Scheduled Trading Days promptly following any Repayment Event (as defined below), Counterparty shall notify Dealer of such Repayment Event and the aggregate principal amount of Convertible Notes subject to such Repayment Event or the portion of such aggregate principal amount that Counterparty elects to be subject to such Repayment Event) (any such notice, a “</w:t>
      </w:r>
      <w:r>
        <w:rPr>
          <w:rFonts w:ascii="Times New Roman;Times;Serif" w:hAnsi="Times New Roman;Times;Serif"/>
          <w:b/>
          <w:i w:val="false"/>
          <w:caps w:val="false"/>
          <w:smallCaps w:val="false"/>
          <w:sz w:val="20"/>
        </w:rPr>
        <w:t>Repayment Notice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“Convertible Securities Repurchase Notice” delivered to Dealer pursuant to the Base Call Option Transaction Confirmation shall be deemed to be a Convertible Securities Repurchase Notice pursuant to this Confirmation and the terms of such Convertible Securities Repurchase Notice shall apply, mutatis mutandis, to this Confirmation. Any Repayment Notice shall contain a written representation by Counterparty to Dealer that Counterparty is not, on the date of such Repayment Notice, in possession of any material non-public information with respect to Counterparty or the Shares. The receipt by Dealer from Counterparty of any Repayment Notice shall constitute an Additional Termination Event as provided in this Section 8(b)(B). Upon receipt of any such Repayment Notice, Dealer shall designate an Exchange Business Day following receipt of such Repayment Notice as an Early Termination Date with respect to the portion of the Transaction corresponding to a number of Options (the “</w:t>
      </w:r>
      <w:r>
        <w:rPr>
          <w:rFonts w:ascii="Times New Roman;Times;Serif" w:hAnsi="Times New Roman;Times;Serif"/>
          <w:b/>
          <w:i w:val="false"/>
          <w:caps w:val="false"/>
          <w:smallCaps w:val="false"/>
          <w:sz w:val="20"/>
        </w:rPr>
        <w:t>Repayment Options</w:t>
      </w:r>
      <w:r>
        <w:rPr>
          <w:rFonts w:ascii="Times New Roman;Times;Serif" w:hAnsi="Times New Roman;Times;Serif"/>
          <w:b w:val="false"/>
          <w:i w:val="false"/>
          <w:caps w:val="false"/>
          <w:smallCaps w:val="false"/>
          <w:sz w:val="20"/>
        </w:rPr>
        <w:t xml:space="preserve">”) equal to the lesser of (A) (x) the aggregate principal amount of such Convertible Notes specified in such Repayment Notice,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USD 1,000, minus (y) the number of Repurchase Options (as defined in the Base Call Option Transaction Confirmation), if any, that relate to such Convertible Securities (and for purposes of determining whether any Options under this Confirmation or under the Base Call Option Transaction Confirmation will be among the Repurchase Options hereunder or under, and as defined in, the Base Call Option Transaction Confirmation, the Convertible Securities specified in such Convertible Securities Repurchase Notice shall be allocated first to the Base Call Option Transaction Confirmation until all Options thereunder are exercised or terminated)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Times;Serif" w:hAnsi="Times New Roman;Times;Serif"/>
          <w:b/>
          <w:i w:val="false"/>
          <w:caps w:val="false"/>
          <w:smallCaps w:val="false"/>
          <w:sz w:val="20"/>
        </w:rPr>
        <w:t>Repayment Unwind Payment</w:t>
      </w:r>
      <w:r>
        <w:rPr>
          <w:rFonts w:ascii="Times New Roman;Times;Serif" w:hAnsi="Times New Roman;Times;Serif"/>
          <w:b w:val="false"/>
          <w:i w:val="false"/>
          <w:caps w:val="false"/>
          <w:smallCaps w:val="false"/>
          <w:sz w:val="20"/>
        </w:rPr>
        <w:t xml:space="preserve">”)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and (3) the terminated portion of the Transaction were the sole Affected Transaction;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the event of a Repayment Event pursuant to Section 4.02 of the Indenture or Section 4.03 of the Indenture, such payment shall not be greater than (x) the number of Repayment Options multiplied by (y) the product of (A) the Applicable Percentage and (B) the excess, if any of (I) the amount paid by Counterparty per Convertible Security pursuant to Section 4.02 of the Indenture or Section 4.03 of the Indenture, as the case may be, over (II) USD 1,000.” “</w:t>
      </w:r>
      <w:r>
        <w:rPr>
          <w:rFonts w:ascii="Times New Roman;Times;Serif" w:hAnsi="Times New Roman;Times;Serif"/>
          <w:b/>
          <w:i w:val="false"/>
          <w:caps w:val="false"/>
          <w:smallCaps w:val="false"/>
          <w:sz w:val="20"/>
        </w:rPr>
        <w:t>Repayment Event</w:t>
      </w:r>
      <w:r>
        <w:rPr>
          <w:rFonts w:ascii="Times New Roman;Times;Serif" w:hAnsi="Times New Roman;Times;Serif"/>
          <w:b w:val="false"/>
          <w:i w:val="false"/>
          <w:caps w:val="false"/>
          <w:smallCaps w:val="false"/>
          <w:sz w:val="20"/>
        </w:rPr>
        <w:t>” means that (i) any Convertible Notes are repurchased or redeemed (whether pursuant to Section 4.02 of the Indenture, Section 4.03 of the Indenture or for any other reason) by Counterparty or any of its subsidiaries, (ii) any Convertible Notes are delivered to Counterparty or any of its subsidiaries in exchange for delivery of any property or assets of such party (howsoever described), (iii) any principal of any of the Convertible Notes is repaid prior to the final maturity date of the Convertible Notes, or (iv) any Convertible Notes are exchanged by or for the benefit of the Holders (as such term is defined in the Indenture) thereof for any other securities of Counterparty or any of its subsidiaries (or any other property, or any combination thereof) pursuant to any exchange offer or similar transaction. For the avoidance of doubt, any conversion of Convertible Notes pursuant to the terms of the Indenture shall not constitute a Repayment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Alternative Calculations and Payment on Early Termination and on Certain Extraordinary Events</w:t>
      </w:r>
      <w:r>
        <w:rPr>
          <w:rFonts w:ascii="Times New Roman;Times;Serif" w:hAnsi="Times New Roman;Times;Serif"/>
          <w:b w:val="false"/>
          <w:i w:val="false"/>
          <w:caps w:val="false"/>
          <w:smallCaps w:val="false"/>
          <w:sz w:val="20"/>
        </w:rPr>
        <w:t>. If Dealer shall owe Counterparty any amount pursuant to Section 6(d)(ii) of the Agreement (a “</w:t>
      </w:r>
      <w:r>
        <w:rPr>
          <w:rFonts w:ascii="Times New Roman;Times;Serif" w:hAnsi="Times New Roman;Times;Serif"/>
          <w:b/>
          <w:i w:val="false"/>
          <w:caps w:val="false"/>
          <w:smallCaps w:val="false"/>
          <w:sz w:val="20"/>
        </w:rPr>
        <w:t>Payment Obligation</w:t>
      </w:r>
      <w:r>
        <w:rPr>
          <w:rFonts w:ascii="Times New Roman;Times;Serif" w:hAnsi="Times New Roman;Times;Serif"/>
          <w:b w:val="false"/>
          <w:i w:val="false"/>
          <w:caps w:val="false"/>
          <w:smallCaps w:val="false"/>
          <w:sz w:val="20"/>
        </w:rPr>
        <w:t>”), Counterparty shall have the right, in its sole discretion, to require Dealer to satisfy any such Payment Obligation by the Share Termination Alternative (as defined below) by giving irrevocable telephonic notice to Dealer, confirmed in writing within one Scheduled Trading Day</w:t>
      </w:r>
    </w:p>
    <w:p>
      <w:pPr>
        <w:pStyle w:val="TextBody"/>
        <w:bidi w:val="0"/>
        <w:spacing w:before="0" w:after="0"/>
        <w:ind w:left="0" w:right="0" w:firstLine="720"/>
        <w:jc w:val="both"/>
        <w:rPr>
          <w:caps w:val="false"/>
          <w:smallCaps w:val="false"/>
        </w:rPr>
      </w:pPr>
      <w:r>
        <w:rPr>
          <w:caps w:val="false"/>
          <w:smallCaps w:val="false"/>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written confirmation shall contain the representation and warranty set forth in Section 7(a)(i)), no later than 9:30 A.M., New York City time, on the relevant merger date, Announcement Date, Early Termination Date or date of cancellation or termination in respect of an Extraordinary Event, as applicable (“</w:t>
      </w:r>
      <w:r>
        <w:rPr>
          <w:rFonts w:ascii="Times New Roman;Times;Serif" w:hAnsi="Times New Roman;Times;Serif"/>
          <w:b/>
          <w:i w:val="false"/>
          <w:caps w:val="false"/>
          <w:smallCaps w:val="false"/>
          <w:sz w:val="20"/>
        </w:rPr>
        <w:t>Notice of Share Termination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does not elect to require Dealer to satisfy its Payment Obligation by the Share Termination Alternative, Dealer shall have the right, in its sole discretion, to elect to satisfy its Payment Obligation by the Share Termination Alternative, notwithstanding Counterparty’s failure to elect or election to the contrary;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relevant merger date, Announcement Date, Early Termination Date or date of cancellation or termination in respect of an Extraordinary Event, as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1344"/>
        <w:gridCol w:w="8781"/>
      </w:tblGrid>
      <w:tr>
        <w:trPr/>
        <w:tc>
          <w:tcPr>
            <w:tcW w:w="80" w:type="dxa"/>
            <w:tcBorders/>
            <w:vAlign w:val="center"/>
          </w:tcPr>
          <w:p>
            <w:pPr>
              <w:pStyle w:val="TableContents"/>
              <w:bidi w:val="0"/>
              <w:spacing w:before="0" w:after="283"/>
              <w:jc w:val="left"/>
              <w:rPr/>
            </w:pPr>
            <w:r>
              <w:rPr/>
              <w:t> </w:t>
            </w:r>
          </w:p>
        </w:tc>
        <w:tc>
          <w:tcPr>
            <w:tcW w:w="1344" w:type="dxa"/>
            <w:tcBorders/>
            <w:vAlign w:val="center"/>
          </w:tcPr>
          <w:p>
            <w:pPr>
              <w:pStyle w:val="TableContents"/>
              <w:bidi w:val="0"/>
              <w:spacing w:before="0" w:after="283"/>
              <w:jc w:val="left"/>
              <w:rPr>
                <w:sz w:val="20"/>
              </w:rPr>
            </w:pPr>
            <w:r>
              <w:rPr>
                <w:sz w:val="20"/>
              </w:rPr>
              <w:t>Share Termination Alternative:</w:t>
            </w:r>
          </w:p>
        </w:tc>
        <w:tc>
          <w:tcPr>
            <w:tcW w:w="8781" w:type="dxa"/>
            <w:tcBorders/>
            <w:vAlign w:val="center"/>
          </w:tcPr>
          <w:p>
            <w:pPr>
              <w:pStyle w:val="TableContents"/>
              <w:bidi w:val="0"/>
              <w:spacing w:before="0" w:after="283"/>
              <w:jc w:val="left"/>
              <w:rPr>
                <w:sz w:val="20"/>
              </w:rPr>
            </w:pPr>
            <w:r>
              <w:rPr>
                <w:sz w:val="20"/>
              </w:rPr>
              <w:t>If applicable, means that Dealer shall deliver to Counterparty the Share Termination Delivery Property on the date on which the Payment Obligation would otherwise be due pursuant to Section 6(d)(ii) of the Agreement or such later date or dates as Dealer may commercially reasonably determine (the “</w:t>
            </w:r>
            <w:r>
              <w:rPr>
                <w:b/>
                <w:sz w:val="20"/>
              </w:rPr>
              <w:t>Share Termination Payment Date</w:t>
            </w:r>
            <w:r>
              <w:rPr>
                <w:sz w:val="20"/>
              </w:rPr>
              <w:t>”) taking into account commercially reasonable hedging or hedge unwind activity, in satisfaction of the Payment Obligation.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3"/>
        <w:gridCol w:w="8575"/>
      </w:tblGrid>
      <w:tr>
        <w:trPr/>
        <w:tc>
          <w:tcPr>
            <w:tcW w:w="3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pPr>
            <w:r>
              <w:rPr/>
              <w:t>Share Termination Delivery Property:</w:t>
            </w:r>
          </w:p>
        </w:tc>
        <w:tc>
          <w:tcPr>
            <w:tcW w:w="8575" w:type="dxa"/>
            <w:tcBorders/>
            <w:vAlign w:val="center"/>
          </w:tcPr>
          <w:p>
            <w:pPr>
              <w:pStyle w:val="TableContents"/>
              <w:bidi w:val="0"/>
              <w:spacing w:before="0" w:after="283"/>
              <w:jc w:val="both"/>
              <w:rPr/>
            </w:pPr>
            <w:r>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equal to the value of such fractional security based on the values used to calculate the Share Termination Unit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60"/>
        <w:gridCol w:w="8945"/>
      </w:tblGrid>
      <w:tr>
        <w:trPr/>
        <w:tc>
          <w:tcPr>
            <w:tcW w:w="1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Termination Unit Price:</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value of property contained in one Share Termination Delivery Unit on the date such Share Termination Delivery Units are to be delivered as Share Termination Delivery Property, as determined by the Calculation Agent and notified by the Calculation Agent to Dealer at the time of notification of the Payment Obligation.</w:t>
            </w:r>
          </w:p>
        </w:tc>
      </w:tr>
      <w:tr>
        <w:trPr/>
        <w:tc>
          <w:tcPr>
            <w:tcW w:w="12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pPr>
            <w:r>
              <w:rPr/>
              <w:t> </w:t>
            </w:r>
          </w:p>
        </w:tc>
      </w:tr>
      <w:tr>
        <w:trPr/>
        <w:tc>
          <w:tcPr>
            <w:tcW w:w="1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Termination Delivery Unit: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tc>
      </w:tr>
      <w:tr>
        <w:trPr/>
        <w:tc>
          <w:tcPr>
            <w:tcW w:w="12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pPr>
            <w:r>
              <w:rPr/>
              <w:t> </w:t>
            </w:r>
          </w:p>
        </w:tc>
      </w:tr>
      <w:tr>
        <w:trPr/>
        <w:tc>
          <w:tcPr>
            <w:tcW w:w="1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Deliver:</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2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pPr>
            <w:r>
              <w:rPr/>
              <w:t> </w:t>
            </w:r>
          </w:p>
        </w:tc>
      </w:tr>
      <w:tr>
        <w:trPr/>
        <w:tc>
          <w:tcPr>
            <w:tcW w:w="1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Applicable Provisions:</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Share Termination Alternative is applicable, the provisions of Sections 9.8, 9.9 and 9.11 of the Equity Definitions will be applicable as if “Physical Settlement” applied to the Transaction, except that all references to “Shares” shall be read as references to “Share </w:t>
            </w:r>
          </w:p>
        </w:tc>
      </w:tr>
    </w:tbl>
    <w:p>
      <w:pPr>
        <w:pStyle w:val="TextBody"/>
        <w:bidi w:val="0"/>
        <w:spacing w:before="0" w:after="0"/>
        <w:ind w:left="0" w:right="0" w:hanging="0"/>
        <w:jc w:val="left"/>
        <w:rPr>
          <w:caps w:val="false"/>
          <w:smallCaps w:val="false"/>
        </w:rPr>
      </w:pPr>
      <w:r>
        <w:rPr>
          <w:caps w:val="false"/>
          <w:smallCaps w:val="false"/>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Termination Delivery Units”;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Disposition of Hedge Shares</w:t>
      </w:r>
      <w:r>
        <w:rPr>
          <w:rFonts w:ascii="Times New Roman;Times;Serif" w:hAnsi="Times New Roman;Times;Serif"/>
          <w:b w:val="false"/>
          <w:i w:val="false"/>
          <w:caps w:val="false"/>
          <w:smallCaps w:val="false"/>
          <w:sz w:val="20"/>
        </w:rPr>
        <w:t>. Counterparty hereby agrees that if, in the good faith reasonable judgment of Dealer, the Shares (the “</w:t>
      </w:r>
      <w:r>
        <w:rPr>
          <w:rFonts w:ascii="Times New Roman;Times;Serif" w:hAnsi="Times New Roman;Times;Serif"/>
          <w:b/>
          <w:i w:val="false"/>
          <w:caps w:val="false"/>
          <w:smallCaps w:val="false"/>
          <w:sz w:val="20"/>
        </w:rPr>
        <w:t>Hedge Shares</w:t>
      </w:r>
      <w:r>
        <w:rPr>
          <w:rFonts w:ascii="Times New Roman;Times;Serif" w:hAnsi="Times New Roman;Times;Serif"/>
          <w:b w:val="false"/>
          <w:i w:val="false"/>
          <w:caps w:val="false"/>
          <w:smallCaps w:val="false"/>
          <w:sz w:val="20"/>
        </w:rPr>
        <w:t xml:space="preserve">”) acquired by Dealer for the purpose of hedging its obligations pursuant to the Transaction in a commercially reasonable manner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(B) 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elects clause (i) above but the items referred to therein are not completed in a timely manner, or if Dealer, in its sole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commercially reasonably satisfactory to Dealer, including customary representations, covenants, blue sky and other governmental filings and/or registrations, indemnities to Dealer, due diligence rights (for Dealer or any designated buyer of the Hedge Shares from Dealer), and best efforts obligations to provide opinions and certificates and such other documentation as is customary for private placements agreements, all commercially reasonably acceptable to Dealer (in which case, the Calculation Agent shall make any adjustments to the terms of the Transaction that are necessary to compensate Dealer for any commercially reasonable discount from the public market price of the Shares incurred on the sale of Hedge Shares in a private placement); or (iii) purchase the Hedge Shares from Dealer at the “Daily VWAP” (as defined in the Indenture) on such Exchange Business Days, and in the amounts, commercially reasonably requested by Dealer. This Section 8(d) shall survive the termination, expiration or early unwind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Repurchase and Conversion Rate Adjustment Notices</w:t>
      </w:r>
      <w:r>
        <w:rPr>
          <w:rFonts w:ascii="Times New Roman;Times;Serif" w:hAnsi="Times New Roman;Times;Serif"/>
          <w:b w:val="false"/>
          <w:i w:val="false"/>
          <w:caps w:val="false"/>
          <w:smallCaps w:val="false"/>
          <w:sz w:val="20"/>
        </w:rPr>
        <w:t>. Counterparty shall, at least two Exchange Business Days prior to any day on which Counterparty effects any repurchase of Shares or consummates or otherwise engages in any transaction or event (a “</w:t>
      </w:r>
      <w:r>
        <w:rPr>
          <w:rFonts w:ascii="Times New Roman;Times;Serif" w:hAnsi="Times New Roman;Times;Serif"/>
          <w:b/>
          <w:i w:val="false"/>
          <w:caps w:val="false"/>
          <w:smallCaps w:val="false"/>
          <w:sz w:val="20"/>
        </w:rPr>
        <w:t>Conversion Rate Adjustment Event</w:t>
      </w:r>
      <w:r>
        <w:rPr>
          <w:rFonts w:ascii="Times New Roman;Times;Serif" w:hAnsi="Times New Roman;Times;Serif"/>
          <w:b w:val="false"/>
          <w:i w:val="false"/>
          <w:caps w:val="false"/>
          <w:smallCaps w:val="false"/>
          <w:sz w:val="20"/>
        </w:rPr>
        <w:t>”) that could reasonably be expected to lead to an increase in the Conversion Rate, give Dealer a written notice of such repurchase or Conversion Rate Adjustment Event (a “</w:t>
      </w:r>
      <w:r>
        <w:rPr>
          <w:rFonts w:ascii="Times New Roman;Times;Serif" w:hAnsi="Times New Roman;Times;Serif"/>
          <w:b/>
          <w:i w:val="false"/>
          <w:caps w:val="false"/>
          <w:smallCaps w:val="false"/>
          <w:sz w:val="20"/>
        </w:rPr>
        <w:t>Repurchase Notice</w:t>
      </w:r>
      <w:r>
        <w:rPr>
          <w:rFonts w:ascii="Times New Roman;Times;Serif" w:hAnsi="Times New Roman;Times;Serif"/>
          <w:b w:val="false"/>
          <w:i w:val="false"/>
          <w:caps w:val="false"/>
          <w:smallCaps w:val="false"/>
          <w:sz w:val="20"/>
        </w:rPr>
        <w:t>”) on such day if, following such repurchase or Conversion Rate Adjustment Event, the Notice Percentage would reasonably be expected to be (i) greater than 13.27% and (ii) greater by 0.5% than the Notice Percentage included in the immediately preceding Repurchase Notice (or, in the case of the first such Repurchase Notice, greater than the Notice Percentage as of the date hereof). The “</w:t>
      </w:r>
      <w:r>
        <w:rPr>
          <w:rFonts w:ascii="Times New Roman;Times;Serif" w:hAnsi="Times New Roman;Times;Serif"/>
          <w:b/>
          <w:i w:val="false"/>
          <w:caps w:val="false"/>
          <w:smallCaps w:val="false"/>
          <w:sz w:val="20"/>
        </w:rPr>
        <w:t>Notice Percentage</w:t>
      </w:r>
      <w:r>
        <w:rPr>
          <w:rFonts w:ascii="Times New Roman;Times;Serif" w:hAnsi="Times New Roman;Times;Serif"/>
          <w:b w:val="false"/>
          <w:i w:val="false"/>
          <w:caps w:val="false"/>
          <w:smallCaps w:val="false"/>
          <w:sz w:val="20"/>
        </w:rPr>
        <w:t>” as of any day is the fraction, expressed as a percentage, the numerator of which is the Number of Shares plus the number of shares underlying any other convertible bond hedge transactions or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from and against any and all losses (including losses relating to the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w:t>
      </w:r>
    </w:p>
    <w:p>
      <w:pPr>
        <w:pStyle w:val="TextBody"/>
        <w:bidi w:val="0"/>
        <w:spacing w:before="0" w:after="0"/>
        <w:ind w:left="0" w:right="0" w:firstLine="720"/>
        <w:jc w:val="both"/>
        <w:rPr>
          <w:caps w:val="false"/>
          <w:smallCaps w:val="false"/>
        </w:rPr>
      </w:pPr>
      <w:r>
        <w:rPr>
          <w:caps w:val="false"/>
          <w:smallCaps w:val="false"/>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(or actions in respect thereof), joint or several, to which such Indemnified Party may become subject under applicable securities laws, including without limitation, Section 16 of the Exchange Act or under any state or federal law, regulation or regulatory order,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actual expenses (including reasonable counsel fees and expenses) as they are incurred (after notice to Counterparty and supported by invoices or other documentation setting forth in reasonable detail such expenses)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To the extent an Indemnified Party fails to provide notice of any action commenced against it in respect of which indemnity may be sought hereunder within a commercially reasonable period of time that would materially prejudice Counterparty (it being understood that any such notice delivered within 30 calendar days of the commencement of any such action shall be deemed to have been delivered within a commercially reasonable period of time for such purpose). Counterparty shall be relived from liability. This indemnity shall survive the completion of the Transaction contemplated by this Confirmation and any assignment and delegation of the Transaction made pursuant to this Confirmation or the Agreement and shall inure to the benefit of any permitted assignee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Transfer and Assignment</w:t>
      </w:r>
      <w:r>
        <w:rPr>
          <w:rFonts w:ascii="Times New Roman;Times;Serif" w:hAnsi="Times New Roman;Times;Serif"/>
          <w:b w:val="false"/>
          <w:i w:val="false"/>
          <w:caps w:val="false"/>
          <w:smallCaps w:val="false"/>
          <w:sz w:val="20"/>
        </w:rPr>
        <w:t xml:space="preserve">. Either party may transfer or assign any of its rights or obligations under the Transaction with the prior written consent of the non-transferring party, such consent not to be unreasonably withheld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Dealer may transfer or assign without any consent of Counterparty its rights and obligations hereunder, in whole or in part, to (i) any affiliate of Dealer or (ii) any person, or any person whose obligations hereunder would be guaranteed, pursuant to the terms of a customary guarantee in a form generally used for similar transactions, by a person, in either case, of credit quality at least equivalent to Dealer’s (or its ultimate parent’s). If at any time at which (1) the Equity Percentage exceeds 8.0% or (2) Dealer, Dealer Group (as defined below) or any person whose ownership position would be aggregated with that of Dealer or Dealer Group (Dealer, Dealer Group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the Minnesota Business Corporations Act or other federal, state or local law, rule, regulation or regulatory order or organizational documents or contracts of Counterparty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1% of the number of Shares outstanding on the date of determination (either such condition described in clause (1) or (2), an “</w:t>
      </w:r>
      <w:r>
        <w:rPr>
          <w:rFonts w:ascii="Times New Roman;Times;Serif" w:hAnsi="Times New Roman;Times;Serif"/>
          <w:b/>
          <w:i w:val="false"/>
          <w:caps w:val="false"/>
          <w:smallCaps w:val="false"/>
          <w:sz w:val="20"/>
        </w:rPr>
        <w:t>Excess Ownership Position</w:t>
      </w:r>
      <w:r>
        <w:rPr>
          <w:rFonts w:ascii="Times New Roman;Times;Serif" w:hAnsi="Times New Roman;Times;Serif"/>
          <w:b w:val="false"/>
          <w:i w:val="false"/>
          <w:caps w:val="false"/>
          <w:smallCaps w:val="false"/>
          <w:sz w:val="20"/>
        </w:rPr>
        <w:t>”), Dealer, in its discretion, is unable to effect a transfer or assignment to a third party after its commercially reasonable efforts on pricing and terms and within a time period reasonably acceptable to Dealer such that an Excess Ownership Position no longer exists, Dealer may designate any Scheduled Trading Day as an Early Termination Date with respect to a portion (the “</w:t>
      </w:r>
      <w:r>
        <w:rPr>
          <w:rFonts w:ascii="Times New Roman;Times;Serif" w:hAnsi="Times New Roman;Times;Serif"/>
          <w:b/>
          <w:i w:val="false"/>
          <w:caps w:val="false"/>
          <w:smallCaps w:val="false"/>
          <w:sz w:val="20"/>
        </w:rPr>
        <w:t>Terminated Portion</w:t>
      </w:r>
      <w:r>
        <w:rPr>
          <w:rFonts w:ascii="Times New Roman;Times;Serif" w:hAnsi="Times New Roman;Times;Serif"/>
          <w:b w:val="false"/>
          <w:i w:val="false"/>
          <w:caps w:val="false"/>
          <w:smallCaps w:val="false"/>
          <w:sz w:val="20"/>
        </w:rPr>
        <w:t>”) of the Transaction, such that an Excess Ownership Position would no longer exist following the resulting partial termination of the Transaction (after taking into account commercially reasonable adjustments to Dealer’s commercially reasonable Hedge Positions from such partial termination). In the event that Dealer so designates an Early Termination Date with respect to a portion of the Transaction, a payment or delivery shall be made pursuant to Section 6 of the Agreement or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Times New Roman;Times;Serif" w:hAnsi="Times New Roman;Times;Serif"/>
          <w:b/>
          <w:i w:val="false"/>
          <w:caps w:val="false"/>
          <w:smallCaps w:val="false"/>
          <w:sz w:val="20"/>
        </w:rPr>
        <w:t>Equity Percentage</w:t>
      </w:r>
      <w:r>
        <w:rPr>
          <w:rFonts w:ascii="Times New Roman;Times;Serif" w:hAnsi="Times New Roman;Times;Serif"/>
          <w:b w:val="false"/>
          <w:i w:val="false"/>
          <w:caps w:val="false"/>
          <w:smallCaps w:val="false"/>
          <w:sz w:val="20"/>
        </w:rPr>
        <w:t>” as of any day is the fraction, expressed as a percentage, (A) the</w:t>
      </w:r>
    </w:p>
    <w:p>
      <w:pPr>
        <w:pStyle w:val="TextBody"/>
        <w:bidi w:val="0"/>
        <w:spacing w:before="0" w:after="0"/>
        <w:ind w:left="0" w:right="0" w:firstLine="720"/>
        <w:jc w:val="both"/>
        <w:rPr>
          <w:caps w:val="false"/>
          <w:smallCaps w:val="false"/>
        </w:rPr>
      </w:pPr>
      <w:r>
        <w:rPr>
          <w:caps w:val="false"/>
          <w:smallCaps w:val="false"/>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 of which is the number of Shares that Dealer and any of its affiliates subject to aggregation with Dealer for purposes of the “beneficial ownership” test under Section 13 of the Exchange Act and all persons who may form a “group” (within the meaning of Rule 13d-5(b)(1) under the Exchange Act) with Dealer (collectively, “</w:t>
      </w:r>
      <w:r>
        <w:rPr>
          <w:rFonts w:ascii="Times New Roman;Times;Serif" w:hAnsi="Times New Roman;Times;Serif"/>
          <w:b/>
          <w:i w:val="false"/>
          <w:caps w:val="false"/>
          <w:smallCaps w:val="false"/>
          <w:sz w:val="20"/>
        </w:rPr>
        <w:t>Dealer Group</w:t>
      </w:r>
      <w:r>
        <w:rPr>
          <w:rFonts w:ascii="Times New Roman;Times;Serif" w:hAnsi="Times New Roman;Times;Serif"/>
          <w:b w:val="false"/>
          <w:i w:val="false"/>
          <w:caps w:val="false"/>
          <w:smallCaps w:val="false"/>
          <w:sz w:val="20"/>
        </w:rPr>
        <w:t>”) “beneficially own”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In the case of a transfer or assignment by Counterparty of its rights and obligations hereunder and under the Agreement, in whole or in part (any such Options so transferred or assigned, the “</w:t>
      </w:r>
      <w:r>
        <w:rPr>
          <w:rFonts w:ascii="Times New Roman;Times;Serif" w:hAnsi="Times New Roman;Times;Serif"/>
          <w:b/>
          <w:i w:val="false"/>
          <w:caps w:val="false"/>
          <w:smallCaps w:val="false"/>
          <w:sz w:val="20"/>
        </w:rPr>
        <w:t>Transfer Options</w:t>
      </w:r>
      <w:r>
        <w:rPr>
          <w:rFonts w:ascii="Times New Roman;Times;Serif" w:hAnsi="Times New Roman;Times;Serif"/>
          <w:b w:val="false"/>
          <w:i w:val="false"/>
          <w:caps w:val="false"/>
          <w:smallCaps w:val="false"/>
          <w:sz w:val="20"/>
        </w:rPr>
        <w:t>”), to any party, withholding of such consent by Dealer shall not be considered unreasonable if such transfer or assignment does not meet the reasonable conditions that Dealer may impose including, but not limited,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Transfer Options, Counterparty shall not be released from its notice and indemnification obligations pursuant to Section 8(e) or any obligations under Section 2 (regarding Extraordinary Events) or 8(d) of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Transfer Options shall only be transferred or assigned to a third party that is a United States person (as defined in Section 7701(a)(30) of the Internal Revenue Code of 1986, as amended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by, and reasonably satisfactory to,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Dealer shall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Event of Default, Potential Event of Default or Termination Event shall not occur as a result of such transfer and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the generality of clause (B), Counterparty shall have caused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Counterparty shall be responsible for all reasonable costs and expenses, including reasonable counsel fees, incurred by Dealer in connection with such transfer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Delivery of Shares</w:t>
      </w:r>
      <w:r>
        <w:rPr>
          <w:rFonts w:ascii="Times New Roman;Times;Serif" w:hAnsi="Times New Roman;Times;Serif"/>
          <w:b w:val="false"/>
          <w:i w:val="false"/>
          <w:caps w:val="false"/>
          <w:smallCaps w:val="false"/>
          <w:sz w:val="20"/>
        </w:rPr>
        <w:t>. Notwithstanding anything to the contrary herein, Dealer may, by prior notice to Counterparty, satisfy its obligation to deliver any Shares or other securities on any date due (an “</w:t>
      </w:r>
      <w:r>
        <w:rPr>
          <w:rFonts w:ascii="Times New Roman;Times;Serif" w:hAnsi="Times New Roman;Times;Serif"/>
          <w:b/>
          <w:i w:val="false"/>
          <w:caps w:val="false"/>
          <w:smallCaps w:val="false"/>
          <w:sz w:val="20"/>
        </w:rPr>
        <w:t>Original Delivery Date</w:t>
      </w:r>
      <w:r>
        <w:rPr>
          <w:rFonts w:ascii="Times New Roman;Times;Serif" w:hAnsi="Times New Roman;Times;Serif"/>
          <w:b w:val="false"/>
          <w:i w:val="false"/>
          <w:caps w:val="false"/>
          <w:smallCaps w:val="false"/>
          <w:sz w:val="20"/>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No Netting and Set-off. </w:t>
      </w:r>
      <w:r>
        <w:rPr>
          <w:rFonts w:ascii="Times New Roman;Times;Serif" w:hAnsi="Times New Roman;Times;Serif"/>
          <w:b w:val="false"/>
          <w:i w:val="false"/>
          <w:caps w:val="false"/>
          <w:smallCaps w:val="false"/>
          <w:sz w:val="20"/>
        </w:rPr>
        <w:t>The provisions of Section 2(c) of the Agreement shall not apply to the Transaction. Each party waives any and all rights it may have to set-off delivery or payment obligations it</w:t>
      </w:r>
    </w:p>
    <w:p>
      <w:pPr>
        <w:pStyle w:val="TextBody"/>
        <w:bidi w:val="0"/>
        <w:spacing w:before="0" w:after="0"/>
        <w:ind w:left="0" w:right="0" w:firstLine="720"/>
        <w:jc w:val="both"/>
        <w:rPr>
          <w:caps w:val="false"/>
          <w:smallCaps w:val="false"/>
        </w:rPr>
      </w:pPr>
      <w:r>
        <w:rPr>
          <w:caps w:val="false"/>
          <w:smallCaps w:val="false"/>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Equity Rights</w:t>
      </w:r>
      <w:r>
        <w:rPr>
          <w:rFonts w:ascii="Times New Roman;Times;Serif" w:hAnsi="Times New Roman;Times;Serif"/>
          <w:b w:val="false"/>
          <w:i w:val="false"/>
          <w:caps w:val="false"/>
          <w:smallCaps w:val="false"/>
          <w:sz w:val="20"/>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Early Unwind</w:t>
      </w:r>
      <w:r>
        <w:rPr>
          <w:rFonts w:ascii="Times New Roman;Times;Serif" w:hAnsi="Times New Roman;Times;Serif"/>
          <w:b w:val="false"/>
          <w:i w:val="false"/>
          <w:caps w:val="false"/>
          <w:smallCaps w:val="false"/>
          <w:sz w:val="20"/>
        </w:rPr>
        <w:t>. In the event the sale by Counterparty of the Optional Securities not consummated pursuant to the Purchase Agreement for any reason by the close of business in New York on January 23, 2024 (or such later date as agreed upon by the parties) (January 23, 2024 or such later date being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on the Early Unwind Date and the Transaction and all of the respective rights and obligations of Dealer and Counterparty hereunder shall be cancelled and terminated and Counterparty shall pay to Dealer an amount in cash equal to the aggregate amount of costs and expenses relating to the unwinding of Dealer’s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Agreements and Acknowledgements Regarding Hedgin</w:t>
      </w:r>
      <w:r>
        <w:rPr>
          <w:rFonts w:ascii="Times New Roman;Times;Serif" w:hAnsi="Times New Roman;Times;Serif"/>
          <w:b w:val="false"/>
          <w:i/>
          <w:caps w:val="false"/>
          <w:smallCaps w:val="false"/>
          <w:sz w:val="20"/>
          <w:u w:val="single"/>
        </w:rPr>
        <w:t>g</w:t>
      </w:r>
      <w:r>
        <w:rPr>
          <w:rFonts w:ascii="Times New Roman;Times;Serif" w:hAnsi="Times New Roman;Times;Serif"/>
          <w:b w:val="false"/>
          <w:i w:val="false"/>
          <w:caps w:val="false"/>
          <w:smallCaps w:val="false"/>
          <w:sz w:val="20"/>
        </w:rPr>
        <w:t>. Counterparty understands, acknowledges and agrees that: (A) at any time on 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“Daily VWAP” (as defined in the Indenture); (D) any market activities of Dealer and its affiliates with respect to Shares may affect the market price and volatility of Shares, as well as the “Daily VWAP” (as defined in the Indenture),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Wall Street Transparency and Accountability Act</w:t>
      </w:r>
      <w:r>
        <w:rPr>
          <w:rFonts w:ascii="Times New Roman;Times;Serif" w:hAnsi="Times New Roman;Times;Serif"/>
          <w:b w:val="false"/>
          <w:i w:val="false"/>
          <w:caps w:val="false"/>
          <w:smallCaps w:val="false"/>
          <w:sz w:val="20"/>
        </w:rPr>
        <w:t>. In connection with Section 739 of the Wall Street Transparency and Accountability Act of 2010 (the “</w:t>
      </w:r>
      <w:r>
        <w:rPr>
          <w:rFonts w:ascii="Times New Roman;Times;Serif" w:hAnsi="Times New Roman;Times;Serif"/>
          <w:b/>
          <w:i w:val="false"/>
          <w:caps w:val="false"/>
          <w:smallCaps w:val="false"/>
          <w:sz w:val="20"/>
        </w:rPr>
        <w:t>WSTAA</w:t>
      </w:r>
      <w:r>
        <w:rPr>
          <w:rFonts w:ascii="Times New Roman;Times;Serif" w:hAnsi="Times New Roman;Times;Serif"/>
          <w:b w:val="false"/>
          <w:i w:val="false"/>
          <w:caps w:val="false"/>
          <w:smallCaps w:val="false"/>
          <w:sz w:val="20"/>
        </w:rPr>
        <w:t>”),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pStyle w:val="TextBody"/>
        <w:bidi w:val="0"/>
        <w:spacing w:before="0" w:after="0"/>
        <w:ind w:left="0" w:right="0" w:hanging="0"/>
        <w:jc w:val="left"/>
        <w:rPr>
          <w:caps w:val="false"/>
          <w:smallCaps w:val="false"/>
        </w:rPr>
      </w:pPr>
      <w:r>
        <w:rPr>
          <w:caps w:val="false"/>
          <w:smallCaps w:val="false"/>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xml:space="preserve"> This Confirmation and the Agreement may not be modified, amended or supplemented, except in a written instrument signed by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Confirmation may be executed in several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Withholding Tax imposed on payments to non-US counterparties under the United States Foreign Account Tax Compliance Act. “Indemnifiable Tax” as defined in Section 14 of the Agreement, shall not include any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HIRE Act.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Times;Serif" w:hAnsi="Times New Roman;Times;Serif"/>
          <w:b/>
          <w:i w:val="false"/>
          <w:caps w:val="false"/>
          <w:smallCaps w:val="false"/>
          <w:sz w:val="20"/>
        </w:rPr>
        <w:t>871(m) Protocol</w:t>
      </w:r>
      <w:r>
        <w:rPr>
          <w:rFonts w:ascii="Times New Roman;Times;Serif" w:hAnsi="Times New Roman;Times;Serif"/>
          <w:b w:val="false"/>
          <w:i w:val="false"/>
          <w:caps w:val="false"/>
          <w:smallCaps w:val="false"/>
          <w:sz w:val="20"/>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Tax documentation.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W-9, or any successor thereto, (i) on or before the date of execution of this Confirmation, (ii) upon reasonable request of Counterparty and (iii) promptly upon learning that any such tax form previously provided by Dealer has become obsolete or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 Representations. For the purpose of Section 3(f) of the Agreement, Counterparty is a corporation for U.S. federal income tax purposes and is organized under the laws of the State of Minnesota.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For the purpose of Section 3(f) of the Agreement, Dealer represents to Counterparty that for U.S. federal income tax purposes it is a “U.S. person” (as that term is used in section 1.1441-4(a)(3)(ii) of the United States Treasury Regulations) and an “exempt recipient” (as that term is used in section 1.6049-4(c)(1) of the United States Treasury Regulations)</w:t>
      </w:r>
    </w:p>
    <w:p>
      <w:pPr>
        <w:pStyle w:val="TextBody"/>
        <w:bidi w:val="0"/>
        <w:spacing w:before="0" w:after="0"/>
        <w:ind w:left="0" w:right="0" w:hanging="0"/>
        <w:jc w:val="left"/>
        <w:rPr>
          <w:caps w:val="false"/>
          <w:smallCaps w:val="false"/>
        </w:rPr>
      </w:pPr>
      <w:r>
        <w:rPr>
          <w:caps w:val="false"/>
          <w:smallCaps w:val="false"/>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QFC Stay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In the event that Dealer becomes subject to a proceeding under (i) the Federal Deposit Insurance Act and the regulations promulgated thereunder or (ii) Title II of the Dodd-Frank Wall Street Reform and Consumer Protection Act and the regulations promulgated thereunder (a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 Dealer are permitted to be exercised to no greater extent than such Default Rights could be exercised under the U.S. Special Resolution Regime if this Confirmation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except to the extent that the exercise of such Default Right would be permitted under the provisions of 12 C.F.R. 252.84, 12 C.F.R. 47.5 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Counterparty has previously adhered to, or subsequently adheres to, the ISDA 2018 U.S. Resolution Stay Protocol as published by the International Swaps and Derivatives Association, Inc. as of July 31, 2018 (the “</w:t>
      </w:r>
      <w:r>
        <w:rPr>
          <w:rFonts w:ascii="Times New Roman;Times;Serif" w:hAnsi="Times New Roman;Times;Serif"/>
          <w:b/>
          <w:i w:val="false"/>
          <w:caps w:val="false"/>
          <w:smallCaps w:val="false"/>
          <w:sz w:val="20"/>
        </w:rPr>
        <w:t>ISDA U.S. Protocol</w:t>
      </w:r>
      <w:r>
        <w:rPr>
          <w:rFonts w:ascii="Times New Roman;Times;Serif" w:hAnsi="Times New Roman;Times;Serif"/>
          <w:b w:val="false"/>
          <w:i w:val="false"/>
          <w:caps w:val="false"/>
          <w:smallCaps w:val="false"/>
          <w:sz w:val="20"/>
        </w:rPr>
        <w:t>”), the terms of such protocol shall be incorporated into and form a part of this Confirmation and the terms of the ISDA U.S. Protocol shall supersede and replace the terms of this Section 8(r).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w:t>
      </w:r>
      <w:r>
        <w:rPr>
          <w:rFonts w:ascii="Times New Roman;Times;Serif" w:hAnsi="Times New Roman;Times;Serif"/>
          <w:b/>
          <w:i w:val="false"/>
          <w:caps w:val="false"/>
          <w:smallCaps w:val="false"/>
          <w:sz w:val="20"/>
        </w:rPr>
        <w:t>Preexisting In-Scope Agreement</w:t>
      </w:r>
      <w:r>
        <w:rPr>
          <w:rFonts w:ascii="Times New Roman;Times;Serif" w:hAnsi="Times New Roman;Times;Serif"/>
          <w:b w:val="false"/>
          <w:i w:val="false"/>
          <w:caps w:val="false"/>
          <w:smallCaps w:val="false"/>
          <w:sz w:val="20"/>
        </w:rPr>
        <w:t>”), then each such Preexisting In-Scope Agreement is hereby amended to include the foregoing provisions in this Section 8(r), with references to “this Confirmation” being understood to be references to the applicable Preexisting In-Scope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8(r):</w:t>
      </w:r>
    </w:p>
    <w:p>
      <w:pPr>
        <w:pStyle w:val="TextBody"/>
        <w:bidi w:val="0"/>
        <w:spacing w:before="0" w:after="0"/>
        <w:ind w:left="0" w:right="0" w:hanging="0"/>
        <w:jc w:val="left"/>
        <w:rPr>
          <w:caps w:val="false"/>
          <w:smallCaps w:val="false"/>
        </w:rPr>
      </w:pPr>
      <w:r>
        <w:rPr>
          <w:caps w:val="false"/>
          <w:smallCaps w:val="false"/>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is defined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Enhancement</w:t>
      </w:r>
      <w:r>
        <w:rPr>
          <w:rFonts w:ascii="Times New Roman;Times;Serif" w:hAnsi="Times New Roman;Times;Serif"/>
          <w:b w:val="false"/>
          <w:i w:val="false"/>
          <w:caps w:val="false"/>
          <w:smallCaps w:val="false"/>
          <w:sz w:val="20"/>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All parties to this Confirmation are giving up the right to sue each other in court, including the right to a trial by jury, except as provided by the rules of the arbitration forum in which a claim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Arbitration awards are generally final and binding; a party’s ability to have a court reverse or modify an arbitration award is very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The ability of the parties to obtain documents, witness statements and other discovery is generally more limited in arbitration than in court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The arbitrators do not have to explain the reason(s) for their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The rules of some arbitration forums may impose time limits for bringing a claim in arbitration. In some cases, a claim that is ineligible for arbitration may be brought in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The rules of the arbitration forum in which the claim is filed, and any amendments thereto, shall be incorporated into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the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 (iii) Counterparty is excluded from the class by the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Such forbearance to enforce an agreement to arbitrate shall not constitute a waiver of any rights under this Confirmation except to the extent stated herein.</w:t>
      </w:r>
    </w:p>
    <w:p>
      <w:pPr>
        <w:pStyle w:val="TextBody"/>
        <w:bidi w:val="0"/>
        <w:spacing w:before="0" w:after="0"/>
        <w:ind w:left="0" w:right="0" w:hanging="0"/>
        <w:jc w:val="left"/>
        <w:rPr>
          <w:caps w:val="false"/>
          <w:smallCaps w:val="false"/>
        </w:rPr>
      </w:pPr>
      <w:r>
        <w:rPr>
          <w:caps w:val="false"/>
          <w:smallCaps w:val="false"/>
        </w:rPr>
        <w:t> </w:t>
      </w:r>
    </w:p>
    <w:tbl>
      <w:tblPr>
        <w:tblW w:w="420" w:type="dxa"/>
        <w:jc w:val="left"/>
        <w:tblInd w:w="0" w:type="dxa"/>
        <w:tblLayout w:type="fixed"/>
        <w:tblCellMar>
          <w:top w:w="0" w:type="dxa"/>
          <w:left w:w="0" w:type="dxa"/>
          <w:bottom w:w="0" w:type="dxa"/>
          <w:right w:w="0" w:type="dxa"/>
        </w:tblCellMar>
      </w:tblPr>
      <w:tblGrid>
        <w:gridCol w:w="80"/>
        <w:gridCol w:w="260"/>
        <w:gridCol w:w="80"/>
      </w:tblGrid>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Goldman Sachs &amp; Co. LLC, Equity Derivatives Documentation Department, Facsimile No. (212) 428-1980/83.</w:t>
      </w:r>
    </w:p>
    <w:p>
      <w:pPr>
        <w:pStyle w:val="TextBody"/>
        <w:bidi w:val="0"/>
        <w:spacing w:before="0" w:after="0"/>
        <w:ind w:left="0" w:right="0" w:hanging="0"/>
        <w:jc w:val="left"/>
        <w:rPr>
          <w:caps w:val="false"/>
          <w:smallCaps w:val="false"/>
        </w:rPr>
      </w:pPr>
      <w:r>
        <w:rPr>
          <w:caps w:val="false"/>
          <w:smallCaps w:val="false"/>
        </w:rPr>
        <w:t> </w:t>
      </w:r>
    </w:p>
    <w:tbl>
      <w:tblPr>
        <w:tblW w:w="2829" w:type="dxa"/>
        <w:jc w:val="left"/>
        <w:tblInd w:w="0" w:type="dxa"/>
        <w:tblLayout w:type="fixed"/>
        <w:tblCellMar>
          <w:top w:w="0" w:type="dxa"/>
          <w:left w:w="0" w:type="dxa"/>
          <w:bottom w:w="0" w:type="dxa"/>
          <w:right w:w="0" w:type="dxa"/>
        </w:tblCellMar>
      </w:tblPr>
      <w:tblGrid>
        <w:gridCol w:w="80"/>
        <w:gridCol w:w="478"/>
        <w:gridCol w:w="2271"/>
      </w:tblGrid>
      <w:tr>
        <w:trPr/>
        <w:tc>
          <w:tcPr>
            <w:tcW w:w="80" w:type="dxa"/>
            <w:tcBorders/>
            <w:vAlign w:val="center"/>
          </w:tcPr>
          <w:p>
            <w:pPr>
              <w:pStyle w:val="TableContents"/>
              <w:bidi w:val="0"/>
              <w:spacing w:before="0" w:after="283"/>
              <w:jc w:val="both"/>
              <w:rPr/>
            </w:pPr>
            <w:r>
              <w:rPr/>
              <w:t> </w:t>
            </w:r>
          </w:p>
        </w:tc>
        <w:tc>
          <w:tcPr>
            <w:tcW w:w="274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Yours faithfully,</w:t>
            </w:r>
          </w:p>
        </w:tc>
      </w:tr>
      <w:tr>
        <w:trPr/>
        <w:tc>
          <w:tcPr>
            <w:tcW w:w="80"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2271"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27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GOLDMAN SACHS &amp; CO. LLC</w:t>
            </w:r>
          </w:p>
        </w:tc>
      </w:tr>
      <w:tr>
        <w:trPr/>
        <w:tc>
          <w:tcPr>
            <w:tcW w:w="80"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2271"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Mike Voris</w:t>
            </w:r>
          </w:p>
        </w:tc>
      </w:tr>
      <w:tr>
        <w:trPr/>
        <w:tc>
          <w:tcPr>
            <w:tcW w:w="80"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2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Mike Voris</w:t>
            </w:r>
          </w:p>
        </w:tc>
      </w:tr>
      <w:tr>
        <w:trPr/>
        <w:tc>
          <w:tcPr>
            <w:tcW w:w="80"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2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Additional Bond Hedge Confirmation]</w:t>
      </w:r>
    </w:p>
    <w:p>
      <w:pPr>
        <w:pStyle w:val="TextBody"/>
        <w:bidi w:val="0"/>
        <w:spacing w:before="0" w:after="0"/>
        <w:ind w:left="0" w:right="0" w:hanging="0"/>
        <w:jc w:val="left"/>
        <w:rPr>
          <w:caps w:val="false"/>
          <w:smallCaps w:val="false"/>
        </w:rPr>
      </w:pPr>
      <w:r>
        <w:rPr>
          <w:caps w:val="false"/>
          <w:smallCaps w:val="false"/>
        </w:rPr>
        <w:t> </w:t>
      </w:r>
    </w:p>
    <w:tbl>
      <w:tblPr>
        <w:tblW w:w="225" w:type="dxa"/>
        <w:jc w:val="left"/>
        <w:tblInd w:w="0" w:type="dxa"/>
        <w:tblLayout w:type="fixed"/>
        <w:tblCellMar>
          <w:top w:w="0" w:type="dxa"/>
          <w:left w:w="0" w:type="dxa"/>
          <w:bottom w:w="0" w:type="dxa"/>
          <w:right w:w="0" w:type="dxa"/>
        </w:tblCellMar>
      </w:tblPr>
      <w:tblGrid>
        <w:gridCol w:w="80"/>
        <w:gridCol w:w="65"/>
        <w:gridCol w:w="80"/>
      </w:tblGrid>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and Accepted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WINNEBAGO industries</w:t>
      </w:r>
      <w:r>
        <w:rPr>
          <w:rFonts w:ascii="Times New Roman;Times;Serif" w:hAnsi="Times New Roman;Times;Serif"/>
          <w:b/>
          <w:i w:val="false"/>
          <w:caps w:val="false"/>
          <w:smallCaps w:val="false"/>
          <w:sz w:val="20"/>
        </w:rPr>
        <w:t>, INC.</w:t>
      </w:r>
    </w:p>
    <w:p>
      <w:pPr>
        <w:pStyle w:val="TextBody"/>
        <w:bidi w:val="0"/>
        <w:spacing w:before="0" w:after="0"/>
        <w:ind w:left="0" w:right="0" w:hanging="0"/>
        <w:jc w:val="left"/>
        <w:rPr>
          <w:caps w:val="false"/>
          <w:smallCaps w:val="false"/>
        </w:rPr>
      </w:pPr>
      <w:r>
        <w:rPr>
          <w:caps w:val="false"/>
          <w:smallCaps w:val="false"/>
        </w:rPr>
        <w:t> </w:t>
      </w:r>
    </w:p>
    <w:tbl>
      <w:tblPr>
        <w:tblW w:w="3275" w:type="dxa"/>
        <w:jc w:val="left"/>
        <w:tblInd w:w="0" w:type="dxa"/>
        <w:tblLayout w:type="fixed"/>
        <w:tblCellMar>
          <w:top w:w="0" w:type="dxa"/>
          <w:left w:w="0" w:type="dxa"/>
          <w:bottom w:w="0" w:type="dxa"/>
          <w:right w:w="0" w:type="dxa"/>
        </w:tblCellMar>
      </w:tblPr>
      <w:tblGrid>
        <w:gridCol w:w="380"/>
        <w:gridCol w:w="590"/>
        <w:gridCol w:w="2225"/>
        <w:gridCol w:w="80"/>
      </w:tblGrid>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81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Bryan L. Hughes</w:t>
            </w:r>
          </w:p>
        </w:tc>
        <w:tc>
          <w:tcPr>
            <w:tcW w:w="8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Bryan L. Hughes</w:t>
            </w:r>
          </w:p>
        </w:tc>
        <w:tc>
          <w:tcPr>
            <w:tcW w:w="8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w:t>
            </w:r>
          </w:p>
        </w:tc>
        <w:tc>
          <w:tcPr>
            <w:tcW w:w="8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GS Additional Bond Hedge Confirmation]</w:t>
      </w:r>
    </w:p>
    <w:p>
      <w:pPr>
        <w:pStyle w:val="TextBody"/>
        <w:bidi w:val="0"/>
        <w:spacing w:before="0" w:after="0"/>
        <w:jc w:val="left"/>
        <w:rPr>
          <w:caps w:val="false"/>
          <w:smallCaps w:val="false"/>
        </w:rPr>
      </w:pPr>
      <w:r>
        <w:rPr>
          <w:caps w:val="false"/>
          <w:smallCaps w:val="false"/>
        </w:rPr>
        <w:t> </w:t>
      </w:r>
    </w:p>
    <w:tbl>
      <w:tblPr>
        <w:tblW w:w="225" w:type="dxa"/>
        <w:jc w:val="left"/>
        <w:tblInd w:w="0" w:type="dxa"/>
        <w:tblLayout w:type="fixed"/>
        <w:tblCellMar>
          <w:top w:w="0" w:type="dxa"/>
          <w:left w:w="0" w:type="dxa"/>
          <w:bottom w:w="0" w:type="dxa"/>
          <w:right w:w="0" w:type="dxa"/>
        </w:tblCellMar>
      </w:tblPr>
      <w:tblGrid>
        <w:gridCol w:w="80"/>
        <w:gridCol w:w="65"/>
        <w:gridCol w:w="80"/>
      </w:tblGrid>
      <w:tr>
        <w:trPr/>
        <w:tc>
          <w:tcPr>
            <w:tcW w:w="8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4" w:name="tm243871d1_ex10-6.htm"/>
      <w:bookmarkStart w:id="35" w:name="kstm243871d1_ex106"/>
      <w:bookmarkEnd w:id="34"/>
      <w:bookmarkEnd w:id="35"/>
      <w:r>
        <w:rPr/>
        <w:t> </w:t>
      </w:r>
      <w:r>
        <w:br w:type="page"/>
      </w:r>
    </w:p>
    <w:p>
      <w:pPr>
        <w:pStyle w:val="TextBody"/>
        <w:bidi w:val="0"/>
        <w:jc w:val="right"/>
        <w:rPr>
          <w:b/>
        </w:rPr>
      </w:pPr>
      <w:r>
        <w:rPr>
          <w:b/>
        </w:rPr>
        <w:t>Exhibit 10.6</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Montreal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Bloor Street West,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M4W 1A5</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575"/>
        <w:gridCol w:w="4010"/>
      </w:tblGrid>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w:t>
            </w:r>
          </w:p>
        </w:tc>
        <w:tc>
          <w:tcPr>
            <w:tcW w:w="40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Minnesota 55347</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From:</w:t>
            </w:r>
          </w:p>
        </w:tc>
        <w:tc>
          <w:tcPr>
            <w:tcW w:w="401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Montreal</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w:t>
            </w:r>
          </w:p>
        </w:tc>
        <w:tc>
          <w:tcPr>
            <w:tcW w:w="4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Convertible Bond Hedge Transaction</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4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19, 2024</w:t>
            </w:r>
          </w:p>
        </w:tc>
      </w:tr>
    </w:tbl>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communication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set forth the terms and conditions of the above-referenced transaction entered into on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between Bank of Montreal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Winnebago Industries, Inc.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Dealer is acting as principal in this Transaction and BMO Capital Markets Corp.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its affiliate, is acting as agent for this Transaction solely in connection with Rule 15a-6 of the Exchange Act (as defined herein), as amended. This communication constitutes a “Confirmation” as referred to in the ISDA Master Agreement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Confirmation is subject to, and incorporates, the definitions and provisions of the 2006 ISDA Definitions (the “</w:t>
      </w:r>
      <w:r>
        <w:rPr>
          <w:rFonts w:ascii="Times New Roman;Times;Serif" w:hAnsi="Times New Roman;Times;Serif"/>
          <w:b/>
          <w:i w:val="false"/>
          <w:caps w:val="false"/>
          <w:smallCaps w:val="false"/>
          <w:sz w:val="20"/>
        </w:rPr>
        <w:t>2006 Definitions</w:t>
      </w:r>
      <w:r>
        <w:rPr>
          <w:rFonts w:ascii="Times New Roman;Times;Serif" w:hAnsi="Times New Roman;Times;Serif"/>
          <w:b w:val="false"/>
          <w:i w:val="false"/>
          <w:caps w:val="false"/>
          <w:smallCaps w:val="false"/>
          <w:sz w:val="20"/>
        </w:rPr>
        <w:t>”) and the definitions and provisions of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together with the 2006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Certain defined terms used herein have the meanings assigned to them in the Indenture to be dated as of January 23, 2024 between Counterparty and U.S. Bank Trust Company, National Association, as trustee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relating to the USD 300,000,000 principal amount of 3.25% Convertible Senior Notes due 2030 (the “</w:t>
      </w:r>
      <w:r>
        <w:rPr>
          <w:rFonts w:ascii="Times New Roman;Times;Serif" w:hAnsi="Times New Roman;Times;Serif"/>
          <w:b/>
          <w:i w:val="false"/>
          <w:caps w:val="false"/>
          <w:smallCaps w:val="false"/>
          <w:sz w:val="20"/>
        </w:rPr>
        <w:t>Base Convertible Securities</w:t>
      </w:r>
      <w:r>
        <w:rPr>
          <w:rFonts w:ascii="Times New Roman;Times;Serif" w:hAnsi="Times New Roman;Times;Serif"/>
          <w:b w:val="false"/>
          <w:i w:val="false"/>
          <w:caps w:val="false"/>
          <w:smallCaps w:val="false"/>
          <w:sz w:val="20"/>
        </w:rPr>
        <w:t>”) and the additional USD 50,000,000 principal amount of 3.25% Convertible Senior Notes due 2030 issued pursuant to the option to purchase additional convertible securities exercised on the date hereof (the “</w:t>
      </w:r>
      <w:r>
        <w:rPr>
          <w:rFonts w:ascii="Times New Roman;Times;Serif" w:hAnsi="Times New Roman;Times;Serif"/>
          <w:b/>
          <w:i w:val="false"/>
          <w:caps w:val="false"/>
          <w:smallCaps w:val="false"/>
          <w:sz w:val="20"/>
        </w:rPr>
        <w:t>Optional Convertible Securities</w:t>
      </w:r>
      <w:r>
        <w:rPr>
          <w:rFonts w:ascii="Times New Roman;Times;Serif" w:hAnsi="Times New Roman;Times;Serif"/>
          <w:b w:val="false"/>
          <w:i w:val="false"/>
          <w:caps w:val="false"/>
          <w:smallCaps w:val="false"/>
          <w:sz w:val="20"/>
        </w:rPr>
        <w:t>” and, together with the Base Convertible Securities, the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In the event of any inconsistency between the terms defined in the Indenture and this Confirmation, this Confirmation shall govern. For the avoidance of doubt, references herein to sections of, or definitions set forth in, the Indenture are based on the draft of the Indenture most recently reviewed by the parties at the time of execution of this Confirmation. If any relevant sections of, or definitions set forth in, the Indenture are changed, added or renumbered between the execution of this Confirmation and the execution of the Indenture, the parties will amend this Confirmation in good faith to preserve the economic intent of the parties, as evidenced by such draft of the Indenture. Subject to the foregoing, the parties acknowledge that references to the Indenture herein are references to the Indenture as in effect on the date of its execution and if the Indenture is, or the Convertible Securities are, amended, modified or supplemented following the date of their execution, any such amendment, modification or supplement (other than any amendment, modification or supplement pursuant to a Merger Supplemental Indenture (as defined below)) will be disregarded for purposes of this Confirmation unless the parties agree otherwise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evidences a complete and binding agreement between Dealer and Counterparty as to the terms of the Transaction to which this Confirmation relates. This Confirmation shall be subject to an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as the Termination Currency, (ii) the replacement of the word “third” in the last line of Section 5(a)(i) of the Agreement with the word “first”, and (iii) (a) the election that the “Cross Default” provisions of Section 5(a)(vi) of the Agreement shall apply to Counterparty with a “Threshold Amount” of USD35.0 million) (b) </w:t>
      </w:r>
      <w:r>
        <w:rPr>
          <w:rFonts w:ascii="Times New Roman;Times;Serif" w:hAnsi="Times New Roman;Times;Serif"/>
          <w:b w:val="false"/>
          <w:i w:val="false"/>
          <w:caps w:val="false"/>
          <w:smallCaps w:val="false"/>
          <w:sz w:val="20"/>
          <w:shd w:fill="FFFFFF" w:val="clear"/>
        </w:rPr>
        <w:t> the phrase “,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constitutes a Share Option Transaction for purposes of the Equity Definitions. The terms of the particular Transaction to which this Confirmation relates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Terms: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4"/>
        <w:gridCol w:w="8551"/>
      </w:tblGrid>
      <w:tr>
        <w:trPr/>
        <w:tc>
          <w:tcPr>
            <w:tcW w:w="1654" w:type="dxa"/>
            <w:tcBorders/>
            <w:vAlign w:val="center"/>
          </w:tcPr>
          <w:p>
            <w:pPr>
              <w:pStyle w:val="TableContents"/>
              <w:bidi w:val="0"/>
              <w:spacing w:before="0" w:after="283"/>
              <w:jc w:val="left"/>
              <w:rPr/>
            </w:pPr>
            <w:r>
              <w:rPr/>
              <w:t>Trade Date:</w:t>
            </w:r>
          </w:p>
        </w:tc>
        <w:tc>
          <w:tcPr>
            <w:tcW w:w="8551" w:type="dxa"/>
            <w:tcBorders/>
            <w:vAlign w:val="center"/>
          </w:tcPr>
          <w:p>
            <w:pPr>
              <w:pStyle w:val="TableContents"/>
              <w:bidi w:val="0"/>
              <w:spacing w:before="0" w:after="283"/>
              <w:jc w:val="both"/>
              <w:rPr/>
            </w:pPr>
            <w:r>
              <w:rPr/>
              <w:t>January 19, 2024</w:t>
            </w:r>
          </w:p>
        </w:tc>
      </w:tr>
      <w:tr>
        <w:trPr/>
        <w:tc>
          <w:tcPr>
            <w:tcW w:w="1654" w:type="dxa"/>
            <w:tcBorders/>
            <w:vAlign w:val="center"/>
          </w:tcPr>
          <w:p>
            <w:pPr>
              <w:pStyle w:val="TableContents"/>
              <w:bidi w:val="0"/>
              <w:spacing w:before="0" w:after="283"/>
              <w:jc w:val="left"/>
              <w:rPr/>
            </w:pPr>
            <w:r>
              <w:rPr/>
              <w:t>Effective Date:</w:t>
            </w:r>
          </w:p>
        </w:tc>
        <w:tc>
          <w:tcPr>
            <w:tcW w:w="8551" w:type="dxa"/>
            <w:tcBorders/>
            <w:vAlign w:val="center"/>
          </w:tcPr>
          <w:p>
            <w:pPr>
              <w:pStyle w:val="TableContents"/>
              <w:bidi w:val="0"/>
              <w:spacing w:before="0" w:after="283"/>
              <w:jc w:val="both"/>
              <w:rPr/>
            </w:pPr>
            <w:r>
              <w:rPr/>
              <w:t>The closing date of the issuance of the Convertible Securities issued pursuant to the option to purchase additional Convertible Securities exercised on the date hereof.</w:t>
            </w:r>
          </w:p>
        </w:tc>
      </w:tr>
      <w:tr>
        <w:trPr/>
        <w:tc>
          <w:tcPr>
            <w:tcW w:w="1654" w:type="dxa"/>
            <w:tcBorders/>
            <w:vAlign w:val="center"/>
          </w:tcPr>
          <w:p>
            <w:pPr>
              <w:pStyle w:val="TableContents"/>
              <w:bidi w:val="0"/>
              <w:spacing w:before="0" w:after="283"/>
              <w:jc w:val="left"/>
              <w:rPr/>
            </w:pPr>
            <w:r>
              <w:rPr/>
              <w:t>Option Style:</w:t>
            </w:r>
          </w:p>
        </w:tc>
        <w:tc>
          <w:tcPr>
            <w:tcW w:w="8551" w:type="dxa"/>
            <w:tcBorders/>
            <w:vAlign w:val="center"/>
          </w:tcPr>
          <w:p>
            <w:pPr>
              <w:pStyle w:val="TableContents"/>
              <w:bidi w:val="0"/>
              <w:spacing w:before="0" w:after="283"/>
              <w:jc w:val="both"/>
              <w:rPr/>
            </w:pPr>
            <w:r>
              <w:rPr/>
              <w:t>Modified American, as described under “Procedures for Exercise” below.</w:t>
            </w:r>
          </w:p>
        </w:tc>
      </w:tr>
      <w:tr>
        <w:trPr/>
        <w:tc>
          <w:tcPr>
            <w:tcW w:w="1654" w:type="dxa"/>
            <w:tcBorders/>
            <w:vAlign w:val="center"/>
          </w:tcPr>
          <w:p>
            <w:pPr>
              <w:pStyle w:val="TableContents"/>
              <w:bidi w:val="0"/>
              <w:spacing w:before="0" w:after="283"/>
              <w:jc w:val="left"/>
              <w:rPr/>
            </w:pPr>
            <w:r>
              <w:rPr/>
              <w:t>Option Type:</w:t>
            </w:r>
          </w:p>
        </w:tc>
        <w:tc>
          <w:tcPr>
            <w:tcW w:w="8551" w:type="dxa"/>
            <w:tcBorders/>
            <w:vAlign w:val="center"/>
          </w:tcPr>
          <w:p>
            <w:pPr>
              <w:pStyle w:val="TableContents"/>
              <w:bidi w:val="0"/>
              <w:spacing w:before="0" w:after="283"/>
              <w:jc w:val="both"/>
              <w:rPr/>
            </w:pPr>
            <w:r>
              <w:rPr/>
              <w:t>Call</w:t>
            </w:r>
          </w:p>
        </w:tc>
      </w:tr>
      <w:tr>
        <w:trPr/>
        <w:tc>
          <w:tcPr>
            <w:tcW w:w="1654" w:type="dxa"/>
            <w:tcBorders/>
            <w:vAlign w:val="center"/>
          </w:tcPr>
          <w:p>
            <w:pPr>
              <w:pStyle w:val="TableContents"/>
              <w:bidi w:val="0"/>
              <w:spacing w:before="0" w:after="283"/>
              <w:jc w:val="left"/>
              <w:rPr/>
            </w:pPr>
            <w:r>
              <w:rPr/>
              <w:t>Seller:</w:t>
            </w:r>
          </w:p>
        </w:tc>
        <w:tc>
          <w:tcPr>
            <w:tcW w:w="8551" w:type="dxa"/>
            <w:tcBorders/>
            <w:vAlign w:val="center"/>
          </w:tcPr>
          <w:p>
            <w:pPr>
              <w:pStyle w:val="TableContents"/>
              <w:bidi w:val="0"/>
              <w:spacing w:before="0" w:after="283"/>
              <w:jc w:val="both"/>
              <w:rPr/>
            </w:pPr>
            <w:r>
              <w:rPr/>
              <w:t>Dealer</w:t>
            </w:r>
          </w:p>
        </w:tc>
      </w:tr>
      <w:tr>
        <w:trPr/>
        <w:tc>
          <w:tcPr>
            <w:tcW w:w="1654" w:type="dxa"/>
            <w:tcBorders/>
            <w:vAlign w:val="center"/>
          </w:tcPr>
          <w:p>
            <w:pPr>
              <w:pStyle w:val="TableContents"/>
              <w:bidi w:val="0"/>
              <w:spacing w:before="0" w:after="283"/>
              <w:jc w:val="left"/>
              <w:rPr/>
            </w:pPr>
            <w:r>
              <w:rPr/>
              <w:t>Buyer:</w:t>
            </w:r>
          </w:p>
        </w:tc>
        <w:tc>
          <w:tcPr>
            <w:tcW w:w="8551" w:type="dxa"/>
            <w:tcBorders/>
            <w:vAlign w:val="center"/>
          </w:tcPr>
          <w:p>
            <w:pPr>
              <w:pStyle w:val="TableContents"/>
              <w:bidi w:val="0"/>
              <w:spacing w:before="0" w:after="283"/>
              <w:jc w:val="both"/>
              <w:rPr/>
            </w:pPr>
            <w:r>
              <w:rPr/>
              <w:t>Counterparty</w:t>
            </w:r>
          </w:p>
        </w:tc>
      </w:tr>
      <w:tr>
        <w:trPr/>
        <w:tc>
          <w:tcPr>
            <w:tcW w:w="1654" w:type="dxa"/>
            <w:tcBorders/>
            <w:vAlign w:val="center"/>
          </w:tcPr>
          <w:p>
            <w:pPr>
              <w:pStyle w:val="TableContents"/>
              <w:bidi w:val="0"/>
              <w:spacing w:before="0" w:after="283"/>
              <w:jc w:val="left"/>
              <w:rPr/>
            </w:pPr>
            <w:r>
              <w:rPr/>
              <w:t>Shares:</w:t>
            </w:r>
          </w:p>
        </w:tc>
        <w:tc>
          <w:tcPr>
            <w:tcW w:w="8551" w:type="dxa"/>
            <w:tcBorders/>
            <w:vAlign w:val="center"/>
          </w:tcPr>
          <w:p>
            <w:pPr>
              <w:pStyle w:val="TableContents"/>
              <w:bidi w:val="0"/>
              <w:spacing w:before="0" w:after="283"/>
              <w:jc w:val="both"/>
              <w:rPr/>
            </w:pPr>
            <w:r>
              <w:rPr/>
              <w:t>The Common Stock of Counterparty, par value USD0.50 (Ticker Symbol: “WGO”).</w:t>
            </w:r>
          </w:p>
        </w:tc>
      </w:tr>
      <w:tr>
        <w:trPr/>
        <w:tc>
          <w:tcPr>
            <w:tcW w:w="1654" w:type="dxa"/>
            <w:tcBorders/>
            <w:vAlign w:val="center"/>
          </w:tcPr>
          <w:p>
            <w:pPr>
              <w:pStyle w:val="TableContents"/>
              <w:bidi w:val="0"/>
              <w:spacing w:before="0" w:after="283"/>
              <w:jc w:val="left"/>
              <w:rPr/>
            </w:pPr>
            <w:r>
              <w:rPr/>
              <w:t>Applicable Percentage:</w:t>
            </w:r>
          </w:p>
        </w:tc>
        <w:tc>
          <w:tcPr>
            <w:tcW w:w="8551" w:type="dxa"/>
            <w:tcBorders/>
            <w:vAlign w:val="center"/>
          </w:tcPr>
          <w:p>
            <w:pPr>
              <w:pStyle w:val="TableContents"/>
              <w:bidi w:val="0"/>
              <w:spacing w:before="0" w:after="283"/>
              <w:jc w:val="both"/>
              <w:rPr/>
            </w:pPr>
            <w:r>
              <w:rPr/>
              <w:t>33 1/3%</w:t>
            </w:r>
          </w:p>
        </w:tc>
      </w:tr>
      <w:tr>
        <w:trPr/>
        <w:tc>
          <w:tcPr>
            <w:tcW w:w="1654" w:type="dxa"/>
            <w:tcBorders/>
            <w:vAlign w:val="center"/>
          </w:tcPr>
          <w:p>
            <w:pPr>
              <w:pStyle w:val="TableContents"/>
              <w:bidi w:val="0"/>
              <w:spacing w:before="0" w:after="283"/>
              <w:jc w:val="left"/>
              <w:rPr/>
            </w:pPr>
            <w:r>
              <w:rPr/>
              <w:t>Number of Options:</w:t>
            </w:r>
          </w:p>
        </w:tc>
        <w:tc>
          <w:tcPr>
            <w:tcW w:w="8551" w:type="dxa"/>
            <w:tcBorders/>
            <w:vAlign w:val="center"/>
          </w:tcPr>
          <w:p>
            <w:pPr>
              <w:pStyle w:val="TableContents"/>
              <w:bidi w:val="0"/>
              <w:spacing w:before="0" w:after="283"/>
              <w:jc w:val="both"/>
              <w:rPr/>
            </w:pPr>
            <w:r>
              <w:rPr/>
              <w:t>The number of Optional Convertible Securities in</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0"/>
        <w:gridCol w:w="8655"/>
      </w:tblGrid>
      <w:tr>
        <w:trPr/>
        <w:tc>
          <w:tcPr>
            <w:tcW w:w="1550" w:type="dxa"/>
            <w:tcBorders/>
            <w:vAlign w:val="center"/>
          </w:tcPr>
          <w:p>
            <w:pPr>
              <w:pStyle w:val="TableContents"/>
              <w:bidi w:val="0"/>
              <w:spacing w:before="0" w:after="283"/>
              <w:jc w:val="left"/>
              <w:rPr/>
            </w:pPr>
            <w:r>
              <w:rPr/>
              <w:t> </w:t>
            </w:r>
          </w:p>
        </w:tc>
        <w:tc>
          <w:tcPr>
            <w:tcW w:w="8655" w:type="dxa"/>
            <w:tcBorders/>
            <w:vAlign w:val="center"/>
          </w:tcPr>
          <w:p>
            <w:pPr>
              <w:pStyle w:val="TableContents"/>
              <w:bidi w:val="0"/>
              <w:spacing w:before="0" w:after="283"/>
              <w:jc w:val="both"/>
              <w:rPr/>
            </w:pPr>
            <w:r>
              <w:rPr/>
              <w:t>denominations of USD1,000 principal amount purchased by the Initial Purchasers (as defined in the Purchase Agreement), at their option pursuant to Section 2 of the Purchase Agreement (as defined below). For the avoidance of doubt, the Number of Options outstanding shall be reduced by each exercise of Options hereunder.</w:t>
            </w:r>
          </w:p>
        </w:tc>
      </w:tr>
      <w:tr>
        <w:trPr/>
        <w:tc>
          <w:tcPr>
            <w:tcW w:w="1550" w:type="dxa"/>
            <w:tcBorders/>
            <w:vAlign w:val="center"/>
          </w:tcPr>
          <w:p>
            <w:pPr>
              <w:pStyle w:val="TableContents"/>
              <w:bidi w:val="0"/>
              <w:spacing w:before="0" w:after="283"/>
              <w:jc w:val="left"/>
              <w:rPr/>
            </w:pPr>
            <w:r>
              <w:rPr/>
              <w:t>Option Entitlement:</w:t>
            </w:r>
          </w:p>
        </w:tc>
        <w:tc>
          <w:tcPr>
            <w:tcW w:w="8655" w:type="dxa"/>
            <w:tcBorders/>
            <w:vAlign w:val="center"/>
          </w:tcPr>
          <w:p>
            <w:pPr>
              <w:pStyle w:val="TableContents"/>
              <w:bidi w:val="0"/>
              <w:spacing w:before="0" w:after="283"/>
              <w:jc w:val="both"/>
              <w:rPr/>
            </w:pPr>
            <w:r>
              <w:rPr/>
              <w:t>11.3724</w:t>
            </w:r>
          </w:p>
        </w:tc>
      </w:tr>
      <w:tr>
        <w:trPr/>
        <w:tc>
          <w:tcPr>
            <w:tcW w:w="1550" w:type="dxa"/>
            <w:tcBorders/>
            <w:vAlign w:val="center"/>
          </w:tcPr>
          <w:p>
            <w:pPr>
              <w:pStyle w:val="TableContents"/>
              <w:bidi w:val="0"/>
              <w:spacing w:before="0" w:after="283"/>
              <w:jc w:val="left"/>
              <w:rPr/>
            </w:pPr>
            <w:r>
              <w:rPr/>
              <w:t>Fundamental Change Adjustment:</w:t>
            </w:r>
          </w:p>
        </w:tc>
        <w:tc>
          <w:tcPr>
            <w:tcW w:w="8655" w:type="dxa"/>
            <w:tcBorders/>
            <w:vAlign w:val="center"/>
          </w:tcPr>
          <w:p>
            <w:pPr>
              <w:pStyle w:val="TableContents"/>
              <w:bidi w:val="0"/>
              <w:spacing w:before="0" w:after="283"/>
              <w:jc w:val="both"/>
              <w:rPr/>
            </w:pPr>
            <w:r>
              <w:rPr/>
              <w:t>Any adjustment to the Conversion Rate pursuant to Section 5.07 of the Indenture.</w:t>
            </w:r>
          </w:p>
        </w:tc>
      </w:tr>
      <w:tr>
        <w:trPr/>
        <w:tc>
          <w:tcPr>
            <w:tcW w:w="1550" w:type="dxa"/>
            <w:tcBorders/>
            <w:vAlign w:val="center"/>
          </w:tcPr>
          <w:p>
            <w:pPr>
              <w:pStyle w:val="TableContents"/>
              <w:bidi w:val="0"/>
              <w:spacing w:before="0" w:after="283"/>
              <w:jc w:val="left"/>
              <w:rPr/>
            </w:pPr>
            <w:r>
              <w:rPr/>
              <w:t>Discretionary Adjustment:</w:t>
            </w:r>
          </w:p>
        </w:tc>
        <w:tc>
          <w:tcPr>
            <w:tcW w:w="8655" w:type="dxa"/>
            <w:tcBorders/>
            <w:vAlign w:val="center"/>
          </w:tcPr>
          <w:p>
            <w:pPr>
              <w:pStyle w:val="TableContents"/>
              <w:bidi w:val="0"/>
              <w:spacing w:before="0" w:after="283"/>
              <w:jc w:val="both"/>
              <w:rPr/>
            </w:pPr>
            <w:r>
              <w:rPr/>
              <w:t>Any adjustment to the Conversion Rate pursuant to Section 5.06 of the Indenture.</w:t>
            </w:r>
          </w:p>
        </w:tc>
      </w:tr>
      <w:tr>
        <w:trPr/>
        <w:tc>
          <w:tcPr>
            <w:tcW w:w="1550" w:type="dxa"/>
            <w:tcBorders/>
            <w:vAlign w:val="center"/>
          </w:tcPr>
          <w:p>
            <w:pPr>
              <w:pStyle w:val="TableContents"/>
              <w:bidi w:val="0"/>
              <w:spacing w:before="0" w:after="283"/>
              <w:jc w:val="left"/>
              <w:rPr/>
            </w:pPr>
            <w:r>
              <w:rPr/>
              <w:t>Strike Price:</w:t>
            </w:r>
          </w:p>
        </w:tc>
        <w:tc>
          <w:tcPr>
            <w:tcW w:w="8655" w:type="dxa"/>
            <w:tcBorders/>
            <w:vAlign w:val="center"/>
          </w:tcPr>
          <w:p>
            <w:pPr>
              <w:pStyle w:val="TableContents"/>
              <w:bidi w:val="0"/>
              <w:spacing w:before="0" w:after="283"/>
              <w:jc w:val="both"/>
              <w:rPr/>
            </w:pPr>
            <w:r>
              <w:rPr/>
              <w:t>USD87.9322</w:t>
            </w:r>
          </w:p>
        </w:tc>
      </w:tr>
      <w:tr>
        <w:trPr/>
        <w:tc>
          <w:tcPr>
            <w:tcW w:w="1550" w:type="dxa"/>
            <w:tcBorders/>
            <w:vAlign w:val="center"/>
          </w:tcPr>
          <w:p>
            <w:pPr>
              <w:pStyle w:val="TableContents"/>
              <w:bidi w:val="0"/>
              <w:spacing w:before="0" w:after="283"/>
              <w:jc w:val="left"/>
              <w:rPr/>
            </w:pPr>
            <w:r>
              <w:rPr/>
              <w:t>Rounding of Strike Price/Option Entitlement:</w:t>
            </w:r>
          </w:p>
        </w:tc>
        <w:tc>
          <w:tcPr>
            <w:tcW w:w="8655" w:type="dxa"/>
            <w:tcBorders/>
            <w:vAlign w:val="center"/>
          </w:tcPr>
          <w:p>
            <w:pPr>
              <w:pStyle w:val="TableContents"/>
              <w:bidi w:val="0"/>
              <w:spacing w:before="0" w:after="283"/>
              <w:jc w:val="both"/>
              <w:rPr/>
            </w:pPr>
            <w:r>
              <w:rPr/>
              <w:t>In connection with any adjustment to the Option Entitlement or Strike Price, the Option Entitlement or the Strike Price, as the case may be, shall be rounded by the Calculation Agent in accordance with the provisions of the Indenture relating to rounding of the “Conversion Price” or the “Conversion Rate” as applicable (each as defined in the Indenture).</w:t>
            </w:r>
          </w:p>
        </w:tc>
      </w:tr>
      <w:tr>
        <w:trPr/>
        <w:tc>
          <w:tcPr>
            <w:tcW w:w="1550" w:type="dxa"/>
            <w:tcBorders/>
            <w:vAlign w:val="center"/>
          </w:tcPr>
          <w:p>
            <w:pPr>
              <w:pStyle w:val="TableContents"/>
              <w:bidi w:val="0"/>
              <w:spacing w:before="0" w:after="283"/>
              <w:jc w:val="left"/>
              <w:rPr/>
            </w:pPr>
            <w:r>
              <w:rPr/>
              <w:t>Number of Shares:</w:t>
            </w:r>
          </w:p>
        </w:tc>
        <w:tc>
          <w:tcPr>
            <w:tcW w:w="8655" w:type="dxa"/>
            <w:tcBorders/>
            <w:vAlign w:val="center"/>
          </w:tcPr>
          <w:p>
            <w:pPr>
              <w:pStyle w:val="TableContents"/>
              <w:bidi w:val="0"/>
              <w:spacing w:before="0" w:after="283"/>
              <w:jc w:val="both"/>
              <w:rPr/>
            </w:pPr>
            <w:r>
              <w:rPr/>
              <w:t>As of any date, a number of Shares equal to the product of (i) the Applicable Percentage, (ii) the Number of Options and (iii) the Option Entitlement.</w:t>
            </w:r>
          </w:p>
        </w:tc>
      </w:tr>
      <w:tr>
        <w:trPr/>
        <w:tc>
          <w:tcPr>
            <w:tcW w:w="1550" w:type="dxa"/>
            <w:tcBorders/>
            <w:vAlign w:val="center"/>
          </w:tcPr>
          <w:p>
            <w:pPr>
              <w:pStyle w:val="TableContents"/>
              <w:bidi w:val="0"/>
              <w:spacing w:before="0" w:after="283"/>
              <w:jc w:val="left"/>
              <w:rPr/>
            </w:pPr>
            <w:r>
              <w:rPr/>
              <w:t>Premium:</w:t>
            </w:r>
          </w:p>
        </w:tc>
        <w:tc>
          <w:tcPr>
            <w:tcW w:w="8655" w:type="dxa"/>
            <w:tcBorders/>
            <w:vAlign w:val="center"/>
          </w:tcPr>
          <w:p>
            <w:pPr>
              <w:pStyle w:val="TableContents"/>
              <w:bidi w:val="0"/>
              <w:spacing w:before="0" w:after="283"/>
              <w:jc w:val="both"/>
              <w:rPr/>
            </w:pPr>
            <w:r>
              <w:rPr/>
              <w:t>USD3,270,000</w:t>
            </w:r>
          </w:p>
        </w:tc>
      </w:tr>
      <w:tr>
        <w:trPr/>
        <w:tc>
          <w:tcPr>
            <w:tcW w:w="1550" w:type="dxa"/>
            <w:tcBorders/>
            <w:vAlign w:val="center"/>
          </w:tcPr>
          <w:p>
            <w:pPr>
              <w:pStyle w:val="TableContents"/>
              <w:bidi w:val="0"/>
              <w:spacing w:before="0" w:after="283"/>
              <w:jc w:val="left"/>
              <w:rPr/>
            </w:pPr>
            <w:r>
              <w:rPr/>
              <w:t>Premium Payment Date:</w:t>
            </w:r>
          </w:p>
        </w:tc>
        <w:tc>
          <w:tcPr>
            <w:tcW w:w="8655" w:type="dxa"/>
            <w:tcBorders/>
            <w:vAlign w:val="center"/>
          </w:tcPr>
          <w:p>
            <w:pPr>
              <w:pStyle w:val="TableContents"/>
              <w:bidi w:val="0"/>
              <w:spacing w:before="0" w:after="283"/>
              <w:jc w:val="both"/>
              <w:rPr/>
            </w:pPr>
            <w:r>
              <w:rPr/>
              <w:t>The Effective Date</w:t>
            </w:r>
          </w:p>
        </w:tc>
      </w:tr>
      <w:tr>
        <w:trPr/>
        <w:tc>
          <w:tcPr>
            <w:tcW w:w="1550" w:type="dxa"/>
            <w:tcBorders/>
            <w:vAlign w:val="center"/>
          </w:tcPr>
          <w:p>
            <w:pPr>
              <w:pStyle w:val="TableContents"/>
              <w:bidi w:val="0"/>
              <w:spacing w:before="0" w:after="283"/>
              <w:jc w:val="left"/>
              <w:rPr/>
            </w:pPr>
            <w:r>
              <w:rPr/>
              <w:t>Exchange:</w:t>
            </w:r>
          </w:p>
        </w:tc>
        <w:tc>
          <w:tcPr>
            <w:tcW w:w="8655" w:type="dxa"/>
            <w:tcBorders/>
            <w:vAlign w:val="center"/>
          </w:tcPr>
          <w:p>
            <w:pPr>
              <w:pStyle w:val="TableContents"/>
              <w:bidi w:val="0"/>
              <w:spacing w:before="0" w:after="283"/>
              <w:jc w:val="both"/>
              <w:rPr/>
            </w:pPr>
            <w:r>
              <w:rPr/>
              <w:t>The New York Stock Exchange</w:t>
            </w:r>
          </w:p>
        </w:tc>
      </w:tr>
      <w:tr>
        <w:trPr/>
        <w:tc>
          <w:tcPr>
            <w:tcW w:w="1550" w:type="dxa"/>
            <w:tcBorders/>
            <w:vAlign w:val="center"/>
          </w:tcPr>
          <w:p>
            <w:pPr>
              <w:pStyle w:val="TableContents"/>
              <w:bidi w:val="0"/>
              <w:spacing w:before="0" w:after="283"/>
              <w:jc w:val="left"/>
              <w:rPr/>
            </w:pPr>
            <w:r>
              <w:rPr/>
              <w:t>Related Exchange:</w:t>
            </w:r>
          </w:p>
        </w:tc>
        <w:tc>
          <w:tcPr>
            <w:tcW w:w="8655" w:type="dxa"/>
            <w:tcBorders/>
            <w:vAlign w:val="center"/>
          </w:tcPr>
          <w:p>
            <w:pPr>
              <w:pStyle w:val="TableContents"/>
              <w:bidi w:val="0"/>
              <w:spacing w:before="0" w:after="283"/>
              <w:jc w:val="both"/>
              <w:rPr/>
            </w:pPr>
            <w:r>
              <w:rPr/>
              <w:t>All Exchanges</w:t>
            </w:r>
          </w:p>
        </w:tc>
      </w:tr>
      <w:tr>
        <w:trPr/>
        <w:tc>
          <w:tcPr>
            <w:tcW w:w="1550" w:type="dxa"/>
            <w:tcBorders/>
            <w:vAlign w:val="center"/>
          </w:tcPr>
          <w:p>
            <w:pPr>
              <w:pStyle w:val="TableContents"/>
              <w:bidi w:val="0"/>
              <w:spacing w:before="0" w:after="283"/>
              <w:jc w:val="left"/>
              <w:rPr/>
            </w:pPr>
            <w:r>
              <w:rPr/>
              <w:t>Procedures for Exercise:</w:t>
            </w:r>
          </w:p>
        </w:tc>
        <w:tc>
          <w:tcPr>
            <w:tcW w:w="8655" w:type="dxa"/>
            <w:tcBorders/>
            <w:vAlign w:val="center"/>
          </w:tcPr>
          <w:p>
            <w:pPr>
              <w:pStyle w:val="TableContents"/>
              <w:bidi w:val="0"/>
              <w:spacing w:before="0" w:after="283"/>
              <w:jc w:val="both"/>
              <w:rPr/>
            </w:pPr>
            <w:r>
              <w:rPr/>
              <w:t> </w:t>
            </w:r>
          </w:p>
        </w:tc>
      </w:tr>
      <w:tr>
        <w:trPr/>
        <w:tc>
          <w:tcPr>
            <w:tcW w:w="1550" w:type="dxa"/>
            <w:tcBorders/>
            <w:vAlign w:val="center"/>
          </w:tcPr>
          <w:p>
            <w:pPr>
              <w:pStyle w:val="TableContents"/>
              <w:bidi w:val="0"/>
              <w:spacing w:before="0" w:after="283"/>
              <w:jc w:val="left"/>
              <w:rPr/>
            </w:pPr>
            <w:r>
              <w:rPr/>
              <w:t>Exercise Dates:</w:t>
            </w:r>
          </w:p>
        </w:tc>
        <w:tc>
          <w:tcPr>
            <w:tcW w:w="8655" w:type="dxa"/>
            <w:tcBorders/>
            <w:vAlign w:val="center"/>
          </w:tcPr>
          <w:p>
            <w:pPr>
              <w:pStyle w:val="TableContents"/>
              <w:bidi w:val="0"/>
              <w:spacing w:before="0" w:after="283"/>
              <w:jc w:val="both"/>
              <w:rPr/>
            </w:pPr>
            <w:r>
              <w:rPr/>
              <w:t>Each Conversion Date.</w:t>
            </w:r>
          </w:p>
        </w:tc>
      </w:tr>
      <w:tr>
        <w:trPr/>
        <w:tc>
          <w:tcPr>
            <w:tcW w:w="1550" w:type="dxa"/>
            <w:tcBorders/>
            <w:vAlign w:val="center"/>
          </w:tcPr>
          <w:p>
            <w:pPr>
              <w:pStyle w:val="TableContents"/>
              <w:bidi w:val="0"/>
              <w:spacing w:before="0" w:after="283"/>
              <w:jc w:val="left"/>
              <w:rPr/>
            </w:pPr>
            <w:r>
              <w:rPr/>
              <w:t>Conversion Date:</w:t>
            </w:r>
          </w:p>
        </w:tc>
        <w:tc>
          <w:tcPr>
            <w:tcW w:w="8655" w:type="dxa"/>
            <w:tcBorders/>
            <w:vAlign w:val="center"/>
          </w:tcPr>
          <w:p>
            <w:pPr>
              <w:pStyle w:val="TableContents"/>
              <w:bidi w:val="0"/>
              <w:spacing w:before="0" w:after="283"/>
              <w:jc w:val="both"/>
              <w:rPr/>
            </w:pPr>
            <w:r>
              <w:rPr/>
              <w:t>Each “Conversion Date” (as defined in the Indenture) occurring during the Exercise Period for Convertible Securities each in denominations of USD1,000 principal amount that are not “Relevant Convertible Securities” under (and as defined in) the confirmation between the parties hereto regarding the Base Convertible Bond Hedge Transaction dated January 18, 2024 (the “</w:t>
            </w:r>
            <w:r>
              <w:rPr>
                <w:b/>
              </w:rPr>
              <w:t>Base Convertible Bond Hedge Transaction Confirmation</w:t>
            </w:r>
            <w:r>
              <w:rPr/>
              <w:t>”) (such Convertible Securities, the “</w:t>
            </w:r>
            <w:r>
              <w:rPr>
                <w:b/>
              </w:rPr>
              <w:t>Relevant Convertible Securities</w:t>
            </w:r>
            <w:r>
              <w:rPr/>
              <w:t>” for such Conversion Date).  For the purposes of determining whether any Convertible Securities will be Relevant Convertible Securities hereunder or “Relevant Convertible Securities” under the Base Convertible Bond Hedge Transaction Confirmation, Convertible Securities that are converted pursuant to the Indenture shall be allocated first to the Base Convertible Bond Hedge Transaction Confirmation until all Options thereunder are exercised or</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34"/>
        <w:gridCol w:w="8871"/>
      </w:tblGrid>
      <w:tr>
        <w:trPr/>
        <w:tc>
          <w:tcPr>
            <w:tcW w:w="1334" w:type="dxa"/>
            <w:tcBorders/>
            <w:vAlign w:val="center"/>
          </w:tcPr>
          <w:p>
            <w:pPr>
              <w:pStyle w:val="TableContents"/>
              <w:bidi w:val="0"/>
              <w:spacing w:before="0" w:after="283"/>
              <w:jc w:val="left"/>
              <w:rPr/>
            </w:pPr>
            <w:r>
              <w:rPr/>
              <w:t> </w:t>
            </w:r>
          </w:p>
        </w:tc>
        <w:tc>
          <w:tcPr>
            <w:tcW w:w="8871" w:type="dxa"/>
            <w:tcBorders/>
            <w:vAlign w:val="center"/>
          </w:tcPr>
          <w:p>
            <w:pPr>
              <w:pStyle w:val="TableContents"/>
              <w:bidi w:val="0"/>
              <w:spacing w:before="0" w:after="283"/>
              <w:jc w:val="both"/>
              <w:rPr/>
            </w:pPr>
            <w:r>
              <w:rPr/>
              <w:t>terminated.</w:t>
            </w:r>
          </w:p>
        </w:tc>
      </w:tr>
      <w:tr>
        <w:trPr/>
        <w:tc>
          <w:tcPr>
            <w:tcW w:w="1334" w:type="dxa"/>
            <w:tcBorders/>
            <w:vAlign w:val="center"/>
          </w:tcPr>
          <w:p>
            <w:pPr>
              <w:pStyle w:val="TableContents"/>
              <w:bidi w:val="0"/>
              <w:spacing w:before="0" w:after="283"/>
              <w:jc w:val="left"/>
              <w:rPr/>
            </w:pPr>
            <w:r>
              <w:rPr/>
              <w:t>Exercise Period:</w:t>
            </w:r>
          </w:p>
        </w:tc>
        <w:tc>
          <w:tcPr>
            <w:tcW w:w="8871" w:type="dxa"/>
            <w:tcBorders/>
            <w:vAlign w:val="center"/>
          </w:tcPr>
          <w:p>
            <w:pPr>
              <w:pStyle w:val="TableContents"/>
              <w:bidi w:val="0"/>
              <w:spacing w:before="0" w:after="283"/>
              <w:jc w:val="both"/>
              <w:rPr/>
            </w:pPr>
            <w:r>
              <w:rPr/>
              <w:t>The period from and excluding the Effective Date to, and including, the Expiration Date.</w:t>
            </w:r>
          </w:p>
        </w:tc>
      </w:tr>
      <w:tr>
        <w:trPr/>
        <w:tc>
          <w:tcPr>
            <w:tcW w:w="1334" w:type="dxa"/>
            <w:tcBorders/>
            <w:vAlign w:val="center"/>
          </w:tcPr>
          <w:p>
            <w:pPr>
              <w:pStyle w:val="TableContents"/>
              <w:bidi w:val="0"/>
              <w:spacing w:before="0" w:after="283"/>
              <w:jc w:val="left"/>
              <w:rPr/>
            </w:pPr>
            <w:r>
              <w:rPr/>
              <w:t>Expiration Date:</w:t>
            </w:r>
          </w:p>
        </w:tc>
        <w:tc>
          <w:tcPr>
            <w:tcW w:w="8871" w:type="dxa"/>
            <w:tcBorders/>
            <w:vAlign w:val="center"/>
          </w:tcPr>
          <w:p>
            <w:pPr>
              <w:pStyle w:val="TableContents"/>
              <w:bidi w:val="0"/>
              <w:spacing w:before="0" w:after="283"/>
              <w:jc w:val="both"/>
              <w:rPr/>
            </w:pPr>
            <w:r>
              <w:rPr/>
              <w:t>The earlier of (i) the last day on which any Convertible Securities remain outstanding and (ii) the second “Scheduled Trading Day” (as defined in the Indenture) immediately preceding the “Maturity Date” (as defined in the Indenture).</w:t>
            </w:r>
          </w:p>
        </w:tc>
      </w:tr>
      <w:tr>
        <w:trPr/>
        <w:tc>
          <w:tcPr>
            <w:tcW w:w="1334" w:type="dxa"/>
            <w:tcBorders/>
            <w:vAlign w:val="center"/>
          </w:tcPr>
          <w:p>
            <w:pPr>
              <w:pStyle w:val="TableContents"/>
              <w:bidi w:val="0"/>
              <w:spacing w:before="0" w:after="283"/>
              <w:jc w:val="left"/>
              <w:rPr/>
            </w:pPr>
            <w:r>
              <w:rPr/>
              <w:t>Automatic Exercise on Conversion Dates:</w:t>
            </w:r>
          </w:p>
        </w:tc>
        <w:tc>
          <w:tcPr>
            <w:tcW w:w="8871" w:type="dxa"/>
            <w:tcBorders/>
            <w:vAlign w:val="center"/>
          </w:tcPr>
          <w:p>
            <w:pPr>
              <w:pStyle w:val="TableContents"/>
              <w:bidi w:val="0"/>
              <w:spacing w:before="0" w:after="283"/>
              <w:jc w:val="both"/>
              <w:rPr/>
            </w:pPr>
            <w:r>
              <w:rPr/>
              <w:t>Applicable; and means that on each Conversion Date, a number of Options equal to the number of Relevant Convertible Securities for such Conversion Date in denominations of USD1,000 principal amount shall be automatically exercised, subject to “Notice of Exercise” below.</w:t>
            </w:r>
          </w:p>
        </w:tc>
      </w:tr>
      <w:tr>
        <w:trPr/>
        <w:tc>
          <w:tcPr>
            <w:tcW w:w="1334" w:type="dxa"/>
            <w:tcBorders/>
            <w:vAlign w:val="center"/>
          </w:tcPr>
          <w:p>
            <w:pPr>
              <w:pStyle w:val="TableContents"/>
              <w:bidi w:val="0"/>
              <w:spacing w:before="0" w:after="283"/>
              <w:jc w:val="left"/>
              <w:rPr/>
            </w:pPr>
            <w:r>
              <w:rPr/>
              <w:t>Notice Deadline:</w:t>
            </w:r>
          </w:p>
        </w:tc>
        <w:tc>
          <w:tcPr>
            <w:tcW w:w="8871" w:type="dxa"/>
            <w:tcBorders/>
            <w:vAlign w:val="center"/>
          </w:tcPr>
          <w:p>
            <w:pPr>
              <w:pStyle w:val="TableContents"/>
              <w:bidi w:val="0"/>
              <w:spacing w:before="0" w:after="283"/>
              <w:jc w:val="both"/>
              <w:rPr/>
            </w:pPr>
            <w:r>
              <w:rPr/>
              <w:t xml:space="preserve">In respect of any exercise of Options hereunder on any Conversion Date, 5:00 P.M., New York City time, on (i) in the case the applicable Relevant Convertible Securities will be settled by Counterparty by delivery of Shares only (together with cash in lieu of any fractional Share), the “Trading Day” (as defined in the Indenture) immediately following the relevant Conversion Date, or (ii) otherwise, the Scheduled Trading Day immediately preceding the first day of the relevant Cash Settlement Averaging Period; </w:t>
            </w:r>
            <w:r>
              <w:rPr>
                <w:i/>
              </w:rPr>
              <w:t>provided</w:t>
            </w:r>
            <w:r>
              <w:rPr/>
              <w:t xml:space="preserve"> that in the case of any exercise of Options hereunder in connection with the conversion of any Relevant Convertible Securities for any Conversion Date occurring during the period from and including the 85th “Scheduled Trading Day” (as defined in the Indenture) prior to the Maturity Date, to and including the Expiration Date (such period, the “</w:t>
            </w:r>
            <w:r>
              <w:rPr>
                <w:b/>
              </w:rPr>
              <w:t>Final Conversion Period</w:t>
            </w:r>
            <w:r>
              <w:rPr/>
              <w:t>”), the Notice Deadline shall be 5:00 P.M., New York City time, on the “Scheduled Trading Day” (as defined in the Indenture) immediately preceding the “Maturity Date” (as defined in the Indenture).</w:t>
            </w:r>
          </w:p>
        </w:tc>
      </w:tr>
      <w:tr>
        <w:trPr/>
        <w:tc>
          <w:tcPr>
            <w:tcW w:w="1334" w:type="dxa"/>
            <w:tcBorders/>
            <w:vAlign w:val="center"/>
          </w:tcPr>
          <w:p>
            <w:pPr>
              <w:pStyle w:val="TableContents"/>
              <w:bidi w:val="0"/>
              <w:spacing w:before="0" w:after="283"/>
              <w:jc w:val="left"/>
              <w:rPr/>
            </w:pPr>
            <w:r>
              <w:rPr/>
              <w:t>Notice of Exercise:</w:t>
            </w:r>
          </w:p>
        </w:tc>
        <w:tc>
          <w:tcPr>
            <w:tcW w:w="8871" w:type="dxa"/>
            <w:tcBorders/>
            <w:vAlign w:val="center"/>
          </w:tcPr>
          <w:p>
            <w:pPr>
              <w:pStyle w:val="TableContents"/>
              <w:bidi w:val="0"/>
              <w:spacing w:before="0" w:after="283"/>
              <w:jc w:val="both"/>
              <w:rPr/>
            </w:pPr>
            <w:r>
              <w:rPr/>
              <w:t>Notwithstanding anything to the contrary in the Equity Definitions, Dealer shall have no obligation to make any payment or delivery in respect of any exercise of Options hereunder and such obligation in respect of such exercise shall be permanently extinguished unless Counterparty notifies Dealer in writing prior to the Notice Deadline in respect of such exercise, of (i) the number of Relevant Convertible Securities being converted on the related Conversion Date (specifying, if applicable, whether all or any portion of such Convertible Securities are Convertible Securities as to which additional Shares would be added to the Conversion Rate (as defined in the Indenture) pursuant to Section 5.07 of the Indenture), (ii) the scheduled settlement date under the Indenture for the Relevant Convertible Securities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11"/>
        <w:gridCol w:w="8594"/>
      </w:tblGrid>
      <w:tr>
        <w:trPr/>
        <w:tc>
          <w:tcPr>
            <w:tcW w:w="1611" w:type="dxa"/>
            <w:tcBorders/>
            <w:vAlign w:val="center"/>
          </w:tcPr>
          <w:p>
            <w:pPr>
              <w:pStyle w:val="TableContents"/>
              <w:bidi w:val="0"/>
              <w:spacing w:before="0" w:after="283"/>
              <w:jc w:val="left"/>
              <w:rPr/>
            </w:pPr>
            <w:r>
              <w:rPr/>
              <w:t> </w:t>
            </w:r>
          </w:p>
        </w:tc>
        <w:tc>
          <w:tcPr>
            <w:tcW w:w="8594" w:type="dxa"/>
            <w:tcBorders/>
            <w:vAlign w:val="center"/>
          </w:tcPr>
          <w:p>
            <w:pPr>
              <w:pStyle w:val="TableContents"/>
              <w:bidi w:val="0"/>
              <w:spacing w:before="0" w:after="283"/>
              <w:jc w:val="both"/>
              <w:rPr/>
            </w:pPr>
            <w:r>
              <w:rPr/>
              <w:t xml:space="preserve">for such Conversion Date, (iii) whether such Relevant Convertible Securities will be settled by Counterparty by delivery of cash or a combination of cash and Shares and, if such a combination, the “Specified Dollar Amount” (as defined in the Indenture) and (iv) the first day of the relevant “Observation Period” (as defined in the Indenture), if any; </w:t>
            </w:r>
            <w:r>
              <w:rPr>
                <w:i/>
              </w:rPr>
              <w:t xml:space="preserve">provided </w:t>
            </w:r>
            <w:r>
              <w:rPr/>
              <w:t xml:space="preserve">that in the case of any exercise of Options in connection with the conversion of any Relevant Convertible Securities for any Conversion Date occurring during the Final Conversion Period, the contents of such notice shall be as set forth in clauses (i) and (ii) above; </w:t>
            </w:r>
            <w:r>
              <w:rPr>
                <w:i/>
              </w:rPr>
              <w:t>provided, further,</w:t>
            </w:r>
            <w:r>
              <w:rPr/>
              <w:t xml:space="preserve"> that any “Notice of Exercise” delivered to Dealer pursuant to the Base Convertible Bond Hedge Transaction Confirmation shall be deemed to be a Notice of Exercise pursuant to this Confirmation and the terms of such Notice of Exercise shall apply, </w:t>
            </w:r>
            <w:r>
              <w:rPr>
                <w:i/>
              </w:rPr>
              <w:t>mutatis mutandis</w:t>
            </w:r>
            <w:r>
              <w:rPr/>
              <w:t>, to this Confirmation. Counterparty acknowledges its responsibilities under applicable securities laws, and in particular Section 9 and Section 10(b) of the Exchange Act (as defined below) and the rules and regulations thereunder, in respect of any election of a settlement method with respect to the Convertible Securities.  For the avoidance of doubt, if Counterparty fails to give such notice when due in respect of any exercise of Options hereunder, Dealer’s obligation to make any payment or delivery in respect of such exercise shall be permanently extinguished, and late notice shall not cure such failure.  If applicable, the Notice of Exercise shall also contain the Settlement Method Election Provisions.</w:t>
            </w:r>
          </w:p>
        </w:tc>
      </w:tr>
      <w:tr>
        <w:trPr/>
        <w:tc>
          <w:tcPr>
            <w:tcW w:w="1611" w:type="dxa"/>
            <w:tcBorders/>
            <w:vAlign w:val="center"/>
          </w:tcPr>
          <w:p>
            <w:pPr>
              <w:pStyle w:val="TableContents"/>
              <w:bidi w:val="0"/>
              <w:spacing w:before="0" w:after="283"/>
              <w:jc w:val="left"/>
              <w:rPr/>
            </w:pPr>
            <w:r>
              <w:rPr/>
              <w:t>Notice of Final Convertible Security Settlement Method:</w:t>
            </w:r>
          </w:p>
        </w:tc>
        <w:tc>
          <w:tcPr>
            <w:tcW w:w="8594" w:type="dxa"/>
            <w:tcBorders/>
            <w:vAlign w:val="center"/>
          </w:tcPr>
          <w:p>
            <w:pPr>
              <w:pStyle w:val="TableContents"/>
              <w:bidi w:val="0"/>
              <w:spacing w:before="0" w:after="283"/>
              <w:jc w:val="both"/>
              <w:rPr/>
            </w:pPr>
            <w:r>
              <w:rPr/>
              <w:t>Counterparty shall notify Dealer in writing before 5:00 P.M., New York City time, on the “Scheduled Trading Day” (as defined in the Indenture) immediately preceding the 85</w:t>
            </w:r>
            <w:r>
              <w:rPr>
                <w:position w:val="8"/>
                <w:sz w:val="19"/>
              </w:rPr>
              <w:t>th</w:t>
            </w:r>
            <w:r>
              <w:rPr/>
              <w:t xml:space="preserve"> “Scheduled Trading Day” (as defined in the Indenture) prior to the Maturity Date of the settlement method (and, if applicable, the Specified Dollar Amount) elected (or deemed to be elected) with respect to Relevant Convertible Securities with a Conversion Date occurring during the Final Conversion Period (any such notice, a “</w:t>
            </w:r>
            <w:r>
              <w:rPr>
                <w:b/>
              </w:rPr>
              <w:t>Notice of Final Convertible Security Settlement Method</w:t>
            </w:r>
            <w:r>
              <w:rPr/>
              <w:t>”). If applicable, the Notice of Final Convertible Security Settlement Method shall also contain the Settlement Method Election Provisions.</w:t>
            </w:r>
          </w:p>
        </w:tc>
      </w:tr>
      <w:tr>
        <w:trPr/>
        <w:tc>
          <w:tcPr>
            <w:tcW w:w="1611" w:type="dxa"/>
            <w:tcBorders/>
            <w:vAlign w:val="center"/>
          </w:tcPr>
          <w:p>
            <w:pPr>
              <w:pStyle w:val="TableContents"/>
              <w:bidi w:val="0"/>
              <w:spacing w:before="0" w:after="283"/>
              <w:jc w:val="left"/>
              <w:rPr/>
            </w:pPr>
            <w:r>
              <w:rPr/>
              <w:t>Dealer’s Telephone Number and Telex and/or Facsimile Number and Contact Details for purpose of Giving Notice:</w:t>
            </w:r>
          </w:p>
        </w:tc>
        <w:tc>
          <w:tcPr>
            <w:tcW w:w="8594" w:type="dxa"/>
            <w:tcBorders/>
            <w:vAlign w:val="center"/>
          </w:tcPr>
          <w:p>
            <w:pPr>
              <w:pStyle w:val="TableContents"/>
              <w:bidi w:val="0"/>
              <w:spacing w:before="0" w:after="283"/>
              <w:jc w:val="left"/>
              <w:rPr/>
            </w:pPr>
            <w:r>
              <w:rPr/>
              <w:t>As specified in Section 6(b) below.</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22"/>
        <w:gridCol w:w="9183"/>
      </w:tblGrid>
      <w:tr>
        <w:trPr/>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Terms:</w:t>
            </w:r>
          </w:p>
        </w:tc>
        <w:tc>
          <w:tcPr>
            <w:tcW w:w="9183" w:type="dxa"/>
            <w:tcBorders/>
            <w:vAlign w:val="center"/>
          </w:tcPr>
          <w:p>
            <w:pPr>
              <w:pStyle w:val="TableContents"/>
              <w:bidi w:val="0"/>
              <w:spacing w:before="0" w:after="283"/>
              <w:jc w:val="both"/>
              <w:rPr/>
            </w:pPr>
            <w:r>
              <w:rPr/>
              <w:t> </w:t>
            </w:r>
          </w:p>
        </w:tc>
      </w:tr>
      <w:tr>
        <w:trPr/>
        <w:tc>
          <w:tcPr>
            <w:tcW w:w="10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Date:</w:t>
            </w:r>
          </w:p>
        </w:tc>
        <w:tc>
          <w:tcPr>
            <w:tcW w:w="91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any Exercise Date, the date one Settlement Cycle following the final day of the relevant Cash Settlement Averaging Period; </w:t>
            </w:r>
            <w:r>
              <w:rPr>
                <w:rFonts w:ascii="Times New Roman;Times;Serif" w:hAnsi="Times New Roman;Times;Serif"/>
                <w:i/>
                <w:sz w:val="20"/>
              </w:rPr>
              <w:t xml:space="preserve">provided </w:t>
            </w:r>
            <w:r>
              <w:rPr>
                <w:rFonts w:ascii="Times New Roman;Times;Serif" w:hAnsi="Times New Roman;Times;Serif"/>
                <w:sz w:val="20"/>
              </w:rPr>
              <w:t>that the Settlement Date shall not be prior to the Exchange Business Day immediately following the date Counterparty provides the Notice of Delivery Obligation prior to 5:00 P.M., New York City time.</w:t>
            </w:r>
          </w:p>
        </w:tc>
      </w:tr>
      <w:tr>
        <w:trPr/>
        <w:tc>
          <w:tcPr>
            <w:tcW w:w="10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Delivery Obligation:</w:t>
            </w:r>
          </w:p>
        </w:tc>
        <w:tc>
          <w:tcPr>
            <w:tcW w:w="91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lieu of the obligations set forth in Sections 8.1 and 9.1 of the Equity Definitions, and subject to “Notice of Exercise” above and “Discretionary Adjustments” , “Dividends” and “Consequences of Merger Events” below, in respect of an Exercise Date, Dealer will deliver to Counterparty on the related Settlement Date (the “</w:t>
            </w:r>
            <w:r>
              <w:rPr>
                <w:rFonts w:ascii="Times New Roman;Times;Serif" w:hAnsi="Times New Roman;Times;Serif"/>
                <w:b/>
                <w:sz w:val="20"/>
              </w:rPr>
              <w:t>Delivery Obligation</w:t>
            </w:r>
            <w:r>
              <w:rPr>
                <w:rFonts w:ascii="Times New Roman;Times;Serif" w:hAnsi="Times New Roman;Times;Serif"/>
                <w:sz w:val="20"/>
              </w:rPr>
              <w:t>”), amounts equal to the product of the Applicable Percentage and</w:t>
            </w:r>
          </w:p>
        </w:tc>
      </w:tr>
      <w:tr>
        <w:trPr/>
        <w:tc>
          <w:tcPr>
            <w:tcW w:w="1022" w:type="dxa"/>
            <w:tcBorders/>
            <w:vAlign w:val="center"/>
          </w:tcPr>
          <w:p>
            <w:pPr>
              <w:pStyle w:val="TableContents"/>
              <w:bidi w:val="0"/>
              <w:spacing w:before="0" w:after="283"/>
              <w:jc w:val="both"/>
              <w:rPr/>
            </w:pPr>
            <w:r>
              <w:rPr/>
              <w:t> </w:t>
            </w:r>
          </w:p>
        </w:tc>
        <w:tc>
          <w:tcPr>
            <w:tcW w:w="91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(I) a number of Shares equal to the aggregate number of Shares, if any, that Counterparty would be obligated to deliver to the holder(s) of the Relevant Convertible Securities for such Conversion Date pursuant to Section 5.03 of the Indenture (except that such number of Shares shall be determined without taking into consideration any rounding pursuant to Section 5.03(B)(ii) of the Indenture and shall be rounded down to the nearest whole number) and (II) cash in lieu of any fractional Share resulting from such rounding; and/or</w:t>
            </w:r>
          </w:p>
        </w:tc>
      </w:tr>
      <w:tr>
        <w:trPr/>
        <w:tc>
          <w:tcPr>
            <w:tcW w:w="1022" w:type="dxa"/>
            <w:tcBorders/>
            <w:vAlign w:val="center"/>
          </w:tcPr>
          <w:p>
            <w:pPr>
              <w:pStyle w:val="TableContents"/>
              <w:bidi w:val="0"/>
              <w:spacing w:before="0" w:after="283"/>
              <w:jc w:val="both"/>
              <w:rPr/>
            </w:pPr>
            <w:r>
              <w:rPr/>
              <w:t> </w:t>
            </w:r>
          </w:p>
        </w:tc>
        <w:tc>
          <w:tcPr>
            <w:tcW w:w="91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 the aggregate amount of cash, if any, in excess of the principal amount of the Relevant Convertible Securities that Counterparty would be obligated to deliver to holder(s) of the Relevant Convertible Securities for such Conversion Date pursuant to Section 5.03 of the Indenture, determined, for each of clauses (i) and (ii), by the Calculation Agent (by reference to such Sections of the Indenture)</w:t>
            </w:r>
          </w:p>
        </w:tc>
      </w:tr>
      <w:tr>
        <w:trPr/>
        <w:tc>
          <w:tcPr>
            <w:tcW w:w="1022" w:type="dxa"/>
            <w:tcBorders/>
            <w:vAlign w:val="center"/>
          </w:tcPr>
          <w:p>
            <w:pPr>
              <w:pStyle w:val="TableContents"/>
              <w:bidi w:val="0"/>
              <w:spacing w:before="0" w:after="283"/>
              <w:jc w:val="both"/>
              <w:rPr/>
            </w:pPr>
            <w:r>
              <w:rPr/>
              <w:t> </w:t>
            </w:r>
          </w:p>
        </w:tc>
        <w:tc>
          <w:tcPr>
            <w:tcW w:w="91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if Counterparty had elected to satisfy its conversion obligation in respect of such Relevant Convertible Securities by the Applicable Settlement Method, notwithstanding any different actual election by Counterparty with respect to the settlement of such Relevant Convertible Securities; </w:t>
            </w:r>
            <w:r>
              <w:rPr>
                <w:rFonts w:ascii="Times New Roman;Times;Serif" w:hAnsi="Times New Roman;Times;Serif"/>
                <w:i/>
                <w:sz w:val="20"/>
              </w:rPr>
              <w:t xml:space="preserve">provided </w:t>
            </w:r>
            <w:r>
              <w:rPr>
                <w:rFonts w:ascii="Times New Roman;Times;Serif" w:hAnsi="Times New Roman;Times;Serif"/>
                <w:sz w:val="20"/>
              </w:rPr>
              <w:t>that the Delivery Obligation shall be determined excluding any Shares and/or cash that Counterparty is obligated to deliver to holder(s) of the Relevant Convertible Securities as a direct or indirect result of any adjustments to the Conversion Rate pursuant to a Fundamental Change Adjustment or a Discretionary Adjustment and any interest payment that Counterparty is (or would have been) obligated to deliver to holder(s) of the Relevant Convertible Securities for such Conversion Date.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01"/>
        <w:gridCol w:w="9004"/>
      </w:tblGrid>
      <w:tr>
        <w:trPr/>
        <w:tc>
          <w:tcPr>
            <w:tcW w:w="1201" w:type="dxa"/>
            <w:tcBorders/>
            <w:vAlign w:val="center"/>
          </w:tcPr>
          <w:p>
            <w:pPr>
              <w:pStyle w:val="TableContents"/>
              <w:bidi w:val="0"/>
              <w:spacing w:before="0" w:after="283"/>
              <w:jc w:val="left"/>
              <w:rPr/>
            </w:pPr>
            <w:r>
              <w:rPr/>
              <w:t> </w:t>
            </w:r>
          </w:p>
        </w:tc>
        <w:tc>
          <w:tcPr>
            <w:tcW w:w="9004" w:type="dxa"/>
            <w:tcBorders/>
            <w:vAlign w:val="center"/>
          </w:tcPr>
          <w:p>
            <w:pPr>
              <w:pStyle w:val="TableContents"/>
              <w:bidi w:val="0"/>
              <w:spacing w:before="0" w:after="283"/>
              <w:jc w:val="both"/>
              <w:rPr/>
            </w:pPr>
            <w:r>
              <w:rPr/>
              <w:t xml:space="preserve">Notwithstanding the foregoing, if, in respect of any Exercise Date, (x)(I) the number of Shares included in the Delivery Obligation </w:t>
            </w:r>
            <w:r>
              <w:rPr>
                <w:i/>
              </w:rPr>
              <w:t>multiplied by</w:t>
            </w:r>
            <w:r>
              <w:rPr/>
              <w:t xml:space="preserve"> the Share Obligation Value Price </w:t>
            </w:r>
            <w:r>
              <w:rPr>
                <w:i/>
              </w:rPr>
              <w:t>plus</w:t>
            </w:r>
            <w:r>
              <w:rPr/>
              <w:t xml:space="preserve"> (II) the amount of cash included in the Delivery Obligation, would otherwise exceed (y) the relevant Net Convertible Share Obligation Value, such number of Shares and such amount of cash shall be proportionately reduced to the extent necessary to eliminate such excess.</w:t>
            </w:r>
          </w:p>
        </w:tc>
      </w:tr>
      <w:tr>
        <w:trPr/>
        <w:tc>
          <w:tcPr>
            <w:tcW w:w="1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Make-Whole Adjustment:</w:t>
            </w:r>
          </w:p>
        </w:tc>
        <w:tc>
          <w:tcPr>
            <w:tcW w:w="9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Notwithstanding anything to the contrary herein, in respect of any exercise of Options relating to a conversion of Relevant Convertible Securities in connection with which holders of the Relevant Convertible Securities would be entitled to receive additional Shares and/or cash as a result of adjustments to the Conversion Rate pursuant to a Fundamental Change Adjustment, the Delivery Obligation shall include such additional Shares and/or cash; </w:t>
            </w:r>
            <w:r>
              <w:rPr>
                <w:rFonts w:ascii="Times New Roman;Times;Serif" w:hAnsi="Times New Roman;Times;Serif"/>
                <w:i/>
                <w:sz w:val="20"/>
              </w:rPr>
              <w:t>provided</w:t>
            </w:r>
            <w:r>
              <w:rPr>
                <w:rFonts w:ascii="Times New Roman;Times;Serif" w:hAnsi="Times New Roman;Times;Serif"/>
                <w:sz w:val="20"/>
              </w:rPr>
              <w:t xml:space="preserve"> that if the sum of (i) the product of (a) the number of Shares (if any) included in the Delivery Obligation per exercised Option and (b) the Share Obligation Value Price and (ii) the amount of cash (if any) included in the Delivery Obligation per exercised Option would otherwise exceed the amount per Option, as determined by the Calculation Agent, that would be payable by Dealer under Section 6 of the Agreement if (x) the relevant  Conversion Date were an Early Termination Date resulting from an Additional Termination Event with respect to which the Transaction was the sole Affected Transaction and Counterparty was the sole Affected Party and (y) the provisions of the Indenture relating to the Fundamental Change Adjustment were deleted, then such number of Shares and such amount of cash shall be proportionately reduced to the extent necessary to eliminate such excess.</w:t>
            </w:r>
          </w:p>
        </w:tc>
      </w:tr>
      <w:tr>
        <w:trPr/>
        <w:tc>
          <w:tcPr>
            <w:tcW w:w="1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Settlement Method:</w:t>
            </w:r>
          </w:p>
        </w:tc>
        <w:tc>
          <w:tcPr>
            <w:tcW w:w="9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Relevant Convertible Securities, if such Notice of Exercise (or such Notice of Final Convertible Security Settlement Method, as the case may be) contains all of the Settlement Method Election Provisions, the Applicable Settlement Method shall be the settlement method actually so elected by Counterparty in respect of such Relevant Convertible Securities (the “</w:t>
            </w:r>
            <w:r>
              <w:rPr>
                <w:rFonts w:ascii="Times New Roman;Times;Serif" w:hAnsi="Times New Roman;Times;Serif"/>
                <w:b/>
                <w:sz w:val="20"/>
              </w:rPr>
              <w:t>Convertible Securities Settlement Method</w:t>
            </w:r>
            <w:r>
              <w:rPr>
                <w:rFonts w:ascii="Times New Roman;Times;Serif" w:hAnsi="Times New Roman;Times;Serif"/>
                <w:sz w:val="20"/>
              </w:rPr>
              <w:t>”); otherwise, the Applicable Settlement Method shall assume Counterparty had made a Cash Election with respect to such Relevant Convertible Securities (a “</w:t>
            </w:r>
            <w:r>
              <w:rPr>
                <w:rFonts w:ascii="Times New Roman;Times;Serif" w:hAnsi="Times New Roman;Times;Serif"/>
                <w:b/>
                <w:sz w:val="20"/>
              </w:rPr>
              <w:t>Deemed Cash Election</w:t>
            </w:r>
            <w:r>
              <w:rPr>
                <w:rFonts w:ascii="Times New Roman;Times;Serif" w:hAnsi="Times New Roman;Times;Serif"/>
                <w:sz w:val="20"/>
              </w:rPr>
              <w:t>”) with a Specified Dollar Amount of USD1,000 per Relevant Convertible Security and the Delivery Obligation shall be determined by the Calculation Agent as if the relevant “Observation Period” pursuant to Section 5.03(B)(i) of the Indenture were the Cash Settlement Averaging Period.</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41"/>
        <w:gridCol w:w="8964"/>
      </w:tblGrid>
      <w:tr>
        <w:trPr/>
        <w:tc>
          <w:tcPr>
            <w:tcW w:w="1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Settlement Averaging Period:</w:t>
            </w:r>
          </w:p>
        </w:tc>
        <w:tc>
          <w:tcPr>
            <w:tcW w:w="8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40 “Trading Days” (as defined in the Indenture) commencing on (I) the third “Trading Day” (as defined in the Indenture) after the Conversion Date for conversions with a related Conversion Date occurring prior to the Final Conversion Period or (II) the 41st “Scheduled Trading Day” (as defined in the Indenture) prior to the “Maturity Date” (as defined in the Indenture) for conversions with a related Conversion Date occurring during the Final Conversion Period.</w:t>
            </w:r>
          </w:p>
        </w:tc>
      </w:tr>
      <w:tr>
        <w:trPr/>
        <w:tc>
          <w:tcPr>
            <w:tcW w:w="1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Method Election Provisions:</w:t>
            </w:r>
          </w:p>
        </w:tc>
        <w:tc>
          <w:tcPr>
            <w:tcW w:w="8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order for the Applicable Settlement Method to be the Convertible Securities Settlement Method in accordance with “Applicable Settlement Method” above, the related Notice of Exercise (or Notice of Final Convertible Security Settlement Method, as the case may be) must contain in writing the following representations and warranties from Counterparty to Dealer as of such notice delivery date:</w:t>
            </w:r>
          </w:p>
        </w:tc>
      </w:tr>
      <w:tr>
        <w:trPr/>
        <w:tc>
          <w:tcPr>
            <w:tcW w:w="1241" w:type="dxa"/>
            <w:tcBorders/>
            <w:vAlign w:val="center"/>
          </w:tcPr>
          <w:p>
            <w:pPr>
              <w:pStyle w:val="TableContents"/>
              <w:bidi w:val="0"/>
              <w:spacing w:before="0" w:after="283"/>
              <w:jc w:val="left"/>
              <w:rPr>
                <w:sz w:val="4"/>
                <w:szCs w:val="4"/>
              </w:rPr>
            </w:pPr>
            <w:r>
              <w:rPr>
                <w:sz w:val="4"/>
                <w:szCs w:val="4"/>
              </w:rPr>
            </w:r>
          </w:p>
        </w:tc>
        <w:tc>
          <w:tcPr>
            <w:tcW w:w="8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none of Counterparty and its officers or directors, or any person that controls, potentially controls, or otherwise exercises influence over, Counterparty’s decision to elect the Convertible Security Settlement Method is aware of any material nonpublic information regarding Counterparty or the Shares;</w:t>
            </w:r>
          </w:p>
        </w:tc>
      </w:tr>
      <w:tr>
        <w:trPr/>
        <w:tc>
          <w:tcPr>
            <w:tcW w:w="1241"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 Counterparty is electing the Convertible Security Settlement Method in good faith and not as part of a plan or scheme to evade compliance with the U.S. federal securities laws; Counterparty is not electing the Convertible Security Settlement Method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and Counterparty has not entered into or altered any hedging transaction relating to the Shares corresponding to or offsetting the Transaction;</w:t>
            </w:r>
          </w:p>
        </w:tc>
      </w:tr>
      <w:tr>
        <w:trPr/>
        <w:tc>
          <w:tcPr>
            <w:tcW w:w="1241"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 Counterparty has the power to make such election and to execute and deliver any documentation relating to such election that it is required by this Confirmation to deliver and to perform its obligations under this Confirmation and has taken all necessary action to authorize such election, execution, delivery and performance;</w:t>
            </w:r>
          </w:p>
        </w:tc>
      </w:tr>
      <w:tr>
        <w:trPr/>
        <w:tc>
          <w:tcPr>
            <w:tcW w:w="1241"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(iv) such election and performance of its obligations under this Confirmation do not violate or conflict with any law applicable to it, any provision of its constitutional documents,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73"/>
        <w:gridCol w:w="8932"/>
      </w:tblGrid>
      <w:tr>
        <w:trPr/>
        <w:tc>
          <w:tcPr>
            <w:tcW w:w="1273"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283"/>
              <w:jc w:val="both"/>
              <w:rPr/>
            </w:pPr>
            <w:r>
              <w:rPr/>
              <w:t>any order or judgment of any court or other agency of government applicable to it or any of its assets or any contractual restriction binding on or affecting it or any of its assets; and</w:t>
            </w:r>
          </w:p>
        </w:tc>
      </w:tr>
      <w:tr>
        <w:trPr/>
        <w:tc>
          <w:tcPr>
            <w:tcW w:w="1273" w:type="dxa"/>
            <w:tcBorders/>
            <w:vAlign w:val="center"/>
          </w:tcPr>
          <w:p>
            <w:pPr>
              <w:pStyle w:val="TableContents"/>
              <w:bidi w:val="0"/>
              <w:spacing w:before="0" w:after="283"/>
              <w:jc w:val="left"/>
              <w:rPr>
                <w:sz w:val="4"/>
                <w:szCs w:val="4"/>
              </w:rPr>
            </w:pPr>
            <w:r>
              <w:rPr>
                <w:sz w:val="4"/>
                <w:szCs w:val="4"/>
              </w:rPr>
            </w:r>
          </w:p>
        </w:tc>
        <w:tc>
          <w:tcPr>
            <w:tcW w:w="8932" w:type="dxa"/>
            <w:tcBorders/>
            <w:vAlign w:val="center"/>
          </w:tcPr>
          <w:p>
            <w:pPr>
              <w:pStyle w:val="TableContents"/>
              <w:bidi w:val="0"/>
              <w:spacing w:before="0" w:after="283"/>
              <w:jc w:val="both"/>
              <w:rPr/>
            </w:pPr>
            <w:r>
              <w:rPr/>
              <w:t>(v) any transaction that Dealer makes with respect to the Shares during the period beginning at the time that Counterparty delivers such notice and ending at the close of business on the final day of the Cash Settlement Averaging Period shall be made by Dealer at Dealer’s sole discretion for Dealer’s own account and Counterparty shall not have, and shall not attempt to exercise, any influence over how, when, whether or at what price Dealer effects such transactions, including, without limitation, the prices paid or received by Dealer per Share pursuant to such transactions, or whether such transactions are made on any securities exchange or privately.</w:t>
            </w:r>
          </w:p>
        </w:tc>
      </w:tr>
      <w:tr>
        <w:trPr/>
        <w:tc>
          <w:tcPr>
            <w:tcW w:w="1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Delivery Obligation:</w:t>
            </w:r>
          </w:p>
        </w:tc>
        <w:tc>
          <w:tcPr>
            <w:tcW w:w="8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 later than the Exchange Business Day immediately following the last day of the relevant Cash Settlement Averaging Period, Counterparty shall give Dealer notice of the final number of Shares and/or amount of cash included in the Total Convertible Share Obligation Value (as defined below); </w:t>
            </w:r>
            <w:r>
              <w:rPr>
                <w:rFonts w:ascii="Times New Roman;Times;Serif" w:hAnsi="Times New Roman;Times;Serif"/>
                <w:i/>
                <w:sz w:val="20"/>
              </w:rPr>
              <w:t>provided</w:t>
            </w:r>
            <w:r>
              <w:rPr>
                <w:rFonts w:ascii="Times New Roman;Times;Serif" w:hAnsi="Times New Roman;Times;Serif"/>
                <w:sz w:val="20"/>
              </w:rPr>
              <w:t xml:space="preserve"> that, with respect to any Exercise Date occurring during the Final Conversion Period, Counterparty may provide Dealer with a single notice of the aggregate number of Shares and/or amount of cash included in the Total Convertible Share Obligation Value for all Exercise Dates occurring during such period (it being understood, for the avoidance of doubt, that the requirement of Counterparty to deliver such notice shall not limit Counterparty’s obligations with respect to a Notice of Exercise or Notice of Final Convertible Security Settlement Method, as the case may be, as set forth above, in any way).</w:t>
            </w:r>
          </w:p>
        </w:tc>
      </w:tr>
      <w:tr>
        <w:trPr/>
        <w:tc>
          <w:tcPr>
            <w:tcW w:w="1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Convertible Share Obligation Value:</w:t>
            </w:r>
          </w:p>
        </w:tc>
        <w:tc>
          <w:tcPr>
            <w:tcW w:w="8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With respect to Relevant Convertible Securities as to a Conversion Date, the product of (i) the Applicable Percentage and (ii)(A) the Total Convertible Share Obligation Value of such Relevant Convertible Securities for such Conversion Date </w:t>
            </w:r>
            <w:r>
              <w:rPr>
                <w:rFonts w:ascii="Times New Roman;Times;Serif" w:hAnsi="Times New Roman;Times;Serif"/>
                <w:i/>
                <w:sz w:val="20"/>
              </w:rPr>
              <w:t>minus</w:t>
            </w:r>
            <w:r>
              <w:rPr>
                <w:rFonts w:ascii="Times New Roman;Times;Serif" w:hAnsi="Times New Roman;Times;Serif"/>
                <w:sz w:val="20"/>
              </w:rPr>
              <w:t xml:space="preserve"> (B) the aggregate principal amount of such Relevant Convertible Securities for such Conversion Date.</w:t>
            </w:r>
          </w:p>
        </w:tc>
      </w:tr>
      <w:tr>
        <w:trPr/>
        <w:tc>
          <w:tcPr>
            <w:tcW w:w="12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Convertible Share Obligation Value:</w:t>
            </w:r>
          </w:p>
        </w:tc>
        <w:tc>
          <w:tcPr>
            <w:tcW w:w="8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With respect to Relevant Convertible Securities with respect to a Conversion Date, (i) (A) the number of Shares equal to the aggregate number of Shares that Counterparty is obligated to deliver to the holder(s) of Relevant Convertible Securities for such Conversion Date pursuant to the Indenture (it being understood that such number of Shares shall be determined taking into consideration any rounding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81"/>
        <w:gridCol w:w="9024"/>
      </w:tblGrid>
      <w:tr>
        <w:trPr/>
        <w:tc>
          <w:tcPr>
            <w:tcW w:w="1181" w:type="dxa"/>
            <w:tcBorders/>
            <w:vAlign w:val="center"/>
          </w:tcPr>
          <w:p>
            <w:pPr>
              <w:pStyle w:val="TableContents"/>
              <w:bidi w:val="0"/>
              <w:spacing w:before="0" w:after="283"/>
              <w:jc w:val="left"/>
              <w:rPr/>
            </w:pPr>
            <w:r>
              <w:rPr/>
              <w:t> </w:t>
            </w:r>
          </w:p>
        </w:tc>
        <w:tc>
          <w:tcPr>
            <w:tcW w:w="9024" w:type="dxa"/>
            <w:tcBorders/>
            <w:vAlign w:val="center"/>
          </w:tcPr>
          <w:p>
            <w:pPr>
              <w:pStyle w:val="TableContents"/>
              <w:bidi w:val="0"/>
              <w:spacing w:before="0" w:after="283"/>
              <w:jc w:val="both"/>
              <w:rPr/>
            </w:pPr>
            <w:r>
              <w:rPr/>
              <w:t xml:space="preserve">pursuant to Section 5.03(B)(ii) of the Indenture) </w:t>
            </w:r>
            <w:r>
              <w:rPr>
                <w:i/>
              </w:rPr>
              <w:t>multiplied by</w:t>
            </w:r>
            <w:r>
              <w:rPr/>
              <w:t xml:space="preserve"> (B) the Share Obligation Value Price </w:t>
            </w:r>
            <w:r>
              <w:rPr>
                <w:i/>
              </w:rPr>
              <w:t>plus</w:t>
            </w:r>
            <w:r>
              <w:rPr/>
              <w:t xml:space="preserve"> (ii) an amount of cash equal to the aggregate amount of cash that Counterparty is obligated to deliver to the holder(s) of Relevant Convertible Securities for such Conversion Date pursuant to the Indenture (including, for the avoidance of doubt, any cash payable by Counterparty in lieu of fractional Shares); </w:t>
            </w:r>
            <w:r>
              <w:rPr>
                <w:i/>
              </w:rPr>
              <w:t>provided</w:t>
            </w:r>
            <w:r>
              <w:rPr/>
              <w:t xml:space="preserve"> that the Total Convertible Share Obligation Value shall be determined excluding any Shares and/or cash that Counterparty is obligated to deliver to holder(s) of the Relevant Convertible Securities as a direct or indirect result of any adjustments to the Conversion Rate pursuant to a Fundamental Change Adjustment or a Discretionary Adjustment and any interest payment that Counterparty is (or would have been) obligated to deliver to holder(s) of the Relevant Convertible Securities for such Conversion Date.  </w:t>
            </w:r>
          </w:p>
        </w:tc>
      </w:tr>
      <w:tr>
        <w:trPr/>
        <w:tc>
          <w:tcPr>
            <w:tcW w:w="1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Obligation Value Price:</w:t>
            </w:r>
          </w:p>
        </w:tc>
        <w:tc>
          <w:tcPr>
            <w:tcW w:w="90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opening price as displayed under the heading “Op” on Bloomberg page “WGO.N &lt;Equity&gt;” (or any successor thereto) on the applicable Settlement Date or other date of delivery.</w:t>
            </w:r>
          </w:p>
        </w:tc>
      </w:tr>
      <w:tr>
        <w:trPr/>
        <w:tc>
          <w:tcPr>
            <w:tcW w:w="1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Applicable Provisions:</w:t>
            </w:r>
          </w:p>
        </w:tc>
        <w:tc>
          <w:tcPr>
            <w:tcW w:w="90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the extent Dealer is obligated to deliver Shares hereunder, the provisions of Sections 9.8, 9.9 and 9.11 of the Equity Definitions will be applicable as if “Physical Settlement” applied to the Transaction; </w:t>
            </w:r>
            <w:r>
              <w:rPr>
                <w:rFonts w:ascii="Times New Roman;Times;Serif" w:hAnsi="Times New Roman;Times;Serif"/>
                <w:i/>
                <w:sz w:val="20"/>
              </w:rPr>
              <w:t>provided</w:t>
            </w:r>
            <w:r>
              <w:rPr>
                <w:rFonts w:ascii="Times New Roman;Times;Serif" w:hAnsi="Times New Roman;Times;Serif"/>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of the Shares.  </w:t>
            </w:r>
          </w:p>
        </w:tc>
      </w:tr>
      <w:tr>
        <w:trPr/>
        <w:tc>
          <w:tcPr>
            <w:tcW w:w="1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Certificated Shares:</w:t>
            </w:r>
          </w:p>
        </w:tc>
        <w:tc>
          <w:tcPr>
            <w:tcW w:w="90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in the Equity Definitions, Dealer may, in whole or in part, deliver Shares required to be delivered to Counterparty hereunder in certificated form in lieu of delivery through the Clearance System.  With respect to such certificated Shares, the Representation and Agreement contained in Section 9.11 of the Equity Definitions shall be modified by deleting the remainder of the provision after the word “encumbrance” in the fourth line thereof.</w:t>
            </w:r>
          </w:p>
        </w:tc>
      </w:tr>
      <w:tr>
        <w:trPr/>
        <w:tc>
          <w:tcPr>
            <w:tcW w:w="1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w:t>
            </w:r>
          </w:p>
        </w:tc>
        <w:tc>
          <w:tcPr>
            <w:tcW w:w="9024" w:type="dxa"/>
            <w:tcBorders/>
            <w:vAlign w:val="center"/>
          </w:tcPr>
          <w:p>
            <w:pPr>
              <w:pStyle w:val="TableContents"/>
              <w:bidi w:val="0"/>
              <w:spacing w:before="0" w:after="283"/>
              <w:jc w:val="both"/>
              <w:rPr/>
            </w:pPr>
            <w:r>
              <w:rPr/>
              <w:t> </w:t>
            </w:r>
          </w:p>
        </w:tc>
      </w:tr>
      <w:tr>
        <w:trPr/>
        <w:tc>
          <w:tcPr>
            <w:tcW w:w="11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Method of Adjustment:</w:t>
            </w:r>
          </w:p>
        </w:tc>
        <w:tc>
          <w:tcPr>
            <w:tcW w:w="90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Section 11.2 of the Equity Definitions, upon the occurrence of any event or condition set forth in Section 5.05(A)(i), (ii), (iii), (iv) and (v) and Section 5.05(H) of the Indenture (a “</w:t>
            </w:r>
            <w:r>
              <w:rPr>
                <w:rFonts w:ascii="Times New Roman;Times;Serif" w:hAnsi="Times New Roman;Times;Serif"/>
                <w:b/>
                <w:sz w:val="20"/>
              </w:rPr>
              <w:t>Potential Adjustment Event</w:t>
            </w:r>
            <w:r>
              <w:rPr>
                <w:rFonts w:ascii="Times New Roman;Times;Serif" w:hAnsi="Times New Roman;Times;Serif"/>
                <w:sz w:val="20"/>
              </w:rPr>
              <w:t xml:space="preserve">”) that results in an adjustment under the Indenture, the Calculation Agent shall make a corresponding adjustment in respect of any one or more of the Strike Price, the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pPr>
            <w:r>
              <w:rPr/>
              <w:t>Number of Options, the Option Entitlement and any other term relevant to the exercise, settlement or payment of the Transaction, subject to “Discretionary Adjustments” below.  Promptly upon the occurrence of any Potential Adjustment Event, Counterparty shall notify the Calculation Agent of such Potential Adjustment Event; and once the adjustments to be made to the terms of the Indenture and the Convertible Securities in respect of such Potential Adjustment Event have been determined, Counterparty shall immediately notify the Calculation Agent in writing of the details of such adjustments.  </w:t>
            </w:r>
          </w:p>
        </w:tc>
      </w:tr>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herein or in the Equity Definitions: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in connection with any Potential Adjustment Event as a result of an event or condition set forth in Section 5.05(A)(ii) of the Indenture or Section 5.05(A)(iii)(1) of the Indenture where, in either case, the period for determining “Y” (as such term is used in Section 5.05(A)(ii) of the Indenture) or “SP” (as such term is used in Section 5.05(A)(iii)(1) of the Indenture), as the case may be, begins before Counterparty has publicly announced the event or condition giving rise to such Potential Adjustment Event, then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event or condition not having been publicly announced prior to the beginning of such period; and</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 if any Potential Adjustment Event is declared and (a) the event or condition giving rise to such Potential Adjustment Event is subsequently amended, modified, cancelled or abandoned, (b) the Conversion Rate is otherwise not adjusted at the time or in the manner contemplated by the Indenture based on such declaration or (c) the Conversion Rate is adjusted as a result of such Potential Adjustment Event and subsequently re-adjusted (each of clauses (a), (b) and (c), a “</w:t>
            </w:r>
            <w:r>
              <w:rPr>
                <w:rFonts w:ascii="Times New Roman;Times;Serif" w:hAnsi="Times New Roman;Times;Serif"/>
                <w:b/>
                <w:sz w:val="20"/>
              </w:rPr>
              <w:t>Potential Adjustment Event Change</w:t>
            </w:r>
            <w:r>
              <w:rPr>
                <w:rFonts w:ascii="Times New Roman;Times;Serif" w:hAnsi="Times New Roman;Times;Serif"/>
                <w:sz w:val="20"/>
              </w:rPr>
              <w:t>”), then, in each case,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03"/>
        <w:gridCol w:w="9002"/>
      </w:tblGrid>
      <w:tr>
        <w:trPr/>
        <w:tc>
          <w:tcPr>
            <w:tcW w:w="1203" w:type="dxa"/>
            <w:tcBorders/>
            <w:vAlign w:val="center"/>
          </w:tcPr>
          <w:p>
            <w:pPr>
              <w:pStyle w:val="TableContents"/>
              <w:bidi w:val="0"/>
              <w:spacing w:before="0" w:after="283"/>
              <w:jc w:val="both"/>
              <w:rPr/>
            </w:pPr>
            <w:r>
              <w:rPr/>
              <w:t> </w:t>
            </w:r>
          </w:p>
        </w:tc>
        <w:tc>
          <w:tcPr>
            <w:tcW w:w="9002" w:type="dxa"/>
            <w:tcBorders/>
            <w:vAlign w:val="center"/>
          </w:tcPr>
          <w:p>
            <w:pPr>
              <w:pStyle w:val="TableContents"/>
              <w:bidi w:val="0"/>
              <w:spacing w:before="0" w:after="283"/>
              <w:jc w:val="both"/>
              <w:rPr/>
            </w:pPr>
            <w:r>
              <w:rPr/>
              <w:t>hedging activities as a result of such Potential Adjustment Event Change.</w:t>
            </w:r>
          </w:p>
        </w:tc>
      </w:tr>
      <w:tr>
        <w:trPr/>
        <w:tc>
          <w:tcPr>
            <w:tcW w:w="1203" w:type="dxa"/>
            <w:tcBorders/>
            <w:vAlign w:val="center"/>
          </w:tcPr>
          <w:p>
            <w:pPr>
              <w:pStyle w:val="TableContents"/>
              <w:bidi w:val="0"/>
              <w:spacing w:before="0" w:after="283"/>
              <w:jc w:val="both"/>
              <w:rPr/>
            </w:pPr>
            <w:r>
              <w:rPr/>
              <w:t> </w:t>
            </w:r>
          </w:p>
        </w:tc>
        <w:tc>
          <w:tcPr>
            <w:tcW w:w="9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the occurrence of any Potential Adjustment Event Change, Counterparty shall immediately notify the Calculation Agent in writing of the details of such Potential Adjustment Event Change.</w:t>
            </w:r>
          </w:p>
        </w:tc>
      </w:tr>
      <w:tr>
        <w:trPr/>
        <w:tc>
          <w:tcPr>
            <w:tcW w:w="1203" w:type="dxa"/>
            <w:tcBorders/>
            <w:vAlign w:val="center"/>
          </w:tcPr>
          <w:p>
            <w:pPr>
              <w:pStyle w:val="TableContents"/>
              <w:bidi w:val="0"/>
              <w:spacing w:before="0" w:after="283"/>
              <w:jc w:val="both"/>
              <w:rPr/>
            </w:pPr>
            <w:r>
              <w:rPr/>
              <w:t> </w:t>
            </w:r>
          </w:p>
        </w:tc>
        <w:tc>
          <w:tcPr>
            <w:tcW w:w="9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avoidance of doubt, Dealer shall not have any payment or delivery obligation hereunder in respect of, and no adjustment shall be made to the terms of the Transaction on account of, (x) any distribution of cash, property or securities by Counterparty to the holders of Convertible Securities (upon conversion or otherwise) or (y) any other transaction in which holders of Convertible Securities are entitled to participate, in each case, in lieu of an adjustment under the Indenture in respect of a Potential Adjustment Event (including, without limitation, under the proviso to the first sentence of Section 5.05(A)(iii)(1) of the Indenture or the proviso to the first sentence of Section 5.05(A)(iv) of the Indenture)</w:t>
            </w:r>
            <w:r>
              <w:rPr>
                <w:rFonts w:ascii="Times New Roman;Times;Serif" w:hAnsi="Times New Roman;Times;Serif"/>
                <w:position w:val="7"/>
                <w:sz w:val="16"/>
                <w:sz w:val="20"/>
              </w:rPr>
              <w:t>1</w:t>
            </w:r>
            <w:r>
              <w:rPr>
                <w:rFonts w:ascii="Times New Roman;Times;Serif" w:hAnsi="Times New Roman;Times;Serif"/>
                <w:sz w:val="20"/>
              </w:rPr>
              <w:t>.</w:t>
            </w:r>
          </w:p>
        </w:tc>
      </w:tr>
      <w:tr>
        <w:trPr/>
        <w:tc>
          <w:tcPr>
            <w:tcW w:w="1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Discretionary Adjustments:</w:t>
            </w:r>
          </w:p>
        </w:tc>
        <w:tc>
          <w:tcPr>
            <w:tcW w:w="9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herein or in the Equity Definitions, if the Calculation Agent in good faith disagrees with any adjustment under the Indenture that involves an exercise of discretion by Counterparty or its board of directors (including, without limitation, pursuant to Section 5.05(H) of the Indenture or pursuant to Section 5.08(A)  of the Indenture or any supplemental indenture entered into thereunder (a “</w:t>
            </w:r>
            <w:r>
              <w:rPr>
                <w:rFonts w:ascii="Times New Roman;Times;Serif" w:hAnsi="Times New Roman;Times;Serif"/>
                <w:b/>
                <w:sz w:val="20"/>
              </w:rPr>
              <w:t>Merger Supplemental Indenture</w:t>
            </w:r>
            <w:r>
              <w:rPr>
                <w:rFonts w:ascii="Times New Roman;Times;Serif" w:hAnsi="Times New Roman;Times;Serif"/>
                <w:sz w:val="20"/>
              </w:rPr>
              <w:t xml:space="preserve">”) or in connection with the determination of the fair value of any securities, property, rights or other assets), then the Calculation Agent will determine the adjustment to be made to any one or more of the Strike Price, Number of Options, Option Entitlement and any other variable relevant to the exercise, settlement or payment of or under the Transaction in a commercially reasonable manner and, for the avoidance of doubt, the Delivery Obligation shall be calculated on the basis of such adjustments by the Calculation Agent; </w:t>
            </w:r>
            <w:r>
              <w:rPr>
                <w:rFonts w:ascii="Times New Roman;Times;Serif" w:hAnsi="Times New Roman;Times;Serif"/>
                <w:i/>
                <w:sz w:val="20"/>
              </w:rPr>
              <w:t xml:space="preserve">provided </w:t>
            </w:r>
            <w:r>
              <w:rPr>
                <w:rFonts w:ascii="Times New Roman;Times;Serif" w:hAnsi="Times New Roman;Times;Serif"/>
                <w:sz w:val="20"/>
              </w:rPr>
              <w:t xml:space="preserve">that, notwithstanding the foregoing, in any Potential Adjustment Event occurs during the Cash Settlement Averaging Period but no adjustment was made to any Convertible Note under the Indenture because the relevant Holder (as such term is defined in the Indenture) was deemed to be a record holder of the underlying Shares on the related Conversion Date, then the Calculation Agent shall make an adjustment, as determined by it, to the terms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position w:val="8"/>
          <w:sz w:val="19"/>
        </w:rPr>
        <w:t>1</w:t>
      </w:r>
      <w:r>
        <w:rPr/>
        <w:t xml:space="preserve"> Include references to provisions of Indenture providing for pass-through of cash or Distributed Property in lieu of Conversion Rate adjustments.</w:t>
      </w:r>
    </w:p>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52"/>
        <w:gridCol w:w="8853"/>
      </w:tblGrid>
      <w:tr>
        <w:trPr/>
        <w:tc>
          <w:tcPr>
            <w:tcW w:w="1352" w:type="dxa"/>
            <w:tcBorders/>
            <w:vAlign w:val="center"/>
          </w:tcPr>
          <w:p>
            <w:pPr>
              <w:pStyle w:val="TableContents"/>
              <w:bidi w:val="0"/>
              <w:spacing w:before="0" w:after="283"/>
              <w:jc w:val="left"/>
              <w:rPr/>
            </w:pPr>
            <w:r>
              <w:rPr/>
              <w:t> </w:t>
            </w:r>
          </w:p>
        </w:tc>
        <w:tc>
          <w:tcPr>
            <w:tcW w:w="8853" w:type="dxa"/>
            <w:tcBorders/>
            <w:vAlign w:val="center"/>
          </w:tcPr>
          <w:p>
            <w:pPr>
              <w:pStyle w:val="TableContents"/>
              <w:bidi w:val="0"/>
              <w:spacing w:before="0" w:after="283"/>
              <w:jc w:val="both"/>
              <w:rPr/>
            </w:pPr>
            <w:r>
              <w:rPr/>
              <w:t>hereof in order to account for such Potential Adjustment Event.</w:t>
            </w:r>
          </w:p>
        </w:tc>
      </w:tr>
      <w:tr>
        <w:trPr/>
        <w:tc>
          <w:tcPr>
            <w:tcW w:w="13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w:t>
            </w:r>
          </w:p>
        </w:tc>
        <w:tc>
          <w:tcPr>
            <w:tcW w:w="88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 at any time during the period from and including the Trade Date, to but excluding the Expiration Date, an ex-dividend date for a regular quarterly cash dividend occurs with respect to the Shares (an “</w:t>
            </w:r>
            <w:r>
              <w:rPr>
                <w:rFonts w:ascii="Times New Roman;Times;Serif" w:hAnsi="Times New Roman;Times;Serif"/>
                <w:b/>
                <w:sz w:val="20"/>
              </w:rPr>
              <w:t>Ex-Dividend Date</w:t>
            </w:r>
            <w:r>
              <w:rPr>
                <w:rFonts w:ascii="Times New Roman;Times;Serif" w:hAnsi="Times New Roman;Times;Serif"/>
                <w:sz w:val="20"/>
              </w:rPr>
              <w:t>”) and that dividend is less than the Regular Dividend on a per Share basis or (ii) no Ex-Dividend Date for a regular quarterly cash dividend occurs with respect to the Shares in any quarterly dividend period of Counterparty, then the Calculation Agent will make a corresponding adjustment in respect of any one or more of the Strike Price, the Number of Options, the Option Entitlement and any other term relevant to the exercise, settlement or payment of the Transaction to account for the economic effect on the Transaction of such dividend or lack thereof, and, for the avoidance of doubt, any such adjustments shall be taken into account in calculating the Delivery Obligation.  “</w:t>
            </w:r>
            <w:r>
              <w:rPr>
                <w:rFonts w:ascii="Times New Roman;Times;Serif" w:hAnsi="Times New Roman;Times;Serif"/>
                <w:b/>
                <w:sz w:val="20"/>
              </w:rPr>
              <w:t>Regular Dividend</w:t>
            </w:r>
            <w:r>
              <w:rPr>
                <w:rFonts w:ascii="Times New Roman;Times;Serif" w:hAnsi="Times New Roman;Times;Serif"/>
                <w:sz w:val="20"/>
              </w:rPr>
              <w:t>” shall mean USD 0.31 per Share.</w:t>
            </w:r>
          </w:p>
        </w:tc>
      </w:tr>
      <w:tr>
        <w:trPr/>
        <w:tc>
          <w:tcPr>
            <w:tcW w:w="13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Certain Other Events:</w:t>
            </w:r>
          </w:p>
        </w:tc>
        <w:tc>
          <w:tcPr>
            <w:tcW w:w="88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Counterparty shall give Dealer commercially reasonable advance (but in no event less than one Exchange Business Day) written notice of the section or sections of the Indenture and, if applicable, the formula therein, pursuant to which any adjustment will be made to the Convertible Securities in connection with any Potential Adjustment Event, Merger Event or Tender Offer.</w:t>
            </w:r>
          </w:p>
        </w:tc>
      </w:tr>
      <w:tr>
        <w:trPr/>
        <w:tc>
          <w:tcPr>
            <w:tcW w:w="13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Extraordinary Events:</w:t>
            </w:r>
          </w:p>
        </w:tc>
        <w:tc>
          <w:tcPr>
            <w:tcW w:w="8853" w:type="dxa"/>
            <w:tcBorders/>
            <w:vAlign w:val="center"/>
          </w:tcPr>
          <w:p>
            <w:pPr>
              <w:pStyle w:val="TableContents"/>
              <w:bidi w:val="0"/>
              <w:spacing w:before="0" w:after="283"/>
              <w:jc w:val="both"/>
              <w:rPr/>
            </w:pPr>
            <w:r>
              <w:rPr/>
              <w:t> </w:t>
            </w:r>
          </w:p>
        </w:tc>
      </w:tr>
      <w:tr>
        <w:trPr/>
        <w:tc>
          <w:tcPr>
            <w:tcW w:w="13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Events:</w:t>
            </w:r>
          </w:p>
        </w:tc>
        <w:tc>
          <w:tcPr>
            <w:tcW w:w="88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Section 12.1(b) of the Equity Definitions, “Merger Event” shall mean the occurrence of any event or condition set forth in the definition of “Common Stock Change Event” set forth in Section 5.08(A) of the Indenture.</w:t>
            </w:r>
          </w:p>
        </w:tc>
      </w:tr>
      <w:tr>
        <w:trPr/>
        <w:tc>
          <w:tcPr>
            <w:tcW w:w="13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Consequences of Merger Events:</w:t>
            </w:r>
          </w:p>
        </w:tc>
        <w:tc>
          <w:tcPr>
            <w:tcW w:w="88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Notwithstanding Section 12.2 of the Equity Definitions, upon the occurrence of a Merger Event, the Calculation Agent shall make an adjustment to the terms relevant to the exercise, settlement or payment of the Transaction corresponding to the adjustment required under Section 5.08 of the Indenture in respect of such Merger Event, as determined by the Calculation Agent (by reference to such Section), subject to “Discretionary Adjustments” above; </w:t>
            </w:r>
            <w:r>
              <w:rPr>
                <w:rFonts w:ascii="Times New Roman;Times;Serif" w:hAnsi="Times New Roman;Times;Serif"/>
                <w:i/>
                <w:sz w:val="20"/>
              </w:rPr>
              <w:t xml:space="preserve">provided </w:t>
            </w:r>
            <w:r>
              <w:rPr>
                <w:rFonts w:ascii="Times New Roman;Times;Serif" w:hAnsi="Times New Roman;Times;Serif"/>
                <w:sz w:val="20"/>
              </w:rPr>
              <w:t xml:space="preserve">that such adjustment shall be made without regard to any adjustment to the Conversion Rate pursuant to a Fundamental Change Adjustment or a Discretionary Adjustment; and </w:t>
            </w:r>
            <w:r>
              <w:rPr>
                <w:rFonts w:ascii="Times New Roman;Times;Serif" w:hAnsi="Times New Roman;Times;Serif"/>
                <w:i/>
                <w:sz w:val="20"/>
              </w:rPr>
              <w:t>provided further</w:t>
            </w:r>
            <w:r>
              <w:rPr>
                <w:rFonts w:ascii="Times New Roman;Times;Serif" w:hAnsi="Times New Roman;Times;Serif"/>
                <w:sz w:val="20"/>
              </w:rPr>
              <w:t xml:space="preserve"> that the Calculation Agent may make such further adjustments to the terms of the Transaction as may be necessary to ensure that the fair value of the Transaction to Dealer is not adversely affected as a result of any adjustment referenced in this paragraph and, for the avoidance of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54"/>
        <w:gridCol w:w="8551"/>
      </w:tblGrid>
      <w:tr>
        <w:trPr/>
        <w:tc>
          <w:tcPr>
            <w:tcW w:w="1654" w:type="dxa"/>
            <w:tcBorders/>
            <w:vAlign w:val="center"/>
          </w:tcPr>
          <w:p>
            <w:pPr>
              <w:pStyle w:val="TableContents"/>
              <w:bidi w:val="0"/>
              <w:spacing w:before="0" w:after="283"/>
              <w:jc w:val="left"/>
              <w:rPr/>
            </w:pPr>
            <w:r>
              <w:rPr/>
              <w:t> </w:t>
            </w:r>
          </w:p>
        </w:tc>
        <w:tc>
          <w:tcPr>
            <w:tcW w:w="8551" w:type="dxa"/>
            <w:tcBorders/>
            <w:vAlign w:val="center"/>
          </w:tcPr>
          <w:p>
            <w:pPr>
              <w:pStyle w:val="TableContents"/>
              <w:bidi w:val="0"/>
              <w:spacing w:before="0" w:after="283"/>
              <w:jc w:val="both"/>
              <w:rPr/>
            </w:pPr>
            <w:r>
              <w:rPr/>
              <w:t xml:space="preserve">doubt, any such further adjustments shall be taken into account in calculating the Delivery Obligation; and </w:t>
            </w:r>
            <w:r>
              <w:rPr>
                <w:i/>
              </w:rPr>
              <w:t>provided further</w:t>
            </w:r>
            <w:r>
              <w:rPr/>
              <w:t xml:space="preserve"> that if, with respect to a Merger Event, (i) the consideration for the Shares includes (or, at the option of a holder of Shares, may include) shares of an entity or person that is not a corporation organized under the laws of the United States, any state thereof or the District of Columbia or (ii) the Counterparty to the Transaction, following such Merger Event, will not be a corporation organized under the laws of the United States, any state thereof or the District of Columbia and/or will not be the Issuer, Dealer may elect in its sole discretion that Cancellation and Payment (Calculation Agent Determination) shall apply.</w:t>
            </w:r>
          </w:p>
        </w:tc>
      </w:tr>
      <w:tr>
        <w:trPr/>
        <w:tc>
          <w:tcPr>
            <w:tcW w:w="16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Merger Consideration and Consequences:</w:t>
            </w:r>
          </w:p>
        </w:tc>
        <w:tc>
          <w:tcPr>
            <w:tcW w:w="85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the occurrence of a Merger Event, Counterparty shall reasonably promptly (but in any event prior to the relevant merger date) notify the Calculation Agent of (i) in the case of a Merger Event that causes the Shares to be converted into the right to receive more than a single type of consideration (determined based in part upon any form of stockholder election), the types and amount of consideration actually received by such holders, and (ii) the details of the adjustment to be made under the Indenture in respect of such Merger Event.</w:t>
            </w:r>
          </w:p>
        </w:tc>
      </w:tr>
      <w:tr>
        <w:trPr/>
        <w:tc>
          <w:tcPr>
            <w:tcW w:w="16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Nationalization, Insolvency or Delisting:</w:t>
            </w:r>
          </w:p>
        </w:tc>
        <w:tc>
          <w:tcPr>
            <w:tcW w:w="85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Cancellation and Payment (Calculation Agent Determination); </w:t>
            </w:r>
            <w:r>
              <w:rPr>
                <w:rFonts w:ascii="Times New Roman;Times;Serif" w:hAnsi="Times New Roman;Times;Serif"/>
                <w:i/>
                <w:sz w:val="20"/>
              </w:rPr>
              <w:t>provided</w:t>
            </w:r>
            <w:r>
              <w:rPr>
                <w:rFonts w:ascii="Times New Roman;Times;Serif" w:hAnsi="Times New Roman;Times;Serif"/>
                <w:sz w:val="20"/>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r>
        <w:trPr/>
        <w:tc>
          <w:tcPr>
            <w:tcW w:w="16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Termination Event(s):</w:t>
            </w:r>
          </w:p>
        </w:tc>
        <w:tc>
          <w:tcPr>
            <w:tcW w:w="85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tc>
      </w:tr>
      <w:tr>
        <w:trPr/>
        <w:tc>
          <w:tcPr>
            <w:tcW w:w="1654" w:type="dxa"/>
            <w:tcBorders/>
            <w:vAlign w:val="center"/>
          </w:tcPr>
          <w:p>
            <w:pPr>
              <w:pStyle w:val="TableContents"/>
              <w:bidi w:val="0"/>
              <w:spacing w:before="0" w:after="283"/>
              <w:jc w:val="both"/>
              <w:rPr/>
            </w:pPr>
            <w:r>
              <w:rPr/>
              <w:t>Additional Disruption Events:  </w:t>
            </w:r>
          </w:p>
        </w:tc>
        <w:tc>
          <w:tcPr>
            <w:tcW w:w="8551"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5"/>
        <w:gridCol w:w="1124"/>
        <w:gridCol w:w="8846"/>
      </w:tblGrid>
      <w:tr>
        <w:trPr/>
        <w:tc>
          <w:tcPr>
            <w:tcW w:w="235" w:type="dxa"/>
            <w:tcBorders/>
            <w:vAlign w:val="center"/>
          </w:tcPr>
          <w:p>
            <w:pPr>
              <w:pStyle w:val="TableContents"/>
              <w:bidi w:val="0"/>
              <w:spacing w:before="0" w:after="283"/>
              <w:jc w:val="both"/>
              <w:rPr/>
            </w:pPr>
            <w:r>
              <w:rPr/>
              <w:t>(a)</w:t>
            </w:r>
          </w:p>
        </w:tc>
        <w:tc>
          <w:tcPr>
            <w:tcW w:w="1124" w:type="dxa"/>
            <w:tcBorders/>
            <w:vAlign w:val="center"/>
          </w:tcPr>
          <w:p>
            <w:pPr>
              <w:pStyle w:val="TableContents"/>
              <w:bidi w:val="0"/>
              <w:spacing w:before="0" w:after="283"/>
              <w:jc w:val="both"/>
              <w:rPr/>
            </w:pPr>
            <w:r>
              <w:rPr/>
              <w:t>Change in Law:</w:t>
            </w:r>
          </w:p>
        </w:tc>
        <w:tc>
          <w:tcPr>
            <w:tcW w:w="8846" w:type="dxa"/>
            <w:tcBorders/>
            <w:vAlign w:val="center"/>
          </w:tcPr>
          <w:p>
            <w:pPr>
              <w:pStyle w:val="TableContents"/>
              <w:bidi w:val="0"/>
              <w:spacing w:before="0" w:after="283"/>
              <w:jc w:val="both"/>
              <w:rPr/>
            </w:pPr>
            <w:r>
              <w:rPr/>
              <w:t xml:space="preserve">Applicable; </w:t>
            </w:r>
            <w:r>
              <w:rPr>
                <w:i/>
              </w:rPr>
              <w:t>provided</w:t>
            </w:r>
            <w:r>
              <w:rPr/>
              <w:t xml:space="preserve"> 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 and </w:t>
            </w:r>
            <w:r>
              <w:rPr>
                <w:i/>
              </w:rPr>
              <w:t>provided further</w:t>
            </w:r>
            <w:r>
              <w:rPr/>
              <w:t xml:space="preserve"> that Section 12.9(a)(ii) of the Equity Definitions is hereby amended by (i) replacing the parenthetical beginning after the word “regulation” in the second line thereof the words “(including, for the avoidance of doubt and without limitation, (x) any tax law or (y) adoption or promulgation of new regulations authorized or mandated by existing statute)” and (ii) adding the words “, or holding, acquiring or disposing of Shares or any Hedge Positions relating to,” after the words “obligations under” in clause (Y) thereof.</w:t>
            </w:r>
          </w:p>
        </w:tc>
      </w:tr>
      <w:tr>
        <w:trPr/>
        <w:tc>
          <w:tcPr>
            <w:tcW w:w="235" w:type="dxa"/>
            <w:tcBorders/>
            <w:vAlign w:val="center"/>
          </w:tcPr>
          <w:p>
            <w:pPr>
              <w:pStyle w:val="TableContents"/>
              <w:bidi w:val="0"/>
              <w:spacing w:before="0" w:after="283"/>
              <w:jc w:val="both"/>
              <w:rPr/>
            </w:pPr>
            <w:r>
              <w:rPr/>
              <w:t>(b)</w:t>
            </w:r>
          </w:p>
        </w:tc>
        <w:tc>
          <w:tcPr>
            <w:tcW w:w="1124" w:type="dxa"/>
            <w:tcBorders/>
            <w:vAlign w:val="center"/>
          </w:tcPr>
          <w:p>
            <w:pPr>
              <w:pStyle w:val="TableContents"/>
              <w:bidi w:val="0"/>
              <w:spacing w:before="0" w:after="283"/>
              <w:jc w:val="both"/>
              <w:rPr/>
            </w:pPr>
            <w:r>
              <w:rPr/>
              <w:t>Failure to Deliver:</w:t>
            </w:r>
          </w:p>
        </w:tc>
        <w:tc>
          <w:tcPr>
            <w:tcW w:w="8846" w:type="dxa"/>
            <w:tcBorders/>
            <w:vAlign w:val="center"/>
          </w:tcPr>
          <w:p>
            <w:pPr>
              <w:pStyle w:val="TableContents"/>
              <w:bidi w:val="0"/>
              <w:spacing w:before="0" w:after="283"/>
              <w:jc w:val="both"/>
              <w:rPr/>
            </w:pPr>
            <w:r>
              <w:rPr/>
              <w:t>Applicable</w:t>
            </w:r>
          </w:p>
        </w:tc>
      </w:tr>
      <w:tr>
        <w:trPr/>
        <w:tc>
          <w:tcPr>
            <w:tcW w:w="235" w:type="dxa"/>
            <w:tcBorders/>
            <w:vAlign w:val="center"/>
          </w:tcPr>
          <w:p>
            <w:pPr>
              <w:pStyle w:val="TableContents"/>
              <w:bidi w:val="0"/>
              <w:spacing w:before="0" w:after="283"/>
              <w:jc w:val="both"/>
              <w:rPr/>
            </w:pPr>
            <w:r>
              <w:rPr/>
              <w:t>(c)</w:t>
            </w:r>
          </w:p>
        </w:tc>
        <w:tc>
          <w:tcPr>
            <w:tcW w:w="1124" w:type="dxa"/>
            <w:tcBorders/>
            <w:vAlign w:val="center"/>
          </w:tcPr>
          <w:p>
            <w:pPr>
              <w:pStyle w:val="TableContents"/>
              <w:bidi w:val="0"/>
              <w:spacing w:before="0" w:after="283"/>
              <w:jc w:val="both"/>
              <w:rPr/>
            </w:pPr>
            <w:r>
              <w:rPr/>
              <w:t>Insolvency Filing:</w:t>
            </w:r>
          </w:p>
        </w:tc>
        <w:tc>
          <w:tcPr>
            <w:tcW w:w="8846" w:type="dxa"/>
            <w:tcBorders/>
            <w:vAlign w:val="center"/>
          </w:tcPr>
          <w:p>
            <w:pPr>
              <w:pStyle w:val="TableContents"/>
              <w:bidi w:val="0"/>
              <w:spacing w:before="0" w:after="283"/>
              <w:jc w:val="both"/>
              <w:rPr/>
            </w:pPr>
            <w:r>
              <w:rPr/>
              <w:t>Applicable</w:t>
            </w:r>
          </w:p>
        </w:tc>
      </w:tr>
      <w:tr>
        <w:trPr/>
        <w:tc>
          <w:tcPr>
            <w:tcW w:w="235" w:type="dxa"/>
            <w:tcBorders/>
            <w:vAlign w:val="center"/>
          </w:tcPr>
          <w:p>
            <w:pPr>
              <w:pStyle w:val="TableContents"/>
              <w:bidi w:val="0"/>
              <w:spacing w:before="0" w:after="283"/>
              <w:jc w:val="both"/>
              <w:rPr/>
            </w:pPr>
            <w:r>
              <w:rPr/>
              <w:t>(d)</w:t>
            </w:r>
          </w:p>
        </w:tc>
        <w:tc>
          <w:tcPr>
            <w:tcW w:w="1124" w:type="dxa"/>
            <w:tcBorders/>
            <w:vAlign w:val="center"/>
          </w:tcPr>
          <w:p>
            <w:pPr>
              <w:pStyle w:val="TableContents"/>
              <w:bidi w:val="0"/>
              <w:spacing w:before="0" w:after="283"/>
              <w:jc w:val="both"/>
              <w:rPr/>
            </w:pPr>
            <w:r>
              <w:rPr/>
              <w:t>Hedging Disruption:</w:t>
            </w:r>
          </w:p>
        </w:tc>
        <w:tc>
          <w:tcPr>
            <w:tcW w:w="8846" w:type="dxa"/>
            <w:tcBorders/>
            <w:vAlign w:val="center"/>
          </w:tcPr>
          <w:p>
            <w:pPr>
              <w:pStyle w:val="TableContents"/>
              <w:bidi w:val="0"/>
              <w:spacing w:before="0" w:after="283"/>
              <w:jc w:val="both"/>
              <w:rPr/>
            </w:pPr>
            <w:r>
              <w:rPr/>
              <w:t xml:space="preserve">Applicable; </w:t>
            </w:r>
            <w:r>
              <w:rPr>
                <w:i/>
              </w:rPr>
              <w:t>provided</w:t>
            </w:r>
            <w:r>
              <w:rPr/>
              <w:t xml:space="preserve"> that: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8"/>
        <w:gridCol w:w="238"/>
        <w:gridCol w:w="9714"/>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(i)</w:t>
            </w:r>
          </w:p>
        </w:tc>
        <w:tc>
          <w:tcPr>
            <w:tcW w:w="9952" w:type="dxa"/>
            <w:gridSpan w:val="2"/>
            <w:tcBorders/>
            <w:vAlign w:val="center"/>
          </w:tcPr>
          <w:p>
            <w:pPr>
              <w:pStyle w:val="TableContents"/>
              <w:bidi w:val="0"/>
              <w:spacing w:before="0" w:after="283"/>
              <w:jc w:val="both"/>
              <w:rPr/>
            </w:pPr>
            <w:r>
              <w:rPr/>
              <w:t>Section 12.9(a)(v) of the Equity Definitions is hereby amended by:</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both"/>
              <w:rPr/>
            </w:pPr>
            <w:r>
              <w:rPr/>
              <w:t>(a)</w:t>
            </w:r>
          </w:p>
        </w:tc>
        <w:tc>
          <w:tcPr>
            <w:tcW w:w="9714" w:type="dxa"/>
            <w:tcBorders/>
            <w:vAlign w:val="center"/>
          </w:tcPr>
          <w:p>
            <w:pPr>
              <w:pStyle w:val="TableContents"/>
              <w:bidi w:val="0"/>
              <w:spacing w:before="0" w:after="283"/>
              <w:jc w:val="both"/>
              <w:rPr/>
            </w:pPr>
            <w:r>
              <w:rPr/>
              <w:t>inserting the following words at the end of clause (A) thereof:  “in the manner contemplated by the Hedging Party on the Trade Date” and</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both"/>
              <w:rPr/>
            </w:pPr>
            <w:r>
              <w:rPr/>
              <w:t>(b)</w:t>
            </w:r>
          </w:p>
        </w:tc>
        <w:tc>
          <w:tcPr>
            <w:tcW w:w="9714" w:type="dxa"/>
            <w:tcBorders/>
            <w:vAlign w:val="center"/>
          </w:tcPr>
          <w:p>
            <w:pPr>
              <w:pStyle w:val="TableContents"/>
              <w:bidi w:val="0"/>
              <w:spacing w:before="0" w:after="283"/>
              <w:jc w:val="both"/>
              <w:rPr/>
            </w:pPr>
            <w:r>
              <w:rPr/>
              <w:t>inserting the following paragraphs at the end of such Section:</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9714" w:type="dxa"/>
            <w:tcBorders/>
            <w:vAlign w:val="center"/>
          </w:tcPr>
          <w:p>
            <w:pPr>
              <w:pStyle w:val="TableContents"/>
              <w:bidi w:val="0"/>
              <w:spacing w:before="0" w:after="283"/>
              <w:jc w:val="both"/>
              <w:rPr/>
            </w:pPr>
            <w:r>
              <w:rPr/>
              <w:t>“</w:t>
            </w:r>
            <w:r>
              <w:rPr/>
              <w:t>Such inability described in clauses (A) or (B) above shall not constitute a “Hedging Disruption” if such inability results from Hedging Party’s creditworthiness.</w:t>
            </w:r>
          </w:p>
        </w:tc>
      </w:tr>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sz w:val="4"/>
                <w:szCs w:val="4"/>
              </w:rPr>
            </w:pPr>
            <w:r>
              <w:rPr>
                <w:sz w:val="4"/>
                <w:szCs w:val="4"/>
              </w:rPr>
            </w:r>
          </w:p>
        </w:tc>
        <w:tc>
          <w:tcPr>
            <w:tcW w:w="9714" w:type="dxa"/>
            <w:tcBorders/>
            <w:vAlign w:val="center"/>
          </w:tcPr>
          <w:p>
            <w:pPr>
              <w:pStyle w:val="TableContents"/>
              <w:bidi w:val="0"/>
              <w:spacing w:before="0" w:after="283"/>
              <w:jc w:val="both"/>
              <w:rPr/>
            </w:pPr>
            <w:r>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(ii)</w:t>
            </w:r>
          </w:p>
        </w:tc>
        <w:tc>
          <w:tcPr>
            <w:tcW w:w="9884" w:type="dxa"/>
            <w:tcBorders/>
            <w:vAlign w:val="center"/>
          </w:tcPr>
          <w:p>
            <w:pPr>
              <w:pStyle w:val="TableContents"/>
              <w:bidi w:val="0"/>
              <w:spacing w:before="0" w:after="283"/>
              <w:jc w:val="both"/>
              <w:rPr/>
            </w:pPr>
            <w:r>
              <w:rPr/>
              <w:t>Section 12.9(b)(iii) of the Equity Definitions is hereby amended by inserting in the third line thereof,  after the words “to terminate the Transaction”, the words “or a portion of the Transaction affected by such Hedging Disruption”.</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1"/>
        <w:gridCol w:w="1518"/>
        <w:gridCol w:w="8446"/>
      </w:tblGrid>
      <w:tr>
        <w:trPr/>
        <w:tc>
          <w:tcPr>
            <w:tcW w:w="241" w:type="dxa"/>
            <w:tcBorders/>
            <w:vAlign w:val="center"/>
          </w:tcPr>
          <w:p>
            <w:pPr>
              <w:pStyle w:val="TableContents"/>
              <w:bidi w:val="0"/>
              <w:spacing w:before="0" w:after="283"/>
              <w:jc w:val="both"/>
              <w:rPr/>
            </w:pPr>
            <w:r>
              <w:rPr/>
              <w:t>(e)</w:t>
            </w:r>
          </w:p>
        </w:tc>
        <w:tc>
          <w:tcPr>
            <w:tcW w:w="1518" w:type="dxa"/>
            <w:tcBorders/>
            <w:vAlign w:val="center"/>
          </w:tcPr>
          <w:p>
            <w:pPr>
              <w:pStyle w:val="TableContents"/>
              <w:bidi w:val="0"/>
              <w:spacing w:before="0" w:after="283"/>
              <w:jc w:val="both"/>
              <w:rPr/>
            </w:pPr>
            <w:r>
              <w:rPr/>
              <w:t>Increased Cost of Hedging:</w:t>
            </w:r>
          </w:p>
        </w:tc>
        <w:tc>
          <w:tcPr>
            <w:tcW w:w="8446" w:type="dxa"/>
            <w:tcBorders/>
            <w:vAlign w:val="center"/>
          </w:tcPr>
          <w:p>
            <w:pPr>
              <w:pStyle w:val="TableContents"/>
              <w:bidi w:val="0"/>
              <w:spacing w:before="0" w:after="283"/>
              <w:jc w:val="both"/>
              <w:rPr/>
            </w:pPr>
            <w:r>
              <w:rPr/>
              <w:t xml:space="preserve">Applicable; </w:t>
            </w:r>
            <w:r>
              <w:rPr>
                <w:i/>
              </w:rPr>
              <w:t>provided</w:t>
            </w:r>
            <w:r>
              <w:rPr/>
              <w:t xml:space="preserve"> that such increased cost described in Section 12.9(vi) of the Equity Definitions shall not constitute an “Increased Cost of Hedging” if such increased cost results from Hedging Party’s creditworthiness.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62"/>
        <w:gridCol w:w="7943"/>
      </w:tblGrid>
      <w:tr>
        <w:trPr/>
        <w:tc>
          <w:tcPr>
            <w:tcW w:w="2262" w:type="dxa"/>
            <w:tcBorders/>
            <w:vAlign w:val="center"/>
          </w:tcPr>
          <w:p>
            <w:pPr>
              <w:pStyle w:val="TableContents"/>
              <w:bidi w:val="0"/>
              <w:spacing w:before="0" w:after="283"/>
              <w:jc w:val="both"/>
              <w:rPr/>
            </w:pPr>
            <w:r>
              <w:rPr/>
              <w:t>Hedging Party:</w:t>
            </w:r>
          </w:p>
        </w:tc>
        <w:tc>
          <w:tcPr>
            <w:tcW w:w="7943" w:type="dxa"/>
            <w:tcBorders/>
            <w:vAlign w:val="center"/>
          </w:tcPr>
          <w:p>
            <w:pPr>
              <w:pStyle w:val="TableContents"/>
              <w:bidi w:val="0"/>
              <w:spacing w:before="0" w:after="283"/>
              <w:jc w:val="both"/>
              <w:rPr/>
            </w:pPr>
            <w:r>
              <w:rPr/>
              <w:t>Dealer</w:t>
            </w:r>
          </w:p>
        </w:tc>
      </w:tr>
      <w:tr>
        <w:trPr/>
        <w:tc>
          <w:tcPr>
            <w:tcW w:w="2262" w:type="dxa"/>
            <w:tcBorders/>
            <w:vAlign w:val="center"/>
          </w:tcPr>
          <w:p>
            <w:pPr>
              <w:pStyle w:val="TableContents"/>
              <w:bidi w:val="0"/>
              <w:spacing w:before="0" w:after="283"/>
              <w:jc w:val="both"/>
              <w:rPr/>
            </w:pPr>
            <w:r>
              <w:rPr/>
              <w:t>Determining Party:</w:t>
            </w:r>
          </w:p>
        </w:tc>
        <w:tc>
          <w:tcPr>
            <w:tcW w:w="7943" w:type="dxa"/>
            <w:tcBorders/>
            <w:vAlign w:val="center"/>
          </w:tcPr>
          <w:p>
            <w:pPr>
              <w:pStyle w:val="TableContents"/>
              <w:bidi w:val="0"/>
              <w:spacing w:before="0" w:after="283"/>
              <w:jc w:val="both"/>
              <w:rPr/>
            </w:pPr>
            <w:r>
              <w:rPr/>
              <w:t xml:space="preserve">Dealer. </w:t>
            </w:r>
            <w:r>
              <w:rPr>
                <w:shd w:fill="FFFFFF" w:val="clear"/>
              </w:rPr>
              <w:t xml:space="preserve">All calculations and determinations by the Determining Party shall be made in good faith and in a commercially reasonable manner. Following any calculation by the Determining Party hereunder, upon written request by Counterparty, the Determining Party will, within five Exchange Business Days immediately following such request, provide to Counterparty a report </w:t>
            </w:r>
            <w:r>
              <w:rPr/>
              <w:t xml:space="preserve">(in a commonly used file format for the storage and manipulation of financial data) </w:t>
            </w:r>
            <w:r>
              <w:rPr>
                <w:shd w:fill="FFFFFF" w:val="clear"/>
              </w:rPr>
              <w:t xml:space="preserve">displaying in reasonable detail the basis for such calculation; </w:t>
            </w:r>
            <w:r>
              <w:rPr>
                <w:i/>
                <w:shd w:fill="FFFFFF" w:val="clear"/>
              </w:rPr>
              <w:t>provided, however</w:t>
            </w:r>
            <w:r>
              <w:rPr>
                <w:shd w:fill="FFFFFF" w:val="clear"/>
              </w:rPr>
              <w:t>, that in no event will the Determining Party be obligated to share with Counterparty any proprietary or confidential data or information or any proprietary or confidential models used by it.</w:t>
            </w:r>
          </w:p>
        </w:tc>
      </w:tr>
      <w:tr>
        <w:trPr/>
        <w:tc>
          <w:tcPr>
            <w:tcW w:w="2262" w:type="dxa"/>
            <w:tcBorders/>
            <w:vAlign w:val="center"/>
          </w:tcPr>
          <w:p>
            <w:pPr>
              <w:pStyle w:val="TableContents"/>
              <w:bidi w:val="0"/>
              <w:spacing w:before="0" w:after="283"/>
              <w:jc w:val="both"/>
              <w:rPr/>
            </w:pPr>
            <w:r>
              <w:rPr/>
              <w:t>Non-Reliance:</w:t>
            </w:r>
          </w:p>
        </w:tc>
        <w:tc>
          <w:tcPr>
            <w:tcW w:w="7943" w:type="dxa"/>
            <w:tcBorders/>
            <w:vAlign w:val="center"/>
          </w:tcPr>
          <w:p>
            <w:pPr>
              <w:pStyle w:val="TableContents"/>
              <w:bidi w:val="0"/>
              <w:spacing w:before="0" w:after="283"/>
              <w:jc w:val="both"/>
              <w:rPr/>
            </w:pPr>
            <w:r>
              <w:rPr/>
              <w:t>Applicable</w:t>
            </w:r>
          </w:p>
        </w:tc>
      </w:tr>
      <w:tr>
        <w:trPr/>
        <w:tc>
          <w:tcPr>
            <w:tcW w:w="2262" w:type="dxa"/>
            <w:tcBorders/>
            <w:vAlign w:val="center"/>
          </w:tcPr>
          <w:p>
            <w:pPr>
              <w:pStyle w:val="TableContents"/>
              <w:bidi w:val="0"/>
              <w:spacing w:before="0" w:after="283"/>
              <w:jc w:val="left"/>
              <w:rPr/>
            </w:pPr>
            <w:r>
              <w:rPr/>
              <w:t>Agreements and Acknowledgments Regarding Hedging Activities:</w:t>
            </w:r>
          </w:p>
        </w:tc>
        <w:tc>
          <w:tcPr>
            <w:tcW w:w="7943" w:type="dxa"/>
            <w:tcBorders/>
            <w:vAlign w:val="center"/>
          </w:tcPr>
          <w:p>
            <w:pPr>
              <w:pStyle w:val="TableContents"/>
              <w:bidi w:val="0"/>
              <w:spacing w:before="0" w:after="283"/>
              <w:jc w:val="left"/>
              <w:rPr/>
            </w:pPr>
            <w:r>
              <w:rPr/>
              <w:t>Applicable</w:t>
            </w:r>
          </w:p>
        </w:tc>
      </w:tr>
      <w:tr>
        <w:trPr/>
        <w:tc>
          <w:tcPr>
            <w:tcW w:w="2262" w:type="dxa"/>
            <w:tcBorders/>
            <w:vAlign w:val="center"/>
          </w:tcPr>
          <w:p>
            <w:pPr>
              <w:pStyle w:val="TableContents"/>
              <w:bidi w:val="0"/>
              <w:spacing w:before="0" w:after="283"/>
              <w:jc w:val="both"/>
              <w:rPr/>
            </w:pPr>
            <w:r>
              <w:rPr/>
              <w:t>Additional Acknowledgments:</w:t>
            </w:r>
          </w:p>
        </w:tc>
        <w:tc>
          <w:tcPr>
            <w:tcW w:w="7943" w:type="dxa"/>
            <w:tcBorders/>
            <w:vAlign w:val="center"/>
          </w:tcPr>
          <w:p>
            <w:pPr>
              <w:pStyle w:val="TableContents"/>
              <w:bidi w:val="0"/>
              <w:spacing w:before="0" w:after="283"/>
              <w:jc w:val="both"/>
              <w:rPr/>
            </w:pPr>
            <w:r>
              <w:rPr/>
              <w:t>Applicable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24"/>
        <w:gridCol w:w="8981"/>
      </w:tblGrid>
      <w:tr>
        <w:trPr/>
        <w:tc>
          <w:tcPr>
            <w:tcW w:w="1224" w:type="dxa"/>
            <w:tcBorders/>
            <w:vAlign w:val="center"/>
          </w:tcPr>
          <w:p>
            <w:pPr>
              <w:pStyle w:val="TableContents"/>
              <w:bidi w:val="0"/>
              <w:spacing w:before="0" w:after="283"/>
              <w:jc w:val="both"/>
              <w:rPr/>
            </w:pPr>
            <w:r>
              <w:rPr/>
              <w:t xml:space="preserve">3.          </w:t>
            </w:r>
            <w:r>
              <w:rPr>
                <w:u w:val="single"/>
              </w:rPr>
              <w:t>Calculation Agent</w:t>
            </w:r>
            <w:r>
              <w:rPr/>
              <w:t>:</w:t>
            </w:r>
          </w:p>
        </w:tc>
        <w:tc>
          <w:tcPr>
            <w:tcW w:w="8981" w:type="dxa"/>
            <w:tcBorders/>
            <w:vAlign w:val="center"/>
          </w:tcPr>
          <w:p>
            <w:pPr>
              <w:pStyle w:val="TableContents"/>
              <w:bidi w:val="0"/>
              <w:spacing w:before="0" w:after="283"/>
              <w:jc w:val="left"/>
              <w:rPr>
                <w:sz w:val="4"/>
                <w:szCs w:val="4"/>
              </w:rPr>
            </w:pPr>
            <w:r>
              <w:rPr>
                <w:sz w:val="4"/>
                <w:szCs w:val="4"/>
              </w:rPr>
            </w:r>
          </w:p>
        </w:tc>
      </w:tr>
      <w:tr>
        <w:trPr/>
        <w:tc>
          <w:tcPr>
            <w:tcW w:w="1224" w:type="dxa"/>
            <w:tcBorders/>
            <w:vAlign w:val="center"/>
          </w:tcPr>
          <w:p>
            <w:pPr>
              <w:pStyle w:val="TableContents"/>
              <w:bidi w:val="0"/>
              <w:spacing w:before="0" w:after="283"/>
              <w:jc w:val="both"/>
              <w:rPr/>
            </w:pPr>
            <w:r>
              <w:rPr/>
              <w:t> </w:t>
            </w:r>
          </w:p>
        </w:tc>
        <w:tc>
          <w:tcPr>
            <w:tcW w:w="8981" w:type="dxa"/>
            <w:tcBorders/>
            <w:vAlign w:val="center"/>
          </w:tcPr>
          <w:p>
            <w:pPr>
              <w:pStyle w:val="TableContents"/>
              <w:bidi w:val="0"/>
              <w:spacing w:before="0" w:after="283"/>
              <w:jc w:val="both"/>
              <w:rPr/>
            </w:pPr>
            <w:r>
              <w:rPr/>
              <w:t>Dealer; provided that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obligations of the Calculation Agent hereunder and such failure continues for five Exchange Business Days following notice to the Calculation Agent by Counterparty of such failure, Counterparty shall have the right to designate a nationally recognized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Calculation Agent.</w:t>
            </w:r>
          </w:p>
        </w:tc>
      </w:tr>
      <w:tr>
        <w:trPr/>
        <w:tc>
          <w:tcPr>
            <w:tcW w:w="1224" w:type="dxa"/>
            <w:tcBorders/>
            <w:vAlign w:val="center"/>
          </w:tcPr>
          <w:p>
            <w:pPr>
              <w:pStyle w:val="TableContents"/>
              <w:bidi w:val="0"/>
              <w:spacing w:before="0" w:after="283"/>
              <w:jc w:val="both"/>
              <w:rPr/>
            </w:pPr>
            <w:r>
              <w:rPr/>
              <w:t> </w:t>
            </w:r>
          </w:p>
        </w:tc>
        <w:tc>
          <w:tcPr>
            <w:tcW w:w="8981" w:type="dxa"/>
            <w:tcBorders/>
            <w:vAlign w:val="center"/>
          </w:tcPr>
          <w:p>
            <w:pPr>
              <w:pStyle w:val="TableContents"/>
              <w:bidi w:val="0"/>
              <w:spacing w:before="0" w:after="283"/>
              <w:jc w:val="both"/>
              <w:rPr/>
            </w:pPr>
            <w:r>
              <w:rPr/>
              <w:t>Following any calculation by the Calculation Agent hereunder, upon written request by Counterparty, the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both"/>
              <w:rPr/>
            </w:pPr>
            <w:r>
              <w:rPr/>
              <w:t> </w:t>
            </w:r>
          </w:p>
        </w:tc>
        <w:tc>
          <w:tcPr>
            <w:tcW w:w="10130" w:type="dxa"/>
            <w:tcBorders/>
            <w:vAlign w:val="center"/>
          </w:tcPr>
          <w:p>
            <w:pPr>
              <w:pStyle w:val="TableContents"/>
              <w:bidi w:val="0"/>
              <w:spacing w:before="0" w:after="283"/>
              <w:jc w:val="both"/>
              <w:rPr/>
            </w:pPr>
            <w:r>
              <w:rPr/>
              <w:t xml:space="preserve">Calculation Agent will, within five Exchange Business Days immediately following such request, provide to Counterparty by email to the email address provided by Counterparty in such written request a report (in a commonly used file format for the storage and manipulation of financial data) displaying in reasonable detail the basis for such calculation; </w:t>
            </w:r>
            <w:r>
              <w:rPr>
                <w:i/>
              </w:rPr>
              <w:t>provided that</w:t>
            </w:r>
            <w:r>
              <w:rPr/>
              <w:t xml:space="preserve"> in no event will Dealer be obligated to share with Counterparty any proprietary or confidential data or information or any proprietary or confidential models used by it or any information that is subject to an obligation not to disclose such information.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Account Details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Payment Instructions: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Bank of New York</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 021000018</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8661062712</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Acct Name – BMO Nesbitt Burns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Payment Instructions: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 by Counterparty.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is a Multibranch Party and for purposes of this Confirmation and each Transaction, may act through its London and Toronto Offices.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Counterparty for the Transaction is: Inapplicable, Counterparty is not a Multibranch Party.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For purposes of this Confirmation:</w:t>
      </w:r>
    </w:p>
    <w:p>
      <w:pPr>
        <w:pStyle w:val="TextBody"/>
        <w:bidi w:val="0"/>
        <w:spacing w:before="0" w:after="0"/>
        <w:ind w:left="72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770"/>
        <w:gridCol w:w="4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tc>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 or communications to Counterparty:</w:t>
            </w:r>
          </w:p>
        </w:tc>
      </w:tr>
      <w:tr>
        <w:trPr/>
        <w:tc>
          <w:tcPr>
            <w:tcW w:w="542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MN 55347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Kathy Hiebert, Treasurer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5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 or communications to Dealer:</w:t>
            </w:r>
          </w:p>
        </w:tc>
      </w:tr>
    </w:tbl>
    <w:p>
      <w:pPr>
        <w:pStyle w:val="TextBody"/>
        <w:bidi w:val="0"/>
        <w:spacing w:before="0" w:after="0"/>
        <w:ind w:left="72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950"/>
        <w:gridCol w:w="27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Montreal</w:t>
            </w:r>
          </w:p>
        </w:tc>
      </w:tr>
      <w:tr>
        <w:trPr/>
        <w:tc>
          <w:tcPr>
            <w:tcW w:w="102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Bloor Street West, 18th Floor</w:t>
            </w:r>
          </w:p>
        </w:tc>
      </w:tr>
      <w:tr>
        <w:trPr/>
        <w:tc>
          <w:tcPr>
            <w:tcW w:w="102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M4W 1A5</w:t>
            </w:r>
          </w:p>
        </w:tc>
      </w:tr>
      <w:tr>
        <w:trPr/>
        <w:tc>
          <w:tcPr>
            <w:tcW w:w="102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r>
      <w:tr>
        <w:trPr/>
        <w:tc>
          <w:tcPr>
            <w:tcW w:w="7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Attn:</w:t>
            </w:r>
          </w:p>
        </w:tc>
        <w:tc>
          <w:tcPr>
            <w:tcW w:w="2705" w:type="dxa"/>
            <w:tcBorders/>
            <w:vAlign w:val="center"/>
          </w:tcPr>
          <w:p>
            <w:pPr>
              <w:pStyle w:val="TableContents"/>
              <w:bidi w:val="0"/>
              <w:spacing w:before="0" w:after="283"/>
              <w:jc w:val="both"/>
              <w:rPr>
                <w:sz w:val="20"/>
              </w:rPr>
            </w:pPr>
            <w:r>
              <w:rPr>
                <w:sz w:val="20"/>
              </w:rPr>
              <w:t>Manager, Derivatives Operations</w:t>
            </w:r>
          </w:p>
        </w:tc>
      </w:tr>
      <w:tr>
        <w:trPr/>
        <w:tc>
          <w:tcPr>
            <w:tcW w:w="7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20"/>
              </w:rPr>
            </w:pPr>
            <w:r>
              <w:rPr>
                <w:sz w:val="20"/>
              </w:rPr>
              <w:t>Telephone:</w:t>
            </w:r>
          </w:p>
        </w:tc>
        <w:tc>
          <w:tcPr>
            <w:tcW w:w="2705" w:type="dxa"/>
            <w:tcBorders/>
            <w:vAlign w:val="center"/>
          </w:tcPr>
          <w:p>
            <w:pPr>
              <w:pStyle w:val="TableContents"/>
              <w:bidi w:val="0"/>
              <w:spacing w:before="0" w:after="283"/>
              <w:jc w:val="left"/>
              <w:rPr>
                <w:sz w:val="20"/>
              </w:rPr>
            </w:pPr>
            <w:r>
              <w:rPr>
                <w:sz w:val="20"/>
              </w:rPr>
              <w:t>(416) 552-4177</w:t>
            </w:r>
          </w:p>
        </w:tc>
      </w:tr>
      <w:tr>
        <w:trPr/>
        <w:tc>
          <w:tcPr>
            <w:tcW w:w="75" w:type="dxa"/>
            <w:tcBorders/>
            <w:vAlign w:val="center"/>
          </w:tcPr>
          <w:p>
            <w:pPr>
              <w:pStyle w:val="TableContents"/>
              <w:bidi w:val="0"/>
              <w:spacing w:before="0" w:after="283"/>
              <w:jc w:val="left"/>
              <w:rPr/>
            </w:pPr>
            <w:r>
              <w:rPr/>
              <w:t> </w:t>
            </w:r>
          </w:p>
        </w:tc>
        <w:tc>
          <w:tcPr>
            <w:tcW w:w="3655" w:type="dxa"/>
            <w:gridSpan w:val="2"/>
            <w:tcBorders/>
            <w:vAlign w:val="center"/>
          </w:tcPr>
          <w:p>
            <w:pPr>
              <w:pStyle w:val="TableContents"/>
              <w:bidi w:val="0"/>
              <w:spacing w:before="0" w:after="283"/>
              <w:jc w:val="left"/>
              <w:rPr>
                <w:sz w:val="20"/>
              </w:rPr>
            </w:pPr>
            <w:r>
              <w:rPr>
                <w:sz w:val="20"/>
              </w:rPr>
              <w:t>Email: BMOEquityLinked@bmo.com</w:t>
            </w:r>
          </w:p>
        </w:tc>
      </w:tr>
      <w:tr>
        <w:trPr/>
        <w:tc>
          <w:tcPr>
            <w:tcW w:w="75" w:type="dxa"/>
            <w:tcBorders/>
            <w:vAlign w:val="center"/>
          </w:tcPr>
          <w:p>
            <w:pPr>
              <w:pStyle w:val="TableContents"/>
              <w:bidi w:val="0"/>
              <w:spacing w:before="0" w:after="283"/>
              <w:jc w:val="left"/>
              <w:rPr/>
            </w:pPr>
            <w:r>
              <w:rPr/>
              <w:t> </w:t>
            </w:r>
          </w:p>
        </w:tc>
        <w:tc>
          <w:tcPr>
            <w:tcW w:w="36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5" w:type="dxa"/>
            <w:gridSpan w:val="2"/>
            <w:tcBorders/>
            <w:vAlign w:val="center"/>
          </w:tcPr>
          <w:p>
            <w:pPr>
              <w:pStyle w:val="TableContents"/>
              <w:bidi w:val="0"/>
              <w:spacing w:before="0" w:after="283"/>
              <w:jc w:val="left"/>
              <w:rPr>
                <w:sz w:val="20"/>
              </w:rPr>
            </w:pPr>
            <w:r>
              <w:rPr>
                <w:sz w:val="20"/>
              </w:rPr>
              <w:t>With a copy to:</w:t>
            </w:r>
          </w:p>
        </w:tc>
      </w:tr>
      <w:tr>
        <w:trPr/>
        <w:tc>
          <w:tcPr>
            <w:tcW w:w="75" w:type="dxa"/>
            <w:tcBorders/>
            <w:vAlign w:val="center"/>
          </w:tcPr>
          <w:p>
            <w:pPr>
              <w:pStyle w:val="TableContents"/>
              <w:bidi w:val="0"/>
              <w:spacing w:before="0" w:after="283"/>
              <w:jc w:val="left"/>
              <w:rPr/>
            </w:pPr>
            <w:r>
              <w:rPr/>
              <w:t> </w:t>
            </w:r>
          </w:p>
        </w:tc>
        <w:tc>
          <w:tcPr>
            <w:tcW w:w="36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Montreal</w:t>
            </w:r>
          </w:p>
        </w:tc>
      </w:tr>
      <w:tr>
        <w:trPr/>
        <w:tc>
          <w:tcPr>
            <w:tcW w:w="102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King Street West, 20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w:t>
            </w:r>
          </w:p>
        </w:tc>
      </w:tr>
      <w:tr>
        <w:trPr/>
        <w:tc>
          <w:tcPr>
            <w:tcW w:w="102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M5X 1A1</w:t>
            </w:r>
          </w:p>
        </w:tc>
      </w:tr>
      <w:tr>
        <w:trPr/>
        <w:tc>
          <w:tcPr>
            <w:tcW w:w="102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220"/>
        <w:gridCol w:w="6080"/>
      </w:tblGrid>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Attn:</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Associate General Counsel &amp; Managing Director, Derivatives Legal Group</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Facsimile:</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(416) 956-2318</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 a copy to:</w:t>
            </w:r>
          </w:p>
        </w:tc>
        <w:tc>
          <w:tcPr>
            <w:tcW w:w="60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BMO Capital Markets Corp. </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 West 42</w:t>
            </w:r>
            <w:r>
              <w:rPr>
                <w:rFonts w:ascii="Times New Roman;Times;Serif" w:hAnsi="Times New Roman;Times;Serif"/>
                <w:position w:val="7"/>
                <w:sz w:val="16"/>
                <w:sz w:val="20"/>
              </w:rPr>
              <w:t>nd</w:t>
            </w:r>
            <w:r>
              <w:rPr>
                <w:rFonts w:ascii="Times New Roman;Times;Serif" w:hAnsi="Times New Roman;Times;Serif"/>
                <w:sz w:val="20"/>
              </w:rPr>
              <w:t xml:space="preserve"> Street 32</w:t>
            </w:r>
            <w:r>
              <w:rPr>
                <w:rFonts w:ascii="Times New Roman;Times;Serif" w:hAnsi="Times New Roman;Times;Serif"/>
                <w:position w:val="7"/>
                <w:sz w:val="16"/>
                <w:sz w:val="20"/>
              </w:rPr>
              <w:t>nd</w:t>
            </w:r>
            <w:r>
              <w:rPr>
                <w:rFonts w:ascii="Times New Roman;Times;Serif" w:hAnsi="Times New Roman;Times;Serif"/>
                <w:sz w:val="20"/>
              </w:rPr>
              <w:t xml:space="preserve"> Floor</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New York 10036</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Attn:</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Riley</w:t>
            </w:r>
          </w:p>
        </w:tc>
      </w:tr>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Telephone:</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 605-1414</w:t>
            </w:r>
          </w:p>
        </w:tc>
      </w:tr>
      <w:tr>
        <w:trPr/>
        <w:tc>
          <w:tcPr>
            <w:tcW w:w="75" w:type="dxa"/>
            <w:tcBorders/>
            <w:vAlign w:val="center"/>
          </w:tcPr>
          <w:p>
            <w:pPr>
              <w:pStyle w:val="TableContents"/>
              <w:bidi w:val="0"/>
              <w:spacing w:before="0" w:after="283"/>
              <w:jc w:val="both"/>
              <w:rPr/>
            </w:pPr>
            <w:r>
              <w:rPr/>
              <w:t> </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BMOEquityLinked@bmo.com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Warranties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Trade Date and as of the date of any Notice of Share Termination under (and as defined in) Section 8(c)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On the Trade Date, the Shares or securities that are convertible into, or exchangeable or exercisable for Shares, are not subject to a “restricted period,” as such term is defined in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or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(or any successor issue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Without limiting the generality of Section 3(a)(iii) of the Agreement, the Transaction will not violate Rule 13e-1 or Rule 13e-4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302A.673 of the Minnesota Business Corporations Act as an “interested shareholder”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On each of the Trade Date and the Premium Payment Date, Counterparty is not “insolvent” (as such term is defined under Section 101(32) of the U.S. Bankruptcy Code (Title 11 of the United States Code)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and Counterparty would be able to purchase the Number of Shares in compliance with the laws of the jurisdiction of Counterparty’s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representations and warranties of Counterparty set forth in Section 3 of the Agreement and Section 1 of the Purchase Agreement, dated as of January 18, 2024, between Goldman Sachs &amp; Co. LLC and BMO Capital Markets Corp. as the Representatives and Counterparty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are true and correct as of the Trade Date and the Effective Date and are hereby deemed to be repeated to Dealer as if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provided however, that Counterparty makes no representation or warranty regarding any such requirement that is applicable generally to the ownership of equity securities by Dealer or any of its affiliates as a result of it or any such affiliates being financial institutions or broker-dealers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 (C) has total assets of at least $50 million. Counterparty will notify Dealer if the immediately preceding statement contained in this Section 7(a)(xi) ceases to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26, 2023,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Dealer and Counterparty acknowledges that the offer and sale of the Transaction to it is intended to be exempt from registration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Dealer and Counterparty agrees and acknowledges that Dealer is a “financial institution” and “financial participant” within the meaning of Sections 101(22) and 101(22A) of the Bankruptcy Code.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a condition to the effectiveness of the Transaction, Counterparty shall deliver to Dealer (i) an incumbency certificate, dated as of the Premium Payment Date, of Counterparty in customary form and (ii) an opinion of counsel, dated as of the Premium Payment Date and reasonably acceptable to Dealer in form and substance, with respect to the matters set forth in Section 3(a) of the Agreement, Sections 7(a)(vii) and 7(a)(xii) hereof and such other matters as Dealer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Counterparty represents and warrants that it has received, read and understands the </w:t>
      </w:r>
      <w:r>
        <w:rPr>
          <w:rFonts w:ascii="Times New Roman;Times;Serif" w:hAnsi="Times New Roman;Times;Serif"/>
          <w:b/>
          <w:i w:val="false"/>
          <w:caps w:val="false"/>
          <w:smallCaps w:val="false"/>
          <w:sz w:val="20"/>
        </w:rPr>
        <w:t>OTC Options Risk Disclosure Statement</w:t>
      </w:r>
      <w:r>
        <w:rPr>
          <w:rFonts w:ascii="Times New Roman;Times;Serif" w:hAnsi="Times New Roman;Times;Serif"/>
          <w:b w:val="false"/>
          <w:i w:val="false"/>
          <w:caps w:val="false"/>
          <w:smallCaps w:val="false"/>
          <w:sz w:val="20"/>
        </w:rPr>
        <w:t xml:space="preserve"> and a copy of the most recent disclosure pamphlet prepared by The Options Clearing Corporation entitled “</w:t>
      </w:r>
      <w:r>
        <w:rPr>
          <w:rFonts w:ascii="Times New Roman;Times;Serif" w:hAnsi="Times New Roman;Times;Serif"/>
          <w:b/>
          <w:i w:val="false"/>
          <w:caps w:val="false"/>
          <w:smallCaps w:val="false"/>
          <w:sz w:val="20"/>
        </w:rPr>
        <w:t>Characteristics and Risks of Standardized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 acknowledges and agrees to be bound by the Conduct Rules of the Financial Industry Regulatory Authority, Inc. applicable to transactions in options, and further agrees not to violate the position and exercise limits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Counterparty represents and warrants that the assets used in the Transaction (i) are not assets of any “plan” (as such term is defined in Section 4975 of the U.S. Internal Revenue Code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subject to Section 4975 of the Code or any “employee benefit plan” (as such term is defined in Section 3(3) of the U.S. Employee Retirement Income Security Act of 1974, as amended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subject to Title I of ERISA, and (ii) do not constitute “plan assets” within the meaning of Department of Labor Regulation 2510.3-101, 29 CFR Section 2510-3-101.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On the Trade Date, neither Counterparty nor any “affiliate” or “affiliated purchaser” (each as defined in Rule 10b-18 under the Exchange Act (“</w:t>
      </w:r>
      <w:r>
        <w:rPr>
          <w:rFonts w:ascii="Times New Roman;Times;Serif" w:hAnsi="Times New Roman;Times;Serif"/>
          <w:b/>
          <w:i w:val="false"/>
          <w:caps w:val="false"/>
          <w:smallCaps w:val="false"/>
          <w:sz w:val="20"/>
        </w:rPr>
        <w:t>Rule 10b-18</w:t>
      </w:r>
      <w:r>
        <w:rPr>
          <w:rFonts w:ascii="Times New Roman;Times;Serif" w:hAnsi="Times New Roman;Times;Serif"/>
          <w:b w:val="false"/>
          <w:i w:val="false"/>
          <w:caps w:val="false"/>
          <w:smallCaps w:val="false"/>
          <w:sz w:val="20"/>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Counterparty acknowledges that the Transaction may constitute a purchase of its equity securities or a capital distribution. Counterparty further acknowledges that, pursuant to the provisions of the Coronavirus Aid, Relief and Economic Security Act (the “</w:t>
      </w:r>
      <w:r>
        <w:rPr>
          <w:rFonts w:ascii="Times New Roman;Times;Serif" w:hAnsi="Times New Roman;Times;Serif"/>
          <w:b/>
          <w:i w:val="false"/>
          <w:caps w:val="false"/>
          <w:smallCaps w:val="false"/>
          <w:sz w:val="20"/>
        </w:rPr>
        <w:t>CARES Act</w:t>
      </w:r>
      <w:r>
        <w:rPr>
          <w:rFonts w:ascii="Times New Roman;Times;Serif" w:hAnsi="Times New Roman;Times;Serif"/>
          <w:b w:val="false"/>
          <w:i w:val="false"/>
          <w:caps w:val="false"/>
          <w:smallCaps w:val="false"/>
          <w:sz w:val="20"/>
        </w:rPr>
        <w:t>”), the Counterparty will be required to agree to certain time-bound restrictions on its ability to purchase its equity securities or make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distributions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or make capital distributions if it receives loans, loan guarantees or direct loans (as that term is defined in the CARES Act) under programs or facilities established by the Board of Governors of the Federal Reserve System or the U.S. Department of Treasury for the purpose of providing liquidity to the financial system, and may be required to agree to similar restrictions under programs or facilities established in the future. Accordingly, Counterparty represents and warrants that neither it nor any of its subsidiaries has applied for, and throughout the term of the Transaction shall not apply, for a loan, loan guarantee, direct loan (as that term is defined in the CARES Act) or other investment, or to receive any financial assistance or relief (howsoever defined) under any program or facility that (a) is established under applicable law (whether in existence as of the Trade Date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Counterparty or any of its subsidiaries agree, attest, certify or warrant that it has not, as of the date specified in such condition, repurchased, or will not repurchase, any equity security of Counterparty, and that it has not, as of the date specified in such condition, made a capital distribution or will not make a capital distribution (collectively, “</w:t>
      </w:r>
      <w:r>
        <w:rPr>
          <w:rFonts w:ascii="Times New Roman;Times;Serif" w:hAnsi="Times New Roman;Times;Serif"/>
          <w:b/>
          <w:i w:val="false"/>
          <w:caps w:val="false"/>
          <w:smallCaps w:val="false"/>
          <w:sz w:val="20"/>
        </w:rPr>
        <w:t>Restricted Financial Assistance</w:t>
      </w:r>
      <w:r>
        <w:rPr>
          <w:rFonts w:ascii="Times New Roman;Times;Serif" w:hAnsi="Times New Roman;Times;Serif"/>
          <w:b w:val="false"/>
          <w:i w:val="false"/>
          <w:caps w:val="false"/>
          <w:smallCaps w:val="false"/>
          <w:sz w:val="20"/>
        </w:rPr>
        <w:t>”); provided that Counterparty may apply for Restricted Financial Assistance if Counterparty either (a) determines, based on the advice of outside counsel of national standing, that the terms of the Transaction would not cause Counterparty to fail to satisfy any condition for application for or receipt or retention of such loan, loan guarantee, direct loan (as that term is defined in the CARES Act), investment, financial assistance or relief based on the terms of the program or facility as of the date of such advice or (b) delivers to Dealer evidence of a waiver or other guidance from a governmental authority with jurisdiction for such program or facility that the Transaction is permitted under such program or facility (either by specific reference to the Transaction or by general reference to transactions with attributes of the Transaction in all relevant respects).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(whether in existence as of the Trade Date or subsequently enacted, adopted or 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Right to Extend</w:t>
      </w:r>
      <w:r>
        <w:rPr>
          <w:rFonts w:ascii="Times New Roman;Times;Serif" w:hAnsi="Times New Roman;Times;Serif"/>
          <w:b w:val="false"/>
          <w:i w:val="false"/>
          <w:caps w:val="false"/>
          <w:smallCaps w:val="false"/>
          <w:sz w:val="20"/>
        </w:rPr>
        <w:t>. Dealer may postpone or add, in whole or in part, any Exercise Date or Settlement Date or any other date of valuation or delivery by Dealer, with respect to some or all of the relevant Options (in which event the Calculation Agent shall make appropriate adjustments to the Delivery Obligation), if Dealer determines, in its commercially reasonable discretion, that such extension or addition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 and in the case of policies or procedures, so long as such policies and procedures are consistently applied to transactions similar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Additional Termination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 event of default with respect to Counterparty under the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the Convertible Securities as set forth in Section 7.01 of the Indenture that results in the acceleration of the Convertible Notes, or (B) an Amendment Event, in each case, shall constitute an Additional Termination Event with respect to which the Transaction is the sole Affected Transaction and Counterparty is the sole Affected Party, and Dealer shall be the party entitled to designate an Early Termination Date pursuant to Section 6(b) of the Agreement and to determine the amount payable pursuant to Section 6(e) of the Agreement. “</w:t>
      </w:r>
      <w:r>
        <w:rPr>
          <w:rFonts w:ascii="Times New Roman;Times;Serif" w:hAnsi="Times New Roman;Times;Serif"/>
          <w:b/>
          <w:i w:val="false"/>
          <w:caps w:val="false"/>
          <w:smallCaps w:val="false"/>
          <w:sz w:val="20"/>
        </w:rPr>
        <w:t>Amendment Event</w:t>
      </w:r>
      <w:r>
        <w:rPr>
          <w:rFonts w:ascii="Times New Roman;Times;Serif" w:hAnsi="Times New Roman;Times;Serif"/>
          <w:b w:val="false"/>
          <w:i w:val="false"/>
          <w:caps w:val="false"/>
          <w:smallCaps w:val="false"/>
          <w:sz w:val="20"/>
        </w:rPr>
        <w:t>” means that Counterparty amends, modifies, supplements, waives or obtains a waiver in respect of any term of the Indenture or the Convertible Securities governing the principal amount, coupon, maturity, repurchase obligation of Counterparty, any term relating to conversion of the Convertible Securities (including changes to the conversion rate, conversion rate adjustment provisions, conversion settlement dates or conversion conditions), or any term that would require consent of the holders of not less than 100% of the principal amount of the Convertible Securities to amend (other than, in each case, any amendment or supplement (x) pursuant to Section 8.01(I) of the Indenture that, as determined by the Calculation Agent, conforms the Indenture to the description of Convertible Securities in the Offering Memorandum or (y) pursuant to Section 5.08 of the Indenture), in each case, without the consent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 Scheduled Trading Days promptly following any Repayment Event (as defined below), Counterparty shall notify Dealer of such Repayment Event and the aggregate principal amount of Convertible Notes subject to such Repayment Event or the portion of such aggregate principal amount that Counterparty elects to be subject to such Repayment Event) (any such notice, a “</w:t>
      </w:r>
      <w:r>
        <w:rPr>
          <w:rFonts w:ascii="Times New Roman;Times;Serif" w:hAnsi="Times New Roman;Times;Serif"/>
          <w:b/>
          <w:i w:val="false"/>
          <w:caps w:val="false"/>
          <w:smallCaps w:val="false"/>
          <w:sz w:val="20"/>
        </w:rPr>
        <w:t>Repayment Notice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“Convertible Securities Repurchase Notice” delivered to Dealer pursuant to the Base Call Option Transaction Confirmation shall be deemed to be a Convertible Securities Repurchase Notice pursuant to this Confirmation and the terms of such Convertible Securities Repurchase Notice shall apply, mutatis mutandis, to this Confirmation. Any Repayment Notice shall contain a written representation by Counterparty to Dealer that Counterparty is not, on the date of such Repayment Notice, in possession of any material non-public information with respect to Counterparty or the Shares. The receipt by Dealer from Counterparty of any Repayment Notice shall constitute an Additional Termination Event as provided in this Section 8(b)(B). Upon receipt of any such Repayment Notice, Dealer shall designate an Exchange Business Day following receipt of such Repayment Notice as an Early Termination Date with respect to the portion of the Transaction corresponding to a number of Options (the “</w:t>
      </w:r>
      <w:r>
        <w:rPr>
          <w:rFonts w:ascii="Times New Roman;Times;Serif" w:hAnsi="Times New Roman;Times;Serif"/>
          <w:b/>
          <w:i w:val="false"/>
          <w:caps w:val="false"/>
          <w:smallCaps w:val="false"/>
          <w:sz w:val="20"/>
        </w:rPr>
        <w:t>Repayment Options</w:t>
      </w:r>
      <w:r>
        <w:rPr>
          <w:rFonts w:ascii="Times New Roman;Times;Serif" w:hAnsi="Times New Roman;Times;Serif"/>
          <w:b w:val="false"/>
          <w:i w:val="false"/>
          <w:caps w:val="false"/>
          <w:smallCaps w:val="false"/>
          <w:sz w:val="20"/>
        </w:rPr>
        <w:t xml:space="preserve">”) equal to the lesser of (A) (x) the aggregate principal amount of such Convertible Notes specified in such Repayment Notice,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USD 1,000, minus (y) the number of Repurchase Options (as defined in the Base Call Option Transaction Confirmation), if any, that relate to such Convertible Securities (and for purposes of determining whether any Options under this Confirmation or under the Base Call Option Transaction Confirmation will be among the Repurchase Options hereunder or under, and as defined in, the Base Call Option Transaction Confirmation, the Convertible Securities specified in such Convertible Securities Repurchase Notice shall be allocated first to the Base Call Option Transaction Confirmation until all Options thereunder are exercised or terminated)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Times;Serif" w:hAnsi="Times New Roman;Times;Serif"/>
          <w:b/>
          <w:i w:val="false"/>
          <w:caps w:val="false"/>
          <w:smallCaps w:val="false"/>
          <w:sz w:val="20"/>
        </w:rPr>
        <w:t>Repayment Unwind Payment</w:t>
      </w:r>
      <w:r>
        <w:rPr>
          <w:rFonts w:ascii="Times New Roman;Times;Serif" w:hAnsi="Times New Roman;Times;Serif"/>
          <w:b w:val="false"/>
          <w:i w:val="false"/>
          <w:caps w:val="false"/>
          <w:smallCaps w:val="false"/>
          <w:sz w:val="20"/>
        </w:rPr>
        <w:t xml:space="preserve">”)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and (3) the terminated portion of the Transaction were the sole Affected Transaction;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the event of a Repayment Event pursuant to Section 4.02 of the Indenture or Section 4.03 of the Indenture, such payment shall not be greater than (x) the number of Repayment Options multiplied by (y) the product of (A) the Applicable Percentage and (B) the excess, if any of (I) the amount paid by Counterparty per Convertible Security pursuant to Section 4.02 of the Indenture or Section 4.03 of the Indenture, as the case may be, over (II) USD 1,000.” “</w:t>
      </w:r>
      <w:r>
        <w:rPr>
          <w:rFonts w:ascii="Times New Roman;Times;Serif" w:hAnsi="Times New Roman;Times;Serif"/>
          <w:b/>
          <w:i w:val="false"/>
          <w:caps w:val="false"/>
          <w:smallCaps w:val="false"/>
          <w:sz w:val="20"/>
        </w:rPr>
        <w:t>Repayment Event</w:t>
      </w:r>
      <w:r>
        <w:rPr>
          <w:rFonts w:ascii="Times New Roman;Times;Serif" w:hAnsi="Times New Roman;Times;Serif"/>
          <w:b w:val="false"/>
          <w:i w:val="false"/>
          <w:caps w:val="false"/>
          <w:smallCaps w:val="false"/>
          <w:sz w:val="20"/>
        </w:rPr>
        <w:t>” means that (i) any Convertible Notes are repurchased or redeemed (whether pursuant to Section 4.02 of the Indenture, Section 4.03 of the Indenture or for any other reason) by Counterparty or any of its subsidiaries, (ii) any Convertible Notes are delivered to Counterparty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its subsidiaries in exchange for delivery of any property or assets of such party (howsoever described), (iii) any principal of any of the Convertible Notes is repaid prior to the final maturity date of the Convertible Notes, or (iv) any Convertible Notes are exchanged by or for the benefit of the Holders (as such term is defined in the Indenture) thereof for any other securities of Counterparty or any of its subsidiaries (or any other property, or any combination thereof) pursuant to any exchange offer or similar transaction. For the avoidance of doubt, any conversion of Convertible Notes pursuant to the terms of the Indenture shall not constitute a Repayment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Alternative Calculations and Payment on Early Termination and on Certain Extraordinary Events.</w:t>
      </w:r>
      <w:r>
        <w:rPr>
          <w:rFonts w:ascii="Times New Roman;Times;Serif" w:hAnsi="Times New Roman;Times;Serif"/>
          <w:b w:val="false"/>
          <w:i w:val="false"/>
          <w:caps w:val="false"/>
          <w:smallCaps w:val="false"/>
          <w:sz w:val="20"/>
        </w:rPr>
        <w:t xml:space="preserve"> If Dealer shall owe Counterparty any amount pursuant to Section 6(d)(ii) of the Agreement (a “</w:t>
      </w:r>
      <w:r>
        <w:rPr>
          <w:rFonts w:ascii="Times New Roman;Times;Serif" w:hAnsi="Times New Roman;Times;Serif"/>
          <w:b/>
          <w:i w:val="false"/>
          <w:caps w:val="false"/>
          <w:smallCaps w:val="false"/>
          <w:sz w:val="20"/>
        </w:rPr>
        <w:t>Payment Obligation</w:t>
      </w:r>
      <w:r>
        <w:rPr>
          <w:rFonts w:ascii="Times New Roman;Times;Serif" w:hAnsi="Times New Roman;Times;Serif"/>
          <w:b w:val="false"/>
          <w:i w:val="false"/>
          <w:caps w:val="false"/>
          <w:smallCaps w:val="false"/>
          <w:sz w:val="20"/>
        </w:rPr>
        <w:t>”), Counterparty shall have the right, in its sole discretion, to require Dealer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relevant merger date, Announcement Date, Early Termination Date or date of cancellation or termination in respect of an Extraordinary Event, as applicable (“</w:t>
      </w:r>
      <w:r>
        <w:rPr>
          <w:rFonts w:ascii="Times New Roman;Times;Serif" w:hAnsi="Times New Roman;Times;Serif"/>
          <w:b/>
          <w:i w:val="false"/>
          <w:caps w:val="false"/>
          <w:smallCaps w:val="false"/>
          <w:sz w:val="20"/>
        </w:rPr>
        <w:t>Notice of Share Termination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does not elect to require Dealer to satisfy its Payment Obligation by the Share Termination Alternative, Dealer shall have the right, in its sole discretion, to elect to satisfy its Payment Obligation by the Share Termination Alternative, notwithstanding Counterparty’s failure to elect or election to the contrary;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relevant merger date, Announcement Date, Early Termination Date or date of cancellation or termination in respect of an Extraordinary Event, as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2"/>
        <w:gridCol w:w="60"/>
        <w:gridCol w:w="8683"/>
      </w:tblGrid>
      <w:tr>
        <w:trPr/>
        <w:tc>
          <w:tcPr>
            <w:tcW w:w="14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Termination Alternative:</w:t>
            </w:r>
          </w:p>
        </w:tc>
        <w:tc>
          <w:tcPr>
            <w:tcW w:w="60" w:type="dxa"/>
            <w:tcBorders/>
            <w:vAlign w:val="center"/>
          </w:tcPr>
          <w:p>
            <w:pPr>
              <w:pStyle w:val="TableContents"/>
              <w:bidi w:val="0"/>
              <w:spacing w:before="0" w:after="283"/>
              <w:jc w:val="left"/>
              <w:rPr/>
            </w:pPr>
            <w:r>
              <w:rPr/>
              <w:t> </w:t>
            </w:r>
          </w:p>
        </w:tc>
        <w:tc>
          <w:tcPr>
            <w:tcW w:w="86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means that Dealer shall deliver to Counterparty the Share Termination Delivery Property on the date on which the Payment Obligation would otherwise be due pursuant to Section 6(d)(ii) of the Agreement or such later date or dates as Dealer may commercially reasonably determine (the “</w:t>
            </w:r>
            <w:r>
              <w:rPr>
                <w:rFonts w:ascii="Times New Roman;Times;Serif" w:hAnsi="Times New Roman;Times;Serif"/>
                <w:b/>
                <w:sz w:val="20"/>
              </w:rPr>
              <w:t>Share Termination Payment Date</w:t>
            </w:r>
            <w:r>
              <w:rPr>
                <w:rFonts w:ascii="Times New Roman;Times;Serif" w:hAnsi="Times New Roman;Times;Serif"/>
                <w:sz w:val="20"/>
              </w:rPr>
              <w:t>”) taking into account commercially reasonable hedging or hedge unwind activity, in satisfaction of the Payment Obligation.</w:t>
            </w:r>
          </w:p>
        </w:tc>
      </w:tr>
      <w:tr>
        <w:trPr/>
        <w:tc>
          <w:tcPr>
            <w:tcW w:w="14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3" w:type="dxa"/>
            <w:tcBorders/>
            <w:vAlign w:val="center"/>
          </w:tcPr>
          <w:p>
            <w:pPr>
              <w:pStyle w:val="TableContents"/>
              <w:bidi w:val="0"/>
              <w:spacing w:before="0" w:after="283"/>
              <w:jc w:val="left"/>
              <w:rPr/>
            </w:pPr>
            <w:r>
              <w:rPr/>
              <w:t> </w:t>
            </w:r>
          </w:p>
        </w:tc>
      </w:tr>
      <w:tr>
        <w:trPr/>
        <w:tc>
          <w:tcPr>
            <w:tcW w:w="14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Termination Delivery Property:</w:t>
            </w:r>
          </w:p>
        </w:tc>
        <w:tc>
          <w:tcPr>
            <w:tcW w:w="60" w:type="dxa"/>
            <w:tcBorders/>
            <w:vAlign w:val="center"/>
          </w:tcPr>
          <w:p>
            <w:pPr>
              <w:pStyle w:val="TableContents"/>
              <w:bidi w:val="0"/>
              <w:spacing w:before="0" w:after="283"/>
              <w:jc w:val="left"/>
              <w:rPr/>
            </w:pPr>
            <w:r>
              <w:rPr/>
              <w:t> </w:t>
            </w:r>
          </w:p>
        </w:tc>
        <w:tc>
          <w:tcPr>
            <w:tcW w:w="86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equal to the value of such fractional security based on the values used to calculate the Share Termination Unit Price.</w:t>
            </w:r>
          </w:p>
        </w:tc>
      </w:tr>
      <w:tr>
        <w:trPr/>
        <w:tc>
          <w:tcPr>
            <w:tcW w:w="14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3" w:type="dxa"/>
            <w:tcBorders/>
            <w:vAlign w:val="center"/>
          </w:tcPr>
          <w:p>
            <w:pPr>
              <w:pStyle w:val="TableContents"/>
              <w:bidi w:val="0"/>
              <w:spacing w:before="0" w:after="283"/>
              <w:jc w:val="left"/>
              <w:rPr/>
            </w:pPr>
            <w:r>
              <w:rPr/>
              <w:t> </w:t>
            </w:r>
          </w:p>
        </w:tc>
      </w:tr>
      <w:tr>
        <w:trPr/>
        <w:tc>
          <w:tcPr>
            <w:tcW w:w="14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Termination Unit Price:</w:t>
            </w:r>
          </w:p>
        </w:tc>
        <w:tc>
          <w:tcPr>
            <w:tcW w:w="60" w:type="dxa"/>
            <w:tcBorders/>
            <w:vAlign w:val="center"/>
          </w:tcPr>
          <w:p>
            <w:pPr>
              <w:pStyle w:val="TableContents"/>
              <w:bidi w:val="0"/>
              <w:spacing w:before="0" w:after="283"/>
              <w:jc w:val="left"/>
              <w:rPr/>
            </w:pPr>
            <w:r>
              <w:rPr/>
              <w:t> </w:t>
            </w:r>
          </w:p>
        </w:tc>
        <w:tc>
          <w:tcPr>
            <w:tcW w:w="86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value of property contained in one Share Termination Delivery Unit on the date such Share Termination Delivery Units are to be delivered as Share Termination Delivery Property, as determined by the Calculation Agent and notified by the Calculation Agent to Dealer at the time of notification of the Payment Obligation.</w:t>
            </w:r>
          </w:p>
        </w:tc>
      </w:tr>
      <w:tr>
        <w:trPr/>
        <w:tc>
          <w:tcPr>
            <w:tcW w:w="14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3" w:type="dxa"/>
            <w:tcBorders/>
            <w:vAlign w:val="center"/>
          </w:tcPr>
          <w:p>
            <w:pPr>
              <w:pStyle w:val="TableContents"/>
              <w:bidi w:val="0"/>
              <w:spacing w:before="0" w:after="283"/>
              <w:jc w:val="left"/>
              <w:rPr/>
            </w:pPr>
            <w:r>
              <w:rPr/>
              <w:t> </w:t>
            </w:r>
          </w:p>
        </w:tc>
      </w:tr>
      <w:tr>
        <w:trPr/>
        <w:tc>
          <w:tcPr>
            <w:tcW w:w="14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Termination Delivery Unit:</w:t>
            </w:r>
          </w:p>
        </w:tc>
        <w:tc>
          <w:tcPr>
            <w:tcW w:w="60" w:type="dxa"/>
            <w:tcBorders/>
            <w:vAlign w:val="center"/>
          </w:tcPr>
          <w:p>
            <w:pPr>
              <w:pStyle w:val="TableContents"/>
              <w:bidi w:val="0"/>
              <w:spacing w:before="0" w:after="283"/>
              <w:jc w:val="left"/>
              <w:rPr/>
            </w:pPr>
            <w:r>
              <w:rPr/>
              <w:t> </w:t>
            </w:r>
          </w:p>
        </w:tc>
        <w:tc>
          <w:tcPr>
            <w:tcW w:w="86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the case of a Termination Event (other than on account of an Insolvency, Nationalization or Merger Event), Event of Default, Delisting or Additional Disruption Event, one Share or, in the case of an Insolvency, Nationalization or Merger Event, one Share or a unit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49"/>
        <w:gridCol w:w="60"/>
        <w:gridCol w:w="8996"/>
      </w:tblGrid>
      <w:tr>
        <w:trPr/>
        <w:tc>
          <w:tcPr>
            <w:tcW w:w="11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6" w:type="dxa"/>
            <w:tcBorders/>
            <w:vAlign w:val="center"/>
          </w:tcPr>
          <w:p>
            <w:pPr>
              <w:pStyle w:val="TableContents"/>
              <w:bidi w:val="0"/>
              <w:spacing w:before="0" w:after="283"/>
              <w:jc w:val="both"/>
              <w:rPr/>
            </w:pPr>
            <w:r>
              <w:rPr/>
              <w:t>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tc>
      </w:tr>
      <w:tr>
        <w:trPr/>
        <w:tc>
          <w:tcPr>
            <w:tcW w:w="11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6" w:type="dxa"/>
            <w:tcBorders/>
            <w:vAlign w:val="center"/>
          </w:tcPr>
          <w:p>
            <w:pPr>
              <w:pStyle w:val="TableContents"/>
              <w:bidi w:val="0"/>
              <w:spacing w:before="0" w:after="283"/>
              <w:jc w:val="left"/>
              <w:rPr/>
            </w:pPr>
            <w:r>
              <w:rPr/>
              <w:t> </w:t>
            </w:r>
          </w:p>
        </w:tc>
      </w:tr>
      <w:tr>
        <w:trPr/>
        <w:tc>
          <w:tcPr>
            <w:tcW w:w="11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Deliver:</w:t>
            </w:r>
          </w:p>
        </w:tc>
        <w:tc>
          <w:tcPr>
            <w:tcW w:w="60" w:type="dxa"/>
            <w:tcBorders/>
            <w:vAlign w:val="center"/>
          </w:tcPr>
          <w:p>
            <w:pPr>
              <w:pStyle w:val="TableContents"/>
              <w:bidi w:val="0"/>
              <w:spacing w:before="0" w:after="283"/>
              <w:jc w:val="left"/>
              <w:rPr/>
            </w:pPr>
            <w:r>
              <w:rPr/>
              <w:t> </w:t>
            </w:r>
          </w:p>
        </w:tc>
        <w:tc>
          <w:tcPr>
            <w:tcW w:w="8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1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6" w:type="dxa"/>
            <w:tcBorders/>
            <w:vAlign w:val="center"/>
          </w:tcPr>
          <w:p>
            <w:pPr>
              <w:pStyle w:val="TableContents"/>
              <w:bidi w:val="0"/>
              <w:spacing w:before="0" w:after="283"/>
              <w:jc w:val="left"/>
              <w:rPr/>
            </w:pPr>
            <w:r>
              <w:rPr/>
              <w:t> </w:t>
            </w:r>
          </w:p>
        </w:tc>
      </w:tr>
      <w:tr>
        <w:trPr/>
        <w:tc>
          <w:tcPr>
            <w:tcW w:w="11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Applicable Provisions:</w:t>
            </w:r>
          </w:p>
        </w:tc>
        <w:tc>
          <w:tcPr>
            <w:tcW w:w="60" w:type="dxa"/>
            <w:tcBorders/>
            <w:vAlign w:val="center"/>
          </w:tcPr>
          <w:p>
            <w:pPr>
              <w:pStyle w:val="TableContents"/>
              <w:bidi w:val="0"/>
              <w:spacing w:before="0" w:after="283"/>
              <w:jc w:val="left"/>
              <w:rPr/>
            </w:pPr>
            <w:r>
              <w:rPr/>
              <w:t> </w:t>
            </w:r>
          </w:p>
        </w:tc>
        <w:tc>
          <w:tcPr>
            <w:tcW w:w="8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Share Termination Alternative is applicable, the provisions of Sections 9.8, 9.9 and 9.11 of the Equity Definitions will be applicable as if “Physical Settlement” applied to the Transaction, except that all references to “Shares” shall be read as references to “Share Termination Delivery Units”; </w:t>
            </w:r>
            <w:r>
              <w:rPr>
                <w:rFonts w:ascii="Times New Roman;Times;Serif" w:hAnsi="Times New Roman;Times;Serif"/>
                <w:i/>
                <w:sz w:val="20"/>
              </w:rPr>
              <w:t>provided</w:t>
            </w:r>
            <w:r>
              <w:rPr>
                <w:rFonts w:ascii="Times New Roman;Times;Serif" w:hAnsi="Times New Roman;Times;Serif"/>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part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Disposition of Hedge Shares</w:t>
      </w:r>
      <w:r>
        <w:rPr>
          <w:rFonts w:ascii="Times New Roman;Times;Serif" w:hAnsi="Times New Roman;Times;Serif"/>
          <w:b w:val="false"/>
          <w:i w:val="false"/>
          <w:caps w:val="false"/>
          <w:smallCaps w:val="false"/>
          <w:sz w:val="20"/>
        </w:rPr>
        <w:t>. Counterparty hereby agrees that if, in the good faith reasonable judgment of Dealer, the Shares (the “</w:t>
      </w:r>
      <w:r>
        <w:rPr>
          <w:rFonts w:ascii="Times New Roman;Times;Serif" w:hAnsi="Times New Roman;Times;Serif"/>
          <w:b/>
          <w:i w:val="false"/>
          <w:caps w:val="false"/>
          <w:smallCaps w:val="false"/>
          <w:sz w:val="20"/>
        </w:rPr>
        <w:t>Hedge Shares</w:t>
      </w:r>
      <w:r>
        <w:rPr>
          <w:rFonts w:ascii="Times New Roman;Times;Serif" w:hAnsi="Times New Roman;Times;Serif"/>
          <w:b w:val="false"/>
          <w:i w:val="false"/>
          <w:caps w:val="false"/>
          <w:smallCaps w:val="false"/>
          <w:sz w:val="20"/>
        </w:rPr>
        <w:t xml:space="preserve">”) acquired by Dealer for the purpose of hedging its obligations pursuant to the Transaction in a commercially reasonable manner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(B) 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elects clause (i) above but the items referred to therein are not completed in a timely manner, or if Dealer, in its sole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commercially reasonably satisfactory to Dealer, including customary representations, covenants, blue sky and other governmental filings and/or registrations, indemnities to Dealer, due diligence rights (for Dealer or any designated buyer of the Hedge Shares from Dealer), and best efforts obligations to provide opinions and certificates and such other documentation as is customary for private placements agreements, all commercially reasonably acceptable to Dealer (in which case, the Calculation Agent shall make any adjustments to the terms of the Transaction that are necessary to compensate Dealer for any commercially reasonable discount from the public market price of the Shares incurred on the sale of Hedge Shares in a private placement); or (iii) purchase the Hedge Shares from Dealer at the “Daily VWAP” (as defined in the Indenture) on such Exchange Business Days, and in the amounts, commercially reasonably requested by Dealer. This Section 8(d) shall survive the termination, expiration or early unwind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Repurchase and Conversion Rate Adjustment Notices</w:t>
      </w:r>
      <w:r>
        <w:rPr>
          <w:rFonts w:ascii="Times New Roman;Times;Serif" w:hAnsi="Times New Roman;Times;Serif"/>
          <w:b w:val="false"/>
          <w:i w:val="false"/>
          <w:caps w:val="false"/>
          <w:smallCaps w:val="false"/>
          <w:sz w:val="20"/>
        </w:rPr>
        <w:t>. Counterparty shall, at least two Exchange Business Days prior to any day on which Counterparty effects any repurchase of Shares or consummates or otherwise engages in any transaction or event (a “</w:t>
      </w:r>
      <w:r>
        <w:rPr>
          <w:rFonts w:ascii="Times New Roman;Times;Serif" w:hAnsi="Times New Roman;Times;Serif"/>
          <w:b/>
          <w:i w:val="false"/>
          <w:caps w:val="false"/>
          <w:smallCaps w:val="false"/>
          <w:sz w:val="20"/>
        </w:rPr>
        <w:t>Conversion Rate Adjustment Event</w:t>
      </w:r>
      <w:r>
        <w:rPr>
          <w:rFonts w:ascii="Times New Roman;Times;Serif" w:hAnsi="Times New Roman;Times;Serif"/>
          <w:b w:val="false"/>
          <w:i w:val="false"/>
          <w:caps w:val="false"/>
          <w:smallCaps w:val="false"/>
          <w:sz w:val="20"/>
        </w:rPr>
        <w:t>”) that could reasonably be expected to lead to an increase in the Conversion Rate, give Dealer a written notice of such repurchase or Conversion Rate Adjustment Event (a “</w:t>
      </w:r>
      <w:r>
        <w:rPr>
          <w:rFonts w:ascii="Times New Roman;Times;Serif" w:hAnsi="Times New Roman;Times;Serif"/>
          <w:b/>
          <w:i w:val="false"/>
          <w:caps w:val="false"/>
          <w:smallCaps w:val="false"/>
          <w:sz w:val="20"/>
        </w:rPr>
        <w:t>Repurchase Notice</w:t>
      </w:r>
      <w:r>
        <w:rPr>
          <w:rFonts w:ascii="Times New Roman;Times;Serif" w:hAnsi="Times New Roman;Times;Serif"/>
          <w:b w:val="false"/>
          <w:i w:val="false"/>
          <w:caps w:val="false"/>
          <w:smallCaps w:val="false"/>
          <w:sz w:val="20"/>
        </w:rPr>
        <w:t>”) on such day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such repurchase or Conversion Rate Adjustment Event, the Notice Percentage would reasonably be expected to be (i) greater than 13.27% and (ii) greater by 0.5% than the Notice Percentage included in the immediately preceding Repurchase Notice (or, in the case of the first such Repurchase Notice, greater than the Notice Percentage as of the date hereof). The “</w:t>
      </w:r>
      <w:r>
        <w:rPr>
          <w:rFonts w:ascii="Times New Roman;Times;Serif" w:hAnsi="Times New Roman;Times;Serif"/>
          <w:b/>
          <w:i w:val="false"/>
          <w:caps w:val="false"/>
          <w:smallCaps w:val="false"/>
          <w:sz w:val="20"/>
        </w:rPr>
        <w:t>Notice Percentage</w:t>
      </w:r>
      <w:r>
        <w:rPr>
          <w:rFonts w:ascii="Times New Roman;Times;Serif" w:hAnsi="Times New Roman;Times;Serif"/>
          <w:b w:val="false"/>
          <w:i w:val="false"/>
          <w:caps w:val="false"/>
          <w:smallCaps w:val="false"/>
          <w:sz w:val="20"/>
        </w:rPr>
        <w:t>” as of any day is the fraction, expressed as a percentage, the numerator of which is the Number of Shares plus the number of shares underlying any other convertible bond hedge transactions or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from and against any and all losses (including losses relating to the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Party may become subject under applicable securities laws, including without limitation, Section 16 of the Exchange Act or under any state or federal law, regulation or regulatory order,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actual expenses (including reasonable counsel fees and expenses) as they are incurred (after notice to Counterparty and supported by invoices or other documentation setting forth in reasonable detail such expenses)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To the extent an Indemnified Party fails to provide notice of any action commenced against it in respect of which indemnity may be sought hereunder within a commercially reasonable period of time that would materially prejudice Counterparty (it being understood that any such notice delivered within 30 calendar days of the commencement of any such action shall be deemed to have been delivered within a commercially reasonable period of time for such purpose). Counterparty shall be relived from liability. This indemnity shall survive the completion of the Transaction contemplated by this Confirmation and any assignment and delegation of the Transaction made pursuant to this Confirmation or the Agreement and shall inure to the benefit of any permitted assignee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Transfer and Assignment</w:t>
      </w:r>
      <w:r>
        <w:rPr>
          <w:rFonts w:ascii="Times New Roman;Times;Serif" w:hAnsi="Times New Roman;Times;Serif"/>
          <w:b w:val="false"/>
          <w:i w:val="false"/>
          <w:caps w:val="false"/>
          <w:smallCaps w:val="false"/>
          <w:sz w:val="20"/>
        </w:rPr>
        <w:t xml:space="preserve">. Either party may transfer or assign any of its rights or obligations under the Transaction with the prior written consent of the non-transferring party, such consent not to be unreasonably withheld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Dealer may transfer or assign without any consent of Counterparty its rights and obligations hereunder, in whole or in part, to (i) any affiliate of Dealer or (ii) any person, or any person whose obligations hereunder would be guaranteed, pursuant to the terms of a customary guarantee in a form generally used for similar transactions, by a person, in either case, of credit quality at least equivalent to Dealer’s (or its ultimate parent’s). If at any time at which (1) the Equity Percentage exceeds 8.0% or (2) Dealer, Dealer Group (as defined below) or any person whose ownership position would be aggregated with that of Dealer or Dealer Group (Dealer, Dealer Group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the Minnesota Business Corporations Act or other federal, state or local law, rule, regulation or regulatory order or organizational documents or contracts of Counterparty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1% of the number of Shares outstanding on the date of determination (either such condition described in clause (1) or (2), an “</w:t>
      </w:r>
      <w:r>
        <w:rPr>
          <w:rFonts w:ascii="Times New Roman;Times;Serif" w:hAnsi="Times New Roman;Times;Serif"/>
          <w:b/>
          <w:i w:val="false"/>
          <w:caps w:val="false"/>
          <w:smallCaps w:val="false"/>
          <w:sz w:val="20"/>
        </w:rPr>
        <w:t>Excess Ownership Position</w:t>
      </w:r>
      <w:r>
        <w:rPr>
          <w:rFonts w:ascii="Times New Roman;Times;Serif" w:hAnsi="Times New Roman;Times;Serif"/>
          <w:b w:val="false"/>
          <w:i w:val="false"/>
          <w:caps w:val="false"/>
          <w:smallCaps w:val="false"/>
          <w:sz w:val="20"/>
        </w:rPr>
        <w:t>”), Dealer, in its discretion, is unable to effect a transfer or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 third party after its commercially reasonable efforts on pricing and terms and within a time period reasonably acceptable to Dealer such that an Excess Ownership Position no longer exists, Dealer may designate any Scheduled Trading Day as an Early Termination Date with respect to a portion (the “</w:t>
      </w:r>
      <w:r>
        <w:rPr>
          <w:rFonts w:ascii="Times New Roman;Times;Serif" w:hAnsi="Times New Roman;Times;Serif"/>
          <w:b/>
          <w:i w:val="false"/>
          <w:caps w:val="false"/>
          <w:smallCaps w:val="false"/>
          <w:sz w:val="20"/>
        </w:rPr>
        <w:t>Terminated Portion</w:t>
      </w:r>
      <w:r>
        <w:rPr>
          <w:rFonts w:ascii="Times New Roman;Times;Serif" w:hAnsi="Times New Roman;Times;Serif"/>
          <w:b w:val="false"/>
          <w:i w:val="false"/>
          <w:caps w:val="false"/>
          <w:smallCaps w:val="false"/>
          <w:sz w:val="20"/>
        </w:rPr>
        <w:t>”) of the Transaction, such that an Excess Ownership Position would no longer exist following the resulting partial termination of the Transaction (after taking into account commercially reasonable adjustments to Dealer’s commercially reasonable Hedge Positions from such partial termination). In the event that Dealer so designates an Early Termination Date with respect to a portion of the Transaction, a payment or delivery shall be made pursuant to Section 6 of the Agreement or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Times New Roman;Times;Serif" w:hAnsi="Times New Roman;Times;Serif"/>
          <w:b/>
          <w:i w:val="false"/>
          <w:caps w:val="false"/>
          <w:smallCaps w:val="false"/>
          <w:sz w:val="20"/>
        </w:rPr>
        <w:t>Equity Percentage</w:t>
      </w:r>
      <w:r>
        <w:rPr>
          <w:rFonts w:ascii="Times New Roman;Times;Serif" w:hAnsi="Times New Roman;Times;Serif"/>
          <w:b w:val="false"/>
          <w:i w:val="false"/>
          <w:caps w:val="false"/>
          <w:smallCaps w:val="false"/>
          <w:sz w:val="20"/>
        </w:rPr>
        <w:t>” as of any day is the fraction, expressed as a percentage, (A) the numerator of which is the number of Shares that Dealer and any of its affiliates subject to aggregation with Dealer for purposes of the “beneficial ownership” test under Section 13 of the Exchange Act and all persons who may form a “group” (within the meaning of Rule 13d-5(b)(1) under the Exchange Act) with Dealer (collectively, “</w:t>
      </w:r>
      <w:r>
        <w:rPr>
          <w:rFonts w:ascii="Times New Roman;Times;Serif" w:hAnsi="Times New Roman;Times;Serif"/>
          <w:b/>
          <w:i w:val="false"/>
          <w:caps w:val="false"/>
          <w:smallCaps w:val="false"/>
          <w:sz w:val="20"/>
        </w:rPr>
        <w:t>Dealer Group</w:t>
      </w:r>
      <w:r>
        <w:rPr>
          <w:rFonts w:ascii="Times New Roman;Times;Serif" w:hAnsi="Times New Roman;Times;Serif"/>
          <w:b w:val="false"/>
          <w:i w:val="false"/>
          <w:caps w:val="false"/>
          <w:smallCaps w:val="false"/>
          <w:sz w:val="20"/>
        </w:rPr>
        <w:t>”) “beneficially own”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In the case of a transfer or assignment by Counterparty of its rights and obligations hereunder and under the Agreement, in whole or in part (any such Options so transferred or assigned, the “</w:t>
      </w:r>
      <w:r>
        <w:rPr>
          <w:rFonts w:ascii="Times New Roman;Times;Serif" w:hAnsi="Times New Roman;Times;Serif"/>
          <w:b/>
          <w:i w:val="false"/>
          <w:caps w:val="false"/>
          <w:smallCaps w:val="false"/>
          <w:sz w:val="20"/>
        </w:rPr>
        <w:t>Transfer Options</w:t>
      </w:r>
      <w:r>
        <w:rPr>
          <w:rFonts w:ascii="Times New Roman;Times;Serif" w:hAnsi="Times New Roman;Times;Serif"/>
          <w:b w:val="false"/>
          <w:i w:val="false"/>
          <w:caps w:val="false"/>
          <w:smallCaps w:val="false"/>
          <w:sz w:val="20"/>
        </w:rPr>
        <w:t>”), to any party, withholding of such consent by Dealer shall not be considered unreasonable if such transfer or assignment does not meet the reasonable conditions that Dealer may impose including, but not limited,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Transfer Options, Counterparty shall not be released from its notice and indemnification obligations pursuant to Section 8(e) or any obligations under Section 2 (regarding Extraordinary Events) or 8(d) of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Transfer Options shall only be transferred or assigned to a third party that is a United States person (as defined in Section 7701(a)(30) of the Internal Revenue Code of 1986, as amended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by, and reasonably satisfactory to,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Dealer shall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Event of Default, Potential Event of Default or Termination Event shall not occur as a result of such transfer and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the generality of clause (B), Counterparty shall have caused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Counterparty shall be responsible for all reasonable costs and expenses, including reasonable counsel fees, incurred by Dealer in connection with such transfer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Delivery of Shares</w:t>
      </w:r>
      <w:r>
        <w:rPr>
          <w:rFonts w:ascii="Times New Roman;Times;Serif" w:hAnsi="Times New Roman;Times;Serif"/>
          <w:b w:val="false"/>
          <w:i w:val="false"/>
          <w:caps w:val="false"/>
          <w:smallCaps w:val="false"/>
          <w:sz w:val="20"/>
        </w:rPr>
        <w:t>. Notwithstanding anything to the contrary herein, Dealer may, by prior notice to Counterparty, satisfy its obligation to deliver any Shares or other securities on any date due (an “</w:t>
      </w:r>
      <w:r>
        <w:rPr>
          <w:rFonts w:ascii="Times New Roman;Times;Serif" w:hAnsi="Times New Roman;Times;Serif"/>
          <w:b/>
          <w:i w:val="false"/>
          <w:caps w:val="false"/>
          <w:smallCaps w:val="false"/>
          <w:sz w:val="20"/>
        </w:rPr>
        <w:t>Original Delivery Date</w:t>
      </w:r>
      <w:r>
        <w:rPr>
          <w:rFonts w:ascii="Times New Roman;Times;Serif" w:hAnsi="Times New Roman;Times;Serif"/>
          <w:b w:val="false"/>
          <w:i w:val="false"/>
          <w:caps w:val="false"/>
          <w:smallCaps w:val="false"/>
          <w:sz w:val="20"/>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No Netting and Set-off. </w:t>
      </w:r>
      <w:r>
        <w:rPr>
          <w:rFonts w:ascii="Times New Roman;Times;Serif" w:hAnsi="Times New Roman;Times;Serif"/>
          <w:b w:val="false"/>
          <w:i w:val="false"/>
          <w:caps w:val="false"/>
          <w:smallCaps w:val="false"/>
          <w:sz w:val="20"/>
        </w:rPr>
        <w:t>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Equity Rights</w:t>
      </w:r>
      <w:r>
        <w:rPr>
          <w:rFonts w:ascii="Times New Roman;Times;Serif" w:hAnsi="Times New Roman;Times;Serif"/>
          <w:b w:val="false"/>
          <w:i w:val="false"/>
          <w:caps w:val="false"/>
          <w:smallCaps w:val="false"/>
          <w:sz w:val="20"/>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Early Unwind</w:t>
      </w:r>
      <w:r>
        <w:rPr>
          <w:rFonts w:ascii="Times New Roman;Times;Serif" w:hAnsi="Times New Roman;Times;Serif"/>
          <w:b w:val="false"/>
          <w:i w:val="false"/>
          <w:caps w:val="false"/>
          <w:smallCaps w:val="false"/>
          <w:sz w:val="20"/>
        </w:rPr>
        <w:t>. In the event the sale by Counterparty of the Optional Securities not consummated pursuant to the Purchase Agreement for any reason by the close of business in New York on January 23, 2024 (or such later date as agreed upon by the parties) (January 23, 2024 or such later date being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on the Early Unwind Date and the Transaction and all of the respective rights and obligations of Dealer and Counterparty hereunder shall be cancelled and terminated and Counterparty shall pay to Dealer an amount in cash equal to the aggregate amount of costs and expenses relating to the unwinding of Dealer’s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Agreements and Acknowledgements Regarding Hedgin</w:t>
      </w:r>
      <w:r>
        <w:rPr>
          <w:rFonts w:ascii="Times New Roman;Times;Serif" w:hAnsi="Times New Roman;Times;Serif"/>
          <w:b w:val="false"/>
          <w:i/>
          <w:caps w:val="false"/>
          <w:smallCaps w:val="false"/>
          <w:sz w:val="20"/>
          <w:u w:val="single"/>
        </w:rPr>
        <w:t>g</w:t>
      </w:r>
      <w:r>
        <w:rPr>
          <w:rFonts w:ascii="Times New Roman;Times;Serif" w:hAnsi="Times New Roman;Times;Serif"/>
          <w:b w:val="false"/>
          <w:i w:val="false"/>
          <w:caps w:val="false"/>
          <w:smallCaps w:val="false"/>
          <w:sz w:val="20"/>
        </w:rPr>
        <w:t>. Counterparty understands, acknowledges and agrees that: (A) at any time on 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“Daily VWAP” (as defined in the Indenture); (D) any market activities of Dealer and its affiliates with respect to Shares may affect the market price and volatility of Shares, as well as the “Daily VWAP” (as defined in the Indenture), each in a manner that may be adverse to Counterparty; and (E) the Transaction is a derivatives transaction in which it has granted Dealer an option, and Dealer may purchase shares for its own account at an average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that may be greater than, or less than, the price paid by Counterparty under the terms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Wall Street Transparency and Accountability Act</w:t>
      </w:r>
      <w:r>
        <w:rPr>
          <w:rFonts w:ascii="Times New Roman;Times;Serif" w:hAnsi="Times New Roman;Times;Serif"/>
          <w:b w:val="false"/>
          <w:i w:val="false"/>
          <w:caps w:val="false"/>
          <w:smallCaps w:val="false"/>
          <w:sz w:val="20"/>
        </w:rPr>
        <w:t>. In connection with Section 739 of the Wall Street Transparency and Accountability Act of 2010 (the “</w:t>
      </w:r>
      <w:r>
        <w:rPr>
          <w:rFonts w:ascii="Times New Roman;Times;Serif" w:hAnsi="Times New Roman;Times;Serif"/>
          <w:b/>
          <w:i w:val="false"/>
          <w:caps w:val="false"/>
          <w:smallCaps w:val="false"/>
          <w:sz w:val="20"/>
        </w:rPr>
        <w:t>WSTAA</w:t>
      </w:r>
      <w:r>
        <w:rPr>
          <w:rFonts w:ascii="Times New Roman;Times;Serif" w:hAnsi="Times New Roman;Times;Serif"/>
          <w:b w:val="false"/>
          <w:i w:val="false"/>
          <w:caps w:val="false"/>
          <w:smallCaps w:val="false"/>
          <w:sz w:val="20"/>
        </w:rPr>
        <w:t>”),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xml:space="preserve"> This Confirmation and the Agreement may not be modified, amended or supplemented, except in a written instrument signed by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Confirmation may be executed in several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Withholding Tax imposed on payments to non-US counterparties under the United States Foreign Account Tax Compliance Act. “Indemnifiable Tax” as defined in Section 14 of the Agreement, shall not include any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HIRE Act.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Times;Serif" w:hAnsi="Times New Roman;Times;Serif"/>
          <w:b/>
          <w:i w:val="false"/>
          <w:caps w:val="false"/>
          <w:smallCaps w:val="false"/>
          <w:sz w:val="20"/>
        </w:rPr>
        <w:t>871(m) Protocol</w:t>
      </w:r>
      <w:r>
        <w:rPr>
          <w:rFonts w:ascii="Times New Roman;Times;Serif" w:hAnsi="Times New Roman;Times;Serif"/>
          <w:b w:val="false"/>
          <w:i w:val="false"/>
          <w:caps w:val="false"/>
          <w:smallCaps w:val="false"/>
          <w:sz w:val="20"/>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Tax documentation.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W-8ECI “Certificate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Person’s Claim That Income Is Effectively Connected With the Conduct of a Trade or Business in the United States”, or any successor thereto, (i) on or before the date of execution of this Confirmation, (ii) upon reasonable request of Counterparty and (iii) promptly upon learning that any such tax form previously provided by Dealer has become obsolete or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 Representations. For the purpose of Section 3(f) of the Agreement, Counterparty is a corporation for U.S. federal income tax purposes and is organized under the laws of the State of Minnesota.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For the purpose of Section 3(f) of the Agreement, Dealer represents to Counterparty that (A) it is a “foreign person” (as that term is used in section 1.6041-4(a)(4) of the United States Treasury Regulations) for U.S. federal income tax purposes and (B) each payment received or to be received by it under the Agreement will be effectively connected with its conduct of a trade or business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            Role of Agent</w:t>
      </w:r>
      <w:r>
        <w:rPr>
          <w:rFonts w:ascii="Times New Roman;Times;Serif" w:hAnsi="Times New Roman;Times;Serif"/>
          <w:b w:val="false"/>
          <w:i w:val="false"/>
          <w:caps w:val="false"/>
          <w:smallCaps w:val="false"/>
          <w:sz w:val="20"/>
        </w:rPr>
        <w:t>. Each of Dealer and Counterparty acknowledges to and agrees with the other party hereto and to and with the Agent that (i) the Agent is acting as agent for Dealer under the Transactions pursuant to instructions from such party, (ii) the Agent is not a principal or party to the Transactions, and may transfer its rights and obligations with respect to the Transactions, (iii) the Agent shall have no responsibility, obligation or liability, by way of issuance, guaranty, endorsement or otherwise in any manner with respect to the performance of either party under the Transactions, (iv) Dealer and the Agent have not given, and Counterparty is not relying (for purposes of making any investment decision or otherwise) upon, any statements, opinions or representations (whether written or oral) of Dealer or the Agent, other than the representations expressly set forth in this Confirmation or the Agreement, and (v) each party agrees to proceed solely against the other party, and not the Agent, to collect or recover any money or securities owed to it in connection with the Transactions. Each party hereto acknowledges and agrees that the Agent is an intended third party beneficiary hereunder. Counterparty acknowledges that the Agent is an affiliate of Dealer. Dealer will be acting for its own account in respect of this Confirmation and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tab/>
        <w:t>     </w:t>
        <w:tab/>
        <w:t>     All parties to this Confirmation are giving up the right to sue each other in court, including the right to a trial by jury, except as provided by the rules of the arbitration forum in which a claim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tab/>
        <w:t>     </w:t>
        <w:tab/>
        <w:t>     Arbitration awards are generally final and binding; a party’s ability to have a court reverse or modify an arbitration award is very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tab/>
        <w:t>     </w:t>
        <w:tab/>
        <w:t>     The ability of the parties to obtain documents, witness statements and other discovery is generally more limited in arbitration than in court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tab/>
        <w:t>     </w:t>
        <w:tab/>
        <w:t>     The arbitrators do not have to explain the reason(s) for their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tab/>
        <w:t>     </w:t>
        <w:tab/>
        <w:t>     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tab/>
        <w:t>     </w:t>
        <w:tab/>
        <w:t>     The rules of some arbitration forums may impose time limits for bringing a claim in arbitration. In some cases, a claim that is ineligible for arbitration may be brought in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tab/>
        <w:t>     </w:t>
        <w:tab/>
        <w:t>     The rules of the arbitration forum in which the claim is filed, and any amendments thereto, shall be incorporated into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t>
        <w:tab/>
        <w:t>     </w:t>
        <w:tab/>
        <w:t>     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the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tab/>
        <w:t>     </w:t>
        <w:tab/>
        <w:t>     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 (iii) Counterparty is excluded from the class by the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tab/>
        <w:t>     </w:t>
        <w:tab/>
        <w:t>     Such forbearance to enforce an agreement to arbitrate shall not constitute a waiver of any rights under this Confirmation except to the extent stated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Dealer.</w:t>
      </w:r>
    </w:p>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710"/>
        <w:gridCol w:w="3920"/>
      </w:tblGrid>
      <w:tr>
        <w:trPr/>
        <w:tc>
          <w:tcPr>
            <w:tcW w:w="75" w:type="dxa"/>
            <w:tcBorders/>
            <w:vAlign w:val="center"/>
          </w:tcPr>
          <w:p>
            <w:pPr>
              <w:pStyle w:val="TableContents"/>
              <w:bidi w:val="0"/>
              <w:spacing w:before="0" w:after="283"/>
              <w:jc w:val="both"/>
              <w:rPr/>
            </w:pPr>
            <w:r>
              <w:rPr/>
              <w:t> </w:t>
            </w:r>
          </w:p>
        </w:tc>
        <w:tc>
          <w:tcPr>
            <w:tcW w:w="463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Yours faithfully,</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463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BMO CAPITAL MARKETS CORP.</w:t>
            </w:r>
          </w:p>
        </w:tc>
      </w:tr>
      <w:tr>
        <w:trPr/>
        <w:tc>
          <w:tcPr>
            <w:tcW w:w="75" w:type="dxa"/>
            <w:tcBorders/>
            <w:vAlign w:val="center"/>
          </w:tcPr>
          <w:p>
            <w:pPr>
              <w:pStyle w:val="TableContents"/>
              <w:bidi w:val="0"/>
              <w:spacing w:before="0" w:after="283"/>
              <w:jc w:val="both"/>
              <w:rPr/>
            </w:pPr>
            <w:r>
              <w:rPr/>
              <w:t> </w:t>
            </w:r>
          </w:p>
        </w:tc>
        <w:tc>
          <w:tcPr>
            <w:tcW w:w="463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agent for </w:t>
            </w:r>
            <w:r>
              <w:rPr>
                <w:rFonts w:ascii="Times New Roman;Times;Serif" w:hAnsi="Times New Roman;Times;Serif"/>
                <w:b/>
                <w:sz w:val="20"/>
              </w:rPr>
              <w:t>BANK OF MONTREAL</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u w:val="single"/>
              </w:rPr>
            </w:pPr>
            <w:r>
              <w:rPr>
                <w:u w:val="single"/>
              </w:rPr>
              <w:t> </w:t>
            </w:r>
          </w:p>
        </w:tc>
        <w:tc>
          <w:tcPr>
            <w:tcW w:w="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920" w:type="dxa"/>
            <w:tcBorders>
              <w:bottom w:val="single" w:sz="8" w:space="0" w:color="000000"/>
            </w:tcBorders>
            <w:tcMar>
              <w:bottom w:w="28" w:type="dxa"/>
            </w:tcMar>
            <w:vAlign w:val="center"/>
          </w:tcPr>
          <w:p>
            <w:pPr>
              <w:pStyle w:val="TableContents"/>
              <w:bidi w:val="0"/>
              <w:spacing w:before="0" w:after="283"/>
              <w:jc w:val="both"/>
              <w:rPr/>
            </w:pPr>
            <w:r>
              <w:rPr/>
              <w:t>/s/ Eric Benedict</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 xml:space="preserve">Name: </w:t>
            </w:r>
          </w:p>
        </w:tc>
        <w:tc>
          <w:tcPr>
            <w:tcW w:w="3920" w:type="dxa"/>
            <w:tcBorders/>
            <w:vAlign w:val="center"/>
          </w:tcPr>
          <w:p>
            <w:pPr>
              <w:pStyle w:val="TableContents"/>
              <w:bidi w:val="0"/>
              <w:spacing w:before="0" w:after="283"/>
              <w:jc w:val="both"/>
              <w:rPr/>
            </w:pPr>
            <w:r>
              <w:rPr/>
              <w:t>Eric Benedict</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 xml:space="preserve">Title: </w:t>
            </w:r>
          </w:p>
        </w:tc>
        <w:tc>
          <w:tcPr>
            <w:tcW w:w="3920" w:type="dxa"/>
            <w:tcBorders/>
            <w:vAlign w:val="center"/>
          </w:tcPr>
          <w:p>
            <w:pPr>
              <w:pStyle w:val="TableContents"/>
              <w:bidi w:val="0"/>
              <w:spacing w:before="0" w:after="283"/>
              <w:jc w:val="both"/>
              <w:rPr/>
            </w:pPr>
            <w:r>
              <w:rPr/>
              <w:t>Co-Head, Global Equity Capital Markets</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463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BANK OF MONTREAL</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9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Brian Riley</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Brian Riley</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Director, Global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Additional Bond Hedge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80" w:type="dxa"/>
        <w:jc w:val="left"/>
        <w:tblInd w:w="0" w:type="dxa"/>
        <w:tblLayout w:type="fixed"/>
        <w:tblCellMar>
          <w:top w:w="0" w:type="dxa"/>
          <w:left w:w="0" w:type="dxa"/>
          <w:bottom w:w="0" w:type="dxa"/>
          <w:right w:w="0" w:type="dxa"/>
        </w:tblCellMar>
      </w:tblPr>
      <w:tblGrid>
        <w:gridCol w:w="335"/>
        <w:gridCol w:w="545"/>
        <w:gridCol w:w="2225"/>
        <w:gridCol w:w="75"/>
      </w:tblGrid>
      <w:tr>
        <w:trPr/>
        <w:tc>
          <w:tcPr>
            <w:tcW w:w="310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Agreed and Accepted By:</w:t>
            </w:r>
          </w:p>
        </w:tc>
        <w:tc>
          <w:tcPr>
            <w:tcW w:w="75" w:type="dxa"/>
            <w:tcBorders/>
            <w:vAlign w:val="center"/>
          </w:tcPr>
          <w:p>
            <w:pPr>
              <w:pStyle w:val="TableContents"/>
              <w:bidi w:val="0"/>
              <w:spacing w:before="0" w:after="283"/>
              <w:jc w:val="left"/>
              <w:rPr/>
            </w:pPr>
            <w:r>
              <w:rPr/>
              <w:t> </w:t>
            </w:r>
          </w:p>
        </w:tc>
      </w:tr>
      <w:tr>
        <w:trPr/>
        <w:tc>
          <w:tcPr>
            <w:tcW w:w="310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05" w:type="dxa"/>
            <w:gridSpan w:val="3"/>
            <w:tcBorders/>
            <w:vAlign w:val="center"/>
          </w:tcPr>
          <w:p>
            <w:pPr>
              <w:pStyle w:val="TableContents"/>
              <w:bidi w:val="0"/>
              <w:spacing w:before="0" w:after="283"/>
              <w:jc w:val="left"/>
              <w:rPr/>
            </w:pPr>
            <w:r>
              <w:rPr>
                <w:rFonts w:ascii="Times New Roman;Times;Serif" w:hAnsi="Times New Roman;Times;Serif"/>
                <w:b/>
                <w:caps/>
                <w:sz w:val="20"/>
              </w:rPr>
              <w:t>WINNEBAGO industries</w:t>
            </w:r>
            <w:r>
              <w:rPr>
                <w:rFonts w:ascii="Times New Roman;Times;Serif" w:hAnsi="Times New Roman;Times;Serif"/>
                <w:b/>
                <w:sz w:val="20"/>
              </w:rPr>
              <w:t>, INC.</w:t>
            </w:r>
          </w:p>
        </w:tc>
        <w:tc>
          <w:tcPr>
            <w:tcW w:w="75" w:type="dxa"/>
            <w:tcBorders/>
            <w:vAlign w:val="center"/>
          </w:tcPr>
          <w:p>
            <w:pPr>
              <w:pStyle w:val="TableContents"/>
              <w:bidi w:val="0"/>
              <w:spacing w:before="0" w:after="283"/>
              <w:jc w:val="left"/>
              <w:rPr/>
            </w:pPr>
            <w:r>
              <w:rPr/>
              <w:t> </w:t>
            </w:r>
          </w:p>
        </w:tc>
      </w:tr>
      <w:tr>
        <w:trPr/>
        <w:tc>
          <w:tcPr>
            <w:tcW w:w="310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Bryan L. Hughes</w:t>
            </w:r>
          </w:p>
        </w:tc>
        <w:tc>
          <w:tcPr>
            <w:tcW w:w="75" w:type="dxa"/>
            <w:tcBorders/>
            <w:vAlign w:val="center"/>
          </w:tcPr>
          <w:p>
            <w:pPr>
              <w:pStyle w:val="TableContents"/>
              <w:bidi w:val="0"/>
              <w:spacing w:before="0" w:after="283"/>
              <w:jc w:val="left"/>
              <w:rPr>
                <w:sz w:val="4"/>
                <w:szCs w:val="4"/>
              </w:rPr>
            </w:pPr>
            <w:r>
              <w:rPr>
                <w:sz w:val="4"/>
                <w:szCs w:val="4"/>
              </w:rPr>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Bryan L. Hughes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BMO Additional Bond Hedge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36" w:name="tm243871d1_ex10-7.htm"/>
      <w:bookmarkStart w:id="37" w:name="kstm243871d1_ex107"/>
      <w:bookmarkEnd w:id="36"/>
      <w:bookmarkEnd w:id="3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 Madison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Transaction</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575"/>
        <w:gridCol w:w="4010"/>
      </w:tblGrid>
      <w:tr>
        <w:trPr/>
        <w:tc>
          <w:tcPr>
            <w:tcW w:w="575" w:type="dxa"/>
            <w:tcBorders/>
            <w:vAlign w:val="center"/>
          </w:tcPr>
          <w:p>
            <w:pPr>
              <w:pStyle w:val="TableContents"/>
              <w:bidi w:val="0"/>
              <w:spacing w:before="0" w:after="283"/>
              <w:jc w:val="left"/>
              <w:rPr>
                <w:b/>
                <w:sz w:val="20"/>
              </w:rPr>
            </w:pPr>
            <w:r>
              <w:rPr>
                <w:b/>
                <w:sz w:val="20"/>
              </w:rPr>
              <w:t>To:</w:t>
            </w:r>
          </w:p>
        </w:tc>
        <w:tc>
          <w:tcPr>
            <w:tcW w:w="40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Minnesota 55347</w:t>
            </w:r>
          </w:p>
        </w:tc>
      </w:tr>
      <w:tr>
        <w:trPr/>
        <w:tc>
          <w:tcPr>
            <w:tcW w:w="57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From:</w:t>
            </w:r>
          </w:p>
        </w:tc>
        <w:tc>
          <w:tcPr>
            <w:tcW w:w="40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r>
      <w:tr>
        <w:trPr/>
        <w:tc>
          <w:tcPr>
            <w:tcW w:w="57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Re:</w:t>
            </w:r>
          </w:p>
        </w:tc>
        <w:tc>
          <w:tcPr>
            <w:tcW w:w="4010" w:type="dxa"/>
            <w:tcBorders/>
            <w:vAlign w:val="center"/>
          </w:tcPr>
          <w:p>
            <w:pPr>
              <w:pStyle w:val="TableContents"/>
              <w:bidi w:val="0"/>
              <w:spacing w:before="0" w:after="283"/>
              <w:jc w:val="left"/>
              <w:rPr>
                <w:sz w:val="20"/>
              </w:rPr>
            </w:pPr>
            <w:r>
              <w:rPr>
                <w:sz w:val="20"/>
              </w:rPr>
              <w:t>Additional Convertible Bond Hedge Transaction</w:t>
            </w:r>
          </w:p>
        </w:tc>
      </w:tr>
      <w:tr>
        <w:trPr/>
        <w:tc>
          <w:tcPr>
            <w:tcW w:w="575"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Date:</w:t>
            </w:r>
          </w:p>
        </w:tc>
        <w:tc>
          <w:tcPr>
            <w:tcW w:w="4010" w:type="dxa"/>
            <w:tcBorders/>
            <w:vAlign w:val="center"/>
          </w:tcPr>
          <w:p>
            <w:pPr>
              <w:pStyle w:val="TableContents"/>
              <w:bidi w:val="0"/>
              <w:spacing w:before="0" w:after="283"/>
              <w:jc w:val="both"/>
              <w:rPr>
                <w:sz w:val="20"/>
              </w:rPr>
            </w:pPr>
            <w:r>
              <w:rPr>
                <w:sz w:val="20"/>
              </w:rPr>
              <w:t>January 19, 2024</w:t>
            </w:r>
          </w:p>
        </w:tc>
      </w:tr>
    </w:tbl>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communication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set forth the terms and conditions of the above-referenced transaction entered into on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between J.P. Morgan Securities LLC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Winnebago Industries, Inc.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This communication constitutes a “Confirmation” as referred to in the ISDA Master Agreement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Confirmation is subject to, and incorporates, the definitions and provisions of the 2006 ISDA Definitions (the “</w:t>
      </w:r>
      <w:r>
        <w:rPr>
          <w:rFonts w:ascii="Times New Roman;Times;Serif" w:hAnsi="Times New Roman;Times;Serif"/>
          <w:b/>
          <w:i w:val="false"/>
          <w:caps w:val="false"/>
          <w:smallCaps w:val="false"/>
          <w:sz w:val="20"/>
        </w:rPr>
        <w:t>2006 Definitions</w:t>
      </w:r>
      <w:r>
        <w:rPr>
          <w:rFonts w:ascii="Times New Roman;Times;Serif" w:hAnsi="Times New Roman;Times;Serif"/>
          <w:b w:val="false"/>
          <w:i w:val="false"/>
          <w:caps w:val="false"/>
          <w:smallCaps w:val="false"/>
          <w:sz w:val="20"/>
        </w:rPr>
        <w:t>”) and the definitions and provisions of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together with the 2006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Certain defined terms used herein have the meanings assigned to them in the Indenture to be dated as of January 23, 2024 between Counterparty and U.S. Bank Trust Company, National Association, as trustee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relating to the USD 300,000,000 principal amount of 3.25% Convertible Senior Notes due 2030 (the “</w:t>
      </w:r>
      <w:r>
        <w:rPr>
          <w:rFonts w:ascii="Times New Roman;Times;Serif" w:hAnsi="Times New Roman;Times;Serif"/>
          <w:b/>
          <w:i w:val="false"/>
          <w:caps w:val="false"/>
          <w:smallCaps w:val="false"/>
          <w:sz w:val="20"/>
        </w:rPr>
        <w:t>Base Convertible Securities</w:t>
      </w:r>
      <w:r>
        <w:rPr>
          <w:rFonts w:ascii="Times New Roman;Times;Serif" w:hAnsi="Times New Roman;Times;Serif"/>
          <w:b w:val="false"/>
          <w:i w:val="false"/>
          <w:caps w:val="false"/>
          <w:smallCaps w:val="false"/>
          <w:sz w:val="20"/>
        </w:rPr>
        <w:t>”) and the additional USD 50,000,000 principal amount of 3.25% Convertible Senior Notes due 2030 issued pursuant to the option to purchase additional convertible securities exercised on the date hereof (the “</w:t>
      </w:r>
      <w:r>
        <w:rPr>
          <w:rFonts w:ascii="Times New Roman;Times;Serif" w:hAnsi="Times New Roman;Times;Serif"/>
          <w:b/>
          <w:i w:val="false"/>
          <w:caps w:val="false"/>
          <w:smallCaps w:val="false"/>
          <w:sz w:val="20"/>
        </w:rPr>
        <w:t>Optional Convertible Securities</w:t>
      </w:r>
      <w:r>
        <w:rPr>
          <w:rFonts w:ascii="Times New Roman;Times;Serif" w:hAnsi="Times New Roman;Times;Serif"/>
          <w:b w:val="false"/>
          <w:i w:val="false"/>
          <w:caps w:val="false"/>
          <w:smallCaps w:val="false"/>
          <w:sz w:val="20"/>
        </w:rPr>
        <w:t>” and, together with the Base Convertible Securities, the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In the event of any inconsistency between the terms defined in the Indenture and this Confirmation, this Confirmation shall govern. For the avoidance of doubt, references herein to sections of, or definitions set forth in, the Indenture are based on the draft of the Indenture most recently reviewed by the parties at the time of execution of this Confirmation. If any relevant sections of, or definitions set forth in, the Indenture are changed, added or renumbered between the execution of this Confirmation and the execution of the Indenture, the parties will amend this Confirmation in good faith to preserve the economic intent of the parties, as evidenced by such draft of the Indenture. Subject to the foregoing, the parties acknowledge that references to the Indenture herein are references to the Indenture as in effect on the date of its execution and if the Indenture is, or the Convertible Securities are, amended, modified or supplemented following the date of their execution, any such amendment, modification or supplement (other than any amendment, modification or supplement pursuant to a Merger Supplemental Indenture (as defined below)) will be disregarded for purposes of this Confirmation unless the parties agree otherwise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evidences a complete and binding agreement between Dealer and Counterparty as to the terms of the Transaction to which this Confirmation relates. This Confirmation shall be subject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as the Termination Currency, (ii) the replacement of the word “third” in the last line of Section 5(a)(i) of the Agreement with the word “first”, and (iii) (a) the election that the “Cross Default” provisions of Section 5(a)(vi) of the Agreement shall apply to Counterparty with a “Threshold Amount” of USD35.0 million) (b) </w:t>
      </w:r>
      <w:r>
        <w:rPr>
          <w:rFonts w:ascii="Times New Roman;Times;Serif" w:hAnsi="Times New Roman;Times;Serif"/>
          <w:b w:val="false"/>
          <w:i w:val="false"/>
          <w:caps w:val="false"/>
          <w:smallCaps w:val="false"/>
          <w:sz w:val="20"/>
          <w:shd w:fill="FFFFFF" w:val="clear"/>
        </w:rPr>
        <w:t> the phrase “,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constitutes a Share Option Transaction for purposes of the Equity Definitions. The terms of the particular Transaction to which this Confirmation relates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7"/>
        <w:gridCol w:w="60"/>
        <w:gridCol w:w="8498"/>
      </w:tblGrid>
      <w:tr>
        <w:trPr/>
        <w:tc>
          <w:tcPr>
            <w:tcW w:w="1647" w:type="dxa"/>
            <w:tcBorders/>
            <w:vAlign w:val="center"/>
          </w:tcPr>
          <w:p>
            <w:pPr>
              <w:pStyle w:val="TableContents"/>
              <w:bidi w:val="0"/>
              <w:spacing w:before="0" w:after="283"/>
              <w:jc w:val="left"/>
              <w:rPr/>
            </w:pPr>
            <w:r>
              <w:rPr/>
              <w:t>Trade Date:</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January 19, 2024</w:t>
            </w:r>
          </w:p>
        </w:tc>
      </w:tr>
      <w:tr>
        <w:trPr/>
        <w:tc>
          <w:tcPr>
            <w:tcW w:w="1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 </w:t>
            </w:r>
          </w:p>
        </w:tc>
      </w:tr>
      <w:tr>
        <w:trPr/>
        <w:tc>
          <w:tcPr>
            <w:tcW w:w="1647" w:type="dxa"/>
            <w:tcBorders/>
            <w:vAlign w:val="center"/>
          </w:tcPr>
          <w:p>
            <w:pPr>
              <w:pStyle w:val="TableContents"/>
              <w:bidi w:val="0"/>
              <w:spacing w:before="0" w:after="283"/>
              <w:jc w:val="left"/>
              <w:rPr/>
            </w:pPr>
            <w:r>
              <w:rPr/>
              <w:t>Effective Date:</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The closing date of the issuance of the Convertible Securities issued pursuant to the option to purchase additional Convertible Securities exercised on the date hereof.</w:t>
            </w:r>
          </w:p>
        </w:tc>
      </w:tr>
      <w:tr>
        <w:trPr/>
        <w:tc>
          <w:tcPr>
            <w:tcW w:w="1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 </w:t>
            </w:r>
          </w:p>
        </w:tc>
      </w:tr>
      <w:tr>
        <w:trPr/>
        <w:tc>
          <w:tcPr>
            <w:tcW w:w="1647" w:type="dxa"/>
            <w:tcBorders/>
            <w:vAlign w:val="center"/>
          </w:tcPr>
          <w:p>
            <w:pPr>
              <w:pStyle w:val="TableContents"/>
              <w:bidi w:val="0"/>
              <w:spacing w:before="0" w:after="283"/>
              <w:jc w:val="left"/>
              <w:rPr/>
            </w:pPr>
            <w:r>
              <w:rPr/>
              <w:t>Option Style:</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Modified American, as described under “Procedures for Exercise” below.</w:t>
            </w:r>
          </w:p>
        </w:tc>
      </w:tr>
      <w:tr>
        <w:trPr/>
        <w:tc>
          <w:tcPr>
            <w:tcW w:w="1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 </w:t>
            </w:r>
          </w:p>
        </w:tc>
      </w:tr>
      <w:tr>
        <w:trPr/>
        <w:tc>
          <w:tcPr>
            <w:tcW w:w="1647" w:type="dxa"/>
            <w:tcBorders/>
            <w:vAlign w:val="center"/>
          </w:tcPr>
          <w:p>
            <w:pPr>
              <w:pStyle w:val="TableContents"/>
              <w:bidi w:val="0"/>
              <w:spacing w:before="0" w:after="283"/>
              <w:jc w:val="left"/>
              <w:rPr/>
            </w:pPr>
            <w:r>
              <w:rPr/>
              <w:t>Option Type:</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Call</w:t>
            </w:r>
          </w:p>
        </w:tc>
      </w:tr>
      <w:tr>
        <w:trPr/>
        <w:tc>
          <w:tcPr>
            <w:tcW w:w="1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 </w:t>
            </w:r>
          </w:p>
        </w:tc>
      </w:tr>
      <w:tr>
        <w:trPr/>
        <w:tc>
          <w:tcPr>
            <w:tcW w:w="1647" w:type="dxa"/>
            <w:tcBorders/>
            <w:vAlign w:val="center"/>
          </w:tcPr>
          <w:p>
            <w:pPr>
              <w:pStyle w:val="TableContents"/>
              <w:bidi w:val="0"/>
              <w:spacing w:before="0" w:after="283"/>
              <w:jc w:val="left"/>
              <w:rPr/>
            </w:pPr>
            <w:r>
              <w:rPr/>
              <w:t>Seller:</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Dealer</w:t>
            </w:r>
          </w:p>
        </w:tc>
      </w:tr>
      <w:tr>
        <w:trPr/>
        <w:tc>
          <w:tcPr>
            <w:tcW w:w="1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 </w:t>
            </w:r>
          </w:p>
        </w:tc>
      </w:tr>
      <w:tr>
        <w:trPr/>
        <w:tc>
          <w:tcPr>
            <w:tcW w:w="1647" w:type="dxa"/>
            <w:tcBorders/>
            <w:vAlign w:val="center"/>
          </w:tcPr>
          <w:p>
            <w:pPr>
              <w:pStyle w:val="TableContents"/>
              <w:bidi w:val="0"/>
              <w:spacing w:before="0" w:after="283"/>
              <w:jc w:val="left"/>
              <w:rPr/>
            </w:pPr>
            <w:r>
              <w:rPr/>
              <w:t>Buyer:</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Counterparty</w:t>
            </w:r>
          </w:p>
        </w:tc>
      </w:tr>
      <w:tr>
        <w:trPr/>
        <w:tc>
          <w:tcPr>
            <w:tcW w:w="1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 </w:t>
            </w:r>
          </w:p>
        </w:tc>
      </w:tr>
      <w:tr>
        <w:trPr/>
        <w:tc>
          <w:tcPr>
            <w:tcW w:w="1647" w:type="dxa"/>
            <w:tcBorders/>
            <w:vAlign w:val="center"/>
          </w:tcPr>
          <w:p>
            <w:pPr>
              <w:pStyle w:val="TableContents"/>
              <w:bidi w:val="0"/>
              <w:spacing w:before="0" w:after="283"/>
              <w:jc w:val="left"/>
              <w:rPr/>
            </w:pPr>
            <w:r>
              <w:rPr/>
              <w:t>Shares:</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The Common Stock of Counterparty, par value USD0.50 (Ticker Symbol: “WGO”).</w:t>
            </w:r>
          </w:p>
        </w:tc>
      </w:tr>
      <w:tr>
        <w:trPr/>
        <w:tc>
          <w:tcPr>
            <w:tcW w:w="1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 </w:t>
            </w:r>
          </w:p>
        </w:tc>
      </w:tr>
      <w:tr>
        <w:trPr/>
        <w:tc>
          <w:tcPr>
            <w:tcW w:w="1647" w:type="dxa"/>
            <w:tcBorders/>
            <w:vAlign w:val="center"/>
          </w:tcPr>
          <w:p>
            <w:pPr>
              <w:pStyle w:val="TableContents"/>
              <w:bidi w:val="0"/>
              <w:spacing w:before="0" w:after="283"/>
              <w:jc w:val="left"/>
              <w:rPr/>
            </w:pPr>
            <w:r>
              <w:rPr/>
              <w:t>Applicable Percentage:</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33 1/3%</w:t>
            </w:r>
          </w:p>
        </w:tc>
      </w:tr>
      <w:tr>
        <w:trPr/>
        <w:tc>
          <w:tcPr>
            <w:tcW w:w="1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 </w:t>
            </w:r>
          </w:p>
        </w:tc>
      </w:tr>
      <w:tr>
        <w:trPr/>
        <w:tc>
          <w:tcPr>
            <w:tcW w:w="1647" w:type="dxa"/>
            <w:tcBorders/>
            <w:vAlign w:val="center"/>
          </w:tcPr>
          <w:p>
            <w:pPr>
              <w:pStyle w:val="TableContents"/>
              <w:bidi w:val="0"/>
              <w:spacing w:before="0" w:after="283"/>
              <w:jc w:val="left"/>
              <w:rPr/>
            </w:pPr>
            <w:r>
              <w:rPr/>
              <w:t>Number of Options:</w:t>
            </w:r>
          </w:p>
        </w:tc>
        <w:tc>
          <w:tcPr>
            <w:tcW w:w="60"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both"/>
              <w:rPr/>
            </w:pPr>
            <w:r>
              <w:rPr/>
              <w:t>The number of Optional Convertible Securities in denominations of USD1,000 principal amount purchased by the Initial Purchasers (as defined in the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5"/>
        <w:gridCol w:w="60"/>
        <w:gridCol w:w="8760"/>
      </w:tblGrid>
      <w:tr>
        <w:trPr/>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Purchase Agreement), at their option pursuant to Section 2 of the Purchase Agreement (as defined below). For the avoidance of doubt, the Number of Options outstanding shall be reduced by each exercise of Options hereunder.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Entitlement: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11.3724</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Fundamental Change Adjustment: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adjustment to the Conversion Rate pursuant to Section 5.07 of the Indenture.</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Adjustment: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adjustment to the Conversion Rate pursuant to Section 5.06 of the Indenture.</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Strike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USD87.9322</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Rounding of Strike Price/ Option Entitlement:</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In connection with any adjustment to the Option Entitlement or Strike Price, the Option Entitlement or the Strike Price, as the case may be, shall be rounded by the Calculation Agent in accordance with the provisions of the Indenture relating to rounding of the “Conversion Price” or the “Conversion Rate” as applicable (each as defined in the Indenture).</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0" w:type="dxa"/>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any date, a number of Shares equal to the product of (i) the Applicable Percentage, (ii) the Number of Options and (iii) the Option Entitlement.</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Premium: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sz w:val="20"/>
              </w:rPr>
            </w:pPr>
            <w:r>
              <w:rPr>
                <w:sz w:val="20"/>
              </w:rPr>
              <w:t>USD3,270,000</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 Payment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Exchange: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The New York Stock Exchange</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Exchange: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Exchanges</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Procedures for Exercise:</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Dates: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Conversion Date.</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“Conversion Date” (as defined in the Indenture) occurring during the Exercise Period for Convertible Securities each in denominations of USD1,000 principal amount that are not “Relevant Convertible Securities” under (and as defined in) the confirmation between the parties hereto regarding the Base Convertible Bond Hedge Transaction dated January 18, 2024 (the “</w:t>
            </w:r>
            <w:r>
              <w:rPr>
                <w:rFonts w:ascii="Times New Roman;Times;Serif" w:hAnsi="Times New Roman;Times;Serif"/>
                <w:b/>
                <w:i w:val="false"/>
                <w:caps w:val="false"/>
                <w:smallCaps w:val="false"/>
                <w:sz w:val="20"/>
              </w:rPr>
              <w:t>Base Convertible Bond Hedge Transaction Confirmation”</w:t>
            </w:r>
            <w:r>
              <w:rPr>
                <w:rFonts w:ascii="Times New Roman;Times;Serif" w:hAnsi="Times New Roman;Times;Serif"/>
                <w:b w:val="false"/>
                <w:i w:val="false"/>
                <w:caps w:val="false"/>
                <w:smallCaps w:val="false"/>
                <w:sz w:val="20"/>
              </w:rPr>
              <w:t>) (such Convertible Securities, the “</w:t>
            </w:r>
            <w:r>
              <w:rPr>
                <w:rFonts w:ascii="Times New Roman;Times;Serif" w:hAnsi="Times New Roman;Times;Serif"/>
                <w:b/>
                <w:i w:val="false"/>
                <w:caps w:val="false"/>
                <w:smallCaps w:val="false"/>
                <w:sz w:val="20"/>
              </w:rPr>
              <w:t>Relevant Convertible Securities”</w:t>
            </w:r>
            <w:r>
              <w:rPr>
                <w:rFonts w:ascii="Times New Roman;Times;Serif" w:hAnsi="Times New Roman;Times;Serif"/>
                <w:b w:val="false"/>
                <w:i w:val="false"/>
                <w:caps w:val="false"/>
                <w:smallCaps w:val="false"/>
                <w:sz w:val="20"/>
              </w:rPr>
              <w:t xml:space="preserve"> for such Conversion Date). For the purposes of determining whether any Convertible Securities will be Relevant Convertible Securities hereunder or “Relevant Convertible Securities” under the Base Convertible Bond Hedge Transaction Confirmation, Convertible Securities that are converted pursuant to the Indenture shall be allocated first to the Base Convertible Bond Hedge Transaction Confirmation until all Options thereunder are exercised or terminated.</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60" w:type="dxa"/>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period from and excluding the Effective Date 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0"/>
        <w:gridCol w:w="60"/>
        <w:gridCol w:w="8955"/>
      </w:tblGrid>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283"/>
              <w:jc w:val="both"/>
              <w:rPr>
                <w:sz w:val="20"/>
              </w:rPr>
            </w:pPr>
            <w:r>
              <w:rPr>
                <w:sz w:val="20"/>
              </w:rPr>
              <w:t>and including, the Expiration Date.</w:t>
            </w:r>
          </w:p>
        </w:tc>
      </w:tr>
      <w:tr>
        <w:trPr/>
        <w:tc>
          <w:tcPr>
            <w:tcW w:w="1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283"/>
              <w:jc w:val="both"/>
              <w:rPr/>
            </w:pPr>
            <w:r>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earlier of (i) the last day on which any Convertible Securities remain outstanding and (ii) the second “Scheduled Trading Day” (as defined in the Indenture) immediately preceding the “Maturity Date” (as defined in the Indenture).</w:t>
            </w:r>
          </w:p>
        </w:tc>
      </w:tr>
      <w:tr>
        <w:trPr/>
        <w:tc>
          <w:tcPr>
            <w:tcW w:w="1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283"/>
              <w:jc w:val="both"/>
              <w:rPr/>
            </w:pPr>
            <w:r>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Automatic Exercise on Conversion Dates: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and means that on each Conversion Date, a number of Options equal to the number of Relevant Convertible Securities for such Conversion Date in denominations of USD1,000 principal amount shall be automatically exercised, subject to “Notice of Exercise” below.</w:t>
            </w:r>
          </w:p>
        </w:tc>
      </w:tr>
      <w:tr>
        <w:trPr/>
        <w:tc>
          <w:tcPr>
            <w:tcW w:w="1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283"/>
              <w:jc w:val="both"/>
              <w:rPr/>
            </w:pPr>
            <w:r>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Deadline: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any exercise of Options hereunder on any Conversion Date, 5:00 P.M., New York City time, on (i) in the case the applicable Relevant Convertible Securities will be settled by Counterparty by delivery of Shares only (together with cash in lieu of any fractional Share), the “Trading Day” (as defined in the Indenture) immediately following the relevant Conversion Date, or (ii) otherwise, the Scheduled Trading Day immediately preceding the first day of the relevant Cash Settlement Averaging Period; provided that in the case of any exercise of Options hereunder in connection with the conversion of any Relevant Convertible Securities for any Conversion Date occurring during the period from and including the 85th “Scheduled Trading Day” (as defined in the Indenture) prior to the Maturity Date, to and including the Expiration Date (such period, the “</w:t>
            </w:r>
            <w:r>
              <w:rPr>
                <w:rFonts w:ascii="Times New Roman;Times;Serif" w:hAnsi="Times New Roman;Times;Serif"/>
                <w:b/>
                <w:i w:val="false"/>
                <w:caps w:val="false"/>
                <w:smallCaps w:val="false"/>
                <w:sz w:val="20"/>
              </w:rPr>
              <w:t>Final Conversion Period”</w:t>
            </w:r>
            <w:r>
              <w:rPr>
                <w:rFonts w:ascii="Times New Roman;Times;Serif" w:hAnsi="Times New Roman;Times;Serif"/>
                <w:b w:val="false"/>
                <w:i w:val="false"/>
                <w:caps w:val="false"/>
                <w:smallCaps w:val="false"/>
                <w:sz w:val="20"/>
              </w:rPr>
              <w:t>), the Notice Deadline shall be 5:00 P.M., New York City time, on the “Scheduled Trading Day” (as defined in the Indenture) immediately preceding the “Maturity Date” (as defined in the Indenture).</w:t>
            </w:r>
          </w:p>
        </w:tc>
      </w:tr>
      <w:tr>
        <w:trPr/>
        <w:tc>
          <w:tcPr>
            <w:tcW w:w="11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283"/>
              <w:jc w:val="both"/>
              <w:rPr/>
            </w:pPr>
            <w:r>
              <w:rPr/>
              <w:t> </w:t>
            </w:r>
          </w:p>
        </w:tc>
      </w:tr>
      <w:tr>
        <w:trPr/>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Exercise: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Equity Definitions, Dealer shall have no obligation to make any payment or delivery in respect of any exercise of Options hereunder and such obligation in respect of such exercise shall be permanently extinguished unless Counterparty notifies Dealer in writing prior to the Notice Deadline in respect of such exercise, of (i) the number of Relevant Convertible Securities being converted on the related Conversion Date (specifying, if applicable, whether all or any portion of such Convertible Securities are Convertible Securities as to which additional Shares would be added to the Conversion Rate (as defined in the Indenture) pursuant to Section 5.07 of the Indenture), (ii) the scheduled settlement date under the Indenture for the Relevant Convertible Securities for such Conversion Date, (iii) whether such Relevant Convertible Securities will be settled by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1"/>
        <w:gridCol w:w="60"/>
        <w:gridCol w:w="8634"/>
      </w:tblGrid>
      <w:tr>
        <w:trPr/>
        <w:tc>
          <w:tcPr>
            <w:tcW w:w="151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by delivery of cash or a combination of cash and Shares and, if such a combination, the “Specified Dollar Amount” (as defined in the Indenture) and (iv) the first day of the relevant “Observation Period” (as defined in the Indenture), if any; provided that in the case of any exercise of Options in connection with the conversion of any Relevant Convertible Securities for any Conversion Date occurring during the Final Conversion Period, the contents of such notice shall be as set forth in clauses (i) and (ii) above; provided, further, that any “Notice of Exercise” delivered to Dealer pursuant to the Base Convertible Bond Hedge Transaction Confirmation shall be deemed to be a Notice of Exercise pursuant to this Confirmation and the terms of such Notice of Exercise shall apply, mutatis mutandis, to this Confirmation.. Counterparty acknowledges its responsibilities under applicable securities laws, and in particular Section 9 and Section 10(b) of the Exchange Act (as defined below) and the rules and regulations thereunder, in respect of any election of a settlement method with respect to the Convertible Securities. For the avoidance of doubt, if Counterparty fails to give such notice when due in respect of any exercise of Options hereunder, Dealer’s obligation to make any payment or delivery in respect of such exercise shall be permanently extinguished, and late notice shall not cure such failure. If applicable, the Notice of Exercise shall also contain the Settlement Method Election Provisions.</w:t>
            </w:r>
          </w:p>
        </w:tc>
      </w:tr>
      <w:tr>
        <w:trPr/>
        <w:tc>
          <w:tcPr>
            <w:tcW w:w="151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34" w:type="dxa"/>
            <w:tcBorders/>
            <w:vAlign w:val="center"/>
          </w:tcPr>
          <w:p>
            <w:pPr>
              <w:pStyle w:val="TableContents"/>
              <w:bidi w:val="0"/>
              <w:spacing w:before="0" w:after="283"/>
              <w:jc w:val="both"/>
              <w:rPr/>
            </w:pPr>
            <w:r>
              <w:rPr/>
              <w:t> </w:t>
            </w:r>
          </w:p>
        </w:tc>
      </w:tr>
      <w:tr>
        <w:trPr/>
        <w:tc>
          <w:tcPr>
            <w:tcW w:w="1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Final Convertible Security Settlement Method: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shall notify Dealer in writing before 5:00 P.M., New York City time, on the “Scheduled Trading Day” (as defined in the Indenture) immediately preceding the 85th “Scheduled Trading Day” (as defined in the Indenture) prior to the Maturity Date of the settlement method (and, if applicable, the Specified Dollar Amount) elected (or deemed to be elected) with respect to Relevant Convertible Securities with a Conversion Date occurring during the Final Conversion Period (any such notice, a “</w:t>
            </w:r>
            <w:r>
              <w:rPr>
                <w:rFonts w:ascii="Times New Roman;Times;Serif" w:hAnsi="Times New Roman;Times;Serif"/>
                <w:b/>
                <w:i w:val="false"/>
                <w:caps w:val="false"/>
                <w:smallCaps w:val="false"/>
                <w:sz w:val="20"/>
              </w:rPr>
              <w:t>Notice of Final Convertible Security Settlement Method”</w:t>
            </w:r>
            <w:r>
              <w:rPr>
                <w:rFonts w:ascii="Times New Roman;Times;Serif" w:hAnsi="Times New Roman;Times;Serif"/>
                <w:b w:val="false"/>
                <w:i w:val="false"/>
                <w:caps w:val="false"/>
                <w:smallCaps w:val="false"/>
                <w:sz w:val="20"/>
              </w:rPr>
              <w:t>). If applicable, the Notice of Final Convertible Security Settlement Method shall also contain the Settlement Method Election Provisions.</w:t>
            </w:r>
          </w:p>
        </w:tc>
      </w:tr>
      <w:tr>
        <w:trPr/>
        <w:tc>
          <w:tcPr>
            <w:tcW w:w="151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34" w:type="dxa"/>
            <w:tcBorders/>
            <w:vAlign w:val="center"/>
          </w:tcPr>
          <w:p>
            <w:pPr>
              <w:pStyle w:val="TableContents"/>
              <w:bidi w:val="0"/>
              <w:spacing w:before="0" w:after="283"/>
              <w:jc w:val="both"/>
              <w:rPr/>
            </w:pPr>
            <w:r>
              <w:rPr/>
              <w:t> </w:t>
            </w:r>
          </w:p>
        </w:tc>
      </w:tr>
      <w:tr>
        <w:trPr/>
        <w:tc>
          <w:tcPr>
            <w:tcW w:w="1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Telephone Number and Telex and/or Facsimile Number and Contact Details for purpose of Giving Notice: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Section 6(b) below.</w:t>
            </w:r>
          </w:p>
        </w:tc>
      </w:tr>
      <w:tr>
        <w:trPr/>
        <w:tc>
          <w:tcPr>
            <w:tcW w:w="151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34" w:type="dxa"/>
            <w:tcBorders/>
            <w:vAlign w:val="center"/>
          </w:tcPr>
          <w:p>
            <w:pPr>
              <w:pStyle w:val="TableContents"/>
              <w:bidi w:val="0"/>
              <w:spacing w:before="0" w:after="283"/>
              <w:jc w:val="both"/>
              <w:rPr/>
            </w:pPr>
            <w:r>
              <w:rPr/>
              <w:t> </w:t>
            </w:r>
          </w:p>
        </w:tc>
      </w:tr>
      <w:tr>
        <w:trPr/>
        <w:tc>
          <w:tcPr>
            <w:tcW w:w="1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Terms:</w:t>
            </w:r>
          </w:p>
        </w:tc>
        <w:tc>
          <w:tcPr>
            <w:tcW w:w="60" w:type="dxa"/>
            <w:tcBorders/>
            <w:vAlign w:val="center"/>
          </w:tcPr>
          <w:p>
            <w:pPr>
              <w:pStyle w:val="TableContents"/>
              <w:bidi w:val="0"/>
              <w:spacing w:before="0" w:after="283"/>
              <w:jc w:val="left"/>
              <w:rPr/>
            </w:pPr>
            <w:r>
              <w:rPr/>
              <w:t> </w:t>
            </w:r>
          </w:p>
        </w:tc>
        <w:tc>
          <w:tcPr>
            <w:tcW w:w="8634" w:type="dxa"/>
            <w:tcBorders/>
            <w:vAlign w:val="center"/>
          </w:tcPr>
          <w:p>
            <w:pPr>
              <w:pStyle w:val="TableContents"/>
              <w:bidi w:val="0"/>
              <w:spacing w:before="0" w:after="283"/>
              <w:jc w:val="both"/>
              <w:rPr/>
            </w:pPr>
            <w:r>
              <w:rPr/>
              <w:t> </w:t>
            </w:r>
          </w:p>
        </w:tc>
      </w:tr>
      <w:tr>
        <w:trPr/>
        <w:tc>
          <w:tcPr>
            <w:tcW w:w="151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34" w:type="dxa"/>
            <w:tcBorders/>
            <w:vAlign w:val="center"/>
          </w:tcPr>
          <w:p>
            <w:pPr>
              <w:pStyle w:val="TableContents"/>
              <w:bidi w:val="0"/>
              <w:spacing w:before="0" w:after="283"/>
              <w:jc w:val="both"/>
              <w:rPr/>
            </w:pPr>
            <w:r>
              <w:rPr/>
              <w:t> </w:t>
            </w:r>
          </w:p>
        </w:tc>
      </w:tr>
      <w:tr>
        <w:trPr/>
        <w:tc>
          <w:tcPr>
            <w:tcW w:w="15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Exercise Date, the date one Settlement Cycle following the final day of the relevant Cash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9"/>
        <w:gridCol w:w="60"/>
        <w:gridCol w:w="9146"/>
      </w:tblGrid>
      <w:tr>
        <w:trPr/>
        <w:tc>
          <w:tcPr>
            <w:tcW w:w="9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Settlement Averaging Period; </w:t>
            </w:r>
            <w:r>
              <w:rPr>
                <w:rFonts w:ascii="Times New Roman;Times;Serif" w:hAnsi="Times New Roman;Times;Serif"/>
                <w:i/>
                <w:sz w:val="20"/>
              </w:rPr>
              <w:t>provided</w:t>
            </w:r>
            <w:r>
              <w:rPr>
                <w:rFonts w:ascii="Times New Roman;Times;Serif" w:hAnsi="Times New Roman;Times;Serif"/>
                <w:sz w:val="20"/>
              </w:rPr>
              <w:t xml:space="preserve"> that the Settlement Date shall not be prior to the Exchange Business Day immediately following the date Counterparty provides the Notice of Delivery Obligation prior to 5:00 P.M., New York City time.</w:t>
            </w:r>
          </w:p>
        </w:tc>
      </w:tr>
      <w:tr>
        <w:trPr/>
        <w:tc>
          <w:tcPr>
            <w:tcW w:w="9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46" w:type="dxa"/>
            <w:tcBorders/>
            <w:vAlign w:val="center"/>
          </w:tcPr>
          <w:p>
            <w:pPr>
              <w:pStyle w:val="TableContents"/>
              <w:bidi w:val="0"/>
              <w:spacing w:before="0" w:after="283"/>
              <w:jc w:val="both"/>
              <w:rPr/>
            </w:pPr>
            <w:r>
              <w:rPr/>
              <w:t> </w:t>
            </w:r>
          </w:p>
        </w:tc>
      </w:tr>
      <w:tr>
        <w:trPr/>
        <w:tc>
          <w:tcPr>
            <w:tcW w:w="9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Obligation:</w:t>
            </w:r>
          </w:p>
        </w:tc>
        <w:tc>
          <w:tcPr>
            <w:tcW w:w="60" w:type="dxa"/>
            <w:tcBorders/>
            <w:vAlign w:val="center"/>
          </w:tcPr>
          <w:p>
            <w:pPr>
              <w:pStyle w:val="TableContents"/>
              <w:bidi w:val="0"/>
              <w:spacing w:before="0" w:after="283"/>
              <w:jc w:val="left"/>
              <w:rPr/>
            </w:pPr>
            <w:r>
              <w:rPr/>
              <w:t> </w:t>
            </w:r>
          </w:p>
        </w:tc>
        <w:tc>
          <w:tcPr>
            <w:tcW w:w="91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lieu of the obligations set forth in Sections 8.1 and 9.1 of the Equity Definitions, and subject to “Notice of Exercise” above and “Discretionary Adjustments” , “Dividends” and “Consequences of Merger Events” below, in respect of an Exercise Date, Dealer will deliver to Counterparty on the related Settlement Date (the “</w:t>
            </w:r>
            <w:r>
              <w:rPr>
                <w:rFonts w:ascii="Times New Roman;Times;Serif" w:hAnsi="Times New Roman;Times;Serif"/>
                <w:b/>
                <w:sz w:val="20"/>
              </w:rPr>
              <w:t>Delivery Obligation</w:t>
            </w:r>
            <w:r>
              <w:rPr>
                <w:rFonts w:ascii="Times New Roman;Times;Serif" w:hAnsi="Times New Roman;Times;Serif"/>
                <w:sz w:val="20"/>
              </w:rPr>
              <w:t>”), amounts equal to the product of the Applicable Percentage and</w:t>
            </w:r>
          </w:p>
        </w:tc>
      </w:tr>
      <w:tr>
        <w:trPr/>
        <w:tc>
          <w:tcPr>
            <w:tcW w:w="9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46" w:type="dxa"/>
            <w:tcBorders/>
            <w:vAlign w:val="center"/>
          </w:tcPr>
          <w:p>
            <w:pPr>
              <w:pStyle w:val="TableContents"/>
              <w:bidi w:val="0"/>
              <w:spacing w:before="0" w:after="283"/>
              <w:jc w:val="both"/>
              <w:rPr/>
            </w:pPr>
            <w:r>
              <w:rPr/>
              <w:t> </w:t>
            </w:r>
          </w:p>
        </w:tc>
      </w:tr>
      <w:tr>
        <w:trPr/>
        <w:tc>
          <w:tcPr>
            <w:tcW w:w="9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(I) a number of Shares equal to the aggregate number of Shares, if any, that Counterparty would be obligated to deliver to the holder(s) of the Relevant Convertible Securities for such Conversion Date pursuant to Section 5.03 of the Indenture (except that such number of Shares shall be determined without taking into consideration any rounding pursuant to Section 5.03(B)(ii) of the Indenture and shall be rounded down to the nearest whole number) and (II) cash in lieu of any fractional Share resulting from such rounding; and/or</w:t>
            </w:r>
          </w:p>
        </w:tc>
      </w:tr>
      <w:tr>
        <w:trPr/>
        <w:tc>
          <w:tcPr>
            <w:tcW w:w="9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46" w:type="dxa"/>
            <w:tcBorders/>
            <w:vAlign w:val="center"/>
          </w:tcPr>
          <w:p>
            <w:pPr>
              <w:pStyle w:val="TableContents"/>
              <w:bidi w:val="0"/>
              <w:spacing w:before="0" w:after="283"/>
              <w:jc w:val="both"/>
              <w:rPr/>
            </w:pPr>
            <w:r>
              <w:rPr/>
              <w:t> </w:t>
            </w:r>
          </w:p>
        </w:tc>
      </w:tr>
      <w:tr>
        <w:trPr/>
        <w:tc>
          <w:tcPr>
            <w:tcW w:w="99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 the aggregate amount of cash, if any, in excess of the principal amount of the Relevant Convertible Securities that Counterparty would be obligated to deliver to holder(s) of the Relevant Convertible Securities for such Conversion Date pursuant to Section 5.03 of the Indenture, determined, for each of clauses (i) and (ii), by the Calculation Agent (by reference to such Sections of the Indenture)</w:t>
            </w:r>
          </w:p>
        </w:tc>
      </w:tr>
      <w:tr>
        <w:trPr/>
        <w:tc>
          <w:tcPr>
            <w:tcW w:w="9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46" w:type="dxa"/>
            <w:tcBorders/>
            <w:vAlign w:val="center"/>
          </w:tcPr>
          <w:p>
            <w:pPr>
              <w:pStyle w:val="TableContents"/>
              <w:bidi w:val="0"/>
              <w:spacing w:before="0" w:after="283"/>
              <w:jc w:val="both"/>
              <w:rPr/>
            </w:pPr>
            <w:r>
              <w:rPr/>
              <w:t> </w:t>
            </w:r>
          </w:p>
        </w:tc>
      </w:tr>
      <w:tr>
        <w:trPr/>
        <w:tc>
          <w:tcPr>
            <w:tcW w:w="99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if Counterparty had elected to satisfy its conversion obligation in respect of such Relevant Convertible Securities by the Applicable Settlement Method, notwithstanding any different actual election by Counterparty with respect to the settlement of such Relevant Convertible Securities; </w:t>
            </w:r>
            <w:r>
              <w:rPr>
                <w:rFonts w:ascii="Times New Roman;Times;Serif" w:hAnsi="Times New Roman;Times;Serif"/>
                <w:i/>
                <w:sz w:val="20"/>
              </w:rPr>
              <w:t>provided</w:t>
            </w:r>
            <w:r>
              <w:rPr>
                <w:rFonts w:ascii="Times New Roman;Times;Serif" w:hAnsi="Times New Roman;Times;Serif"/>
                <w:sz w:val="20"/>
              </w:rPr>
              <w:t xml:space="preserve"> that the Delivery Obligation shall be determined excluding any Shares and/or cash that Counterparty is obligated to deliver to holder(s) of the Relevant Convertible Securities as a direct or indirect result of any adjustments to the Conversion Rate pursuant to a Fundamental Change Adjustment or a Discretionary Adjustment and any interest payment that Counterparty is (or would have been) obligated to deliver to holder(s) of the Relevant Convertible Securities for such Conversion Date. Notwithstanding the foregoing, if, in respect of any Exercise Date, (x)(I) the number of Shares included in the Delivery Obligation </w:t>
            </w:r>
            <w:r>
              <w:rPr>
                <w:rFonts w:ascii="Times New Roman;Times;Serif" w:hAnsi="Times New Roman;Times;Serif"/>
                <w:i/>
                <w:sz w:val="20"/>
              </w:rPr>
              <w:t>multiplied by</w:t>
            </w:r>
            <w:r>
              <w:rPr>
                <w:rFonts w:ascii="Times New Roman;Times;Serif" w:hAnsi="Times New Roman;Times;Serif"/>
                <w:sz w:val="20"/>
              </w:rPr>
              <w:t xml:space="preserve"> the Share Obligation Value Price </w:t>
            </w:r>
            <w:r>
              <w:rPr>
                <w:rFonts w:ascii="Times New Roman;Times;Serif" w:hAnsi="Times New Roman;Times;Serif"/>
                <w:i/>
                <w:sz w:val="20"/>
              </w:rPr>
              <w:t>plus</w:t>
            </w:r>
            <w:r>
              <w:rPr>
                <w:rFonts w:ascii="Times New Roman;Times;Serif" w:hAnsi="Times New Roman;Times;Serif"/>
                <w:sz w:val="20"/>
              </w:rPr>
              <w:t xml:space="preserve"> (II) the amount of cash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bdr w:val="single" w:sz="8" w:space="1" w:color="000000"/>
        </w:rPr>
        <w:t>6</w:t>
      </w:r>
    </w:p>
    <w:p>
      <w:pPr>
        <w:pStyle w:val="TextBody"/>
        <w:bidi w:val="0"/>
        <w:spacing w:before="0" w:after="0"/>
        <w:ind w:left="0" w:right="0" w:hanging="0"/>
        <w:jc w:val="left"/>
        <w:rPr/>
      </w:pPr>
      <w:r>
        <w:rPr/>
        <w:t> </w:t>
      </w:r>
    </w:p>
    <w:p>
      <w:pPr>
        <w:pStyle w:val="TextBody"/>
        <w:bidi w:val="0"/>
        <w:spacing w:before="0" w:after="0"/>
        <w:ind w:left="43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4"/>
        <w:gridCol w:w="60"/>
        <w:gridCol w:w="8921"/>
      </w:tblGrid>
      <w:tr>
        <w:trPr/>
        <w:tc>
          <w:tcPr>
            <w:tcW w:w="122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included in the Delivery Obligation, would otherwise exceed (y) the relevant Net Convertible Share Obligation Value, such number of Shares and such amount of cash shall be proportionately reduced to the extent necessary to eliminate such excess.</w:t>
            </w:r>
          </w:p>
        </w:tc>
      </w:tr>
      <w:tr>
        <w:trPr/>
        <w:tc>
          <w:tcPr>
            <w:tcW w:w="1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both"/>
              <w:rPr/>
            </w:pPr>
            <w:r>
              <w:rPr/>
              <w:t> </w:t>
            </w:r>
          </w:p>
        </w:tc>
      </w:tr>
      <w:tr>
        <w:trPr/>
        <w:tc>
          <w:tcPr>
            <w:tcW w:w="1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Make-Whole Adjustment:</w:t>
            </w:r>
          </w:p>
        </w:tc>
        <w:tc>
          <w:tcPr>
            <w:tcW w:w="60"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Notwithstanding anything to the contrary herein, in respect of any exercise of Options relating to a conversion of Relevant Convertible Securities in connection with which holders of the Relevant Convertible Securities would be entitled to receive additional Shares and/or cash as a result of adjustments to the Conversion Rate pursuant to a Fundamental Change Adjustment, the Delivery Obligation shall include such additional Shares and/or cash; </w:t>
            </w:r>
            <w:r>
              <w:rPr>
                <w:rFonts w:ascii="Times New Roman;Times;Serif" w:hAnsi="Times New Roman;Times;Serif"/>
                <w:i/>
                <w:sz w:val="20"/>
              </w:rPr>
              <w:t>provided</w:t>
            </w:r>
            <w:r>
              <w:rPr>
                <w:rFonts w:ascii="Times New Roman;Times;Serif" w:hAnsi="Times New Roman;Times;Serif"/>
                <w:sz w:val="20"/>
              </w:rPr>
              <w:t xml:space="preserve"> that if the sum of (i) the product of (a) the number of Shares (if any) included in the Delivery Obligation per exercised Option and (b) the Share Obligation Value Price and (ii) the amount of cash (if any) included in the Delivery Obligation per exercised Option would otherwise exceed the amount per Option, as determined by the Calculation Agent, that would be payable by Dealer under Section 6 of the Agreement if (x) the relevant Conversion Date were an Early Termination Date resulting from an Additional Termination Event with respect to which the Transaction was the sole Affected Transaction and Counterparty was the sole Affected Party and (y) the provisions of the Indenture relating to the Fundamental Change Adjustment were deleted, then such number of Shares and such amount of cash shall be proportionately reduced to the extent necessary to eliminate such excess.</w:t>
            </w:r>
          </w:p>
        </w:tc>
      </w:tr>
      <w:tr>
        <w:trPr/>
        <w:tc>
          <w:tcPr>
            <w:tcW w:w="1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both"/>
              <w:rPr/>
            </w:pPr>
            <w:r>
              <w:rPr/>
              <w:t> </w:t>
            </w:r>
          </w:p>
        </w:tc>
      </w:tr>
      <w:tr>
        <w:trPr/>
        <w:tc>
          <w:tcPr>
            <w:tcW w:w="1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 Settlement Method:</w:t>
            </w:r>
          </w:p>
        </w:tc>
        <w:tc>
          <w:tcPr>
            <w:tcW w:w="60"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Relevant Convertible Securities, if such Notice of Exercise (or such Notice of Final Convertible Security Settlement Method, as the case may be) contains all of the Settlement Method Election Provisions, the Applicable Settlement Method shall be the settlement method actually so elected by Counterparty in respect of such Relevant Convertible Securities (the “</w:t>
            </w:r>
            <w:r>
              <w:rPr>
                <w:rFonts w:ascii="Times New Roman;Times;Serif" w:hAnsi="Times New Roman;Times;Serif"/>
                <w:b/>
                <w:sz w:val="20"/>
              </w:rPr>
              <w:t>Convertible Securities Settlement Method</w:t>
            </w:r>
            <w:r>
              <w:rPr>
                <w:rFonts w:ascii="Times New Roman;Times;Serif" w:hAnsi="Times New Roman;Times;Serif"/>
                <w:sz w:val="20"/>
              </w:rPr>
              <w:t>”); otherwise, the Applicable Settlement Method shall assume Counterparty had made a Cash Election with respect to such Relevant Convertible Securities (a “</w:t>
            </w:r>
            <w:r>
              <w:rPr>
                <w:rFonts w:ascii="Times New Roman;Times;Serif" w:hAnsi="Times New Roman;Times;Serif"/>
                <w:b/>
                <w:sz w:val="20"/>
              </w:rPr>
              <w:t>Deemed Cash Election</w:t>
            </w:r>
            <w:r>
              <w:rPr>
                <w:rFonts w:ascii="Times New Roman;Times;Serif" w:hAnsi="Times New Roman;Times;Serif"/>
                <w:sz w:val="20"/>
              </w:rPr>
              <w:t>”) with a Specified Dollar Amount of USD1,000 per Relevant Convertible Security and the Delivery Obligation shall be determined by the Calculation Agent as if the relevant “Observation Period” pursuant to Section 5.03(B)(i) of the Indenture were the Cash Settlement Averaging Period.</w:t>
            </w:r>
          </w:p>
        </w:tc>
      </w:tr>
      <w:tr>
        <w:trPr/>
        <w:tc>
          <w:tcPr>
            <w:tcW w:w="12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both"/>
              <w:rPr/>
            </w:pPr>
            <w:r>
              <w:rPr/>
              <w:t> </w:t>
            </w:r>
          </w:p>
        </w:tc>
      </w:tr>
      <w:tr>
        <w:trPr/>
        <w:tc>
          <w:tcPr>
            <w:tcW w:w="1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Settlement Averaging Period:</w:t>
            </w:r>
          </w:p>
        </w:tc>
        <w:tc>
          <w:tcPr>
            <w:tcW w:w="60"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40 “Trading Days” (as defined in the Indenture) commencing on (I) the third “Trading Day” (as defined in the Indenture) after the Conversion Date for conversions with a related Conversion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31"/>
        <w:gridCol w:w="60"/>
        <w:gridCol w:w="8914"/>
      </w:tblGrid>
      <w:tr>
        <w:trPr/>
        <w:tc>
          <w:tcPr>
            <w:tcW w:w="1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occurring prior to the Final Conversion Period or (II) the 41st “Scheduled Trading Day” (as defined in the Indenture) prior to the “Maturity Date” (as defined in the Indenture) for conversions with a related Conversion Date occurring during the Final Conversion Period.</w:t>
            </w:r>
          </w:p>
        </w:tc>
      </w:tr>
      <w:tr>
        <w:trPr/>
        <w:tc>
          <w:tcPr>
            <w:tcW w:w="1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both"/>
              <w:rPr/>
            </w:pPr>
            <w:r>
              <w:rPr/>
              <w:t> </w:t>
            </w:r>
          </w:p>
        </w:tc>
      </w:tr>
      <w:tr>
        <w:trPr/>
        <w:tc>
          <w:tcPr>
            <w:tcW w:w="1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Method Election Provisions:</w:t>
            </w:r>
          </w:p>
        </w:tc>
        <w:tc>
          <w:tcPr>
            <w:tcW w:w="60"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order for the Applicable Settlement Method to be the Convertible Securities Settlement Method in accordance with “Applicable Settlement Method” above, the related Notice of Exercise (or Notice of Final Convertible Security Settlement Method, as the case may be) must contain in writing the following representations and warranties from Counterparty to Dealer as of such notice delivery date:</w:t>
            </w:r>
          </w:p>
        </w:tc>
      </w:tr>
      <w:tr>
        <w:trPr/>
        <w:tc>
          <w:tcPr>
            <w:tcW w:w="1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both"/>
              <w:rPr/>
            </w:pPr>
            <w:r>
              <w:rPr/>
              <w:t> </w:t>
            </w:r>
          </w:p>
        </w:tc>
      </w:tr>
      <w:tr>
        <w:trPr/>
        <w:tc>
          <w:tcPr>
            <w:tcW w:w="1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none of Counterparty and its officers or directors, or any person that controls, potentially controls, or otherwise exercises influence over, Counterparty’s decision to elect the Convertible Security Settlement Method is aware of any material nonpublic information regarding Counterparty or the Shares;</w:t>
            </w:r>
          </w:p>
        </w:tc>
      </w:tr>
      <w:tr>
        <w:trPr/>
        <w:tc>
          <w:tcPr>
            <w:tcW w:w="1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both"/>
              <w:rPr/>
            </w:pPr>
            <w:r>
              <w:rPr/>
              <w:t> </w:t>
            </w:r>
          </w:p>
        </w:tc>
      </w:tr>
      <w:tr>
        <w:trPr/>
        <w:tc>
          <w:tcPr>
            <w:tcW w:w="1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 Counterparty is electing the Convertible Security Settlement Method in good faith and not as part of a plan or scheme to evade compliance with the U.S. federal securities laws; Counterparty is not electing the Convertible Security Settlement Method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 and Counterparty has not entered into or altered any hedging transaction relating to the Shares corresponding to or offsetting the Transaction;</w:t>
            </w:r>
          </w:p>
        </w:tc>
      </w:tr>
      <w:tr>
        <w:trPr/>
        <w:tc>
          <w:tcPr>
            <w:tcW w:w="1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both"/>
              <w:rPr/>
            </w:pPr>
            <w:r>
              <w:rPr/>
              <w:t> </w:t>
            </w:r>
          </w:p>
        </w:tc>
      </w:tr>
      <w:tr>
        <w:trPr/>
        <w:tc>
          <w:tcPr>
            <w:tcW w:w="1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 Counterparty has the power to make such election and to execute and deliver any documentation relating to such election that it is required by this Confirmation to deliver and to perform its obligations under this Confirmation and has taken all necessary action to authorize such election, execution, delivery and performance;</w:t>
            </w:r>
          </w:p>
        </w:tc>
      </w:tr>
      <w:tr>
        <w:trPr/>
        <w:tc>
          <w:tcPr>
            <w:tcW w:w="1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both"/>
              <w:rPr/>
            </w:pPr>
            <w:r>
              <w:rPr/>
              <w:t> </w:t>
            </w:r>
          </w:p>
        </w:tc>
      </w:tr>
      <w:tr>
        <w:trPr/>
        <w:tc>
          <w:tcPr>
            <w:tcW w:w="12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 such election and performance of its obligations under this Confirmation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2"/>
        <w:gridCol w:w="60"/>
        <w:gridCol w:w="8873"/>
      </w:tblGrid>
      <w:tr>
        <w:trPr/>
        <w:tc>
          <w:tcPr>
            <w:tcW w:w="12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 any transaction that Dealer makes with respect to the Shares during the period beginning at the time that Counterparty delivers such notice and ending at the close of business on the final day of the Cash Settlement Averaging Period shall be made by Dealer at Dealer’s sole discretion for Dealer’s own account and Counterparty shall not have, and shall not attempt to exercise, any influence over how, when, whether or at what price Dealer effects such transactions, including, without limitation, the prices paid or received by Dealer per Share pursuant to such transactions, or whether such transactions are made on any securities exchange or privately.</w:t>
            </w:r>
          </w:p>
        </w:tc>
      </w:tr>
      <w:tr>
        <w:trPr/>
        <w:tc>
          <w:tcPr>
            <w:tcW w:w="12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3" w:type="dxa"/>
            <w:tcBorders/>
            <w:vAlign w:val="center"/>
          </w:tcPr>
          <w:p>
            <w:pPr>
              <w:pStyle w:val="TableContents"/>
              <w:bidi w:val="0"/>
              <w:spacing w:before="0" w:after="283"/>
              <w:jc w:val="both"/>
              <w:rPr/>
            </w:pPr>
            <w:r>
              <w:rPr/>
              <w:t> </w:t>
            </w:r>
          </w:p>
        </w:tc>
      </w:tr>
      <w:tr>
        <w:trPr/>
        <w:tc>
          <w:tcPr>
            <w:tcW w:w="12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Delivery Obligation:</w:t>
            </w:r>
          </w:p>
        </w:tc>
        <w:tc>
          <w:tcPr>
            <w:tcW w:w="60" w:type="dxa"/>
            <w:tcBorders/>
            <w:vAlign w:val="center"/>
          </w:tcPr>
          <w:p>
            <w:pPr>
              <w:pStyle w:val="TableContents"/>
              <w:bidi w:val="0"/>
              <w:spacing w:before="0" w:after="283"/>
              <w:jc w:val="left"/>
              <w:rPr/>
            </w:pPr>
            <w:r>
              <w:rPr/>
              <w:t> </w:t>
            </w:r>
          </w:p>
        </w:tc>
        <w:tc>
          <w:tcPr>
            <w:tcW w:w="8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 later than the Exchange Business Day immediately following the last day of the relevant Cash Settlement Averaging Period, Counterparty shall give Dealer notice of the final number of Shares and/or amount of cash included in the Total Convertible Share Obligation Value (as defined below); </w:t>
            </w:r>
            <w:r>
              <w:rPr>
                <w:rFonts w:ascii="Times New Roman;Times;Serif" w:hAnsi="Times New Roman;Times;Serif"/>
                <w:i/>
                <w:sz w:val="20"/>
              </w:rPr>
              <w:t>provided</w:t>
            </w:r>
            <w:r>
              <w:rPr>
                <w:rFonts w:ascii="Times New Roman;Times;Serif" w:hAnsi="Times New Roman;Times;Serif"/>
                <w:sz w:val="20"/>
              </w:rPr>
              <w:t xml:space="preserve"> that, with respect to any Exercise Date occurring during the Final Conversion Period, Counterparty may provide Dealer with a single notice of the aggregate number of Shares and/or amount of cash included in the Total Convertible Share Obligation Value for all Exercise Dates occurring during such period (it being understood, for the avoidance of doubt, that the requirement of Counterparty to deliver such notice shall not limit Counterparty’s obligations with respect to a Notice of Exercise or Notice of Final Convertible Security Settlement Method, as the case may be, as set forth above, in any way).</w:t>
            </w:r>
          </w:p>
        </w:tc>
      </w:tr>
      <w:tr>
        <w:trPr/>
        <w:tc>
          <w:tcPr>
            <w:tcW w:w="12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3" w:type="dxa"/>
            <w:tcBorders/>
            <w:vAlign w:val="center"/>
          </w:tcPr>
          <w:p>
            <w:pPr>
              <w:pStyle w:val="TableContents"/>
              <w:bidi w:val="0"/>
              <w:spacing w:before="0" w:after="283"/>
              <w:jc w:val="both"/>
              <w:rPr/>
            </w:pPr>
            <w:r>
              <w:rPr/>
              <w:t> </w:t>
            </w:r>
          </w:p>
        </w:tc>
      </w:tr>
      <w:tr>
        <w:trPr/>
        <w:tc>
          <w:tcPr>
            <w:tcW w:w="12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Convertible Share Obligation Value:</w:t>
            </w:r>
          </w:p>
        </w:tc>
        <w:tc>
          <w:tcPr>
            <w:tcW w:w="60" w:type="dxa"/>
            <w:tcBorders/>
            <w:vAlign w:val="center"/>
          </w:tcPr>
          <w:p>
            <w:pPr>
              <w:pStyle w:val="TableContents"/>
              <w:bidi w:val="0"/>
              <w:spacing w:before="0" w:after="283"/>
              <w:jc w:val="left"/>
              <w:rPr/>
            </w:pPr>
            <w:r>
              <w:rPr/>
              <w:t> </w:t>
            </w:r>
          </w:p>
        </w:tc>
        <w:tc>
          <w:tcPr>
            <w:tcW w:w="8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With respect to Relevant Convertible Securities as to a Conversion Date, the product of (i) the Applicable Percentage and (ii)(A) the Total Convertible Share Obligation Value of such Relevant Convertible Securities for such Conversion Date </w:t>
            </w:r>
            <w:r>
              <w:rPr>
                <w:rFonts w:ascii="Times New Roman;Times;Serif" w:hAnsi="Times New Roman;Times;Serif"/>
                <w:i/>
                <w:sz w:val="20"/>
              </w:rPr>
              <w:t>minus</w:t>
            </w:r>
            <w:r>
              <w:rPr>
                <w:rFonts w:ascii="Times New Roman;Times;Serif" w:hAnsi="Times New Roman;Times;Serif"/>
                <w:sz w:val="20"/>
              </w:rPr>
              <w:t xml:space="preserve"> (B) the aggregate principal amount of such Relevant Convertible Securities for such Conversion Date.</w:t>
            </w:r>
          </w:p>
        </w:tc>
      </w:tr>
      <w:tr>
        <w:trPr/>
        <w:tc>
          <w:tcPr>
            <w:tcW w:w="12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73" w:type="dxa"/>
            <w:tcBorders/>
            <w:vAlign w:val="center"/>
          </w:tcPr>
          <w:p>
            <w:pPr>
              <w:pStyle w:val="TableContents"/>
              <w:bidi w:val="0"/>
              <w:spacing w:before="0" w:after="283"/>
              <w:jc w:val="both"/>
              <w:rPr/>
            </w:pPr>
            <w:r>
              <w:rPr/>
              <w:t> </w:t>
            </w:r>
          </w:p>
        </w:tc>
      </w:tr>
      <w:tr>
        <w:trPr/>
        <w:tc>
          <w:tcPr>
            <w:tcW w:w="12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Convertible Share Obligation Value:</w:t>
            </w:r>
          </w:p>
        </w:tc>
        <w:tc>
          <w:tcPr>
            <w:tcW w:w="60" w:type="dxa"/>
            <w:tcBorders/>
            <w:vAlign w:val="center"/>
          </w:tcPr>
          <w:p>
            <w:pPr>
              <w:pStyle w:val="TableContents"/>
              <w:bidi w:val="0"/>
              <w:spacing w:before="0" w:after="283"/>
              <w:jc w:val="left"/>
              <w:rPr/>
            </w:pPr>
            <w:r>
              <w:rPr/>
              <w:t> </w:t>
            </w:r>
          </w:p>
        </w:tc>
        <w:tc>
          <w:tcPr>
            <w:tcW w:w="8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With respect to Relevant Convertible Securities with respect to a Conversion Date, (i) (A) the number of Shares equal to the aggregate number of Shares that Counterparty is obligated to deliver to the holder(s) of Relevant Convertible Securities for such Conversion Date pursuant to the Indenture (it being understood that such number of Shares shall be determined taking into consideration any rounding pursuant to Section 5.03(B)(ii) of the Indenture) </w:t>
            </w:r>
            <w:r>
              <w:rPr>
                <w:rFonts w:ascii="Times New Roman;Times;Serif" w:hAnsi="Times New Roman;Times;Serif"/>
                <w:i/>
                <w:sz w:val="20"/>
              </w:rPr>
              <w:t>multiplied by</w:t>
            </w:r>
            <w:r>
              <w:rPr>
                <w:rFonts w:ascii="Times New Roman;Times;Serif" w:hAnsi="Times New Roman;Times;Serif"/>
                <w:sz w:val="20"/>
              </w:rPr>
              <w:t xml:space="preserve"> (B) the Share Obligation Value Price </w:t>
            </w:r>
            <w:r>
              <w:rPr>
                <w:rFonts w:ascii="Times New Roman;Times;Serif" w:hAnsi="Times New Roman;Times;Serif"/>
                <w:i/>
                <w:sz w:val="20"/>
              </w:rPr>
              <w:t>plus</w:t>
            </w:r>
            <w:r>
              <w:rPr>
                <w:rFonts w:ascii="Times New Roman;Times;Serif" w:hAnsi="Times New Roman;Times;Serif"/>
                <w:sz w:val="20"/>
              </w:rPr>
              <w:t xml:space="preserve"> (ii) an amount of cash equal to the aggregate amount of cash that Counterparty is obligated to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41"/>
        <w:gridCol w:w="60"/>
        <w:gridCol w:w="8904"/>
      </w:tblGrid>
      <w:tr>
        <w:trPr/>
        <w:tc>
          <w:tcPr>
            <w:tcW w:w="12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deliver to the holder(s) of Relevant Convertible Securities for such Conversion Date pursuant to the Indenture (including, for the avoidance of doubt, any cash payable by Counterparty in lieu of fractional Shares); </w:t>
            </w:r>
            <w:r>
              <w:rPr>
                <w:rFonts w:ascii="Times New Roman;Times;Serif" w:hAnsi="Times New Roman;Times;Serif"/>
                <w:i/>
                <w:sz w:val="20"/>
              </w:rPr>
              <w:t>provided</w:t>
            </w:r>
            <w:r>
              <w:rPr>
                <w:rFonts w:ascii="Times New Roman;Times;Serif" w:hAnsi="Times New Roman;Times;Serif"/>
                <w:sz w:val="20"/>
              </w:rPr>
              <w:t xml:space="preserve"> that the Total Convertible Share Obligation Value shall be determined excluding any Shares and/or cash that Counterparty is obligated to deliver to holder(s) of the Relevant Convertible Securities as a direct or indirect result of any adjustments to the Conversion Rate pursuant to a Fundamental Change Adjustment or a Discretionary Adjustment and any interest payment that Counterparty is (or would have been) obligated to deliver to holder(s) of the Relevant Convertible Securities for such Conversion Date.</w:t>
            </w:r>
          </w:p>
        </w:tc>
      </w:tr>
      <w:tr>
        <w:trPr/>
        <w:tc>
          <w:tcPr>
            <w:tcW w:w="12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both"/>
              <w:rPr/>
            </w:pPr>
            <w:r>
              <w:rPr/>
              <w:t> </w:t>
            </w:r>
          </w:p>
        </w:tc>
      </w:tr>
      <w:tr>
        <w:trPr/>
        <w:tc>
          <w:tcPr>
            <w:tcW w:w="1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Obligation Value Price:</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opening price as displayed under the heading “Op” on Bloomberg page “WGO.N &lt;Equity&gt;” (or any successor thereto) on the applicable Settlement Date or other date of delivery.</w:t>
            </w:r>
          </w:p>
        </w:tc>
      </w:tr>
      <w:tr>
        <w:trPr/>
        <w:tc>
          <w:tcPr>
            <w:tcW w:w="12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both"/>
              <w:rPr/>
            </w:pPr>
            <w:r>
              <w:rPr/>
              <w:t> </w:t>
            </w:r>
          </w:p>
        </w:tc>
      </w:tr>
      <w:tr>
        <w:trPr/>
        <w:tc>
          <w:tcPr>
            <w:tcW w:w="1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Applicable Provisions:</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To the extent Dealer is obligated to deliver Shares hereunder, the provisions of Sections 9.8, 9.9 and 9.11 of the Equity Definitions will be applicable as if “Physical Settlement” applied to the Transaction; </w:t>
            </w:r>
            <w:r>
              <w:rPr>
                <w:rFonts w:ascii="Times New Roman;Times;Serif" w:hAnsi="Times New Roman;Times;Serif"/>
                <w:i/>
                <w:sz w:val="20"/>
              </w:rPr>
              <w:t>provided</w:t>
            </w:r>
            <w:r>
              <w:rPr>
                <w:rFonts w:ascii="Times New Roman;Times;Serif" w:hAnsi="Times New Roman;Times;Serif"/>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of the Shares.</w:t>
            </w:r>
          </w:p>
        </w:tc>
      </w:tr>
      <w:tr>
        <w:trPr/>
        <w:tc>
          <w:tcPr>
            <w:tcW w:w="12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both"/>
              <w:rPr/>
            </w:pPr>
            <w:r>
              <w:rPr/>
              <w:t> </w:t>
            </w:r>
          </w:p>
        </w:tc>
      </w:tr>
      <w:tr>
        <w:trPr/>
        <w:tc>
          <w:tcPr>
            <w:tcW w:w="1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Certificated Shares:</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in the Equity Definitions, Dealer may, in whole or in part, deliver Shares required to be delivered to Counterparty hereunder in certificated form in lieu of delivery through the Clearance System. With respect to such certificated Shares, the Representation and Agreement contained in Section 9.11 of the Equity Definitions shall be modified by deleting the remainder of the provision after the word “encumbrance” in the fourth line thereof.</w:t>
            </w:r>
          </w:p>
        </w:tc>
      </w:tr>
      <w:tr>
        <w:trPr/>
        <w:tc>
          <w:tcPr>
            <w:tcW w:w="12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both"/>
              <w:rPr/>
            </w:pPr>
            <w:r>
              <w:rPr/>
              <w:t> </w:t>
            </w:r>
          </w:p>
        </w:tc>
      </w:tr>
      <w:tr>
        <w:trPr/>
        <w:tc>
          <w:tcPr>
            <w:tcW w:w="1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both"/>
              <w:rPr/>
            </w:pPr>
            <w:r>
              <w:rPr/>
              <w:t> </w:t>
            </w:r>
          </w:p>
        </w:tc>
      </w:tr>
      <w:tr>
        <w:trPr/>
        <w:tc>
          <w:tcPr>
            <w:tcW w:w="12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both"/>
              <w:rPr/>
            </w:pPr>
            <w:r>
              <w:rPr/>
              <w:t> </w:t>
            </w:r>
          </w:p>
        </w:tc>
      </w:tr>
      <w:tr>
        <w:trPr/>
        <w:tc>
          <w:tcPr>
            <w:tcW w:w="1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Method of Adjustment:</w:t>
            </w:r>
          </w:p>
        </w:tc>
        <w:tc>
          <w:tcPr>
            <w:tcW w:w="60"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Section 11.2 of the Equity Definitions, upon the occurrence of any event or condition set forth in Section 5.05(A)(i), (ii), (iii), (iv) and (v) and Section 5.05(H) of the Indenture (a “</w:t>
            </w:r>
            <w:r>
              <w:rPr>
                <w:rFonts w:ascii="Times New Roman;Times;Serif" w:hAnsi="Times New Roman;Times;Serif"/>
                <w:b/>
                <w:sz w:val="20"/>
              </w:rPr>
              <w:t>Potential Adjustment Event</w:t>
            </w:r>
            <w:r>
              <w:rPr>
                <w:rFonts w:ascii="Times New Roman;Times;Serif" w:hAnsi="Times New Roman;Times;Serif"/>
                <w:sz w:val="20"/>
              </w:rPr>
              <w:t>”) that results in an adjustment under the Indenture, the Calculation Agent shall make a corresponding adjustment in respect of any one or more of the Strike Price, the Number of Options, the Option Entitlement and any other term relevant to the exercise, settlement or payment of the Transaction, subject to “Discretionary Adjustments” below. Promptly upon the occurrence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of any Potential Adjustment Event, Counterparty shall notify the Calculation Agent of such Potential Adjustment Event; and once the adjustments to be made to the terms of the Indenture and the Convertible Securities in respect of such Potential Adjustment Event have been determined, Counterparty shall immediately notify the Calculation Agent in writing of the details of such adjustments.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herein or in the Equity Definitions: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in connection with any Potential Adjustment Event as a result of an event or condition set forth in Section 5.05(A)(ii) of the Indenture or Section 5.05(A)(iii)(1) of the Indenture where, in either case, the period for determining “Y” (as such term is used in Section 5.05(A)(ii) of the Indenture) or “SP” (as such term is used in Section 5.05(A)(iii)(1) of the Indenture), as the case may be, begins before Counterparty has publicly announced the event or condition giving rise to such Potential Adjustment Event, then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event or condition not having been publicly announced prior to the beginning of such period; and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 if any Potential Adjustment Event is declared and (a) the event or condition giving rise to such Potential Adjustment Event is subsequently amended, modified, cancelled or abandoned, (b) the Conversion Rate is otherwise not adjusted at the time or in the manner contemplated by the Indenture based on such declaration or (c) the Conversion Rate is adjusted as a result of such Potential Adjustment Event and subsequently re-adjusted (each of clauses (a), (b) and (c), a “</w:t>
            </w:r>
            <w:r>
              <w:rPr>
                <w:rFonts w:ascii="Times New Roman;Times;Serif" w:hAnsi="Times New Roman;Times;Serif"/>
                <w:b/>
                <w:sz w:val="20"/>
              </w:rPr>
              <w:t>Potential Adjustment Event Change</w:t>
            </w:r>
            <w:r>
              <w:rPr>
                <w:rFonts w:ascii="Times New Roman;Times;Serif" w:hAnsi="Times New Roman;Times;Serif"/>
                <w:sz w:val="20"/>
              </w:rPr>
              <w:t>”), then, in each case, the Calculation Agent shall have the right to adjust any variable relevant to the exercise, settlement or payment of the Transaction as appropriate to reflect the costs (including, but not limited to, hedging mismatches and market losses) and expenses incurred by Dealer in connection with its hedging activities as a result of such Potential Adjustment Event Change.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the occurrence of any Potential Adjustment Event Change, Counterparty shall immediately notify the Calculation Agent in writing of the details of such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center"/>
        <w:rPr>
          <w:bdr w:val="single" w:sz="8" w:space="1" w:color="000000"/>
        </w:rPr>
      </w:pPr>
      <w:r>
        <w:rPr>
          <w:bdr w:val="single" w:sz="8" w:space="1" w:color="000000"/>
        </w:rPr>
        <w:t> </w:t>
      </w:r>
      <w:r>
        <w:rPr>
          <w:bdr w:val="single" w:sz="8" w:space="1" w:color="000000"/>
        </w:rPr>
        <w:t>11</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0"/>
        <w:gridCol w:w="60"/>
        <w:gridCol w:w="8945"/>
      </w:tblGrid>
      <w:tr>
        <w:trPr/>
        <w:tc>
          <w:tcPr>
            <w:tcW w:w="12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Adjustment Event Change.</w:t>
            </w:r>
          </w:p>
        </w:tc>
      </w:tr>
      <w:tr>
        <w:trPr/>
        <w:tc>
          <w:tcPr>
            <w:tcW w:w="1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both"/>
              <w:rPr/>
            </w:pPr>
            <w:r>
              <w:rPr/>
              <w:t> </w:t>
            </w:r>
          </w:p>
        </w:tc>
      </w:tr>
      <w:tr>
        <w:trPr/>
        <w:tc>
          <w:tcPr>
            <w:tcW w:w="12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avoidance of doubt, Dealer shall not have any payment or delivery obligation hereunder in respect of, and no adjustment shall be made to the terms of the Transaction on account of, (x) any distribution of cash, property or securities by Counterparty to the holders of Convertible Securities (upon conversion or otherwise) or (y) any other transaction in which holders of Convertible Securities are entitled to participate, in each case, in lieu of an adjustment under the Indenture in respect of a Potential Adjustment Event (including, without limitation, under the proviso to the first sentence of Section 5.05(A)(iii)(1) of the Indenture or the proviso to the first sentence of Section 5.05(A)(iv) of the Indenture).</w:t>
            </w:r>
          </w:p>
        </w:tc>
      </w:tr>
      <w:tr>
        <w:trPr/>
        <w:tc>
          <w:tcPr>
            <w:tcW w:w="1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both"/>
              <w:rPr/>
            </w:pPr>
            <w:r>
              <w:rPr/>
              <w:t> </w:t>
            </w:r>
          </w:p>
        </w:tc>
      </w:tr>
      <w:tr>
        <w:trPr/>
        <w:tc>
          <w:tcPr>
            <w:tcW w:w="1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Discretionary Adjustments:</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herein or in the Equity Definitions, if the Calculation Agent in good faith disagrees with any adjustment under the Indenture that involves an exercise of discretion by Counterparty or its board of directors (including, without limitation, pursuant to Section 5.05(H) of the Indenture or pursuant to Section 5.08(A)  of the Indenture or any supplemental indenture entered into thereunder (a “</w:t>
            </w:r>
            <w:r>
              <w:rPr>
                <w:rFonts w:ascii="Times New Roman;Times;Serif" w:hAnsi="Times New Roman;Times;Serif"/>
                <w:b/>
                <w:sz w:val="20"/>
              </w:rPr>
              <w:t>Merger Supplemental Indenture</w:t>
            </w:r>
            <w:r>
              <w:rPr>
                <w:rFonts w:ascii="Times New Roman;Times;Serif" w:hAnsi="Times New Roman;Times;Serif"/>
                <w:sz w:val="20"/>
              </w:rPr>
              <w:t xml:space="preserve">”) or in connection with the determination of the fair value of any securities, property, rights or other assets), then the Calculation Agent will determine the adjustment to be made to any one or more of the Strike Price, Number of Options, Option Entitlement and any other variable relevant to the exercise, settlement or payment of or under the Transaction in a commercially reasonable manner and, for the avoidance of doubt, the Delivery Obligation shall be calculated on the basis of such adjustments by the Calculation Agent; </w:t>
            </w:r>
            <w:r>
              <w:rPr>
                <w:rFonts w:ascii="Times New Roman;Times;Serif" w:hAnsi="Times New Roman;Times;Serif"/>
                <w:i/>
                <w:sz w:val="20"/>
              </w:rPr>
              <w:t xml:space="preserve">provided </w:t>
            </w:r>
            <w:r>
              <w:rPr>
                <w:rFonts w:ascii="Times New Roman;Times;Serif" w:hAnsi="Times New Roman;Times;Serif"/>
                <w:sz w:val="20"/>
              </w:rPr>
              <w:t>that, notwithstanding the foregoing, in any Potential Adjustment Event occurs during the Cash Settlement Averaging Period but no adjustment was made to any Convertible Note under the Indenture because the relevant Holder (as such term is defined in the Indenture) was deemed to be a record holder of the underlying Shares on the related Conversion Date, then the Calculation Agent shall make an adjustment, as determined by it, to the terms hereof in order to account for such Potential Adjustment Event.</w:t>
            </w:r>
          </w:p>
        </w:tc>
      </w:tr>
      <w:tr>
        <w:trPr/>
        <w:tc>
          <w:tcPr>
            <w:tcW w:w="1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both"/>
              <w:rPr/>
            </w:pPr>
            <w:r>
              <w:rPr/>
              <w:t> </w:t>
            </w:r>
          </w:p>
        </w:tc>
      </w:tr>
      <w:tr>
        <w:trPr/>
        <w:tc>
          <w:tcPr>
            <w:tcW w:w="1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Dividends: </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 at any time during the period from and including the Trade Date, to but excluding the Expiration Date, an ex-dividend date for a regular quarterly cash dividend occurs with respect to the Shares (an “</w:t>
            </w:r>
            <w:r>
              <w:rPr>
                <w:rFonts w:ascii="Times New Roman;Times;Serif" w:hAnsi="Times New Roman;Times;Serif"/>
                <w:b/>
                <w:sz w:val="20"/>
              </w:rPr>
              <w:t>Ex-Dividend Date</w:t>
            </w:r>
            <w:r>
              <w:rPr>
                <w:rFonts w:ascii="Times New Roman;Times;Serif" w:hAnsi="Times New Roman;Times;Serif"/>
                <w:sz w:val="20"/>
              </w:rPr>
              <w:t>”) and that dividend is less than the Regular Dividend on a per Share basis or (ii) no Ex-Dividend Date for a regular quarterly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4"/>
        <w:gridCol w:w="60"/>
        <w:gridCol w:w="8841"/>
      </w:tblGrid>
      <w:tr>
        <w:trPr/>
        <w:tc>
          <w:tcPr>
            <w:tcW w:w="1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dividend occurs with respect to the Shares in any quarterly dividend period of Counterparty, then the Calculation Agent will make a corresponding adjustment in respect of any one or more of the Strike Price, the Number of Options, the Option Entitlement and any other term relevant to the exercise, settlement or payment of the Transaction to account for the economic effect on the Transaction of such dividend or lack thereof, and, for the avoidance of doubt, any such adjustments shall be taken into account in calculating the Delivery Obligation. “</w:t>
            </w:r>
            <w:r>
              <w:rPr>
                <w:rFonts w:ascii="Times New Roman;Times;Serif" w:hAnsi="Times New Roman;Times;Serif"/>
                <w:b/>
                <w:sz w:val="20"/>
              </w:rPr>
              <w:t>Regular Dividend</w:t>
            </w:r>
            <w:r>
              <w:rPr>
                <w:rFonts w:ascii="Times New Roman;Times;Serif" w:hAnsi="Times New Roman;Times;Serif"/>
                <w:sz w:val="20"/>
              </w:rPr>
              <w:t>” shall mean USD 0.31 per Share.</w:t>
            </w:r>
          </w:p>
        </w:tc>
      </w:tr>
      <w:tr>
        <w:trPr/>
        <w:tc>
          <w:tcPr>
            <w:tcW w:w="1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both"/>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Certain Other Events:</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Counterparty shall give Dealer commercially reasonable advance (but in no event less than one Exchange Business Day) written notice of the section or sections of the Indenture and, if applicable, the formula therein, pursuant to which any adjustment will be made to the Convertible Securities in connection with any Potential Adjustment Event, Merger Event or Tender Offer.</w:t>
            </w:r>
          </w:p>
        </w:tc>
      </w:tr>
      <w:tr>
        <w:trPr/>
        <w:tc>
          <w:tcPr>
            <w:tcW w:w="1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ind w:left="0" w:right="0" w:hanging="720"/>
              <w:jc w:val="both"/>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Extraordinary Events:</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both"/>
              <w:rPr/>
            </w:pPr>
            <w:r>
              <w:rPr/>
              <w:t> </w:t>
            </w:r>
          </w:p>
        </w:tc>
      </w:tr>
      <w:tr>
        <w:trPr/>
        <w:tc>
          <w:tcPr>
            <w:tcW w:w="1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both"/>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Events:</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Section 12.1(b) of the Equity Definitions, “Merger Event” shall mean the occurrence of any event or condition set forth in the definition of “Common Stock Change Event” set forth in Section 5.08(A) of the Indenture.</w:t>
            </w:r>
          </w:p>
        </w:tc>
      </w:tr>
      <w:tr>
        <w:trPr/>
        <w:tc>
          <w:tcPr>
            <w:tcW w:w="1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both"/>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Consequences of Merger Events:</w:t>
            </w:r>
          </w:p>
        </w:tc>
        <w:tc>
          <w:tcPr>
            <w:tcW w:w="60"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Notwithstanding Section 12.2 of the Equity Definitions, upon the occurrence of a Merger Event, the Calculation Agent shall make an adjustment to the terms relevant to the exercise, settlement or payment of the Transaction corresponding to the adjustment required under Section 5.08 of the Indenture in respect of such Merger Event, as determined by the Calculation Agent (by reference to such Section), subject to “Discretionary Adjustments” above; </w:t>
            </w:r>
            <w:r>
              <w:rPr>
                <w:rFonts w:ascii="Times New Roman;Times;Serif" w:hAnsi="Times New Roman;Times;Serif"/>
                <w:i/>
                <w:sz w:val="20"/>
              </w:rPr>
              <w:t xml:space="preserve">provided </w:t>
            </w:r>
            <w:r>
              <w:rPr>
                <w:rFonts w:ascii="Times New Roman;Times;Serif" w:hAnsi="Times New Roman;Times;Serif"/>
                <w:sz w:val="20"/>
              </w:rPr>
              <w:t xml:space="preserve">that such adjustment shall be made without regard to any adjustment to the Conversion Rate pursuant to a Fundamental Change Adjustment or a Discretionary Adjustment; and </w:t>
            </w:r>
            <w:r>
              <w:rPr>
                <w:rFonts w:ascii="Times New Roman;Times;Serif" w:hAnsi="Times New Roman;Times;Serif"/>
                <w:i/>
                <w:sz w:val="20"/>
              </w:rPr>
              <w:t>provided further</w:t>
            </w:r>
            <w:r>
              <w:rPr>
                <w:rFonts w:ascii="Times New Roman;Times;Serif" w:hAnsi="Times New Roman;Times;Serif"/>
                <w:sz w:val="20"/>
              </w:rPr>
              <w:t xml:space="preserve"> that the Calculation Agent may make such further adjustments to the terms of the Transaction as may be necessary to ensure that the fair value of the Transaction to Dealer is not adversely affected as a result of any adjustment referenced in this paragraph and, for the avoidance of doubt, any such further adjustments shall be taken into account in calculating the Delivery Obligation; and </w:t>
            </w:r>
            <w:r>
              <w:rPr>
                <w:rFonts w:ascii="Times New Roman;Times;Serif" w:hAnsi="Times New Roman;Times;Serif"/>
                <w:i/>
                <w:sz w:val="20"/>
              </w:rPr>
              <w:t>provided further</w:t>
            </w:r>
            <w:r>
              <w:rPr>
                <w:rFonts w:ascii="Times New Roman;Times;Serif" w:hAnsi="Times New Roman;Times;Serif"/>
                <w:sz w:val="20"/>
              </w:rPr>
              <w:t xml:space="preserve"> that if, with respect to a Merger Event, (i) the consideration for the Shares includes (or, at the option of a holder of Shares, may include) shares of an entity or person that is not a corporation organized under the laws of the United States, any state thereof or the District of Columbia or (ii) the Counterparty to the Transaction, following such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4"/>
        <w:gridCol w:w="60"/>
        <w:gridCol w:w="7561"/>
      </w:tblGrid>
      <w:tr>
        <w:trPr/>
        <w:tc>
          <w:tcPr>
            <w:tcW w:w="2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Merger Event, will not be a corporation organized under the laws of the United States, any state thereof or the District of Columbia and/or will not be the Issuer, Dealer may elect in its sole discretion that Cancellation and Payment (Calculation Agent Determination) shall apply.</w:t>
            </w:r>
          </w:p>
        </w:tc>
      </w:tr>
      <w:tr>
        <w:trPr/>
        <w:tc>
          <w:tcPr>
            <w:tcW w:w="2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61" w:type="dxa"/>
            <w:tcBorders/>
            <w:vAlign w:val="center"/>
          </w:tcPr>
          <w:p>
            <w:pPr>
              <w:pStyle w:val="TableContents"/>
              <w:bidi w:val="0"/>
              <w:spacing w:before="0" w:after="283"/>
              <w:jc w:val="both"/>
              <w:rPr/>
            </w:pPr>
            <w:r>
              <w:rPr/>
              <w:t> </w:t>
            </w:r>
          </w:p>
        </w:tc>
      </w:tr>
      <w:tr>
        <w:trPr/>
        <w:tc>
          <w:tcPr>
            <w:tcW w:w="2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Merger Consideration and Consequences:</w:t>
            </w:r>
          </w:p>
        </w:tc>
        <w:tc>
          <w:tcPr>
            <w:tcW w:w="60" w:type="dxa"/>
            <w:tcBorders/>
            <w:vAlign w:val="center"/>
          </w:tcPr>
          <w:p>
            <w:pPr>
              <w:pStyle w:val="TableContents"/>
              <w:bidi w:val="0"/>
              <w:spacing w:before="0" w:after="283"/>
              <w:jc w:val="left"/>
              <w:rPr/>
            </w:pPr>
            <w:r>
              <w:rPr/>
              <w:t> </w:t>
            </w:r>
          </w:p>
        </w:tc>
        <w:tc>
          <w:tcPr>
            <w:tcW w:w="7561" w:type="dxa"/>
            <w:tcBorders/>
            <w:vAlign w:val="center"/>
          </w:tcPr>
          <w:p>
            <w:pPr>
              <w:pStyle w:val="TableContents"/>
              <w:bidi w:val="0"/>
              <w:spacing w:before="0" w:after="283"/>
              <w:jc w:val="both"/>
              <w:rPr/>
            </w:pPr>
            <w:r>
              <w:rPr/>
              <w:t> </w:t>
            </w:r>
            <w:r>
              <w:rPr>
                <w:rFonts w:ascii="Times New Roman;Times;Serif" w:hAnsi="Times New Roman;Times;Serif"/>
                <w:sz w:val="20"/>
              </w:rPr>
              <w:t>Upon the occurrence of a Merger Event, Counterparty shall reasonably promptly (but in any event prior to the relevant merger date) notify the Calculation Agent of (i) in the case of a Merger Event that causes the Shares to be converted into the right to receive more than a single type of consideration (determined based in part upon any form of stockholder election), the types and amount of consideration actually received by such holders, and (ii) the details of the adjustment to be made under the Indenture in respect of such Merger Event.</w:t>
            </w:r>
          </w:p>
        </w:tc>
      </w:tr>
      <w:tr>
        <w:trPr/>
        <w:tc>
          <w:tcPr>
            <w:tcW w:w="2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61" w:type="dxa"/>
            <w:tcBorders/>
            <w:vAlign w:val="center"/>
          </w:tcPr>
          <w:p>
            <w:pPr>
              <w:pStyle w:val="TableContents"/>
              <w:bidi w:val="0"/>
              <w:spacing w:before="0" w:after="283"/>
              <w:jc w:val="both"/>
              <w:rPr/>
            </w:pPr>
            <w:r>
              <w:rPr/>
              <w:t> </w:t>
            </w:r>
          </w:p>
        </w:tc>
      </w:tr>
      <w:tr>
        <w:trPr/>
        <w:tc>
          <w:tcPr>
            <w:tcW w:w="2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Nationalization, Insolvency or Delisting:</w:t>
            </w:r>
          </w:p>
        </w:tc>
        <w:tc>
          <w:tcPr>
            <w:tcW w:w="60" w:type="dxa"/>
            <w:tcBorders/>
            <w:vAlign w:val="center"/>
          </w:tcPr>
          <w:p>
            <w:pPr>
              <w:pStyle w:val="TableContents"/>
              <w:bidi w:val="0"/>
              <w:spacing w:before="0" w:after="283"/>
              <w:jc w:val="left"/>
              <w:rPr/>
            </w:pPr>
            <w:r>
              <w:rPr/>
              <w:t> </w:t>
            </w:r>
          </w:p>
        </w:tc>
        <w:tc>
          <w:tcPr>
            <w:tcW w:w="75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Cancellation and Payment (Calculation Agent Determination); </w:t>
            </w:r>
            <w:r>
              <w:rPr>
                <w:rFonts w:ascii="Times New Roman;Times;Serif" w:hAnsi="Times New Roman;Times;Serif"/>
                <w:i/>
                <w:sz w:val="20"/>
              </w:rPr>
              <w:t>provided</w:t>
            </w:r>
            <w:r>
              <w:rPr>
                <w:rFonts w:ascii="Times New Roman;Times;Serif" w:hAnsi="Times New Roman;Times;Serif"/>
                <w:sz w:val="20"/>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r>
        <w:trPr/>
        <w:tc>
          <w:tcPr>
            <w:tcW w:w="2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61" w:type="dxa"/>
            <w:tcBorders/>
            <w:vAlign w:val="center"/>
          </w:tcPr>
          <w:p>
            <w:pPr>
              <w:pStyle w:val="TableContents"/>
              <w:bidi w:val="0"/>
              <w:spacing w:before="0" w:after="283"/>
              <w:jc w:val="both"/>
              <w:rPr/>
            </w:pPr>
            <w:r>
              <w:rPr/>
              <w:t> </w:t>
            </w:r>
          </w:p>
        </w:tc>
      </w:tr>
      <w:tr>
        <w:trPr/>
        <w:tc>
          <w:tcPr>
            <w:tcW w:w="2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Termination Event(s):</w:t>
            </w:r>
          </w:p>
        </w:tc>
        <w:tc>
          <w:tcPr>
            <w:tcW w:w="60" w:type="dxa"/>
            <w:tcBorders/>
            <w:vAlign w:val="center"/>
          </w:tcPr>
          <w:p>
            <w:pPr>
              <w:pStyle w:val="TableContents"/>
              <w:bidi w:val="0"/>
              <w:spacing w:before="0" w:after="283"/>
              <w:jc w:val="left"/>
              <w:rPr/>
            </w:pPr>
            <w:r>
              <w:rPr/>
              <w:t> </w:t>
            </w:r>
          </w:p>
        </w:tc>
        <w:tc>
          <w:tcPr>
            <w:tcW w:w="75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tc>
      </w:tr>
      <w:tr>
        <w:trPr/>
        <w:tc>
          <w:tcPr>
            <w:tcW w:w="2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61" w:type="dxa"/>
            <w:tcBorders/>
            <w:vAlign w:val="center"/>
          </w:tcPr>
          <w:p>
            <w:pPr>
              <w:pStyle w:val="TableContents"/>
              <w:bidi w:val="0"/>
              <w:spacing w:before="0" w:after="283"/>
              <w:jc w:val="both"/>
              <w:rPr/>
            </w:pPr>
            <w:r>
              <w:rPr/>
              <w:t> </w:t>
            </w:r>
          </w:p>
        </w:tc>
      </w:tr>
      <w:tr>
        <w:trPr/>
        <w:tc>
          <w:tcPr>
            <w:tcW w:w="2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Disruption Events:</w:t>
            </w:r>
          </w:p>
        </w:tc>
        <w:tc>
          <w:tcPr>
            <w:tcW w:w="60" w:type="dxa"/>
            <w:tcBorders/>
            <w:vAlign w:val="center"/>
          </w:tcPr>
          <w:p>
            <w:pPr>
              <w:pStyle w:val="TableContents"/>
              <w:bidi w:val="0"/>
              <w:spacing w:before="0" w:after="283"/>
              <w:jc w:val="left"/>
              <w:rPr/>
            </w:pPr>
            <w:r>
              <w:rPr/>
              <w:t> </w:t>
            </w:r>
          </w:p>
        </w:tc>
        <w:tc>
          <w:tcPr>
            <w:tcW w:w="7561" w:type="dxa"/>
            <w:tcBorders/>
            <w:vAlign w:val="center"/>
          </w:tcPr>
          <w:p>
            <w:pPr>
              <w:pStyle w:val="TableContents"/>
              <w:bidi w:val="0"/>
              <w:spacing w:before="0" w:after="283"/>
              <w:jc w:val="both"/>
              <w:rPr/>
            </w:pPr>
            <w:r>
              <w:rPr/>
              <w:t> </w:t>
            </w:r>
          </w:p>
        </w:tc>
      </w:tr>
      <w:tr>
        <w:trPr/>
        <w:tc>
          <w:tcPr>
            <w:tcW w:w="2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61" w:type="dxa"/>
            <w:tcBorders/>
            <w:vAlign w:val="center"/>
          </w:tcPr>
          <w:p>
            <w:pPr>
              <w:pStyle w:val="TableContents"/>
              <w:bidi w:val="0"/>
              <w:spacing w:before="0" w:after="283"/>
              <w:ind w:left="0" w:right="0" w:firstLine="360"/>
              <w:jc w:val="both"/>
              <w:rPr/>
            </w:pPr>
            <w:r>
              <w:rPr/>
              <w:t> </w:t>
            </w:r>
          </w:p>
        </w:tc>
      </w:tr>
      <w:tr>
        <w:trPr/>
        <w:tc>
          <w:tcPr>
            <w:tcW w:w="2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Change in Law:</w:t>
            </w:r>
          </w:p>
        </w:tc>
        <w:tc>
          <w:tcPr>
            <w:tcW w:w="60" w:type="dxa"/>
            <w:tcBorders/>
            <w:vAlign w:val="center"/>
          </w:tcPr>
          <w:p>
            <w:pPr>
              <w:pStyle w:val="TableContents"/>
              <w:bidi w:val="0"/>
              <w:spacing w:before="0" w:after="283"/>
              <w:jc w:val="left"/>
              <w:rPr/>
            </w:pPr>
            <w:r>
              <w:rPr/>
              <w:t> </w:t>
            </w:r>
          </w:p>
        </w:tc>
        <w:tc>
          <w:tcPr>
            <w:tcW w:w="75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Applicable; </w:t>
            </w:r>
            <w:r>
              <w:rPr>
                <w:rFonts w:ascii="Times New Roman;Times;Serif" w:hAnsi="Times New Roman;Times;Serif"/>
                <w:i/>
                <w:sz w:val="20"/>
              </w:rPr>
              <w:t>provided</w:t>
            </w:r>
            <w:r>
              <w:rPr>
                <w:rFonts w:ascii="Times New Roman;Times;Serif" w:hAnsi="Times New Roman;Times;Serif"/>
                <w:sz w:val="20"/>
              </w:rPr>
              <w:t xml:space="preserve"> 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4"/>
        <w:gridCol w:w="60"/>
        <w:gridCol w:w="8861"/>
      </w:tblGrid>
      <w:tr>
        <w:trPr/>
        <w:tc>
          <w:tcPr>
            <w:tcW w:w="12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contemplated by the Hedging Party on the Trade Date”; and </w:t>
            </w:r>
            <w:r>
              <w:rPr>
                <w:rFonts w:ascii="Times New Roman;Times;Serif" w:hAnsi="Times New Roman;Times;Serif"/>
                <w:i/>
                <w:sz w:val="20"/>
              </w:rPr>
              <w:t>provided further</w:t>
            </w:r>
            <w:r>
              <w:rPr>
                <w:rFonts w:ascii="Times New Roman;Times;Serif" w:hAnsi="Times New Roman;Times;Serif"/>
                <w:sz w:val="20"/>
              </w:rPr>
              <w:t xml:space="preserve"> that Section 12.9(a)(ii) of the Equity Definitions is hereby amended by (i) replacing the parenthetical beginning after the word “regulation” in the second line thereof the words “(including, for the avoidance of doubt and without limitation, (x) any tax law or (y) adoption or promulgation of new regulations authorized or mandated by existing statute)” and (ii) adding the words “, or holding, acquiring or disposing of Shares or any Hedge Positions relating to,” after the words “obligations under” in clause (Y) thereof.</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pPr>
            <w:r>
              <w:rPr/>
              <w:t> </w:t>
            </w:r>
          </w:p>
        </w:tc>
      </w:tr>
      <w:tr>
        <w:trPr/>
        <w:tc>
          <w:tcPr>
            <w:tcW w:w="12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Failure to Deliver:</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pPr>
            <w:r>
              <w:rPr/>
              <w:t> </w:t>
            </w:r>
          </w:p>
        </w:tc>
      </w:tr>
      <w:tr>
        <w:trPr/>
        <w:tc>
          <w:tcPr>
            <w:tcW w:w="12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Insolvency Filing:</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pPr>
            <w:r>
              <w:rPr/>
              <w:t> </w:t>
            </w:r>
          </w:p>
        </w:tc>
      </w:tr>
      <w:tr>
        <w:trPr/>
        <w:tc>
          <w:tcPr>
            <w:tcW w:w="12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Hedging Disruption:</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Applicable; </w:t>
            </w:r>
            <w:r>
              <w:rPr>
                <w:rFonts w:ascii="Times New Roman;Times;Serif" w:hAnsi="Times New Roman;Times;Serif"/>
                <w:i/>
                <w:sz w:val="20"/>
              </w:rPr>
              <w:t>provided</w:t>
            </w:r>
            <w:r>
              <w:rPr>
                <w:rFonts w:ascii="Times New Roman;Times;Serif" w:hAnsi="Times New Roman;Times;Serif"/>
                <w:sz w:val="20"/>
              </w:rPr>
              <w:t xml:space="preserve"> that:</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pPr>
            <w:r>
              <w:rPr/>
              <w:t> </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Section 12.9(a)(v) of the Equity Definitions is hereby amended by:</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pPr>
            <w:r>
              <w:rPr/>
              <w:t> </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inserting the following words at the end of clause (A) thereof: “in the manner contemplated by the Hedging Party on the Trade Date” and</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pPr>
            <w:r>
              <w:rPr/>
              <w:t> </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inserting the following paragraphs at the end of such Section:</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pPr>
            <w:r>
              <w:rPr/>
              <w:t> </w:t>
            </w:r>
          </w:p>
        </w:tc>
      </w:tr>
      <w:tr>
        <w:trPr/>
        <w:tc>
          <w:tcPr>
            <w:tcW w:w="12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pPr>
            <w:r>
              <w:rPr/>
              <w:t>“</w:t>
            </w:r>
            <w:r>
              <w:rPr>
                <w:rFonts w:ascii="Times New Roman;Times;Serif" w:hAnsi="Times New Roman;Times;Serif"/>
                <w:sz w:val="20"/>
              </w:rPr>
              <w:t>Such inability described in clauses (A) or (B) above shall not constitute a “Hedging Disruption” if such inability results from Hedging Party’s creditworthiness.</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pPr>
            <w:r>
              <w:rPr/>
              <w:t> </w:t>
            </w:r>
          </w:p>
        </w:tc>
      </w:tr>
      <w:tr>
        <w:trPr/>
        <w:tc>
          <w:tcPr>
            <w:tcW w:w="128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pPr>
            <w:r>
              <w:rPr/>
              <w:t> </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 Section 12.9(b)(iii) of the Equity Definitions is hereby amended by inserting in the third line thereof, after the words “to terminate the Transaction”, the words “or a portion of the Transaction affected by such Hedging Disruption”.</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pPr>
            <w:r>
              <w:rPr/>
              <w:t> </w:t>
            </w:r>
          </w:p>
        </w:tc>
      </w:tr>
      <w:tr>
        <w:trPr/>
        <w:tc>
          <w:tcPr>
            <w:tcW w:w="12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 Increased Cost of Hedging:</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Applicable; </w:t>
            </w:r>
            <w:r>
              <w:rPr>
                <w:rFonts w:ascii="Times New Roman;Times;Serif" w:hAnsi="Times New Roman;Times;Serif"/>
                <w:i/>
                <w:sz w:val="20"/>
              </w:rPr>
              <w:t>provided</w:t>
            </w:r>
            <w:r>
              <w:rPr>
                <w:rFonts w:ascii="Times New Roman;Times;Serif" w:hAnsi="Times New Roman;Times;Serif"/>
                <w:sz w:val="20"/>
              </w:rPr>
              <w:t xml:space="preserve"> that such increased cost described in Section 12.9(vi) of the Equity Definitions shall not constitute an “Increased Cost of Hedging” if such increased cost results from Hedging Party’s creditworthiness.</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pPr>
            <w:r>
              <w:rPr/>
              <w:t> </w:t>
            </w:r>
          </w:p>
        </w:tc>
      </w:tr>
      <w:tr>
        <w:trPr/>
        <w:tc>
          <w:tcPr>
            <w:tcW w:w="12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Hedging Party:</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w:t>
            </w:r>
          </w:p>
        </w:tc>
      </w:tr>
      <w:tr>
        <w:trPr/>
        <w:tc>
          <w:tcPr>
            <w:tcW w:w="12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pPr>
            <w:r>
              <w:rPr/>
              <w:t> </w:t>
            </w:r>
          </w:p>
        </w:tc>
      </w:tr>
      <w:tr>
        <w:trPr/>
        <w:tc>
          <w:tcPr>
            <w:tcW w:w="12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Determining Party:</w:t>
            </w:r>
          </w:p>
        </w:tc>
        <w:tc>
          <w:tcPr>
            <w:tcW w:w="60" w:type="dxa"/>
            <w:tcBorders/>
            <w:vAlign w:val="center"/>
          </w:tcPr>
          <w:p>
            <w:pPr>
              <w:pStyle w:val="TableContents"/>
              <w:bidi w:val="0"/>
              <w:spacing w:before="0" w:after="283"/>
              <w:jc w:val="left"/>
              <w:rPr/>
            </w:pPr>
            <w:r>
              <w:rPr/>
              <w:t> </w:t>
            </w:r>
          </w:p>
        </w:tc>
        <w:tc>
          <w:tcPr>
            <w:tcW w:w="8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Dealer. </w:t>
            </w:r>
            <w:r>
              <w:rPr>
                <w:rFonts w:ascii="Times New Roman;Times;Serif" w:hAnsi="Times New Roman;Times;Serif"/>
                <w:sz w:val="20"/>
                <w:shd w:fill="FFFFFF" w:val="clear"/>
              </w:rPr>
              <w:t>All calculations and determinations by the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15</w:t>
      </w:r>
    </w:p>
    <w:p>
      <w:pPr>
        <w:pStyle w:val="TextBody"/>
        <w:bidi w:val="0"/>
        <w:spacing w:before="0" w:after="0"/>
        <w:ind w:left="0" w:right="0" w:hanging="0"/>
        <w:jc w:val="left"/>
        <w:rPr/>
      </w:pPr>
      <w:r>
        <w:rPr/>
        <w:t> </w:t>
      </w:r>
    </w:p>
    <w:p>
      <w:pPr>
        <w:pStyle w:val="TextBody"/>
        <w:bidi w:val="0"/>
        <w:spacing w:before="0" w:after="0"/>
        <w:jc w:val="left"/>
        <w:rPr>
          <w:caps w:val="false"/>
          <w:smallCaps w:val="false"/>
          <w:shd w:fill="FFFFFF" w:val="clear"/>
        </w:rPr>
      </w:pPr>
      <w:r>
        <w:rPr>
          <w:caps w:val="false"/>
          <w:smallCaps w:val="false"/>
          <w:shd w:fill="FFFFFF" w:val="clear"/>
        </w:rPr>
        <w:t> </w:t>
      </w:r>
    </w:p>
    <w:tbl>
      <w:tblPr>
        <w:tblW w:w="10205" w:type="dxa"/>
        <w:jc w:val="left"/>
        <w:tblInd w:w="0" w:type="dxa"/>
        <w:tblLayout w:type="fixed"/>
        <w:tblCellMar>
          <w:top w:w="0" w:type="dxa"/>
          <w:left w:w="0" w:type="dxa"/>
          <w:bottom w:w="0" w:type="dxa"/>
          <w:right w:w="0" w:type="dxa"/>
        </w:tblCellMar>
      </w:tblPr>
      <w:tblGrid>
        <w:gridCol w:w="1888"/>
        <w:gridCol w:w="60"/>
        <w:gridCol w:w="8257"/>
      </w:tblGrid>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rFonts w:ascii="Times New Roman;Times;Serif" w:hAnsi="Times New Roman;Times;Serif"/>
                <w:sz w:val="20"/>
                <w:shd w:fill="FFFFFF" w:val="clear"/>
              </w:rPr>
              <w:t xml:space="preserve">Determining Party shall be made in good faith and in a commercially reasonable manner. Following any calculation by the Determining Party hereunder, upon written request by Counterparty, the Determining Party will, within five Exchange Business Days immediately following such request, provide to Counterparty a report </w:t>
            </w:r>
            <w:r>
              <w:rPr>
                <w:rFonts w:ascii="Times New Roman;Times;Serif" w:hAnsi="Times New Roman;Times;Serif"/>
                <w:sz w:val="20"/>
              </w:rPr>
              <w:t xml:space="preserve">(in a commonly used file format for the storage and manipulation of financial data) </w:t>
            </w:r>
            <w:r>
              <w:rPr>
                <w:rFonts w:ascii="Times New Roman;Times;Serif" w:hAnsi="Times New Roman;Times;Serif"/>
                <w:sz w:val="20"/>
                <w:shd w:fill="FFFFFF" w:val="clear"/>
              </w:rPr>
              <w:t xml:space="preserve">displaying in reasonable detail the basis for such calculation; </w:t>
            </w:r>
            <w:r>
              <w:rPr>
                <w:rFonts w:ascii="Times New Roman;Times;Serif" w:hAnsi="Times New Roman;Times;Serif"/>
                <w:i/>
                <w:sz w:val="20"/>
                <w:shd w:fill="FFFFFF" w:val="clear"/>
              </w:rPr>
              <w:t>provided, however</w:t>
            </w:r>
            <w:r>
              <w:rPr>
                <w:rFonts w:ascii="Times New Roman;Times;Serif" w:hAnsi="Times New Roman;Times;Serif"/>
                <w:sz w:val="20"/>
                <w:shd w:fill="FFFFFF" w:val="clear"/>
              </w:rPr>
              <w:t>, that in no event will the Determining Party be obligated to share with Counterparty any proprietary or confidential data or information or any proprietary or confidential models used by it.</w:t>
            </w:r>
          </w:p>
        </w:tc>
      </w:tr>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Non-Reliance: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Agreements and Acknowledgments Regarding Hedging Activities:</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t> </w:t>
            </w:r>
          </w:p>
        </w:tc>
      </w:tr>
      <w:tr>
        <w:trPr/>
        <w:tc>
          <w:tcPr>
            <w:tcW w:w="18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Acknowledgments:</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t> </w:t>
            </w:r>
          </w:p>
        </w:tc>
      </w:tr>
      <w:tr>
        <w:trPr/>
        <w:tc>
          <w:tcPr>
            <w:tcW w:w="1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            </w:t>
            </w:r>
            <w:r>
              <w:rPr>
                <w:rFonts w:ascii="Times New Roman;Times;Serif" w:hAnsi="Times New Roman;Times;Serif"/>
                <w:sz w:val="20"/>
                <w:u w:val="single"/>
              </w:rPr>
              <w:t>Calculation Agent</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t> </w:t>
            </w:r>
          </w:p>
        </w:tc>
      </w:tr>
      <w:tr>
        <w:trPr/>
        <w:tc>
          <w:tcPr>
            <w:tcW w:w="188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 provided that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obligations of the Calculation Agent hereunder and such failure continues for five Exchange Business Days following notice to the Calculation Agent by Counterparty of such failure, Counterparty shall have the right to designate a nationally recognized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Calculation Agent.</w:t>
            </w:r>
          </w:p>
        </w:tc>
      </w:tr>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pPr>
            <w:r>
              <w:rPr/>
              <w:t> </w:t>
            </w:r>
          </w:p>
        </w:tc>
      </w:tr>
      <w:tr>
        <w:trPr/>
        <w:tc>
          <w:tcPr>
            <w:tcW w:w="1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Following any calculation by the Calculation Agent hereunder, upon written request by Counterparty, the Calculation Agent will, within five Exchange Business Days immediately following such request, provide to Counterparty by email to the email address provided by Counterparty in such written request a report (in a commonly used file format for the storage and manipulation of financial data) displaying in reasonable detail the basis for such calculation; </w:t>
            </w:r>
            <w:r>
              <w:rPr>
                <w:rFonts w:ascii="Times New Roman;Times;Serif" w:hAnsi="Times New Roman;Times;Serif"/>
                <w:i/>
                <w:sz w:val="20"/>
              </w:rPr>
              <w:t>provided that</w:t>
            </w:r>
            <w:r>
              <w:rPr>
                <w:rFonts w:ascii="Times New Roman;Times;Serif" w:hAnsi="Times New Roman;Times;Serif"/>
                <w:sz w:val="20"/>
              </w:rPr>
              <w:t xml:space="preserve"> in no event will Dealer be obligated to</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ind w:left="4320" w:right="0" w:hanging="0"/>
        <w:jc w:val="center"/>
        <w:rPr>
          <w:bdr w:val="single" w:sz="8" w:space="1" w:color="000000"/>
        </w:rPr>
      </w:pPr>
      <w:r>
        <w:rPr>
          <w:bdr w:val="single" w:sz="8" w:space="1" w:color="000000"/>
        </w:rPr>
        <w:t> </w:t>
      </w:r>
      <w:r>
        <w:rPr>
          <w:bdr w:val="single" w:sz="8" w:space="1" w:color="000000"/>
        </w:rPr>
        <w:t>16</w:t>
      </w:r>
    </w:p>
    <w:p>
      <w:pPr>
        <w:pStyle w:val="TextBody"/>
        <w:bidi w:val="0"/>
        <w:spacing w:before="0" w:after="0"/>
        <w:ind w:left="0" w:right="0" w:hanging="0"/>
        <w:jc w:val="left"/>
        <w:rPr/>
      </w:pPr>
      <w:r>
        <w:rPr/>
        <w:t> </w:t>
      </w:r>
    </w:p>
    <w:p>
      <w:pPr>
        <w:pStyle w:val="TextBody"/>
        <w:bidi w:val="0"/>
        <w:spacing w:before="0" w:after="0"/>
        <w:ind w:left="43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with Counterparty any proprietary or confidential data or information or any proprietary or confidential models used by it or any information that is subject to an obligation not to disclose such information.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20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ind w:left="0" w:right="0" w:hanging="540"/>
              <w:jc w:val="left"/>
              <w:rPr/>
            </w:pPr>
            <w:r>
              <w:rPr/>
              <w:t>4.</w:t>
            </w:r>
          </w:p>
        </w:tc>
        <w:tc>
          <w:tcPr>
            <w:tcW w:w="2120" w:type="dxa"/>
            <w:tcBorders/>
            <w:vAlign w:val="center"/>
          </w:tcPr>
          <w:p>
            <w:pPr>
              <w:pStyle w:val="TableContents"/>
              <w:bidi w:val="0"/>
              <w:spacing w:before="0" w:after="283"/>
              <w:jc w:val="both"/>
              <w:rPr/>
            </w:pPr>
            <w:r>
              <w:rPr/>
              <w:t>           </w:t>
            </w:r>
            <w:r>
              <w:rPr>
                <w:u w:val="single"/>
              </w:rPr>
              <w:t>Account Details</w:t>
            </w:r>
            <w:r>
              <w:rPr/>
              <w:t>:</w:t>
            </w:r>
          </w:p>
        </w:tc>
      </w:tr>
    </w:tbl>
    <w:p>
      <w:pPr>
        <w:pStyle w:val="TextBody"/>
        <w:bidi w:val="0"/>
        <w:spacing w:before="0" w:after="0"/>
        <w:jc w:val="left"/>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65"/>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ind w:left="0" w:right="0" w:hanging="360"/>
              <w:jc w:val="left"/>
              <w:rPr/>
            </w:pPr>
            <w:r>
              <w:rPr/>
              <w:t> </w:t>
            </w:r>
          </w:p>
        </w:tc>
        <w:tc>
          <w:tcPr>
            <w:tcW w:w="3080" w:type="dxa"/>
            <w:tcBorders/>
            <w:vAlign w:val="center"/>
          </w:tcPr>
          <w:p>
            <w:pPr>
              <w:pStyle w:val="TableContents"/>
              <w:bidi w:val="0"/>
              <w:spacing w:before="0" w:after="283"/>
              <w:jc w:val="both"/>
              <w:rPr/>
            </w:pPr>
            <w:r>
              <w:rPr/>
              <w:t>       </w:t>
            </w:r>
            <w:r>
              <w:rPr/>
              <w:t>Dealer Payment Instructions:</w:t>
            </w:r>
          </w:p>
        </w:tc>
      </w:tr>
    </w:tbl>
    <w:p>
      <w:pPr>
        <w:pStyle w:val="TextBody"/>
        <w:bidi w:val="0"/>
        <w:spacing w:before="0" w:after="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1040"/>
        <w:gridCol w:w="60"/>
        <w:gridCol w:w="3050"/>
      </w:tblGrid>
      <w:tr>
        <w:trPr/>
        <w:tc>
          <w:tcPr>
            <w:tcW w:w="1040" w:type="dxa"/>
            <w:tcBorders/>
            <w:vAlign w:val="center"/>
          </w:tcPr>
          <w:p>
            <w:pPr>
              <w:pStyle w:val="TableContents"/>
              <w:bidi w:val="0"/>
              <w:spacing w:before="0" w:after="283"/>
              <w:ind w:left="0" w:right="0" w:firstLine="360"/>
              <w:jc w:val="left"/>
              <w:rPr>
                <w:rFonts w:ascii="Times New Roman;Times;Serif" w:hAnsi="Times New Roman;Times;Serif"/>
                <w:sz w:val="20"/>
              </w:rPr>
            </w:pPr>
            <w:r>
              <w:rPr>
                <w:rFonts w:ascii="Times New Roman;Times;Serif" w:hAnsi="Times New Roman;Times;Serif"/>
                <w:sz w:val="20"/>
              </w:rPr>
              <w:t>Bank:</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ind w:left="0" w:right="0" w:firstLine="360"/>
              <w:jc w:val="left"/>
              <w:rPr>
                <w:rFonts w:ascii="Times New Roman;Times;Serif" w:hAnsi="Times New Roman;Times;Serif"/>
                <w:sz w:val="20"/>
              </w:rPr>
            </w:pPr>
            <w:r>
              <w:rPr>
                <w:rFonts w:ascii="Times New Roman;Times;Serif" w:hAnsi="Times New Roman;Times;Serif"/>
                <w:sz w:val="20"/>
              </w:rPr>
              <w:t>JPMorgan Chase Bank, N.A.</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ind w:left="0" w:right="0" w:firstLine="360"/>
              <w:jc w:val="left"/>
              <w:rPr>
                <w:rFonts w:ascii="Times New Roman;Times;Serif" w:hAnsi="Times New Roman;Times;Serif"/>
                <w:sz w:val="20"/>
              </w:rPr>
            </w:pPr>
            <w:r>
              <w:rPr>
                <w:rFonts w:ascii="Times New Roman;Times;Serif" w:hAnsi="Times New Roman;Times;Serif"/>
                <w:sz w:val="20"/>
              </w:rPr>
              <w:t>021000021</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Acct No.:</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ind w:left="0" w:right="0" w:firstLine="360"/>
              <w:jc w:val="left"/>
              <w:rPr>
                <w:rFonts w:ascii="Times New Roman;Times;Serif" w:hAnsi="Times New Roman;Times;Serif"/>
                <w:sz w:val="20"/>
              </w:rPr>
            </w:pPr>
            <w:r>
              <w:rPr>
                <w:rFonts w:ascii="Times New Roman;Times;Serif" w:hAnsi="Times New Roman;Times;Serif"/>
                <w:sz w:val="20"/>
              </w:rPr>
              <w:t>066914272</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Beneficiary:</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ind w:left="0" w:right="0" w:firstLine="360"/>
              <w:jc w:val="left"/>
              <w:rPr/>
            </w:pPr>
            <w:r>
              <w:rPr/>
              <w:t>J.P. Morgan Securities LLC</w:t>
            </w:r>
          </w:p>
        </w:tc>
      </w:tr>
      <w:tr>
        <w:trPr/>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Derivatives</w:t>
            </w:r>
          </w:p>
        </w:tc>
      </w:tr>
    </w:tbl>
    <w:p>
      <w:pPr>
        <w:pStyle w:val="TextBody"/>
        <w:bidi w:val="0"/>
        <w:spacing w:before="0" w:after="0"/>
        <w:ind w:left="0" w:right="0" w:hanging="0"/>
        <w:jc w:val="left"/>
        <w:rPr>
          <w:caps w:val="false"/>
          <w:smallCaps w:val="false"/>
        </w:rPr>
      </w:pPr>
      <w:r>
        <w:rPr>
          <w:caps w:val="false"/>
          <w:smallCaps w:val="false"/>
        </w:rPr>
        <w:t> </w:t>
      </w:r>
    </w:p>
    <w:tbl>
      <w:tblPr>
        <w:tblW w:w="3065" w:type="dxa"/>
        <w:jc w:val="left"/>
        <w:tblInd w:w="0" w:type="dxa"/>
        <w:tblLayout w:type="fixed"/>
        <w:tblCellMar>
          <w:top w:w="0" w:type="dxa"/>
          <w:left w:w="0" w:type="dxa"/>
          <w:bottom w:w="0" w:type="dxa"/>
          <w:right w:w="0" w:type="dxa"/>
        </w:tblCellMar>
      </w:tblPr>
      <w:tblGrid>
        <w:gridCol w:w="75"/>
        <w:gridCol w:w="60"/>
        <w:gridCol w:w="293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Payment Instructions: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 by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Dealer for the Transaction is: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 Madison Avenue</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10179</w:t>
      </w:r>
    </w:p>
    <w:p>
      <w:pPr>
        <w:pStyle w:val="TextBody"/>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Office of Counterparty for the Transaction is: Inapplicable, Counterparty is not a Multibranch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For purposes of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Address for notices or communications to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MN 55347</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Kathy Hiebert,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Address for notices or communications to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EDG Marketing Support</w:t>
      </w:r>
    </w:p>
    <w:tbl>
      <w:tblPr>
        <w:tblW w:w="4180" w:type="dxa"/>
        <w:jc w:val="left"/>
        <w:tblInd w:w="0" w:type="dxa"/>
        <w:tblLayout w:type="fixed"/>
        <w:tblCellMar>
          <w:top w:w="0" w:type="dxa"/>
          <w:left w:w="0" w:type="dxa"/>
          <w:bottom w:w="0" w:type="dxa"/>
          <w:right w:w="0" w:type="dxa"/>
        </w:tblCellMar>
      </w:tblPr>
      <w:tblGrid>
        <w:gridCol w:w="75"/>
        <w:gridCol w:w="605"/>
        <w:gridCol w:w="3500"/>
      </w:tblGrid>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Email:</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edg_notices@jpmorgan.com</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edg.us.flow.corporates.mo@jpmorgan.com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Mr.Gaurav Maria</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bl>
      <w:tblPr>
        <w:tblW w:w="3753" w:type="dxa"/>
        <w:jc w:val="left"/>
        <w:tblInd w:w="0" w:type="dxa"/>
        <w:tblLayout w:type="fixed"/>
        <w:tblCellMar>
          <w:top w:w="0" w:type="dxa"/>
          <w:left w:w="0" w:type="dxa"/>
          <w:bottom w:w="0" w:type="dxa"/>
          <w:right w:w="0" w:type="dxa"/>
        </w:tblCellMar>
      </w:tblPr>
      <w:tblGrid>
        <w:gridCol w:w="38"/>
        <w:gridCol w:w="68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 </w:t>
            </w:r>
            <w:r>
              <w:rPr/>
              <w:t>Email:</w:t>
            </w:r>
          </w:p>
        </w:tc>
        <w:tc>
          <w:tcPr>
            <w:tcW w:w="3035" w:type="dxa"/>
            <w:tcBorders/>
            <w:vAlign w:val="center"/>
          </w:tcPr>
          <w:p>
            <w:pPr>
              <w:pStyle w:val="TableContents"/>
              <w:bidi w:val="0"/>
              <w:spacing w:before="0" w:after="283"/>
              <w:jc w:val="left"/>
              <w:rPr/>
            </w:pPr>
            <w:r>
              <w:rPr/>
              <w:t>gaurav.x.maria@jpmorgan.com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Warranties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Trade Date and as of the date of any Notice of Share Termination under (and as defined in) Section 8(c)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when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17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On the Trade Date, the Shares or securities that are convertible into, or exchangeable or exercisable for Shares, are not subject to a “restricted period,” as such term is defined in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or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(or any successor issue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Without limiting the generality of Section 3(a)(iii) of the Agreement, the Transaction will not violate Rule 13e-1 or Rule 13e-4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302A.673 of the Minnesota Business Corporations Act as an “interested shareholder”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On each of the Trade Date and the Premium Payment Date, Counterparty is not “insolvent” (as such term is defined under Section 101(32) of the U.S. Bankruptcy Code (Title 11 of the United States Code)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and Counterparty would be able to purchase the Number of Shares in compliance with the laws of the jurisdiction of Counterparty’s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representations and warranties of Counterparty set forth in Section 3 of the Agreement and Section 1 of the Purchase Agreement, dated as of January 18, 2024, between Goldman Sachs &amp; Co. LLC and BMO Capital Markets Corp. as the Representatives and Counterparty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are true and correct as of the Trade Date and the Effective Date and are hereby deemed to be repeated to Dealer as if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provided however, that Counterparty makes no representation or warranty regarding any such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18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 that is applicable generally to the ownership of equity securities by Dealer or any of its affiliates as a result of it or any such affiliates being financial institutions or broker-dealers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 (C) has total assets of at least $50 million. Counterparty will notify Dealer if the immediately preceding statement contained in this Section 7(a)(xi) ceases to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26, 2023,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Dealer and Counterparty acknowledges that the offer and sale of the Transaction to it is intended to be exempt from registration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Dealer and Counterparty agrees and acknowledges that Dealer is a “financial institution” and “financial participant” within the meaning of Sections 101(22) and 101(22A) of the Bankruptcy Code.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a condition to the effectiveness of the Transaction, Counterparty shall deliver to Dealer (i) an incumbency certificate, dated as of the Premium Payment Date, of Counterparty in customary form and (ii) an opinion of counsel, dated as of the Premium Payment Date and reasonably acceptable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in form and substance, with respect to the matters set forth in Section 3(a) of the Agreement, Sections 7(a)(vii) and 7(a)(xii) hereof and such other matters as Dealer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Counterparty represents and warrants that it has received, read and understands the </w:t>
      </w:r>
      <w:r>
        <w:rPr>
          <w:rFonts w:ascii="Times New Roman;Times;Serif" w:hAnsi="Times New Roman;Times;Serif"/>
          <w:b/>
          <w:i w:val="false"/>
          <w:caps w:val="false"/>
          <w:smallCaps w:val="false"/>
          <w:sz w:val="20"/>
        </w:rPr>
        <w:t>OTC Options Risk Disclosure Statement</w:t>
      </w:r>
      <w:r>
        <w:rPr>
          <w:rFonts w:ascii="Times New Roman;Times;Serif" w:hAnsi="Times New Roman;Times;Serif"/>
          <w:b w:val="false"/>
          <w:i w:val="false"/>
          <w:caps w:val="false"/>
          <w:smallCaps w:val="false"/>
          <w:sz w:val="20"/>
        </w:rPr>
        <w:t xml:space="preserve"> and a copy of the most recent disclosure pamphlet prepared by The Options Clearing Corporation entitled “</w:t>
      </w:r>
      <w:r>
        <w:rPr>
          <w:rFonts w:ascii="Times New Roman;Times;Serif" w:hAnsi="Times New Roman;Times;Serif"/>
          <w:b/>
          <w:i w:val="false"/>
          <w:caps w:val="false"/>
          <w:smallCaps w:val="false"/>
          <w:sz w:val="20"/>
        </w:rPr>
        <w:t>Characteristics and Risks of Standardized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 acknowledges and agrees to be bound by the Conduct Rules of the Financial Industry Regulatory Authority, Inc. applicable to transactions in options, and further agrees not to violate the position and exercise limits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Counterparty represents and warrants that the assets used in the Transaction (i) are not assets of any “plan” (as such term is defined in Section 4975 of the U.S. Internal Revenue Code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subject to Section 4975 of the Code or any “employee benefit plan” (as such term is defined in Section 3(3) of the U.S. Employee Retirement Income Security Act of 1974, as amended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subject to Title I of ERISA, and (ii) do not constitute “plan assets” within the meaning of Department of Labor Regulation 2510.3-101, 29 CFR Section 2510-3-101.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On the Trade Date, neither Counterparty nor any “affiliate” or “affiliated purchaser” (each as defined in Rule 10b-18 under the Exchange Act (“</w:t>
      </w:r>
      <w:r>
        <w:rPr>
          <w:rFonts w:ascii="Times New Roman;Times;Serif" w:hAnsi="Times New Roman;Times;Serif"/>
          <w:b/>
          <w:i w:val="false"/>
          <w:caps w:val="false"/>
          <w:smallCaps w:val="false"/>
          <w:sz w:val="20"/>
        </w:rPr>
        <w:t>Rule 10b-18</w:t>
      </w:r>
      <w:r>
        <w:rPr>
          <w:rFonts w:ascii="Times New Roman;Times;Serif" w:hAnsi="Times New Roman;Times;Serif"/>
          <w:b w:val="false"/>
          <w:i w:val="false"/>
          <w:caps w:val="false"/>
          <w:smallCaps w:val="false"/>
          <w:sz w:val="20"/>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Counterparty acknowledges that the Transaction may constitute a purchase of its equity securities or a capital distribution. Counterparty further acknowledges that, pursuant to the provisions of the Coronavirus Aid, Relief and Economic Security Act (the “</w:t>
      </w:r>
      <w:r>
        <w:rPr>
          <w:rFonts w:ascii="Times New Roman;Times;Serif" w:hAnsi="Times New Roman;Times;Serif"/>
          <w:b/>
          <w:i w:val="false"/>
          <w:caps w:val="false"/>
          <w:smallCaps w:val="false"/>
          <w:sz w:val="20"/>
        </w:rPr>
        <w:t>CARES Act</w:t>
      </w:r>
      <w:r>
        <w:rPr>
          <w:rFonts w:ascii="Times New Roman;Times;Serif" w:hAnsi="Times New Roman;Times;Serif"/>
          <w:b w:val="false"/>
          <w:i w:val="false"/>
          <w:caps w:val="false"/>
          <w:smallCaps w:val="false"/>
          <w:sz w:val="20"/>
        </w:rPr>
        <w:t>”), the Counterparty will be required to agree to certain time-bound restrictions on its ability to purchase its equity securities or make capital distributions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or make capital distributions if it receives loans, loan guarantees or direct loans (as that term is defined in the CARES Act) under programs or facilities established by the Board of Governors of the Federal Reserve System or the U.S. Department of Treasury for the purpose of providing liquidity to the financial system, and may be required to agree to similar restrictions under programs or facilities established in the future. Accordingly, Counterparty represents and warrants that neither it nor any of its subsidiaries has applied for, and throughout the term of the Transaction shall not apply, for a loan, loan guarantee, direct loan (as that term is defined in the CARES Act) or other investment, or to receive any financial assistance or relief (howsoever defined) under any program or facility that (a) is established under applicable law (whether in existence as of the Trade Date or subsequently enacted, adopted or amended), including without limitation the CARES Act and the Federal Reserve Act, as amended, and (b) requires under applicable law (or any regulation, guidance, interpretation or other pronouncement thereunder), as a condition of such loan, loan guarantee, direct loan (as that term is defined in the CARES Act), investment, financial assistance or relief, that Counterparty or any of its subsidiaries agree, attest, certify or warrant that it has not, as of the date specified in such condition, repurchased, or will not repurchase, any equity security of Counterparty, and that it has not, as of the date specified in such condition, made a capital distribution or will not make a capital distribution (collectively, “</w:t>
      </w:r>
      <w:r>
        <w:rPr>
          <w:rFonts w:ascii="Times New Roman;Times;Serif" w:hAnsi="Times New Roman;Times;Serif"/>
          <w:b/>
          <w:i w:val="false"/>
          <w:caps w:val="false"/>
          <w:smallCaps w:val="false"/>
          <w:sz w:val="20"/>
        </w:rPr>
        <w:t>Restricted Financial Assistance</w:t>
      </w:r>
      <w:r>
        <w:rPr>
          <w:rFonts w:ascii="Times New Roman;Times;Serif" w:hAnsi="Times New Roman;Times;Serif"/>
          <w:b w:val="false"/>
          <w:i w:val="false"/>
          <w:caps w:val="false"/>
          <w:smallCaps w:val="false"/>
          <w:sz w:val="20"/>
        </w:rPr>
        <w:t>”); provided that Counterparty may apply for Restricted Financial Assistance if Counterparty either (a) determines, based on the advice of outside counsel of national standing, that the terms of the Transaction would not cause Counterparty to fail to satisfy any condition for application for or receipt or retention of such loan, loan guarantee, direct loan (as that term is defined in the CARES Act), investment, financial assistance or relief based on the terms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program or facility as of the date of such advice or (b) delivers to Dealer evidence of a waiver or other guidance from a governmental authority with jurisdiction for such program or facility that the Transaction is permitted under such program or facility (either by specific reference to the Transaction or by general reference to transactions with attributes of the Transaction in all relevant respects).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(whether in existence as of the Trade Date or subsequently enacted, adopted or 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Right to Extend</w:t>
      </w:r>
      <w:r>
        <w:rPr>
          <w:rFonts w:ascii="Times New Roman;Times;Serif" w:hAnsi="Times New Roman;Times;Serif"/>
          <w:b w:val="false"/>
          <w:i w:val="false"/>
          <w:caps w:val="false"/>
          <w:smallCaps w:val="false"/>
          <w:sz w:val="20"/>
        </w:rPr>
        <w:t>. Dealer may postpone or add, in whole or in part, any Exercise Date or Settlement Date or any other date of valuation or delivery by Dealer, with respect to some or all of the relevant Options (in which event the Calculation Agent shall make appropriate adjustments to the Delivery Obligation), if Dealer determines, in its commercially reasonable discretion, that such extension or addition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 and in the case of policies or procedures, so long as such policies and procedures are consistently applied to transactions similar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Additional Termination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an event of default with respect to Counterparty under the terms of the Convertible Securities as set forth in Section 7.01 of the Indenture that results in the acceleration of the Convertible Notes, or (B) an Amendment Event, in each case, shall constitute an Additional Termination Event with respect to which the Transaction is the sole Affected Transaction and Counterparty is the sole Affected Party, and Dealer shall be the party entitled to designate an Early Termination Date pursuant to Section 6(b) of the Agreement and to determine the amount payable pursuant to Section 6(e) of the Agreement. “</w:t>
      </w:r>
      <w:r>
        <w:rPr>
          <w:rFonts w:ascii="Times New Roman;Times;Serif" w:hAnsi="Times New Roman;Times;Serif"/>
          <w:b/>
          <w:i w:val="false"/>
          <w:caps w:val="false"/>
          <w:smallCaps w:val="false"/>
          <w:sz w:val="20"/>
        </w:rPr>
        <w:t>Amendment Event</w:t>
      </w:r>
      <w:r>
        <w:rPr>
          <w:rFonts w:ascii="Times New Roman;Times;Serif" w:hAnsi="Times New Roman;Times;Serif"/>
          <w:b w:val="false"/>
          <w:i w:val="false"/>
          <w:caps w:val="false"/>
          <w:smallCaps w:val="false"/>
          <w:sz w:val="20"/>
        </w:rPr>
        <w:t>” means that Counterparty amends, modifies, supplements, waives or obtains a waiver in respect of any term of the Indenture or the Convertible Securities governing the principal amount, coupon, maturity, repurchase obligation of Counterparty, any term relating to conversion of the Convertible Securities (including changes to the conversion rate, conversion rate adjustment provisions, conversion settlement dates or conversion conditions), or any term that would require consent of the holders of not less than 100% of the principal amount of the Convertible Securities to amend (other than, in each case, any amendment or supplement (x) pursuant to Section 8.01(I) of the Indenture that, as determined by the Calculation Agent, conforms the Indenture to the description of Convertible Securities in the Offering Memorandum or (y) pursuant to Section 5.08 of the Indenture), in each case, without the consent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 Scheduled Trading Days promptly following any Repayment Event (as defined below), Counterparty shall notify Dealer of such Repayment Event and the aggregate principal amount of Convertible Notes subject to such Repayment Event or the portion of such aggregate principal amount that Counterparty elects to be subject to such Repayment Event) (any such notice, a “</w:t>
      </w:r>
      <w:r>
        <w:rPr>
          <w:rFonts w:ascii="Times New Roman;Times;Serif" w:hAnsi="Times New Roman;Times;Serif"/>
          <w:b/>
          <w:i w:val="false"/>
          <w:caps w:val="false"/>
          <w:smallCaps w:val="false"/>
          <w:sz w:val="20"/>
        </w:rPr>
        <w:t>Repayment Notice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“Convertible Securities Repurchase Notice” delivered to Dealer pursuant to the Base Call Option Transaction Confirmation shall be deemed to be a Convertible Securities Repurchase Notice pursuant to this Confirmation and the terms of such Convertible Securities Repurchase Notice shall apply, mutatis mutandis, to this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21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Any Repayment Notice shall contain a written representation by Counterparty to Dealer that Counterparty is not, on the date of such Repayment Notice, in possession of any material non-public information with respect to Counterparty or the Shares. The receipt by Dealer from Counterparty of any Repayment Notice shall constitute an Additional Termination Event as provided in this Section 8(b)(B). Upon receipt of any such Repayment Notice, Dealer shall designate an Exchange Business Day following receipt of such Repayment Notice as an Early Termination Date with respect to the portion of the Transaction corresponding to a number of Options (the “</w:t>
      </w:r>
      <w:r>
        <w:rPr>
          <w:rFonts w:ascii="Times New Roman;Times;Serif" w:hAnsi="Times New Roman;Times;Serif"/>
          <w:b/>
          <w:i w:val="false"/>
          <w:caps w:val="false"/>
          <w:smallCaps w:val="false"/>
          <w:sz w:val="20"/>
        </w:rPr>
        <w:t>Repayment Options</w:t>
      </w:r>
      <w:r>
        <w:rPr>
          <w:rFonts w:ascii="Times New Roman;Times;Serif" w:hAnsi="Times New Roman;Times;Serif"/>
          <w:b w:val="false"/>
          <w:i w:val="false"/>
          <w:caps w:val="false"/>
          <w:smallCaps w:val="false"/>
          <w:sz w:val="20"/>
        </w:rPr>
        <w:t xml:space="preserve">”) equal to the lesser of (A) (x) the aggregate principal amount of such Convertible Notes specified in such Repayment Notice,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USD 1,000, minus (y) the number of Repurchase Options (as defined in the Base Call Option Transaction Confirmation), if any, that relate to such Convertible Securities (and for purposes of determining whether any Options under this Confirmation or under the Base Call Option Transaction Confirmation will be among the Repurchase Options hereunder or under, and as defined in, the Base Call Option Transaction Confirmation, the Convertible Securities specified in such Convertible Securities Repurchase Notice shall be allocated first to the Base Call Option Transaction Confirmation until all Options thereunder are exercised or terminated)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Times;Serif" w:hAnsi="Times New Roman;Times;Serif"/>
          <w:b/>
          <w:i w:val="false"/>
          <w:caps w:val="false"/>
          <w:smallCaps w:val="false"/>
          <w:sz w:val="20"/>
        </w:rPr>
        <w:t>Repayment Unwind Payment</w:t>
      </w:r>
      <w:r>
        <w:rPr>
          <w:rFonts w:ascii="Times New Roman;Times;Serif" w:hAnsi="Times New Roman;Times;Serif"/>
          <w:b w:val="false"/>
          <w:i w:val="false"/>
          <w:caps w:val="false"/>
          <w:smallCaps w:val="false"/>
          <w:sz w:val="20"/>
        </w:rPr>
        <w:t xml:space="preserve">”)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and (3) the terminated portion of the Transaction were the sole Affected Transaction;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the event of a Repayment Event pursuant to Section 4.02 of the Indenture or Section 4.03 of the Indenture, such payment shall not be greater than (x) the number of Repayment Options multiplied by (y) the product of (A) the Applicable Percentage and (B) the excess, if any of (I) the amount paid by Counterparty per Convertible Security pursuant to Section 4.02 of the Indenture or Section 4.03 of the Indenture, as the case may be, over (II) USD 1,000.” “</w:t>
      </w:r>
      <w:r>
        <w:rPr>
          <w:rFonts w:ascii="Times New Roman;Times;Serif" w:hAnsi="Times New Roman;Times;Serif"/>
          <w:b/>
          <w:i w:val="false"/>
          <w:caps w:val="false"/>
          <w:smallCaps w:val="false"/>
          <w:sz w:val="20"/>
        </w:rPr>
        <w:t>Repayment Event</w:t>
      </w:r>
      <w:r>
        <w:rPr>
          <w:rFonts w:ascii="Times New Roman;Times;Serif" w:hAnsi="Times New Roman;Times;Serif"/>
          <w:b w:val="false"/>
          <w:i w:val="false"/>
          <w:caps w:val="false"/>
          <w:smallCaps w:val="false"/>
          <w:sz w:val="20"/>
        </w:rPr>
        <w:t>” means that (i) any Convertible Notes are repurchased or redeemed (whether pursuant to Section 4.02 of the Indenture, Section 4.03 of the Indenture or for any other reason) by Counterparty or any of its subsidiaries, (ii) any Convertible Notes are delivered to Counterparty or any of its subsidiaries in exchange for delivery of any property or assets of such party (howsoever described), (iii) any principal of any of the Convertible Notes is repaid prior to the final maturity date of the Convertible Notes, or (iv) any Convertible Notes are exchanged by or for the benefit of the Holders (as such term is defined in the Indenture) thereof for any other securities of Counterparty or any of its subsidiaries (or any other property, or any combination thereof) pursuant to any exchange offer or similar transaction. For the avoidance of doubt, any conversion of Convertible Notes pursuant to the terms of the Indenture shall not constitute a Repayment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Alternative Calculations and Payment on Early Termination and on Certain Extraordinary Events</w:t>
      </w:r>
      <w:r>
        <w:rPr>
          <w:rFonts w:ascii="Times New Roman;Times;Serif" w:hAnsi="Times New Roman;Times;Serif"/>
          <w:b w:val="false"/>
          <w:i w:val="false"/>
          <w:caps w:val="false"/>
          <w:smallCaps w:val="false"/>
          <w:sz w:val="20"/>
        </w:rPr>
        <w:t>. If Dealer shall owe Counterparty any amount pursuant to Section 6(d)(ii) of the Agreement (a “</w:t>
      </w:r>
      <w:r>
        <w:rPr>
          <w:rFonts w:ascii="Times New Roman;Times;Serif" w:hAnsi="Times New Roman;Times;Serif"/>
          <w:b/>
          <w:i w:val="false"/>
          <w:caps w:val="false"/>
          <w:smallCaps w:val="false"/>
          <w:sz w:val="20"/>
        </w:rPr>
        <w:t>Payment Obligation</w:t>
      </w:r>
      <w:r>
        <w:rPr>
          <w:rFonts w:ascii="Times New Roman;Times;Serif" w:hAnsi="Times New Roman;Times;Serif"/>
          <w:b w:val="false"/>
          <w:i w:val="false"/>
          <w:caps w:val="false"/>
          <w:smallCaps w:val="false"/>
          <w:sz w:val="20"/>
        </w:rPr>
        <w:t>”), Counterparty shall have the right, in its sole discretion, to require Dealer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relevant merger date, Announcement Date, Early Termination Date or date of cancellation or termination in respect of an Extraordinary Event, as applicable (“</w:t>
      </w:r>
      <w:r>
        <w:rPr>
          <w:rFonts w:ascii="Times New Roman;Times;Serif" w:hAnsi="Times New Roman;Times;Serif"/>
          <w:b/>
          <w:i w:val="false"/>
          <w:caps w:val="false"/>
          <w:smallCaps w:val="false"/>
          <w:sz w:val="20"/>
        </w:rPr>
        <w:t>Notice of Share Termination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does not elect to require Dealer to satisfy its Payment Obligation by the Share Termination Alternative, Dealer shall have the right, in its sole discretion, to elect to satisfy its Payment Obligation by the Share Termination Alternative, notwithstanding Counterparty’s failure to elect or election to the contrary;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Extraordinary Event, which Event of Default, Termination Event or Extraordinary Event resulted from an event or events within Counterparty’s control. Upon such Notice of Share Termination, the following provisions shall apply on the Scheduled Trading Day immediately following the relevant merger date, Announcement Date, Early Termination Date or date of cancellation or termination in respect of an Extraordinary Event, as applicable: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2"/>
        <w:gridCol w:w="60"/>
        <w:gridCol w:w="8843"/>
      </w:tblGrid>
      <w:tr>
        <w:trPr/>
        <w:tc>
          <w:tcPr>
            <w:tcW w:w="1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Termination Alternative:</w:t>
            </w:r>
          </w:p>
        </w:tc>
        <w:tc>
          <w:tcPr>
            <w:tcW w:w="60"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means that Dealer shall deliver to Counterparty the Share Termination Delivery Property on the date on which the Payment Obligation would otherwise be due pursuant to Section 6(d)(ii) of the Agreement or such later date or dates as Dealer may commercially reasonably determine (the “</w:t>
            </w:r>
            <w:r>
              <w:rPr>
                <w:rFonts w:ascii="Times New Roman;Times;Serif" w:hAnsi="Times New Roman;Times;Serif"/>
                <w:b/>
                <w:sz w:val="20"/>
              </w:rPr>
              <w:t>Share Termination Payment Date</w:t>
            </w:r>
            <w:r>
              <w:rPr>
                <w:rFonts w:ascii="Times New Roman;Times;Serif" w:hAnsi="Times New Roman;Times;Serif"/>
                <w:sz w:val="20"/>
              </w:rPr>
              <w:t>”) taking into account commercially reasonable hedging or hedge unwind activity, in satisfaction of the Payment Obligation.</w:t>
            </w:r>
          </w:p>
        </w:tc>
      </w:tr>
      <w:tr>
        <w:trPr/>
        <w:tc>
          <w:tcPr>
            <w:tcW w:w="1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jc w:val="both"/>
              <w:rPr/>
            </w:pPr>
            <w:r>
              <w:rPr/>
              <w:t> </w:t>
            </w:r>
          </w:p>
        </w:tc>
      </w:tr>
      <w:tr>
        <w:trPr/>
        <w:tc>
          <w:tcPr>
            <w:tcW w:w="1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Share Termination Delivery Property: </w:t>
            </w:r>
          </w:p>
        </w:tc>
        <w:tc>
          <w:tcPr>
            <w:tcW w:w="60"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equal to the value of such fractional security based on the values used to calculate the Share Termination Unit Price.</w:t>
            </w:r>
          </w:p>
        </w:tc>
      </w:tr>
      <w:tr>
        <w:trPr/>
        <w:tc>
          <w:tcPr>
            <w:tcW w:w="1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jc w:val="both"/>
              <w:rPr/>
            </w:pPr>
            <w:r>
              <w:rPr/>
              <w:t> </w:t>
            </w:r>
          </w:p>
        </w:tc>
      </w:tr>
      <w:tr>
        <w:trPr/>
        <w:tc>
          <w:tcPr>
            <w:tcW w:w="1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Termination Unit Price:</w:t>
            </w:r>
          </w:p>
        </w:tc>
        <w:tc>
          <w:tcPr>
            <w:tcW w:w="60"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value of property contained in one Share Termination Delivery Unit on the date such Share Termination Delivery Units are to be delivered as Share Termination Delivery Property, as determined by the Calculation Agent and notified by the Calculation Agent to Dealer at the time of notification of the Payment Obligation.</w:t>
            </w:r>
          </w:p>
        </w:tc>
      </w:tr>
      <w:tr>
        <w:trPr/>
        <w:tc>
          <w:tcPr>
            <w:tcW w:w="1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jc w:val="both"/>
              <w:rPr/>
            </w:pPr>
            <w:r>
              <w:rPr/>
              <w:t> </w:t>
            </w:r>
          </w:p>
        </w:tc>
      </w:tr>
      <w:tr>
        <w:trPr/>
        <w:tc>
          <w:tcPr>
            <w:tcW w:w="1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Termination Delivery Unit:</w:t>
            </w:r>
          </w:p>
        </w:tc>
        <w:tc>
          <w:tcPr>
            <w:tcW w:w="60"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tc>
      </w:tr>
      <w:tr>
        <w:trPr/>
        <w:tc>
          <w:tcPr>
            <w:tcW w:w="1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jc w:val="both"/>
              <w:rPr/>
            </w:pPr>
            <w:r>
              <w:rPr/>
              <w:t> </w:t>
            </w:r>
          </w:p>
        </w:tc>
      </w:tr>
      <w:tr>
        <w:trPr/>
        <w:tc>
          <w:tcPr>
            <w:tcW w:w="13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Deliver:</w:t>
            </w:r>
          </w:p>
        </w:tc>
        <w:tc>
          <w:tcPr>
            <w:tcW w:w="60"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jc w:val="both"/>
              <w:rPr/>
            </w:pPr>
            <w:r>
              <w:rPr/>
              <w:t> </w:t>
            </w:r>
          </w:p>
        </w:tc>
      </w:tr>
      <w:tr>
        <w:trPr/>
        <w:tc>
          <w:tcPr>
            <w:tcW w:w="1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Applicable Provisions:</w:t>
            </w:r>
          </w:p>
        </w:tc>
        <w:tc>
          <w:tcPr>
            <w:tcW w:w="60"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Share Termination Alternative is applicable, the provisions of Sections 9.8, 9.9 and 9.11 of the Equity Definitions will be applicable as if “Physical Settlement” applied to the Transaction, except that all references to “Shares” shall be read as references to “Share Termination Delivery Units”; </w:t>
            </w:r>
            <w:r>
              <w:rPr>
                <w:rFonts w:ascii="Times New Roman;Times;Serif" w:hAnsi="Times New Roman;Times;Serif"/>
                <w:i/>
                <w:sz w:val="20"/>
              </w:rPr>
              <w:t>provided</w:t>
            </w:r>
            <w:r>
              <w:rPr>
                <w:rFonts w:ascii="Times New Roman;Times;Serif" w:hAnsi="Times New Roman;Times;Serif"/>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part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Disposition of Hedge Shares</w:t>
      </w:r>
      <w:r>
        <w:rPr>
          <w:rFonts w:ascii="Times New Roman;Times;Serif" w:hAnsi="Times New Roman;Times;Serif"/>
          <w:b w:val="false"/>
          <w:i w:val="false"/>
          <w:caps w:val="false"/>
          <w:smallCaps w:val="false"/>
          <w:sz w:val="20"/>
        </w:rPr>
        <w:t>. Counterparty hereby agrees that if, in the good faith reasonable judgment of Dealer, the Shares (the “</w:t>
      </w:r>
      <w:r>
        <w:rPr>
          <w:rFonts w:ascii="Times New Roman;Times;Serif" w:hAnsi="Times New Roman;Times;Serif"/>
          <w:b/>
          <w:i w:val="false"/>
          <w:caps w:val="false"/>
          <w:smallCaps w:val="false"/>
          <w:sz w:val="20"/>
        </w:rPr>
        <w:t>Hedge Shares</w:t>
      </w:r>
      <w:r>
        <w:rPr>
          <w:rFonts w:ascii="Times New Roman;Times;Serif" w:hAnsi="Times New Roman;Times;Serif"/>
          <w:b w:val="false"/>
          <w:i w:val="false"/>
          <w:caps w:val="false"/>
          <w:smallCaps w:val="false"/>
          <w:sz w:val="20"/>
        </w:rPr>
        <w:t>”) acquired by Dealer for the purpose of hedging its obligations pursuant to the Transaction in a commercially reasonable manner cannot be sold in the U.S. public market by Dealer without registration under the Securities Act, Counterparty shall, at 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(B) provide accountant’s “comfort” letters in customary form for registered offerings of equity securities, (C) provide disclosure opinions of nationally recognized outside counsel to Counterparty reasonably acceptable to Dealer, (D) 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elects clause (i) above but the items referred to therein are not completed in a timely manner, or if Dealer, in its sole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commercially reasonably satisfactory to Dealer, including customary representations, covenants, blue sky and other governmental filings and/or registrations, indemnities to Dealer, due diligence rights (for Dealer or any designated buyer of the Hedge Shares from Dealer), and best efforts obligations to provide opinions and certificates and such other documentation as is customary for private placements agreements, all commercially reasonably acceptable to Dealer (in which case, the Calculation Agent shall make any adjustments to the terms of the Transaction that are necessary to compensate Dealer for any commercially reasonable discount from the public market price of the Shares incurred on the sale of Hedge Shares in a private placement); or (iii) purchase the Hedge Shares from Dealer at the “Daily VWAP” (as defined in the Indenture) on such Exchange Business Days, and in the amounts, commercially reasonably requested by Dealer. This Section 8(d) shall survive the termination, expiration or early unwind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Repurchase and Conversion Rate Adjustment Notices</w:t>
      </w:r>
      <w:r>
        <w:rPr>
          <w:rFonts w:ascii="Times New Roman;Times;Serif" w:hAnsi="Times New Roman;Times;Serif"/>
          <w:b w:val="false"/>
          <w:i w:val="false"/>
          <w:caps w:val="false"/>
          <w:smallCaps w:val="false"/>
          <w:sz w:val="20"/>
        </w:rPr>
        <w:t>. Counterparty shall, at least two Exchange Business Days prior to any day on which Counterparty effects any repurchase of Shares or consummates or otherwise engages in any transaction or event (a “</w:t>
      </w:r>
      <w:r>
        <w:rPr>
          <w:rFonts w:ascii="Times New Roman;Times;Serif" w:hAnsi="Times New Roman;Times;Serif"/>
          <w:b/>
          <w:i w:val="false"/>
          <w:caps w:val="false"/>
          <w:smallCaps w:val="false"/>
          <w:sz w:val="20"/>
        </w:rPr>
        <w:t>Conversion Rate Adjustment Event</w:t>
      </w:r>
      <w:r>
        <w:rPr>
          <w:rFonts w:ascii="Times New Roman;Times;Serif" w:hAnsi="Times New Roman;Times;Serif"/>
          <w:b w:val="false"/>
          <w:i w:val="false"/>
          <w:caps w:val="false"/>
          <w:smallCaps w:val="false"/>
          <w:sz w:val="20"/>
        </w:rPr>
        <w:t>”) that could reasonably be expected to lead to an increase in the Conversion Rate, give Dealer a written notice of such repurchase or Conversion Rate Adjustment Event (a “</w:t>
      </w:r>
      <w:r>
        <w:rPr>
          <w:rFonts w:ascii="Times New Roman;Times;Serif" w:hAnsi="Times New Roman;Times;Serif"/>
          <w:b/>
          <w:i w:val="false"/>
          <w:caps w:val="false"/>
          <w:smallCaps w:val="false"/>
          <w:sz w:val="20"/>
        </w:rPr>
        <w:t>Repurchase Notice</w:t>
      </w:r>
      <w:r>
        <w:rPr>
          <w:rFonts w:ascii="Times New Roman;Times;Serif" w:hAnsi="Times New Roman;Times;Serif"/>
          <w:b w:val="false"/>
          <w:i w:val="false"/>
          <w:caps w:val="false"/>
          <w:smallCaps w:val="false"/>
          <w:sz w:val="20"/>
        </w:rPr>
        <w:t>”) on such day if, following such repurchase or Conversion Rate Adjustment Event, the Notice Percentage would reasonably be expected to be (i) greater than 13.27% and (ii) greater by 0.5% than the Notice Percentage included in the immediately preceding Repurchase Notice (or, in the case of the first such Repurchase Notice, greater than the Notice Percentage as of the date hereof). The “</w:t>
      </w:r>
      <w:r>
        <w:rPr>
          <w:rFonts w:ascii="Times New Roman;Times;Serif" w:hAnsi="Times New Roman;Times;Serif"/>
          <w:b/>
          <w:i w:val="false"/>
          <w:caps w:val="false"/>
          <w:smallCaps w:val="false"/>
          <w:sz w:val="20"/>
        </w:rPr>
        <w:t>Notice Percentage</w:t>
      </w:r>
      <w:r>
        <w:rPr>
          <w:rFonts w:ascii="Times New Roman;Times;Serif" w:hAnsi="Times New Roman;Times;Serif"/>
          <w:b w:val="false"/>
          <w:i w:val="false"/>
          <w:caps w:val="false"/>
          <w:smallCaps w:val="false"/>
          <w:sz w:val="20"/>
        </w:rPr>
        <w:t>” as of any day is the fraction, expressed as a percentage, the numerator of which is the Number of Shares plus the number of shares underlying any other convertible bond hedge transactions or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from and against any and all losses (including losses relating to the Dealer’s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Party may become subject under applicable securities laws, including without limitation, Section 16 of the Exchange Act or under any state or federal law, regulation or regulatory order,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actual expenses (including reasonable counsel fees and expenses) as they are incurred (after notice to Counterparty and supported by invoices or other documentation setting forth in reasonable detail such expenses) in connection with the investigation of, preparation for or defense or settlement of any pending or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 or any action, suit or proceeding arising therefrom, whether or not such Indemnified Party is a party thereto and whether or not such claim, action, suit or proceeding is initiated or brought by or on behalf of Counterparty. To the extent an Indemnified Party fails to provide notice of any action commenced against it in respect of which indemnity may be sought hereunder within a commercially reasonable period of time that would materially prejudice Counterparty (it being understood that any such notice delivered within 30 calendar days of the commencement of any such action shall be deemed to have been delivered within a commercially reasonable period of time for such purpose). Counterparty shall be relived from liability. This indemnity shall survive the completion of the Transaction contemplated by this Confirmation and any assignment and delegation of the Transaction made pursuant to this Confirmation or the Agreement and shall inure to the benefit of any permitted assignee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Transfer and Assignment</w:t>
      </w:r>
      <w:r>
        <w:rPr>
          <w:rFonts w:ascii="Times New Roman;Times;Serif" w:hAnsi="Times New Roman;Times;Serif"/>
          <w:b w:val="false"/>
          <w:i w:val="false"/>
          <w:caps w:val="false"/>
          <w:smallCaps w:val="false"/>
          <w:sz w:val="20"/>
        </w:rPr>
        <w:t xml:space="preserve">. Either party may transfer or assign any of its rights or obligations under the Transaction with the prior written consent of the non-transferring party, such consent not to be unreasonably withheld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Dealer may transfer or assign without any consent of Counterparty its rights and obligations hereunder, in whole or in part, to (i) any affiliate of Dealer or (ii) any person, or any person whose obligations hereunder would be guaranteed, pursuant to the terms of a customary guarantee in a form generally used for similar transactions, by a person, in either case, of credit quality at least equivalent to Dealer’s (or its ultimate parent’s). If at any time at which (1) the Equity Percentage exceeds 8.0% or (2) Dealer, Dealer Group (as defined below) or any person whose ownership position would be aggregated with that of Dealer or Dealer Group (Dealer, Dealer Group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the Minnesota Business Corporations Act or other federal, state or local law, rule, regulation or regulatory order or organizational documents or contracts of Counterparty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1% of the number of Shares outstanding on the date of determination (either such condition described in clause (1) or (2), an “</w:t>
      </w:r>
      <w:r>
        <w:rPr>
          <w:rFonts w:ascii="Times New Roman;Times;Serif" w:hAnsi="Times New Roman;Times;Serif"/>
          <w:b/>
          <w:i w:val="false"/>
          <w:caps w:val="false"/>
          <w:smallCaps w:val="false"/>
          <w:sz w:val="20"/>
        </w:rPr>
        <w:t>Excess Ownership Position</w:t>
      </w:r>
      <w:r>
        <w:rPr>
          <w:rFonts w:ascii="Times New Roman;Times;Serif" w:hAnsi="Times New Roman;Times;Serif"/>
          <w:b w:val="false"/>
          <w:i w:val="false"/>
          <w:caps w:val="false"/>
          <w:smallCaps w:val="false"/>
          <w:sz w:val="20"/>
        </w:rPr>
        <w:t>”), Dealer, in its discretion, is unable to effect a transfer or assignment to a third party after its commercially reasonable efforts on pricing and terms and within a time period reasonably acceptable to Dealer such that an Excess Ownership Position no longer exists, Dealer may designate any Scheduled Trading Day as an Early Termination Date with respect to a portion (the “</w:t>
      </w:r>
      <w:r>
        <w:rPr>
          <w:rFonts w:ascii="Times New Roman;Times;Serif" w:hAnsi="Times New Roman;Times;Serif"/>
          <w:b/>
          <w:i w:val="false"/>
          <w:caps w:val="false"/>
          <w:smallCaps w:val="false"/>
          <w:sz w:val="20"/>
        </w:rPr>
        <w:t>Terminated Portion</w:t>
      </w:r>
      <w:r>
        <w:rPr>
          <w:rFonts w:ascii="Times New Roman;Times;Serif" w:hAnsi="Times New Roman;Times;Serif"/>
          <w:b w:val="false"/>
          <w:i w:val="false"/>
          <w:caps w:val="false"/>
          <w:smallCaps w:val="false"/>
          <w:sz w:val="20"/>
        </w:rPr>
        <w:t>”) of the Transaction, such that an Excess Ownership Position would no longer exist following the resulting partial termination of the Transaction (after taking into account commercially reasonable adjustments to Dealer’s commercially reasonable Hedge Positions from such partial termination). In the event that Dealer so designates an Early Termination Date with respect to a portion of the Transaction, a payment or delivery shall be made pursuant to Section 6 of the Agreement or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Times New Roman;Times;Serif" w:hAnsi="Times New Roman;Times;Serif"/>
          <w:b/>
          <w:i w:val="false"/>
          <w:caps w:val="false"/>
          <w:smallCaps w:val="false"/>
          <w:sz w:val="20"/>
        </w:rPr>
        <w:t>Equity Percentage</w:t>
      </w:r>
      <w:r>
        <w:rPr>
          <w:rFonts w:ascii="Times New Roman;Times;Serif" w:hAnsi="Times New Roman;Times;Serif"/>
          <w:b w:val="false"/>
          <w:i w:val="false"/>
          <w:caps w:val="false"/>
          <w:smallCaps w:val="false"/>
          <w:sz w:val="20"/>
        </w:rPr>
        <w:t>” as of any day is the fraction, expressed as a percentage, (A) the numerator of which is the number of Shares that Dealer and any of its affiliates subject to aggregation with Dealer for purposes of the “beneficial ownership” test under Section 13 of the Exchange Act and all persons who may form a “group” (within the meaning of Rule 13d-5(b)(1) under the Exchange Act) with Dealer (collectively, “</w:t>
      </w:r>
      <w:r>
        <w:rPr>
          <w:rFonts w:ascii="Times New Roman;Times;Serif" w:hAnsi="Times New Roman;Times;Serif"/>
          <w:b/>
          <w:i w:val="false"/>
          <w:caps w:val="false"/>
          <w:smallCaps w:val="false"/>
          <w:sz w:val="20"/>
        </w:rPr>
        <w:t>Dealer Group</w:t>
      </w:r>
      <w:r>
        <w:rPr>
          <w:rFonts w:ascii="Times New Roman;Times;Serif" w:hAnsi="Times New Roman;Times;Serif"/>
          <w:b w:val="false"/>
          <w:i w:val="false"/>
          <w:caps w:val="false"/>
          <w:smallCaps w:val="false"/>
          <w:sz w:val="20"/>
        </w:rPr>
        <w:t>”) “beneficially own”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In the case of a transfer or assignment by Counterparty of its rights and obligations hereunder and under the Agreement, in whole or in part (any such Options so transferred or assigned, the “</w:t>
      </w:r>
      <w:r>
        <w:rPr>
          <w:rFonts w:ascii="Times New Roman;Times;Serif" w:hAnsi="Times New Roman;Times;Serif"/>
          <w:b/>
          <w:i w:val="false"/>
          <w:caps w:val="false"/>
          <w:smallCaps w:val="false"/>
          <w:sz w:val="20"/>
        </w:rPr>
        <w:t>Transfer Options</w:t>
      </w:r>
      <w:r>
        <w:rPr>
          <w:rFonts w:ascii="Times New Roman;Times;Serif" w:hAnsi="Times New Roman;Times;Serif"/>
          <w:b w:val="false"/>
          <w:i w:val="false"/>
          <w:caps w:val="false"/>
          <w:smallCaps w:val="false"/>
          <w:sz w:val="20"/>
        </w:rPr>
        <w:t>”), to any party, withholding of such consent by Dealer shall not be considered unreasonable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transfer or assignment does not meet the reasonable conditions that Dealer may impose including, but not limited,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Transfer Options, Counterparty shall not be released from its notice and indemnification obligations pursuant to Section 8(e) or any obligations under Section 2 (regarding Extraordinary Events) or 8(d) of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Transfer Options shall only be transferred or assigned to a third party that is a United States person (as defined in Section 7701(a)(30) of the Internal Revenue Code of 1986, as amended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by, and reasonably satisfactory to,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Dealer shall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Event of Default, Potential Event of Default or Termination Event shall not occur as a result of such transfer and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Without limiting the generality of clause (B), Counterparty shall have caused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Counterparty shall be responsible for all reasonable costs and expenses, including reasonable counsel fees, incurred by Dealer in connection with such transfer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Delivery of Shares</w:t>
      </w:r>
      <w:r>
        <w:rPr>
          <w:rFonts w:ascii="Times New Roman;Times;Serif" w:hAnsi="Times New Roman;Times;Serif"/>
          <w:b w:val="false"/>
          <w:i w:val="false"/>
          <w:caps w:val="false"/>
          <w:smallCaps w:val="false"/>
          <w:sz w:val="20"/>
        </w:rPr>
        <w:t>. Notwithstanding anything to the contrary herein, Dealer may, by prior notice to Counterparty, satisfy its obligation to deliver any Shares or other securities on any date due (an “</w:t>
      </w:r>
      <w:r>
        <w:rPr>
          <w:rFonts w:ascii="Times New Roman;Times;Serif" w:hAnsi="Times New Roman;Times;Serif"/>
          <w:b/>
          <w:i w:val="false"/>
          <w:caps w:val="false"/>
          <w:smallCaps w:val="false"/>
          <w:sz w:val="20"/>
        </w:rPr>
        <w:t>Original Delivery Date</w:t>
      </w:r>
      <w:r>
        <w:rPr>
          <w:rFonts w:ascii="Times New Roman;Times;Serif" w:hAnsi="Times New Roman;Times;Serif"/>
          <w:b w:val="false"/>
          <w:i w:val="false"/>
          <w:caps w:val="false"/>
          <w:smallCaps w:val="false"/>
          <w:sz w:val="20"/>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No Netting and Set-off. </w:t>
      </w:r>
      <w:r>
        <w:rPr>
          <w:rFonts w:ascii="Times New Roman;Times;Serif" w:hAnsi="Times New Roman;Times;Serif"/>
          <w:b w:val="false"/>
          <w:i w:val="false"/>
          <w:caps w:val="false"/>
          <w:smallCaps w:val="false"/>
          <w:sz w:val="20"/>
        </w:rPr>
        <w:t>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party, whether arising under the Agreement, under any other agreement between parties hereto, by operation of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Equity Rights</w:t>
      </w:r>
      <w:r>
        <w:rPr>
          <w:rFonts w:ascii="Times New Roman;Times;Serif" w:hAnsi="Times New Roman;Times;Serif"/>
          <w:b w:val="false"/>
          <w:i w:val="false"/>
          <w:caps w:val="false"/>
          <w:smallCaps w:val="false"/>
          <w:sz w:val="20"/>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Early Unwind</w:t>
      </w:r>
      <w:r>
        <w:rPr>
          <w:rFonts w:ascii="Times New Roman;Times;Serif" w:hAnsi="Times New Roman;Times;Serif"/>
          <w:b w:val="false"/>
          <w:i w:val="false"/>
          <w:caps w:val="false"/>
          <w:smallCaps w:val="false"/>
          <w:sz w:val="20"/>
        </w:rPr>
        <w:t>. In the event the sale by Counterparty of the Optional Securities not consummated pursuant to the Purchase Agreement for any reason by the close of business in New York on January 23, 2024 (or such later date as agreed upon by the parties) (January 23, 2024 or such later date being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on the Early Unwind Date and the Transaction and all of the respective rights and obligations of Dealer and Counterparty hereunder shall be cancelled and terminated and Counterparty shall pay to Dealer an amount in cash equal to the aggregate amount of costs and expenses relating to the unwinding of Dealer’s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Agreements and Acknowledgements Regarding Hedgin</w:t>
      </w:r>
      <w:r>
        <w:rPr>
          <w:rFonts w:ascii="Times New Roman;Times;Serif" w:hAnsi="Times New Roman;Times;Serif"/>
          <w:b w:val="false"/>
          <w:i/>
          <w:caps w:val="false"/>
          <w:smallCaps w:val="false"/>
          <w:sz w:val="20"/>
          <w:u w:val="single"/>
        </w:rPr>
        <w:t>g</w:t>
      </w:r>
      <w:r>
        <w:rPr>
          <w:rFonts w:ascii="Times New Roman;Times;Serif" w:hAnsi="Times New Roman;Times;Serif"/>
          <w:b w:val="false"/>
          <w:i w:val="false"/>
          <w:caps w:val="false"/>
          <w:smallCaps w:val="false"/>
          <w:sz w:val="20"/>
        </w:rPr>
        <w:t>. Counterparty understands, acknowledges and agrees that: (A) at any time on 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“Daily VWAP” (as defined in the Indenture); (D) any market activities of Dealer and its affiliates with respect to Shares may affect the market price and volatility of Shares, as well as the “Daily VWAP” (as defined in the Indenture),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Wall Street Transparency and Accountability Act</w:t>
      </w:r>
      <w:r>
        <w:rPr>
          <w:rFonts w:ascii="Times New Roman;Times;Serif" w:hAnsi="Times New Roman;Times;Serif"/>
          <w:b w:val="false"/>
          <w:i w:val="false"/>
          <w:caps w:val="false"/>
          <w:smallCaps w:val="false"/>
          <w:sz w:val="20"/>
        </w:rPr>
        <w:t>. In connection with Section 739 of the Wall Street Transparency and Accountability Act of 2010 (the “</w:t>
      </w:r>
      <w:r>
        <w:rPr>
          <w:rFonts w:ascii="Times New Roman;Times;Serif" w:hAnsi="Times New Roman;Times;Serif"/>
          <w:b/>
          <w:i w:val="false"/>
          <w:caps w:val="false"/>
          <w:smallCaps w:val="false"/>
          <w:sz w:val="20"/>
        </w:rPr>
        <w:t>WSTAA</w:t>
      </w:r>
      <w:r>
        <w:rPr>
          <w:rFonts w:ascii="Times New Roman;Times;Serif" w:hAnsi="Times New Roman;Times;Serif"/>
          <w:b w:val="false"/>
          <w:i w:val="false"/>
          <w:caps w:val="false"/>
          <w:smallCaps w:val="false"/>
          <w:sz w:val="20"/>
        </w:rPr>
        <w:t>”),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Governing </w:t>
      </w:r>
      <w:r>
        <w:rPr>
          <w:rFonts w:ascii="Times New Roman;Times;Serif" w:hAnsi="Times New Roman;Times;Serif"/>
          <w:b w:val="false"/>
          <w:i/>
          <w:caps w:val="false"/>
          <w:smallCaps w:val="false"/>
          <w:sz w:val="20"/>
        </w:rPr>
        <w:t>Law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AGREEMENT, THIS CONFIRMATION AND ALL MATTERS ARISING IN CONNECTION WITH THE AGREEMENT AND THIS CONFIRMATION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r>
        <w:rPr>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 GOVERNED BY, AND CONSTRUED AND ENFORCED IN ACCORDANCE WITH, THE LAWS OF THE STATE OF NEW YORK (WITHOUT REFERENCE TO ITS CHOICE OF LAW DOCTRINE, OTHER THAN TITLE 14 OF ARTICLE 5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xml:space="preserve"> This Confirmation and the Agreement may not be modified, amended or supplemented, except in a written instrument signed by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Confirmation may be executed in several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Withholding Tax imposed on payments to non-US counterparties under the United States Foreign Account Tax Compliance Act. “Indemnifiable Tax” as defined in Section 14 of the Agreement, shall not include any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HIRE Act.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Times;Serif" w:hAnsi="Times New Roman;Times;Serif"/>
          <w:b/>
          <w:i w:val="false"/>
          <w:caps w:val="false"/>
          <w:smallCaps w:val="false"/>
          <w:sz w:val="20"/>
        </w:rPr>
        <w:t>871(m) Protocol</w:t>
      </w:r>
      <w:r>
        <w:rPr>
          <w:rFonts w:ascii="Times New Roman;Times;Serif" w:hAnsi="Times New Roman;Times;Serif"/>
          <w:b w:val="false"/>
          <w:i w:val="false"/>
          <w:caps w:val="false"/>
          <w:smallCaps w:val="false"/>
          <w:sz w:val="20"/>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Master Agreement” in the 871(m) Protocol will be deemed to be references to the Agreement with respect to this Transaction, and references to the “Implementation Date” in the 871(m) Protocol will be deemed to be references to the Trade Date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Tax documentation.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W-9, or any successor thereto, (i) on or before the date of execution of this Confirmation, (ii) upon reasonable request of Counterparty and (iii) promptly upon learning that any such tax form previously provided by Dealer has become obsolete or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 Representations. For the purpose of Section 3(f) of the Agreement, Counterparty is a corporation for U.S. federal income tax purposes and is organized under the laws of the State of Minnesota.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For the purpose of Section 3(f) of the Agreement, Dealer represents to Counterparty that for U.S. federal income tax purposes it is a “U.S. person” (as that term is used in section 1.1441-4(a)(3)(ii) of the United States Treasury Regulations) and an “exempt recipient” (as that term is used in section 1.6049-4(c)(1) of the United States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QFC Stay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In the event that Dealer becomes subject to a proceeding under (i) the Federal Deposit Insurance Act and the regulations promulgated thereunder or (ii) Title II of the Dodd-Frank Wall Street Reform and Consumer Protection Act and the regulations promulgated thereunder (a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 Dealer are permitted to be exercised to no greater extent than such Default Rights could be exercised under the U.S. Special Resolution Regime if this Confirmation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except to the extent that the exercise of such Default Right would be permitted under the provisions of 12 C.F.R. 252.84, 12 C.F.R. 47.5 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Counterparty has previously adhered to, or subsequently adheres to, the ISDA 2018 U.S. Resolution Stay Protocol as published by the International Swaps and Derivatives Association, Inc. as of July 31, 2018 (the “</w:t>
      </w:r>
      <w:r>
        <w:rPr>
          <w:rFonts w:ascii="Times New Roman;Times;Serif" w:hAnsi="Times New Roman;Times;Serif"/>
          <w:b/>
          <w:i w:val="false"/>
          <w:caps w:val="false"/>
          <w:smallCaps w:val="false"/>
          <w:sz w:val="20"/>
        </w:rPr>
        <w:t>ISDA U.S. Protocol</w:t>
      </w:r>
      <w:r>
        <w:rPr>
          <w:rFonts w:ascii="Times New Roman;Times;Serif" w:hAnsi="Times New Roman;Times;Serif"/>
          <w:b w:val="false"/>
          <w:i w:val="false"/>
          <w:caps w:val="false"/>
          <w:smallCaps w:val="false"/>
          <w:sz w:val="20"/>
        </w:rPr>
        <w:t>”), the terms of such protocol shall be incorporated into and form a part of this Confirmation and the terms of the ISDA U.S. Protocol shall supersede and replace the terms of this Section 8(r).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w:t>
      </w:r>
      <w:r>
        <w:rPr>
          <w:rFonts w:ascii="Times New Roman;Times;Serif" w:hAnsi="Times New Roman;Times;Serif"/>
          <w:b/>
          <w:i w:val="false"/>
          <w:caps w:val="false"/>
          <w:smallCaps w:val="false"/>
          <w:sz w:val="20"/>
        </w:rPr>
        <w:t>Preexisting In-Scope Agreement</w:t>
      </w:r>
      <w:r>
        <w:rPr>
          <w:rFonts w:ascii="Times New Roman;Times;Serif" w:hAnsi="Times New Roman;Times;Serif"/>
          <w:b w:val="false"/>
          <w:i w:val="false"/>
          <w:caps w:val="false"/>
          <w:smallCaps w:val="false"/>
          <w:sz w:val="20"/>
        </w:rPr>
        <w:t>”), then each such Preexisting In-Scope Agreement is hereby amended to include the foregoing provisions in this Section 8(r), with references to “this Confirmation” being understood to be references to the applicable Preexisting In-Scope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For purposes of this Section 8(r):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is defined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Enhancement</w:t>
      </w:r>
      <w:r>
        <w:rPr>
          <w:rFonts w:ascii="Times New Roman;Times;Serif" w:hAnsi="Times New Roman;Times;Serif"/>
          <w:b w:val="false"/>
          <w:i w:val="false"/>
          <w:caps w:val="false"/>
          <w:smallCaps w:val="false"/>
          <w:sz w:val="20"/>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Exclusive Jurisdiction; Waiver of Jury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Section 13(b) of the Agreement is deleted in its entirety and replaced by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The courts of the United States of America for the Southern District of New York and appellate courts from thereof will have the sole and exclusive jurisdiction over any and all claims, disputes or causes of action arising out of, in connection with, or relating to this Agreement or the transactions and relationships between the parties contemplated by this Agreement. If such courts lack federal subject matter jurisdiction, the Supreme Court of the State of New York, sitting in New York County and any appellate court from thereof, will have sole and exclusive jurisdiction. Subject to the foregoing, either of these courts will be the proper venue and the parties waive any objection to venue or their convenience as a forum. The parties agree to submit to the jurisdiction of any of the courts specified and to accept service of process to vest personal jurisdiction over them in any of these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EACH OF COUNTERPARTY AND DEALER HEREBY IRREVOCABLY WAIVES (ON ITS OWN BEHALF AND, TO THE EXTENT PERMITTED BY APPLICABLE LAW, ON BEHALF OF ITS STOCKHOLDERS) ALL RIGHT TO TRIAL BY JURY IN ANY ACTION, PROCEEDING OR COUNTERCLAIM (WHETHER BASED ON CONTRACT, TORT OR OTHERWISE) ARISING OUT OF OR RELATING TO THIS CONFIRMATION OR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the terms of our agreement by executing this Confirmation and returning it to J.P. Morgan Securities LLC, 383 Madison Ave, New York, NY 10179, and by email to EDG_Notices@jpmorgan.com and edg.us.flow.corporates.mo@jpmorgan.com.</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365"/>
        <w:gridCol w:w="2075"/>
      </w:tblGrid>
      <w:tr>
        <w:trPr/>
        <w:tc>
          <w:tcPr>
            <w:tcW w:w="75" w:type="dxa"/>
            <w:tcBorders/>
            <w:vAlign w:val="center"/>
          </w:tcPr>
          <w:p>
            <w:pPr>
              <w:pStyle w:val="TableContents"/>
              <w:bidi w:val="0"/>
              <w:spacing w:before="0" w:after="283"/>
              <w:jc w:val="left"/>
              <w:rPr>
                <w:sz w:val="4"/>
                <w:szCs w:val="4"/>
              </w:rPr>
            </w:pPr>
            <w:r>
              <w:rPr>
                <w:sz w:val="4"/>
                <w:szCs w:val="4"/>
              </w:rPr>
            </w:r>
          </w:p>
        </w:tc>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Yours faithfully,</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J.P. Morgan Securities LLC</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0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Gaurav Maria</w:t>
            </w:r>
          </w:p>
        </w:tc>
      </w:tr>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Gaurav Maria</w:t>
            </w:r>
          </w:p>
        </w:tc>
      </w:tr>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Additional Bond Hedge Confinnation]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caps w:val="false"/>
          <w:smallCaps w:val="false"/>
        </w:rPr>
        <w:t> </w:t>
      </w:r>
      <w:r>
        <w:rPr/>
        <w:t xml:space="preserve"> </w:t>
      </w:r>
    </w:p>
    <w:tbl>
      <w:tblPr>
        <w:tblW w:w="3175" w:type="dxa"/>
        <w:jc w:val="left"/>
        <w:tblInd w:w="0" w:type="dxa"/>
        <w:tblLayout w:type="fixed"/>
        <w:tblCellMar>
          <w:top w:w="0" w:type="dxa"/>
          <w:left w:w="0" w:type="dxa"/>
          <w:bottom w:w="0" w:type="dxa"/>
          <w:right w:w="0" w:type="dxa"/>
        </w:tblCellMar>
      </w:tblPr>
      <w:tblGrid>
        <w:gridCol w:w="380"/>
        <w:gridCol w:w="2720"/>
        <w:gridCol w:w="75"/>
      </w:tblGrid>
      <w:tr>
        <w:trPr/>
        <w:tc>
          <w:tcPr>
            <w:tcW w:w="3100" w:type="dxa"/>
            <w:gridSpan w:val="2"/>
            <w:tcBorders/>
            <w:vAlign w:val="center"/>
          </w:tcPr>
          <w:p>
            <w:pPr>
              <w:pStyle w:val="TableContents"/>
              <w:bidi w:val="0"/>
              <w:spacing w:before="0" w:after="283"/>
              <w:jc w:val="left"/>
              <w:rPr>
                <w:sz w:val="20"/>
              </w:rPr>
            </w:pPr>
            <w:r>
              <w:rPr>
                <w:sz w:val="20"/>
              </w:rPr>
              <w:t>Agreed and Accepted By:</w:t>
            </w:r>
          </w:p>
        </w:tc>
        <w:tc>
          <w:tcPr>
            <w:tcW w:w="75" w:type="dxa"/>
            <w:tcBorders/>
            <w:vAlign w:val="center"/>
          </w:tcPr>
          <w:p>
            <w:pPr>
              <w:pStyle w:val="TableContents"/>
              <w:bidi w:val="0"/>
              <w:spacing w:before="0" w:after="283"/>
              <w:jc w:val="left"/>
              <w:rPr/>
            </w:pPr>
            <w:r>
              <w:rPr/>
              <w:t> </w:t>
            </w:r>
          </w:p>
        </w:tc>
      </w:tr>
      <w:tr>
        <w:trPr/>
        <w:tc>
          <w:tcPr>
            <w:tcW w:w="31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00" w:type="dxa"/>
            <w:gridSpan w:val="2"/>
            <w:tcBorders/>
            <w:vAlign w:val="center"/>
          </w:tcPr>
          <w:p>
            <w:pPr>
              <w:pStyle w:val="TableContents"/>
              <w:bidi w:val="0"/>
              <w:spacing w:before="0" w:after="283"/>
              <w:jc w:val="left"/>
              <w:rPr/>
            </w:pPr>
            <w:r>
              <w:rPr>
                <w:b/>
                <w:caps/>
                <w:sz w:val="20"/>
              </w:rPr>
              <w:t>WINNEBAGO industries</w:t>
            </w:r>
            <w:r>
              <w:rPr>
                <w:b/>
                <w:sz w:val="20"/>
              </w:rPr>
              <w:t>, INC.</w:t>
            </w:r>
          </w:p>
        </w:tc>
        <w:tc>
          <w:tcPr>
            <w:tcW w:w="75" w:type="dxa"/>
            <w:tcBorders/>
            <w:vAlign w:val="center"/>
          </w:tcPr>
          <w:p>
            <w:pPr>
              <w:pStyle w:val="TableContents"/>
              <w:bidi w:val="0"/>
              <w:spacing w:before="0" w:after="283"/>
              <w:jc w:val="left"/>
              <w:rPr/>
            </w:pPr>
            <w:r>
              <w:rPr/>
              <w:t> </w:t>
            </w:r>
          </w:p>
        </w:tc>
      </w:tr>
      <w:tr>
        <w:trPr/>
        <w:tc>
          <w:tcPr>
            <w:tcW w:w="31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20"/>
              </w:rPr>
            </w:pPr>
            <w:r>
              <w:rPr>
                <w:sz w:val="20"/>
              </w:rPr>
              <w:t xml:space="preserve">By: </w:t>
            </w:r>
          </w:p>
        </w:tc>
        <w:tc>
          <w:tcPr>
            <w:tcW w:w="272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Bryan L. Hughes</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sz w:val="20"/>
              </w:rPr>
            </w:pPr>
            <w:r>
              <w:rPr>
                <w:sz w:val="20"/>
              </w:rPr>
              <w:t>Name: Bryan L. Hughes</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sz w:val="20"/>
              </w:rPr>
            </w:pPr>
            <w:r>
              <w:rPr>
                <w:sz w:val="20"/>
              </w:rPr>
              <w:t>Title: Chief Financial Officer and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sz w:val="20"/>
              </w:rPr>
            </w:pPr>
            <w:r>
              <w:rPr>
                <w:sz w:val="20"/>
              </w:rPr>
              <w:t>Senior Vice President</w:t>
            </w:r>
          </w:p>
        </w:tc>
        <w:tc>
          <w:tcPr>
            <w:tcW w:w="75" w:type="dxa"/>
            <w:tcBorders/>
            <w:vAlign w:val="center"/>
          </w:tcPr>
          <w:p>
            <w:pPr>
              <w:pStyle w:val="TableContents"/>
              <w:bidi w:val="0"/>
              <w:spacing w:before="0" w:after="283"/>
              <w:jc w:val="left"/>
              <w:rPr/>
            </w:pPr>
            <w:r>
              <w:rPr/>
              <w:t> </w:t>
            </w:r>
          </w:p>
        </w:tc>
      </w:tr>
      <w:tr>
        <w:trPr/>
        <w:tc>
          <w:tcPr>
            <w:tcW w:w="31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JPM Additional Bond Hedge Confinnation]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8" w:name="tm243871d1_ex10-8.htm"/>
      <w:bookmarkStart w:id="39" w:name="kstm243871d1_ex108"/>
      <w:bookmarkEnd w:id="38"/>
      <w:bookmarkEnd w:id="39"/>
      <w:r>
        <w:rPr/>
        <w:t> </w:t>
      </w:r>
      <w:r>
        <w:br w:type="page"/>
      </w:r>
    </w:p>
    <w:p>
      <w:pPr>
        <w:pStyle w:val="TextBody"/>
        <w:bidi w:val="0"/>
        <w:jc w:val="right"/>
        <w:rPr>
          <w:b/>
        </w:rPr>
      </w:pPr>
      <w:r>
        <w:rPr>
          <w:b/>
        </w:rPr>
        <w:t>Exhibit 10.8</w:t>
      </w:r>
    </w:p>
    <w:p>
      <w:pPr>
        <w:pStyle w:val="TextBody"/>
        <w:bidi w:val="0"/>
        <w:jc w:val="righ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GOLDMAN SACHS &amp; CO. LLC | 200 WEST STREET | NEW YORK, NEW YORK 10282-2198 |TEL: 212-902-1000</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575"/>
        <w:gridCol w:w="2630"/>
      </w:tblGrid>
      <w:tr>
        <w:trPr/>
        <w:tc>
          <w:tcPr>
            <w:tcW w:w="575" w:type="dxa"/>
            <w:tcBorders/>
            <w:vAlign w:val="center"/>
          </w:tcPr>
          <w:p>
            <w:pPr>
              <w:pStyle w:val="TableContents"/>
              <w:bidi w:val="0"/>
              <w:spacing w:before="0" w:after="283"/>
              <w:jc w:val="left"/>
              <w:rPr>
                <w:b/>
                <w:sz w:val="20"/>
              </w:rPr>
            </w:pPr>
            <w:r>
              <w:rPr>
                <w:b/>
                <w:sz w:val="20"/>
              </w:rPr>
              <w:t>To:</w:t>
            </w:r>
          </w:p>
        </w:tc>
        <w:tc>
          <w:tcPr>
            <w:tcW w:w="26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Minnesota 55347</w:t>
            </w:r>
          </w:p>
        </w:tc>
      </w:tr>
      <w:tr>
        <w:trPr/>
        <w:tc>
          <w:tcPr>
            <w:tcW w:w="5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From:</w:t>
            </w:r>
          </w:p>
        </w:tc>
        <w:tc>
          <w:tcPr>
            <w:tcW w:w="2630" w:type="dxa"/>
            <w:tcBorders/>
            <w:vAlign w:val="center"/>
          </w:tcPr>
          <w:p>
            <w:pPr>
              <w:pStyle w:val="TableContents"/>
              <w:bidi w:val="0"/>
              <w:spacing w:before="0" w:after="283"/>
              <w:jc w:val="left"/>
              <w:rPr>
                <w:sz w:val="20"/>
              </w:rPr>
            </w:pPr>
            <w:r>
              <w:rPr>
                <w:sz w:val="20"/>
              </w:rPr>
              <w:t>Goldman Sachs &amp; Co. LLC</w:t>
            </w:r>
          </w:p>
        </w:tc>
      </w:tr>
      <w:tr>
        <w:trPr/>
        <w:tc>
          <w:tcPr>
            <w:tcW w:w="5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Re:</w:t>
            </w:r>
          </w:p>
        </w:tc>
        <w:tc>
          <w:tcPr>
            <w:tcW w:w="2630" w:type="dxa"/>
            <w:tcBorders/>
            <w:vAlign w:val="center"/>
          </w:tcPr>
          <w:p>
            <w:pPr>
              <w:pStyle w:val="TableContents"/>
              <w:bidi w:val="0"/>
              <w:spacing w:before="0" w:after="283"/>
              <w:jc w:val="left"/>
              <w:rPr>
                <w:sz w:val="20"/>
              </w:rPr>
            </w:pPr>
            <w:r>
              <w:rPr>
                <w:sz w:val="20"/>
              </w:rPr>
              <w:t>Base Issuer Warrant Transaction</w:t>
            </w:r>
          </w:p>
        </w:tc>
      </w:tr>
      <w:tr>
        <w:trPr/>
        <w:tc>
          <w:tcPr>
            <w:tcW w:w="5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Date:</w:t>
            </w:r>
          </w:p>
        </w:tc>
        <w:tc>
          <w:tcPr>
            <w:tcW w:w="2630" w:type="dxa"/>
            <w:tcBorders/>
            <w:vAlign w:val="center"/>
          </w:tcPr>
          <w:p>
            <w:pPr>
              <w:pStyle w:val="TableContents"/>
              <w:bidi w:val="0"/>
              <w:spacing w:before="0" w:after="283"/>
              <w:jc w:val="left"/>
              <w:rPr>
                <w:sz w:val="20"/>
              </w:rPr>
            </w:pPr>
            <w:r>
              <w:rPr>
                <w:sz w:val="20"/>
              </w:rPr>
              <w:t>January 18, 2024</w:t>
            </w:r>
          </w:p>
        </w:tc>
      </w:tr>
      <w:tr>
        <w:trPr/>
        <w:tc>
          <w:tcPr>
            <w:tcW w:w="575" w:type="dxa"/>
            <w:tcBorders>
              <w:bottom w:val="single" w:sz="8" w:space="0" w:color="000000"/>
            </w:tcBorders>
            <w:tcMar>
              <w:bottom w:w="28" w:type="dxa"/>
            </w:tcMar>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communication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set forth the terms and conditions of the above-referenced transaction entered into on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between Goldman Sachs &amp; Co. LLC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Winnebago Industries, Inc.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This communication constitutes a “Confirmation” as referred to in the Agreement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Confirmation is subject to, and incorporates, the definitions and provisions of the 2006 ISDA Definitions (the “</w:t>
      </w:r>
      <w:r>
        <w:rPr>
          <w:rFonts w:ascii="Times New Roman;Times;Serif" w:hAnsi="Times New Roman;Times;Serif"/>
          <w:b/>
          <w:i w:val="false"/>
          <w:caps w:val="false"/>
          <w:smallCaps w:val="false"/>
          <w:sz w:val="20"/>
        </w:rPr>
        <w:t>2006 Definitions</w:t>
      </w:r>
      <w:r>
        <w:rPr>
          <w:rFonts w:ascii="Times New Roman;Times;Serif" w:hAnsi="Times New Roman;Times;Serif"/>
          <w:b w:val="false"/>
          <w:i w:val="false"/>
          <w:caps w:val="false"/>
          <w:smallCaps w:val="false"/>
          <w:sz w:val="20"/>
        </w:rPr>
        <w:t>”) and the definitions and provisions of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together with the 2006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For purposes of the Equity Definitions, each reference herein to a Warrant shall be deemed to be a reference to a Call Option or an Option, as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evidences a complete and binding agreement between Dealer and Counterparty as to the terms of the Transaction to which this Confirmation relates. This Confirmation shall be subject to an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as the Termination Currency, (ii) the replacement of the word “third” in the last line of Section 5(a)(i) of the Agreement with the word “first” and (iii) (a) the election that the “Cross Default” provisions of Section 5(a)(vi) of the Agreement shall apply to Counterparty with a “Threshold Amount” of USD35.0 million), (b)  (b) </w:t>
      </w:r>
      <w:r>
        <w:rPr>
          <w:rFonts w:ascii="Times New Roman;Times;Serif" w:hAnsi="Times New Roman;Times;Serif"/>
          <w:b w:val="false"/>
          <w:i w:val="false"/>
          <w:caps w:val="false"/>
          <w:smallCaps w:val="false"/>
          <w:sz w:val="20"/>
          <w:shd w:fill="FFFFFF" w:val="clear"/>
        </w:rPr>
        <w:t> the phrase “,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contained in, or incorporated by reference to, the Agreement will govern this Confirmation except as expressly modified herein. In the event of any inconsistency among this Confirmation, the Equity Definitions, the 2006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is a Warrant Transaction, which shall be considered a Share Option Transaction for purposes of the Equity Definitions. The terms of the particular Transaction to which this Confirmation relates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 w:right="9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Terms:</w:t>
      </w:r>
    </w:p>
    <w:p>
      <w:pPr>
        <w:pStyle w:val="TextBody"/>
        <w:bidi w:val="0"/>
        <w:spacing w:before="0" w:after="0"/>
        <w:ind w:left="90" w:right="9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6"/>
        <w:gridCol w:w="8989"/>
      </w:tblGrid>
      <w:tr>
        <w:trPr/>
        <w:tc>
          <w:tcPr>
            <w:tcW w:w="1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Date:</w:t>
            </w:r>
          </w:p>
        </w:tc>
        <w:tc>
          <w:tcPr>
            <w:tcW w:w="8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18, 2023</w:t>
            </w:r>
          </w:p>
        </w:tc>
      </w:tr>
      <w:tr>
        <w:trPr/>
        <w:tc>
          <w:tcPr>
            <w:tcW w:w="1216"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283"/>
              <w:jc w:val="both"/>
              <w:rPr/>
            </w:pPr>
            <w:r>
              <w:rPr/>
              <w:t> </w:t>
            </w:r>
          </w:p>
        </w:tc>
      </w:tr>
      <w:tr>
        <w:trPr/>
        <w:tc>
          <w:tcPr>
            <w:tcW w:w="1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Date:</w:t>
            </w:r>
          </w:p>
        </w:tc>
        <w:tc>
          <w:tcPr>
            <w:tcW w:w="8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23, 2023, or such other date as agreed between the parties, subject to Section 8(l) below</w:t>
            </w:r>
          </w:p>
        </w:tc>
      </w:tr>
      <w:tr>
        <w:trPr/>
        <w:tc>
          <w:tcPr>
            <w:tcW w:w="1216"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283"/>
              <w:jc w:val="both"/>
              <w:rPr/>
            </w:pPr>
            <w:r>
              <w:rPr/>
              <w:t> </w:t>
            </w:r>
          </w:p>
        </w:tc>
      </w:tr>
      <w:tr>
        <w:trPr/>
        <w:tc>
          <w:tcPr>
            <w:tcW w:w="1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Components:</w:t>
            </w:r>
          </w:p>
        </w:tc>
        <w:tc>
          <w:tcPr>
            <w:tcW w:w="8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Transaction will be divided into individual Components, each with the terms set forth in this Confirmation, and, in particular, with the Number of Warrants and Expiration Date set forth in this Confirmation. The payments and deliveries to be made upon settlement of the Transaction will be determined separately for each Component as if each Component were a separate Transaction under the Agreement.</w:t>
            </w:r>
          </w:p>
        </w:tc>
      </w:tr>
      <w:tr>
        <w:trPr/>
        <w:tc>
          <w:tcPr>
            <w:tcW w:w="1216"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283"/>
              <w:jc w:val="both"/>
              <w:rPr/>
            </w:pPr>
            <w:r>
              <w:rPr/>
              <w:t> </w:t>
            </w:r>
          </w:p>
        </w:tc>
      </w:tr>
      <w:tr>
        <w:trPr/>
        <w:tc>
          <w:tcPr>
            <w:tcW w:w="1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Style:</w:t>
            </w:r>
          </w:p>
        </w:tc>
        <w:tc>
          <w:tcPr>
            <w:tcW w:w="8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European</w:t>
            </w:r>
          </w:p>
        </w:tc>
      </w:tr>
      <w:tr>
        <w:trPr/>
        <w:tc>
          <w:tcPr>
            <w:tcW w:w="1216"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283"/>
              <w:jc w:val="both"/>
              <w:rPr/>
            </w:pPr>
            <w:r>
              <w:rPr/>
              <w:t> </w:t>
            </w:r>
          </w:p>
        </w:tc>
      </w:tr>
      <w:tr>
        <w:trPr/>
        <w:tc>
          <w:tcPr>
            <w:tcW w:w="1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Type:</w:t>
            </w:r>
          </w:p>
        </w:tc>
        <w:tc>
          <w:tcPr>
            <w:tcW w:w="8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Call</w:t>
            </w:r>
          </w:p>
        </w:tc>
      </w:tr>
      <w:tr>
        <w:trPr/>
        <w:tc>
          <w:tcPr>
            <w:tcW w:w="1216"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283"/>
              <w:jc w:val="both"/>
              <w:rPr/>
            </w:pPr>
            <w:r>
              <w:rPr/>
              <w:t> </w:t>
            </w:r>
          </w:p>
        </w:tc>
      </w:tr>
      <w:tr>
        <w:trPr/>
        <w:tc>
          <w:tcPr>
            <w:tcW w:w="1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w:t>
            </w:r>
          </w:p>
        </w:tc>
        <w:tc>
          <w:tcPr>
            <w:tcW w:w="8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Counterparty</w:t>
            </w:r>
          </w:p>
        </w:tc>
      </w:tr>
      <w:tr>
        <w:trPr/>
        <w:tc>
          <w:tcPr>
            <w:tcW w:w="1216"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283"/>
              <w:jc w:val="both"/>
              <w:rPr/>
            </w:pPr>
            <w:r>
              <w:rPr/>
              <w:t> </w:t>
            </w:r>
          </w:p>
        </w:tc>
      </w:tr>
      <w:tr>
        <w:trPr/>
        <w:tc>
          <w:tcPr>
            <w:tcW w:w="1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w:t>
            </w:r>
          </w:p>
        </w:tc>
        <w:tc>
          <w:tcPr>
            <w:tcW w:w="8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w:t>
            </w:r>
          </w:p>
        </w:tc>
      </w:tr>
      <w:tr>
        <w:trPr/>
        <w:tc>
          <w:tcPr>
            <w:tcW w:w="1216"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283"/>
              <w:jc w:val="both"/>
              <w:rPr/>
            </w:pPr>
            <w:r>
              <w:rPr/>
              <w:t> </w:t>
            </w:r>
          </w:p>
        </w:tc>
      </w:tr>
      <w:tr>
        <w:trPr/>
        <w:tc>
          <w:tcPr>
            <w:tcW w:w="1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w:t>
            </w:r>
          </w:p>
        </w:tc>
        <w:tc>
          <w:tcPr>
            <w:tcW w:w="8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Common Stock of Counterparty, par value USD0.50 (Ticker Symbol: “WGO”).</w:t>
            </w:r>
          </w:p>
        </w:tc>
      </w:tr>
      <w:tr>
        <w:trPr/>
        <w:tc>
          <w:tcPr>
            <w:tcW w:w="1216"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283"/>
              <w:jc w:val="both"/>
              <w:rPr/>
            </w:pPr>
            <w:r>
              <w:rPr/>
              <w:t> </w:t>
            </w:r>
          </w:p>
        </w:tc>
      </w:tr>
      <w:tr>
        <w:trPr/>
        <w:tc>
          <w:tcPr>
            <w:tcW w:w="1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Warrants:</w:t>
            </w:r>
          </w:p>
        </w:tc>
        <w:tc>
          <w:tcPr>
            <w:tcW w:w="8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each Component, as provided in Annex A to this Confirmation.</w:t>
            </w:r>
          </w:p>
        </w:tc>
      </w:tr>
      <w:tr>
        <w:trPr/>
        <w:tc>
          <w:tcPr>
            <w:tcW w:w="1216"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283"/>
              <w:jc w:val="both"/>
              <w:rPr/>
            </w:pPr>
            <w:r>
              <w:rPr/>
              <w:t> </w:t>
            </w:r>
          </w:p>
        </w:tc>
      </w:tr>
      <w:tr>
        <w:trPr/>
        <w:tc>
          <w:tcPr>
            <w:tcW w:w="1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Entitlement:</w:t>
            </w:r>
          </w:p>
        </w:tc>
        <w:tc>
          <w:tcPr>
            <w:tcW w:w="8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One Share per Warrant</w:t>
            </w:r>
          </w:p>
        </w:tc>
      </w:tr>
      <w:tr>
        <w:trPr/>
        <w:tc>
          <w:tcPr>
            <w:tcW w:w="1216"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283"/>
              <w:jc w:val="both"/>
              <w:rPr/>
            </w:pPr>
            <w:r>
              <w:rPr/>
              <w:t> </w:t>
            </w:r>
          </w:p>
        </w:tc>
      </w:tr>
      <w:tr>
        <w:trPr/>
        <w:tc>
          <w:tcPr>
            <w:tcW w:w="1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Strike Price:</w:t>
            </w:r>
          </w:p>
        </w:tc>
        <w:tc>
          <w:tcPr>
            <w:tcW w:w="8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USD135.2800</w:t>
            </w:r>
          </w:p>
        </w:tc>
      </w:tr>
      <w:tr>
        <w:trPr/>
        <w:tc>
          <w:tcPr>
            <w:tcW w:w="1216"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283"/>
              <w:jc w:val="both"/>
              <w:rPr/>
            </w:pPr>
            <w:r>
              <w:rPr/>
              <w:t> </w:t>
            </w:r>
          </w:p>
        </w:tc>
      </w:tr>
      <w:tr>
        <w:trPr/>
        <w:tc>
          <w:tcPr>
            <w:tcW w:w="1216" w:type="dxa"/>
            <w:tcBorders/>
            <w:vAlign w:val="center"/>
          </w:tcPr>
          <w:p>
            <w:pPr>
              <w:pStyle w:val="TableContents"/>
              <w:bidi w:val="0"/>
              <w:spacing w:before="0" w:after="283"/>
              <w:jc w:val="left"/>
              <w:rPr/>
            </w:pPr>
            <w:r>
              <w:rPr/>
              <w:t> </w:t>
            </w:r>
          </w:p>
        </w:tc>
        <w:tc>
          <w:tcPr>
            <w:tcW w:w="8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in the Agreement, this Confirmation or the Equity Definitions, in no event shall the Strike Price be subject to adjustment to the extent that, after giving effect to such adjustment, the Strike Price would be less than USD 67.2580, except for any adjustment pursuant to the terms of this Confirmation and the Equity Definitions in connection with a stock split or similar change to Counterparty’s capitalization.</w:t>
            </w:r>
          </w:p>
        </w:tc>
      </w:tr>
    </w:tbl>
    <w:p>
      <w:pPr>
        <w:pStyle w:val="TextBody"/>
        <w:bidi w:val="0"/>
        <w:spacing w:before="0" w:after="0"/>
        <w:ind w:left="4320" w:right="0" w:hanging="3600"/>
        <w:jc w:val="both"/>
        <w:rPr>
          <w:caps w:val="false"/>
          <w:smallCaps w:val="false"/>
        </w:rPr>
      </w:pPr>
      <w:r>
        <w:rPr>
          <w:caps w:val="false"/>
          <w:smallCaps w:val="false"/>
        </w:rPr>
        <w:t> </w:t>
      </w:r>
    </w:p>
    <w:p>
      <w:pPr>
        <w:pStyle w:val="TextBody"/>
        <w:bidi w:val="0"/>
        <w:spacing w:before="0" w:after="0"/>
        <w:ind w:left="4320" w:right="0" w:hanging="360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4320" w:right="0" w:hanging="3600"/>
        <w:jc w:val="both"/>
        <w:rPr>
          <w:caps w:val="false"/>
          <w:smallCaps w:val="false"/>
        </w:rPr>
      </w:pPr>
      <w:r>
        <w:rPr>
          <w:caps w:val="false"/>
          <w:smallCaps w:val="false"/>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46"/>
        <w:gridCol w:w="9159"/>
      </w:tblGrid>
      <w:tr>
        <w:trPr/>
        <w:tc>
          <w:tcPr>
            <w:tcW w:w="1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w:t>
            </w:r>
          </w:p>
        </w:tc>
        <w:tc>
          <w:tcPr>
            <w:tcW w:w="91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any date, a number of Shares equal to the product of the Number of Warrants and the Warrant Entitlement.</w:t>
            </w:r>
          </w:p>
        </w:tc>
      </w:tr>
      <w:tr>
        <w:trPr/>
        <w:tc>
          <w:tcPr>
            <w:tcW w:w="1046" w:type="dxa"/>
            <w:tcBorders/>
            <w:vAlign w:val="center"/>
          </w:tcPr>
          <w:p>
            <w:pPr>
              <w:pStyle w:val="TableContents"/>
              <w:bidi w:val="0"/>
              <w:spacing w:before="0" w:after="283"/>
              <w:jc w:val="left"/>
              <w:rPr/>
            </w:pPr>
            <w:r>
              <w:rPr/>
              <w:t> </w:t>
            </w:r>
          </w:p>
        </w:tc>
        <w:tc>
          <w:tcPr>
            <w:tcW w:w="9159" w:type="dxa"/>
            <w:tcBorders/>
            <w:vAlign w:val="center"/>
          </w:tcPr>
          <w:p>
            <w:pPr>
              <w:pStyle w:val="TableContents"/>
              <w:bidi w:val="0"/>
              <w:spacing w:before="0" w:after="283"/>
              <w:jc w:val="both"/>
              <w:rPr/>
            </w:pPr>
            <w:r>
              <w:rPr/>
              <w:t> </w:t>
            </w:r>
          </w:p>
        </w:tc>
      </w:tr>
      <w:tr>
        <w:trPr/>
        <w:tc>
          <w:tcPr>
            <w:tcW w:w="1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Premium:</w:t>
            </w:r>
          </w:p>
        </w:tc>
        <w:tc>
          <w:tcPr>
            <w:tcW w:w="91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USD8,940,000</w:t>
            </w:r>
          </w:p>
        </w:tc>
      </w:tr>
      <w:tr>
        <w:trPr/>
        <w:tc>
          <w:tcPr>
            <w:tcW w:w="1046" w:type="dxa"/>
            <w:tcBorders/>
            <w:vAlign w:val="center"/>
          </w:tcPr>
          <w:p>
            <w:pPr>
              <w:pStyle w:val="TableContents"/>
              <w:bidi w:val="0"/>
              <w:spacing w:before="0" w:after="283"/>
              <w:jc w:val="left"/>
              <w:rPr/>
            </w:pPr>
            <w:r>
              <w:rPr/>
              <w:t> </w:t>
            </w:r>
          </w:p>
        </w:tc>
        <w:tc>
          <w:tcPr>
            <w:tcW w:w="9159" w:type="dxa"/>
            <w:tcBorders/>
            <w:vAlign w:val="center"/>
          </w:tcPr>
          <w:p>
            <w:pPr>
              <w:pStyle w:val="TableContents"/>
              <w:bidi w:val="0"/>
              <w:spacing w:before="0" w:after="283"/>
              <w:jc w:val="both"/>
              <w:rPr/>
            </w:pPr>
            <w:r>
              <w:rPr/>
              <w:t> </w:t>
            </w:r>
          </w:p>
        </w:tc>
      </w:tr>
      <w:tr>
        <w:trPr/>
        <w:tc>
          <w:tcPr>
            <w:tcW w:w="1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Premium Payment Date:</w:t>
            </w:r>
          </w:p>
        </w:tc>
        <w:tc>
          <w:tcPr>
            <w:tcW w:w="91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Effective Date</w:t>
            </w:r>
          </w:p>
        </w:tc>
      </w:tr>
      <w:tr>
        <w:trPr/>
        <w:tc>
          <w:tcPr>
            <w:tcW w:w="1046" w:type="dxa"/>
            <w:tcBorders/>
            <w:vAlign w:val="center"/>
          </w:tcPr>
          <w:p>
            <w:pPr>
              <w:pStyle w:val="TableContents"/>
              <w:bidi w:val="0"/>
              <w:spacing w:before="0" w:after="283"/>
              <w:jc w:val="left"/>
              <w:rPr/>
            </w:pPr>
            <w:r>
              <w:rPr/>
              <w:t> </w:t>
            </w:r>
          </w:p>
        </w:tc>
        <w:tc>
          <w:tcPr>
            <w:tcW w:w="9159" w:type="dxa"/>
            <w:tcBorders/>
            <w:vAlign w:val="center"/>
          </w:tcPr>
          <w:p>
            <w:pPr>
              <w:pStyle w:val="TableContents"/>
              <w:bidi w:val="0"/>
              <w:spacing w:before="0" w:after="283"/>
              <w:jc w:val="both"/>
              <w:rPr/>
            </w:pPr>
            <w:r>
              <w:rPr/>
              <w:t> </w:t>
            </w:r>
          </w:p>
        </w:tc>
      </w:tr>
      <w:tr>
        <w:trPr/>
        <w:tc>
          <w:tcPr>
            <w:tcW w:w="1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w:t>
            </w:r>
          </w:p>
        </w:tc>
        <w:tc>
          <w:tcPr>
            <w:tcW w:w="91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York Stock Exchange</w:t>
            </w:r>
          </w:p>
        </w:tc>
      </w:tr>
      <w:tr>
        <w:trPr/>
        <w:tc>
          <w:tcPr>
            <w:tcW w:w="1046" w:type="dxa"/>
            <w:tcBorders/>
            <w:vAlign w:val="center"/>
          </w:tcPr>
          <w:p>
            <w:pPr>
              <w:pStyle w:val="TableContents"/>
              <w:bidi w:val="0"/>
              <w:spacing w:before="0" w:after="283"/>
              <w:jc w:val="left"/>
              <w:rPr/>
            </w:pPr>
            <w:r>
              <w:rPr/>
              <w:t> </w:t>
            </w:r>
          </w:p>
        </w:tc>
        <w:tc>
          <w:tcPr>
            <w:tcW w:w="9159" w:type="dxa"/>
            <w:tcBorders/>
            <w:vAlign w:val="center"/>
          </w:tcPr>
          <w:p>
            <w:pPr>
              <w:pStyle w:val="TableContents"/>
              <w:bidi w:val="0"/>
              <w:spacing w:before="0" w:after="283"/>
              <w:jc w:val="both"/>
              <w:rPr/>
            </w:pPr>
            <w:r>
              <w:rPr/>
              <w:t> </w:t>
            </w:r>
          </w:p>
        </w:tc>
      </w:tr>
      <w:tr>
        <w:trPr/>
        <w:tc>
          <w:tcPr>
            <w:tcW w:w="1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Exchange:</w:t>
            </w:r>
          </w:p>
        </w:tc>
        <w:tc>
          <w:tcPr>
            <w:tcW w:w="91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Exchanges</w:t>
            </w:r>
          </w:p>
        </w:tc>
      </w:tr>
      <w:tr>
        <w:trPr/>
        <w:tc>
          <w:tcPr>
            <w:tcW w:w="1046" w:type="dxa"/>
            <w:tcBorders/>
            <w:vAlign w:val="center"/>
          </w:tcPr>
          <w:p>
            <w:pPr>
              <w:pStyle w:val="TableContents"/>
              <w:bidi w:val="0"/>
              <w:spacing w:before="0" w:after="283"/>
              <w:jc w:val="left"/>
              <w:rPr/>
            </w:pPr>
            <w:r>
              <w:rPr/>
              <w:t> </w:t>
            </w:r>
          </w:p>
        </w:tc>
        <w:tc>
          <w:tcPr>
            <w:tcW w:w="9159" w:type="dxa"/>
            <w:tcBorders/>
            <w:vAlign w:val="center"/>
          </w:tcPr>
          <w:p>
            <w:pPr>
              <w:pStyle w:val="TableContents"/>
              <w:bidi w:val="0"/>
              <w:spacing w:before="0" w:after="283"/>
              <w:jc w:val="both"/>
              <w:rPr/>
            </w:pPr>
            <w:r>
              <w:rPr/>
              <w:t> </w:t>
            </w:r>
          </w:p>
        </w:tc>
      </w:tr>
      <w:tr>
        <w:trPr/>
        <w:tc>
          <w:tcPr>
            <w:tcW w:w="1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Procedures for Exercise:</w:t>
            </w:r>
          </w:p>
        </w:tc>
        <w:tc>
          <w:tcPr>
            <w:tcW w:w="9159" w:type="dxa"/>
            <w:tcBorders/>
            <w:vAlign w:val="center"/>
          </w:tcPr>
          <w:p>
            <w:pPr>
              <w:pStyle w:val="TableContents"/>
              <w:bidi w:val="0"/>
              <w:spacing w:before="0" w:after="283"/>
              <w:jc w:val="both"/>
              <w:rPr/>
            </w:pPr>
            <w:r>
              <w:rPr/>
              <w:t> </w:t>
            </w:r>
          </w:p>
        </w:tc>
      </w:tr>
      <w:tr>
        <w:trPr/>
        <w:tc>
          <w:tcPr>
            <w:tcW w:w="1046" w:type="dxa"/>
            <w:tcBorders/>
            <w:vAlign w:val="center"/>
          </w:tcPr>
          <w:p>
            <w:pPr>
              <w:pStyle w:val="TableContents"/>
              <w:bidi w:val="0"/>
              <w:spacing w:before="0" w:after="283"/>
              <w:jc w:val="left"/>
              <w:rPr/>
            </w:pPr>
            <w:r>
              <w:rPr/>
              <w:t> </w:t>
            </w:r>
          </w:p>
        </w:tc>
        <w:tc>
          <w:tcPr>
            <w:tcW w:w="9159" w:type="dxa"/>
            <w:tcBorders/>
            <w:vAlign w:val="center"/>
          </w:tcPr>
          <w:p>
            <w:pPr>
              <w:pStyle w:val="TableContents"/>
              <w:bidi w:val="0"/>
              <w:spacing w:before="0" w:after="283"/>
              <w:jc w:val="both"/>
              <w:rPr/>
            </w:pPr>
            <w:r>
              <w:rPr/>
              <w:t> </w:t>
            </w:r>
          </w:p>
        </w:tc>
      </w:tr>
      <w:tr>
        <w:trPr/>
        <w:tc>
          <w:tcPr>
            <w:tcW w:w="104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 respect of any Component:</w:t>
            </w:r>
          </w:p>
        </w:tc>
        <w:tc>
          <w:tcPr>
            <w:tcW w:w="9159" w:type="dxa"/>
            <w:tcBorders/>
            <w:vAlign w:val="center"/>
          </w:tcPr>
          <w:p>
            <w:pPr>
              <w:pStyle w:val="TableContents"/>
              <w:bidi w:val="0"/>
              <w:spacing w:before="0" w:after="283"/>
              <w:jc w:val="both"/>
              <w:rPr/>
            </w:pPr>
            <w:r>
              <w:rPr/>
              <w:t> </w:t>
            </w:r>
          </w:p>
        </w:tc>
      </w:tr>
      <w:tr>
        <w:trPr/>
        <w:tc>
          <w:tcPr>
            <w:tcW w:w="1046" w:type="dxa"/>
            <w:tcBorders/>
            <w:vAlign w:val="center"/>
          </w:tcPr>
          <w:p>
            <w:pPr>
              <w:pStyle w:val="TableContents"/>
              <w:bidi w:val="0"/>
              <w:spacing w:before="0" w:after="283"/>
              <w:jc w:val="left"/>
              <w:rPr/>
            </w:pPr>
            <w:r>
              <w:rPr/>
              <w:t> </w:t>
            </w:r>
          </w:p>
        </w:tc>
        <w:tc>
          <w:tcPr>
            <w:tcW w:w="9159" w:type="dxa"/>
            <w:tcBorders/>
            <w:vAlign w:val="center"/>
          </w:tcPr>
          <w:p>
            <w:pPr>
              <w:pStyle w:val="TableContents"/>
              <w:bidi w:val="0"/>
              <w:spacing w:before="0" w:after="283"/>
              <w:jc w:val="both"/>
              <w:rPr/>
            </w:pPr>
            <w:r>
              <w:rPr/>
              <w:t> </w:t>
            </w:r>
          </w:p>
        </w:tc>
      </w:tr>
      <w:tr>
        <w:trPr/>
        <w:tc>
          <w:tcPr>
            <w:tcW w:w="1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Expiration Time:</w:t>
            </w:r>
          </w:p>
        </w:tc>
        <w:tc>
          <w:tcPr>
            <w:tcW w:w="91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Valuation Time</w:t>
            </w:r>
          </w:p>
        </w:tc>
      </w:tr>
      <w:tr>
        <w:trPr/>
        <w:tc>
          <w:tcPr>
            <w:tcW w:w="1046" w:type="dxa"/>
            <w:tcBorders/>
            <w:vAlign w:val="center"/>
          </w:tcPr>
          <w:p>
            <w:pPr>
              <w:pStyle w:val="TableContents"/>
              <w:bidi w:val="0"/>
              <w:spacing w:before="0" w:after="283"/>
              <w:jc w:val="left"/>
              <w:rPr/>
            </w:pPr>
            <w:r>
              <w:rPr/>
              <w:t> </w:t>
            </w:r>
          </w:p>
        </w:tc>
        <w:tc>
          <w:tcPr>
            <w:tcW w:w="9159" w:type="dxa"/>
            <w:tcBorders/>
            <w:vAlign w:val="center"/>
          </w:tcPr>
          <w:p>
            <w:pPr>
              <w:pStyle w:val="TableContents"/>
              <w:bidi w:val="0"/>
              <w:spacing w:before="0" w:after="283"/>
              <w:jc w:val="both"/>
              <w:rPr/>
            </w:pPr>
            <w:r>
              <w:rPr/>
              <w:t> </w:t>
            </w:r>
          </w:p>
        </w:tc>
      </w:tr>
      <w:tr>
        <w:trPr/>
        <w:tc>
          <w:tcPr>
            <w:tcW w:w="1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Expiration Date:</w:t>
            </w:r>
          </w:p>
        </w:tc>
        <w:tc>
          <w:tcPr>
            <w:tcW w:w="91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provided in </w:t>
            </w:r>
            <w:r>
              <w:rPr>
                <w:rFonts w:ascii="Times New Roman;Times;Serif" w:hAnsi="Times New Roman;Times;Serif"/>
                <w:sz w:val="20"/>
                <w:u w:val="single"/>
              </w:rPr>
              <w:t>Annex A</w:t>
            </w:r>
            <w:r>
              <w:rPr>
                <w:rFonts w:ascii="Times New Roman;Times;Serif" w:hAnsi="Times New Roman;Times;Serif"/>
                <w:sz w:val="20"/>
              </w:rPr>
              <w:t xml:space="preserve"> to this Confirmation (or, if such date is not a Scheduled Trading Day, the next following Scheduled Trading Day that is not already an Expiration Date for another Component); </w:t>
            </w:r>
            <w:r>
              <w:rPr>
                <w:rFonts w:ascii="Times New Roman;Times;Serif" w:hAnsi="Times New Roman;Times;Serif"/>
                <w:i/>
                <w:sz w:val="20"/>
              </w:rPr>
              <w:t>provided</w:t>
            </w:r>
            <w:r>
              <w:rPr>
                <w:rFonts w:ascii="Times New Roman;Times;Serif" w:hAnsi="Times New Roman;Times;Serif"/>
                <w:sz w:val="20"/>
              </w:rPr>
              <w:t xml:space="preserve"> that if that date is a Disrupted Day, the Expiration Date for such Component shall be the first succeeding Scheduled Trading Day that is not a Disrupted Day and is not and is not deemed to be an Expiration Date in respect of any other Component of the Transaction hereunder; and </w:t>
            </w:r>
            <w:r>
              <w:rPr>
                <w:rFonts w:ascii="Times New Roman;Times;Serif" w:hAnsi="Times New Roman;Times;Serif"/>
                <w:i/>
                <w:sz w:val="20"/>
              </w:rPr>
              <w:t>provided further</w:t>
            </w:r>
            <w:r>
              <w:rPr>
                <w:rFonts w:ascii="Times New Roman;Times;Serif" w:hAnsi="Times New Roman;Times;Serif"/>
                <w:sz w:val="20"/>
              </w:rPr>
              <w:t xml:space="preserve"> that if the Expiration Date has not occurred pursuant to the preceding proviso as of the Final Disruption Date, the Calculation Agent shall have the right to elect, in its sole discretion, that the Final Disruption Date shall be the Expiration Date (irrespective of whether such date is an Expiration Date in respect of any other Component for the Transaction). Notwithstanding the foregoing and anything to the contrary in the Equity Definitions, if a Market Disruption Event occurs on any Expiration Date, the Calculation Agent may determine that such Expiration Date is a Disrupted Day only in part, in which case the Calculation Agent shall make adjustments to the Number of Warrants for the relevant Component for which such day shall be the Expiration Date, shall designate the Scheduled Trading Day determined in the manner described in the immediately preceding sentence as the Expiration Date for the remaining Warrants for such Component and may determine the VWAP Price for such Expiration Date based on transactions in the Shares taking into account the nature and duration of such Market Disruption Event. Any Scheduled Trading Day on which, as of the date hereof, the Exchange is scheduled to close prior to its normal close of trading shall be deemed not to be a Scheduled Trading Day; if a closure of the Exchange prior to its normal close of trading on any Scheduled Trading Day is scheduled following the date hereof, then such Scheduled Trading Day shall be deemed to be a Disrupted Day in full</w:t>
            </w:r>
            <w:r>
              <w:rPr>
                <w:rFonts w:ascii="Times New Roman;Times;Serif" w:hAnsi="Times New Roman;Times;Serif"/>
                <w:b/>
                <w:sz w:val="20"/>
              </w:rPr>
              <w:t>.</w:t>
            </w:r>
            <w:r>
              <w:rPr>
                <w:rFonts w:ascii="Times New Roman;Times;Serif" w:hAnsi="Times New Roman;Times;Serif"/>
                <w:sz w:val="20"/>
              </w:rPr>
              <w:t xml:space="preserve"> Section 6.6 of the Equity Definitions shall not apply to any Valuation Date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3"/>
        <w:gridCol w:w="8062"/>
      </w:tblGrid>
      <w:tr>
        <w:trPr/>
        <w:tc>
          <w:tcPr>
            <w:tcW w:w="2143" w:type="dxa"/>
            <w:tcBorders/>
            <w:vAlign w:val="center"/>
          </w:tcPr>
          <w:p>
            <w:pPr>
              <w:pStyle w:val="TableContents"/>
              <w:bidi w:val="0"/>
              <w:spacing w:before="0" w:after="283"/>
              <w:jc w:val="left"/>
              <w:rPr/>
            </w:pPr>
            <w:r>
              <w:rPr/>
              <w:t> </w:t>
            </w:r>
          </w:p>
        </w:tc>
        <w:tc>
          <w:tcPr>
            <w:tcW w:w="80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occurring on an Expiration Date.  “</w:t>
            </w:r>
            <w:r>
              <w:rPr>
                <w:rFonts w:ascii="Times New Roman;Times;Serif" w:hAnsi="Times New Roman;Times;Serif"/>
                <w:b/>
                <w:sz w:val="20"/>
              </w:rPr>
              <w:t>Final Disruption Date</w:t>
            </w:r>
            <w:r>
              <w:rPr>
                <w:rFonts w:ascii="Times New Roman;Times;Serif" w:hAnsi="Times New Roman;Times;Serif"/>
                <w:sz w:val="20"/>
              </w:rPr>
              <w:t>” means September 20, 2030.</w:t>
            </w:r>
          </w:p>
        </w:tc>
      </w:tr>
      <w:tr>
        <w:trPr/>
        <w:tc>
          <w:tcPr>
            <w:tcW w:w="2143" w:type="dxa"/>
            <w:tcBorders/>
            <w:vAlign w:val="center"/>
          </w:tcPr>
          <w:p>
            <w:pPr>
              <w:pStyle w:val="TableContents"/>
              <w:bidi w:val="0"/>
              <w:spacing w:before="0" w:after="283"/>
              <w:jc w:val="left"/>
              <w:rPr/>
            </w:pPr>
            <w:r>
              <w:rPr/>
              <w:t> </w:t>
            </w:r>
          </w:p>
        </w:tc>
        <w:tc>
          <w:tcPr>
            <w:tcW w:w="8062" w:type="dxa"/>
            <w:tcBorders/>
            <w:vAlign w:val="center"/>
          </w:tcPr>
          <w:p>
            <w:pPr>
              <w:pStyle w:val="TableContents"/>
              <w:bidi w:val="0"/>
              <w:spacing w:before="0" w:after="283"/>
              <w:jc w:val="both"/>
              <w:rPr/>
            </w:pPr>
            <w:r>
              <w:rPr/>
              <w:t> </w:t>
            </w:r>
          </w:p>
        </w:tc>
      </w:tr>
      <w:tr>
        <w:trPr/>
        <w:tc>
          <w:tcPr>
            <w:tcW w:w="2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 Disruption Event:</w:t>
            </w:r>
          </w:p>
        </w:tc>
        <w:tc>
          <w:tcPr>
            <w:tcW w:w="8062" w:type="dxa"/>
            <w:vMerge w:val="restart"/>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6.3(a) of the Equity Definitions is hereby amended by (A) deleting the words “during the one hour period that ends at the relevant Valuation Time, Latest Exercise Time, Knock-in Valuation Time or Knock-out Valuation Time, as the case may be,” in clause (ii) thereof and (B) by replacing the words “or (iii) an Early Closure.” therein with “(iii) an Early Closure, or (iv) a Regulatory Disruption.”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6.3(d) of the Equity Definitions is hereby amended by deleting the remainder of the provision following the term “Scheduled Closing Time” in the fourth line thereof.</w:t>
            </w:r>
          </w:p>
        </w:tc>
      </w:tr>
      <w:tr>
        <w:trPr/>
        <w:tc>
          <w:tcPr>
            <w:tcW w:w="2143" w:type="dxa"/>
            <w:tcBorders/>
            <w:vAlign w:val="center"/>
          </w:tcPr>
          <w:p>
            <w:pPr>
              <w:pStyle w:val="TableContents"/>
              <w:bidi w:val="0"/>
              <w:spacing w:before="0" w:after="283"/>
              <w:jc w:val="left"/>
              <w:rPr/>
            </w:pPr>
            <w:r>
              <w:rPr/>
              <w:t> </w:t>
            </w:r>
          </w:p>
        </w:tc>
        <w:tc>
          <w:tcPr>
            <w:tcW w:w="8062" w:type="dxa"/>
            <w:vMerge w:val="continue"/>
            <w:tcBorders/>
            <w:vAlign w:val="center"/>
          </w:tcPr>
          <w:p>
            <w:pPr>
              <w:pStyle w:val="Normal"/>
              <w:bidi w:val="0"/>
              <w:jc w:val="left"/>
              <w:rPr/>
            </w:pPr>
            <w:r>
              <w:rPr/>
            </w:r>
          </w:p>
        </w:tc>
      </w:tr>
      <w:tr>
        <w:trPr/>
        <w:tc>
          <w:tcPr>
            <w:tcW w:w="2143" w:type="dxa"/>
            <w:tcBorders/>
            <w:vAlign w:val="center"/>
          </w:tcPr>
          <w:p>
            <w:pPr>
              <w:pStyle w:val="TableContents"/>
              <w:bidi w:val="0"/>
              <w:spacing w:before="0" w:after="283"/>
              <w:jc w:val="left"/>
              <w:rPr/>
            </w:pPr>
            <w:r>
              <w:rPr/>
              <w:t> </w:t>
            </w:r>
          </w:p>
        </w:tc>
        <w:tc>
          <w:tcPr>
            <w:tcW w:w="8062" w:type="dxa"/>
            <w:vMerge w:val="continue"/>
            <w:tcBorders/>
            <w:vAlign w:val="center"/>
          </w:tcPr>
          <w:p>
            <w:pPr>
              <w:pStyle w:val="Normal"/>
              <w:bidi w:val="0"/>
              <w:jc w:val="left"/>
              <w:rPr/>
            </w:pPr>
            <w:r>
              <w:rPr/>
            </w:r>
          </w:p>
        </w:tc>
      </w:tr>
      <w:tr>
        <w:trPr/>
        <w:tc>
          <w:tcPr>
            <w:tcW w:w="2143" w:type="dxa"/>
            <w:tcBorders/>
            <w:vAlign w:val="center"/>
          </w:tcPr>
          <w:p>
            <w:pPr>
              <w:pStyle w:val="TableContents"/>
              <w:bidi w:val="0"/>
              <w:spacing w:before="0" w:after="283"/>
              <w:jc w:val="left"/>
              <w:rPr/>
            </w:pPr>
            <w:r>
              <w:rPr/>
              <w:t> </w:t>
            </w:r>
          </w:p>
        </w:tc>
        <w:tc>
          <w:tcPr>
            <w:tcW w:w="8062" w:type="dxa"/>
            <w:tcBorders/>
            <w:vAlign w:val="center"/>
          </w:tcPr>
          <w:p>
            <w:pPr>
              <w:pStyle w:val="TableContents"/>
              <w:bidi w:val="0"/>
              <w:spacing w:before="0" w:after="283"/>
              <w:jc w:val="both"/>
              <w:rPr/>
            </w:pPr>
            <w:r>
              <w:rPr/>
              <w:t> </w:t>
            </w:r>
          </w:p>
        </w:tc>
      </w:tr>
      <w:tr>
        <w:trPr/>
        <w:tc>
          <w:tcPr>
            <w:tcW w:w="2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Disruption:</w:t>
            </w:r>
          </w:p>
        </w:tc>
        <w:tc>
          <w:tcPr>
            <w:tcW w:w="8062" w:type="dxa"/>
            <w:tcBorders/>
            <w:vAlign w:val="center"/>
          </w:tcPr>
          <w:p>
            <w:pPr>
              <w:pStyle w:val="TableContents"/>
              <w:bidi w:val="0"/>
              <w:spacing w:before="0" w:after="283"/>
              <w:jc w:val="both"/>
              <w:rPr/>
            </w:pPr>
            <w:r>
              <w:rPr>
                <w:rFonts w:ascii="Times New Roman;Times;Serif" w:hAnsi="Times New Roman;Times;Serif"/>
                <w:sz w:val="20"/>
              </w:rPr>
              <w:t>Any event that Dealer, in its reasonable discretion, determines makes it appropriate, with regard to any legal, regulatory or self-regulatory requirements or related policies and procedures (whether or not such requirements or related policies and procedures are imposed by law or have been voluntarily adopted by Dealer and provided any such policies and procedures are related to legal, regulatory or self-regulatory issues generally applicable to the Transaction and are applied to the Transaction in a non-discriminatory manner), for Dealer to refrain from or decrease any market activity connected with the Transaction.</w:t>
            </w:r>
            <w:r>
              <w:rPr/>
              <w:t xml:space="preserve"> Dealer shall notify Counterparty as soon as reasonably practicable that a Regulatory Disruption has occurred and the Expiration Dates affected by it.</w:t>
            </w:r>
          </w:p>
        </w:tc>
      </w:tr>
      <w:tr>
        <w:trPr/>
        <w:tc>
          <w:tcPr>
            <w:tcW w:w="2143" w:type="dxa"/>
            <w:tcBorders/>
            <w:vAlign w:val="center"/>
          </w:tcPr>
          <w:p>
            <w:pPr>
              <w:pStyle w:val="TableContents"/>
              <w:bidi w:val="0"/>
              <w:spacing w:before="0" w:after="283"/>
              <w:jc w:val="left"/>
              <w:rPr/>
            </w:pPr>
            <w:r>
              <w:rPr/>
              <w:t> </w:t>
            </w:r>
          </w:p>
        </w:tc>
        <w:tc>
          <w:tcPr>
            <w:tcW w:w="8062" w:type="dxa"/>
            <w:tcBorders/>
            <w:vAlign w:val="center"/>
          </w:tcPr>
          <w:p>
            <w:pPr>
              <w:pStyle w:val="TableContents"/>
              <w:bidi w:val="0"/>
              <w:spacing w:before="0" w:after="283"/>
              <w:jc w:val="both"/>
              <w:rPr/>
            </w:pPr>
            <w:r>
              <w:rPr/>
              <w:t> </w:t>
            </w:r>
          </w:p>
        </w:tc>
      </w:tr>
      <w:tr>
        <w:trPr/>
        <w:tc>
          <w:tcPr>
            <w:tcW w:w="2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Automatic Exercise:</w:t>
            </w:r>
          </w:p>
        </w:tc>
        <w:tc>
          <w:tcPr>
            <w:tcW w:w="8062"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Applicable; and means that the Number of Warrants for the corresponding Expiration Date will be deemed to be automatically exercised at the Expiration Time on such Expiration Date unless Dealer notifies Seller (by telephone or in writing) prior to the Expiration Time on such Expiration Date that it does not wish Automatic Exercise to occur, in which case Automatic Exercise will not apply to such Expiration Date.</w:t>
            </w:r>
          </w:p>
          <w:p>
            <w:pPr>
              <w:pStyle w:val="TableContents"/>
              <w:bidi w:val="0"/>
              <w:spacing w:before="0" w:after="283"/>
              <w:jc w:val="both"/>
              <w:rPr/>
            </w:pPr>
            <w:r>
              <w:rPr/>
              <w:t> </w:t>
            </w:r>
          </w:p>
        </w:tc>
      </w:tr>
      <w:tr>
        <w:trPr/>
        <w:tc>
          <w:tcPr>
            <w:tcW w:w="2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Counterparty’s Telephone Number and Telex and/or Facsimile Number and Contact Details for purpose of Giving Notice:</w:t>
            </w:r>
          </w:p>
        </w:tc>
        <w:tc>
          <w:tcPr>
            <w:tcW w:w="8062"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As provided in Section 6(a) below.</w:t>
            </w:r>
          </w:p>
          <w:p>
            <w:pPr>
              <w:pStyle w:val="TableContents"/>
              <w:bidi w:val="0"/>
              <w:jc w:val="both"/>
              <w:rPr/>
            </w:pPr>
            <w:r>
              <w:rPr/>
              <w:t> </w:t>
            </w:r>
          </w:p>
          <w:p>
            <w:pPr>
              <w:pStyle w:val="TableContents"/>
              <w:bidi w:val="0"/>
              <w:spacing w:before="0" w:after="283"/>
              <w:jc w:val="both"/>
              <w:rPr/>
            </w:pPr>
            <w:r>
              <w:rPr/>
              <w:t> </w:t>
            </w:r>
          </w:p>
        </w:tc>
      </w:tr>
      <w:tr>
        <w:trPr/>
        <w:tc>
          <w:tcPr>
            <w:tcW w:w="2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Terms:</w:t>
            </w:r>
          </w:p>
        </w:tc>
        <w:tc>
          <w:tcPr>
            <w:tcW w:w="8062" w:type="dxa"/>
            <w:tcBorders/>
            <w:vAlign w:val="center"/>
          </w:tcPr>
          <w:p>
            <w:pPr>
              <w:pStyle w:val="TableContents"/>
              <w:bidi w:val="0"/>
              <w:spacing w:before="0" w:after="283"/>
              <w:jc w:val="both"/>
              <w:rPr/>
            </w:pPr>
            <w:r>
              <w:rPr/>
              <w:t> </w:t>
            </w:r>
          </w:p>
        </w:tc>
      </w:tr>
      <w:tr>
        <w:trPr/>
        <w:tc>
          <w:tcPr>
            <w:tcW w:w="2143" w:type="dxa"/>
            <w:tcBorders/>
            <w:vAlign w:val="center"/>
          </w:tcPr>
          <w:p>
            <w:pPr>
              <w:pStyle w:val="TableContents"/>
              <w:bidi w:val="0"/>
              <w:spacing w:before="0" w:after="283"/>
              <w:jc w:val="left"/>
              <w:rPr/>
            </w:pPr>
            <w:r>
              <w:rPr/>
              <w:t> </w:t>
            </w:r>
          </w:p>
        </w:tc>
        <w:tc>
          <w:tcPr>
            <w:tcW w:w="8062" w:type="dxa"/>
            <w:tcBorders/>
            <w:vAlign w:val="center"/>
          </w:tcPr>
          <w:p>
            <w:pPr>
              <w:pStyle w:val="TableContents"/>
              <w:bidi w:val="0"/>
              <w:spacing w:before="0" w:after="283"/>
              <w:jc w:val="both"/>
              <w:rPr/>
            </w:pPr>
            <w:r>
              <w:rPr/>
              <w:t> </w:t>
            </w:r>
          </w:p>
        </w:tc>
      </w:tr>
      <w:tr>
        <w:trPr/>
        <w:tc>
          <w:tcPr>
            <w:tcW w:w="214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 respect of any Component:</w:t>
            </w:r>
          </w:p>
        </w:tc>
        <w:tc>
          <w:tcPr>
            <w:tcW w:w="8062" w:type="dxa"/>
            <w:tcBorders/>
            <w:vAlign w:val="center"/>
          </w:tcPr>
          <w:p>
            <w:pPr>
              <w:pStyle w:val="TableContents"/>
              <w:bidi w:val="0"/>
              <w:spacing w:before="0" w:after="283"/>
              <w:jc w:val="both"/>
              <w:rPr/>
            </w:pPr>
            <w:r>
              <w:rPr/>
              <w:t> </w:t>
            </w:r>
          </w:p>
        </w:tc>
      </w:tr>
      <w:tr>
        <w:trPr/>
        <w:tc>
          <w:tcPr>
            <w:tcW w:w="2143" w:type="dxa"/>
            <w:tcBorders/>
            <w:vAlign w:val="center"/>
          </w:tcPr>
          <w:p>
            <w:pPr>
              <w:pStyle w:val="TableContents"/>
              <w:bidi w:val="0"/>
              <w:spacing w:before="0" w:after="283"/>
              <w:jc w:val="left"/>
              <w:rPr/>
            </w:pPr>
            <w:r>
              <w:rPr/>
              <w:t> </w:t>
            </w:r>
          </w:p>
        </w:tc>
        <w:tc>
          <w:tcPr>
            <w:tcW w:w="8062" w:type="dxa"/>
            <w:tcBorders/>
            <w:vAlign w:val="center"/>
          </w:tcPr>
          <w:p>
            <w:pPr>
              <w:pStyle w:val="TableContents"/>
              <w:bidi w:val="0"/>
              <w:spacing w:before="0" w:after="283"/>
              <w:jc w:val="both"/>
              <w:rPr/>
            </w:pPr>
            <w:r>
              <w:rPr/>
              <w:t> </w:t>
            </w:r>
          </w:p>
        </w:tc>
      </w:tr>
      <w:tr>
        <w:trPr/>
        <w:tc>
          <w:tcPr>
            <w:tcW w:w="2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Currency:</w:t>
            </w:r>
          </w:p>
        </w:tc>
        <w:tc>
          <w:tcPr>
            <w:tcW w:w="80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USD</w:t>
            </w:r>
          </w:p>
        </w:tc>
      </w:tr>
      <w:tr>
        <w:trPr/>
        <w:tc>
          <w:tcPr>
            <w:tcW w:w="2143" w:type="dxa"/>
            <w:tcBorders/>
            <w:vAlign w:val="center"/>
          </w:tcPr>
          <w:p>
            <w:pPr>
              <w:pStyle w:val="TableContents"/>
              <w:bidi w:val="0"/>
              <w:spacing w:before="0" w:after="283"/>
              <w:jc w:val="left"/>
              <w:rPr/>
            </w:pPr>
            <w:r>
              <w:rPr/>
              <w:t> </w:t>
            </w:r>
          </w:p>
        </w:tc>
        <w:tc>
          <w:tcPr>
            <w:tcW w:w="8062" w:type="dxa"/>
            <w:tcBorders/>
            <w:vAlign w:val="center"/>
          </w:tcPr>
          <w:p>
            <w:pPr>
              <w:pStyle w:val="TableContents"/>
              <w:bidi w:val="0"/>
              <w:spacing w:before="0" w:after="283"/>
              <w:jc w:val="both"/>
              <w:rPr/>
            </w:pPr>
            <w:r>
              <w:rPr/>
              <w:t> </w:t>
            </w:r>
          </w:p>
        </w:tc>
      </w:tr>
      <w:tr>
        <w:trPr/>
        <w:tc>
          <w:tcPr>
            <w:tcW w:w="2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Share Settlement:</w:t>
            </w:r>
          </w:p>
        </w:tc>
        <w:tc>
          <w:tcPr>
            <w:tcW w:w="80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On each Settlement Date, Counterparty shall deliver to Dealer a number of Shares equal to the Number of Shares to be Delivered for such Settlement Date to the account specified by Dealer and cash in lieu of any fractional Share valued at the Relevant Price 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4"/>
        <w:gridCol w:w="8951"/>
      </w:tblGrid>
      <w:tr>
        <w:trPr/>
        <w:tc>
          <w:tcPr>
            <w:tcW w:w="1254"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Date corresponding to such Settlement Date. If, in the reasonable opinion of Dealer, based on advice of counsel, for any reason, the Shares deliverable upon Net Share Settlement would not be immediately freely transferable by Dealer under Rule 144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then Dealer may elect to either (x) accept delivery of such Shares notwithstanding any restriction on transfer or (y) have the provisions set forth in Section 8(c) below apply.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to be Delivered shall be delivered by Counterparty to Dealer no later than 12:00 noon (local time in New York City) on the relevant Settlement Date.</w:t>
            </w:r>
          </w:p>
        </w:tc>
      </w:tr>
      <w:tr>
        <w:trPr/>
        <w:tc>
          <w:tcPr>
            <w:tcW w:w="1254"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both"/>
              <w:rPr/>
            </w:pPr>
            <w:r>
              <w:rPr/>
              <w:t> </w:t>
            </w:r>
          </w:p>
        </w:tc>
      </w:tr>
      <w:tr>
        <w:trPr/>
        <w:tc>
          <w:tcPr>
            <w:tcW w:w="1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 to be Delivered:</w:t>
            </w:r>
          </w:p>
        </w:tc>
        <w:tc>
          <w:tcPr>
            <w:tcW w:w="8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respect of any Exercise Date, the product of (i) the number of Warrants exercised or deemed exercised on such Exercise Date, (ii) the Warrant Entitlement and (iii) (A) the excess of the VWAP Price on the Valuation Date occurring in respect of such Exercise Date over the Strike Price (or, if there is no such excess, zero) </w:t>
            </w:r>
            <w:r>
              <w:rPr>
                <w:rFonts w:ascii="Times New Roman;Times;Serif" w:hAnsi="Times New Roman;Times;Serif"/>
                <w:i/>
                <w:sz w:val="20"/>
              </w:rPr>
              <w:t>divided by</w:t>
            </w:r>
            <w:r>
              <w:rPr>
                <w:rFonts w:ascii="Times New Roman;Times;Serif" w:hAnsi="Times New Roman;Times;Serif"/>
                <w:sz w:val="20"/>
              </w:rPr>
              <w:t xml:space="preserve"> (B) such VWAP Price.</w:t>
            </w:r>
          </w:p>
        </w:tc>
      </w:tr>
      <w:tr>
        <w:trPr/>
        <w:tc>
          <w:tcPr>
            <w:tcW w:w="1254"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both"/>
              <w:rPr/>
            </w:pPr>
            <w:r>
              <w:rPr/>
              <w:t> </w:t>
            </w:r>
          </w:p>
        </w:tc>
      </w:tr>
      <w:tr>
        <w:trPr/>
        <w:tc>
          <w:tcPr>
            <w:tcW w:w="1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VWAP Price:</w:t>
            </w:r>
          </w:p>
        </w:tc>
        <w:tc>
          <w:tcPr>
            <w:tcW w:w="8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Exchange Business Day, as determined by the Calculation Agent based on the New York Volume Weighted Average Price per Share for the regular trading session (including any extensions thereof) of the Exchange on such Exchange Business Day (without regard to pre-open or after hours trading outside of such regular trading session), as published by Bloomberg at 4:15 P.M., New York City time (or 15 minutes following the end of any extension of the regular trading session), on such Exchange Business Day, on Bloomberg page “WGO.N &lt;Equity&gt; AQR” (or any successor thereto) (or if such published volume weighted average price is unavailable or is manifestly incorrect, the market value of one Share on such Exchange Business Day, as determined by the Calculation Agent using, if practicable, a volume weighted method).</w:t>
            </w:r>
          </w:p>
        </w:tc>
      </w:tr>
      <w:tr>
        <w:trPr/>
        <w:tc>
          <w:tcPr>
            <w:tcW w:w="1254"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both"/>
              <w:rPr/>
            </w:pPr>
            <w:r>
              <w:rPr/>
              <w:t> </w:t>
            </w:r>
          </w:p>
        </w:tc>
      </w:tr>
      <w:tr>
        <w:trPr/>
        <w:tc>
          <w:tcPr>
            <w:tcW w:w="1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Applicable Provisions:</w:t>
            </w:r>
          </w:p>
        </w:tc>
        <w:tc>
          <w:tcPr>
            <w:tcW w:w="8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provisions of Sections 9.1(c), 9.4, 9.8, 9.9, 9.10, 9.11 and 9.12 of the Equity Definitions will be applicable as if “Physical Settlement” applied to the Transaction; </w:t>
            </w:r>
            <w:r>
              <w:rPr>
                <w:rFonts w:ascii="Times New Roman;Times;Serif" w:hAnsi="Times New Roman;Times;Serif"/>
                <w:i/>
                <w:sz w:val="20"/>
              </w:rPr>
              <w:t>provided</w:t>
            </w:r>
            <w:r>
              <w:rPr>
                <w:rFonts w:ascii="Times New Roman;Times;Serif" w:hAnsi="Times New Roman;Times;Serif"/>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of the Shares.</w:t>
            </w:r>
          </w:p>
        </w:tc>
      </w:tr>
      <w:tr>
        <w:trPr/>
        <w:tc>
          <w:tcPr>
            <w:tcW w:w="1254"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both"/>
              <w:rPr/>
            </w:pPr>
            <w:r>
              <w:rPr/>
              <w:t> </w:t>
            </w:r>
          </w:p>
        </w:tc>
      </w:tr>
      <w:tr>
        <w:trPr/>
        <w:tc>
          <w:tcPr>
            <w:tcW w:w="1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w:t>
            </w:r>
          </w:p>
        </w:tc>
        <w:tc>
          <w:tcPr>
            <w:tcW w:w="8951" w:type="dxa"/>
            <w:tcBorders/>
            <w:vAlign w:val="center"/>
          </w:tcPr>
          <w:p>
            <w:pPr>
              <w:pStyle w:val="TableContents"/>
              <w:bidi w:val="0"/>
              <w:spacing w:before="0" w:after="283"/>
              <w:jc w:val="both"/>
              <w:rPr/>
            </w:pPr>
            <w:r>
              <w:rPr/>
              <w:t> </w:t>
            </w:r>
          </w:p>
        </w:tc>
      </w:tr>
      <w:tr>
        <w:trPr/>
        <w:tc>
          <w:tcPr>
            <w:tcW w:w="1254"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both"/>
              <w:rPr/>
            </w:pPr>
            <w:r>
              <w:rPr/>
              <w:t> </w:t>
            </w:r>
          </w:p>
        </w:tc>
      </w:tr>
      <w:tr>
        <w:trPr/>
        <w:tc>
          <w:tcPr>
            <w:tcW w:w="125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 respect of any Component:</w:t>
            </w:r>
          </w:p>
        </w:tc>
        <w:tc>
          <w:tcPr>
            <w:tcW w:w="8951"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8"/>
        <w:gridCol w:w="8707"/>
      </w:tblGrid>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Method of Adjustment:</w:t>
            </w:r>
          </w:p>
        </w:tc>
        <w:tc>
          <w:tcPr>
            <w:tcW w:w="87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Calculation Agent Adjustment. For the avoidance of doubt, Calculation Agent Adjustment shall continue to apply until the obligations of the parties (including any obligations of Counterparty pursuant to Section 8(f) below) under the Transaction have been satisfied in full.</w:t>
            </w:r>
          </w:p>
        </w:tc>
      </w:tr>
      <w:tr>
        <w:trPr/>
        <w:tc>
          <w:tcPr>
            <w:tcW w:w="1498"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283"/>
              <w:jc w:val="both"/>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Extraordinary Dividend:</w:t>
            </w:r>
          </w:p>
        </w:tc>
        <w:tc>
          <w:tcPr>
            <w:tcW w:w="87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regular dividend period of Counterparty, any dividend or distribution on the Shares with an ex-dividend date occurring during such regular dividend period (other than any dividend or distribution of the type described in Section 11.2(e)(i) or Section 11.2(e)(ii)(A) of the Equity Definitions) (a “</w:t>
            </w:r>
            <w:r>
              <w:rPr>
                <w:rFonts w:ascii="Times New Roman;Times;Serif" w:hAnsi="Times New Roman;Times;Serif"/>
                <w:b/>
                <w:sz w:val="20"/>
              </w:rPr>
              <w:t>Dividend</w:t>
            </w:r>
            <w:r>
              <w:rPr>
                <w:rFonts w:ascii="Times New Roman;Times;Serif" w:hAnsi="Times New Roman;Times;Serif"/>
                <w:sz w:val="20"/>
              </w:rPr>
              <w:t>”) the amount or value of which (as determined by the Calculation Agent), when aggregated with the amount or value (as determined by the Calculation Agent) of any and all previous Dividends with ex-dividend dates occurring in the same regular dividend period, exceeds the Ordinary Dividend Amount.</w:t>
            </w:r>
          </w:p>
        </w:tc>
      </w:tr>
      <w:tr>
        <w:trPr/>
        <w:tc>
          <w:tcPr>
            <w:tcW w:w="1498"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283"/>
              <w:jc w:val="both"/>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Dividend Amount:</w:t>
            </w:r>
          </w:p>
        </w:tc>
        <w:tc>
          <w:tcPr>
            <w:tcW w:w="87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first Dividend on the Shares for which the ex-dividend date occurs during any regular quarterly dividend period of Counterparty, USD 0.31, and for any other Dividend on the Shares for which the ex-dividend date occurs during the same regular quarterly dividend period, USD 0.00.</w:t>
            </w:r>
          </w:p>
        </w:tc>
      </w:tr>
      <w:tr>
        <w:trPr/>
        <w:tc>
          <w:tcPr>
            <w:tcW w:w="1498"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283"/>
              <w:jc w:val="both"/>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Extraordinary Events:</w:t>
            </w:r>
          </w:p>
        </w:tc>
        <w:tc>
          <w:tcPr>
            <w:tcW w:w="8707" w:type="dxa"/>
            <w:tcBorders/>
            <w:vAlign w:val="center"/>
          </w:tcPr>
          <w:p>
            <w:pPr>
              <w:pStyle w:val="TableContents"/>
              <w:bidi w:val="0"/>
              <w:spacing w:before="0" w:after="283"/>
              <w:jc w:val="both"/>
              <w:rPr/>
            </w:pPr>
            <w:r>
              <w:rPr/>
              <w:t> </w:t>
            </w:r>
          </w:p>
        </w:tc>
      </w:tr>
      <w:tr>
        <w:trPr/>
        <w:tc>
          <w:tcPr>
            <w:tcW w:w="1498"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283"/>
              <w:jc w:val="both"/>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Shares:</w:t>
            </w:r>
          </w:p>
        </w:tc>
        <w:tc>
          <w:tcPr>
            <w:tcW w:w="87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definition of New Shares in Section 12.1(i) of the Equity Definitions, the text in clause (i) thereof shall be deleted in its entirety and replaced with “publicly quoted, traded or listed on any of The New York Stock Exchange, The NASDAQ Global Market or The NASDAQ Global Select Market (or their respective successors) and of an entity or person that is a corporation organized under the laws of the United States, any State thereof or the District of Columbia”.</w:t>
            </w:r>
          </w:p>
        </w:tc>
      </w:tr>
      <w:tr>
        <w:trPr/>
        <w:tc>
          <w:tcPr>
            <w:tcW w:w="1498"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283"/>
              <w:jc w:val="both"/>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Event:</w:t>
            </w:r>
          </w:p>
        </w:tc>
        <w:tc>
          <w:tcPr>
            <w:tcW w:w="8707" w:type="dxa"/>
            <w:tcBorders/>
            <w:vAlign w:val="center"/>
          </w:tcPr>
          <w:p>
            <w:pPr>
              <w:pStyle w:val="TableContents"/>
              <w:bidi w:val="0"/>
              <w:spacing w:before="0" w:after="283"/>
              <w:jc w:val="both"/>
              <w:rPr/>
            </w:pPr>
            <w:r>
              <w:rPr>
                <w:rFonts w:ascii="Times New Roman;Times;Serif" w:hAnsi="Times New Roman;Times;Serif"/>
                <w:sz w:val="20"/>
              </w:rPr>
              <w:t xml:space="preserve">Applicable; </w:t>
            </w:r>
            <w:r>
              <w:rPr>
                <w:rFonts w:ascii="Times New Roman;Times;Serif" w:hAnsi="Times New Roman;Times;Serif"/>
                <w:i/>
                <w:sz w:val="20"/>
              </w:rPr>
              <w:t>provided</w:t>
            </w:r>
            <w:r>
              <w:rPr>
                <w:rFonts w:ascii="Times New Roman;Times;Serif" w:hAnsi="Times New Roman;Times;Serif"/>
                <w:sz w:val="20"/>
              </w:rPr>
              <w:t xml:space="preserve"> that if an event occurs that constitutes both a Merger Event under Section 12.1(b) of the Equity Definitions and an Additional Termination Event under Section 8(k)(iv) of this Confirmation, Dealer may elect, in its sole discretion, whether the provisions of Section 12.2 of the Equity Definitions or Section </w:t>
            </w:r>
            <w:r>
              <w:rPr/>
              <w:t>8(k)(iv) will apply.</w:t>
            </w:r>
          </w:p>
        </w:tc>
      </w:tr>
      <w:tr>
        <w:trPr/>
        <w:tc>
          <w:tcPr>
            <w:tcW w:w="1498"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283"/>
              <w:jc w:val="both"/>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Consequences of Merger Events:</w:t>
            </w:r>
          </w:p>
        </w:tc>
        <w:tc>
          <w:tcPr>
            <w:tcW w:w="8707" w:type="dxa"/>
            <w:tcBorders/>
            <w:vAlign w:val="center"/>
          </w:tcPr>
          <w:p>
            <w:pPr>
              <w:pStyle w:val="TableContents"/>
              <w:bidi w:val="0"/>
              <w:spacing w:before="0" w:after="283"/>
              <w:jc w:val="both"/>
              <w:rPr/>
            </w:pPr>
            <w:r>
              <w:rPr/>
              <w:t> </w:t>
            </w:r>
          </w:p>
        </w:tc>
      </w:tr>
      <w:tr>
        <w:trPr/>
        <w:tc>
          <w:tcPr>
            <w:tcW w:w="1498"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283"/>
              <w:jc w:val="both"/>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tab/>
              <w:t>Share-for-Share:</w:t>
            </w:r>
          </w:p>
        </w:tc>
        <w:tc>
          <w:tcPr>
            <w:tcW w:w="87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Modified Calculation Agent Adjustment</w:t>
            </w:r>
          </w:p>
        </w:tc>
      </w:tr>
      <w:tr>
        <w:trPr/>
        <w:tc>
          <w:tcPr>
            <w:tcW w:w="1498"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283"/>
              <w:jc w:val="both"/>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tab/>
              <w:t>Share-for-Other:</w:t>
            </w:r>
          </w:p>
        </w:tc>
        <w:tc>
          <w:tcPr>
            <w:tcW w:w="87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Cancellation and Payment (Calculation Agent Determination); </w:t>
            </w:r>
            <w:r>
              <w:rPr>
                <w:rFonts w:ascii="Times New Roman;Times;Serif" w:hAnsi="Times New Roman;Times;Serif"/>
                <w:i/>
                <w:sz w:val="20"/>
              </w:rPr>
              <w:t xml:space="preserve">provided </w:t>
            </w:r>
            <w:r>
              <w:rPr>
                <w:rFonts w:ascii="Times New Roman;Times;Serif" w:hAnsi="Times New Roman;Times;Serif"/>
                <w:sz w:val="20"/>
              </w:rPr>
              <w:t>that Dealer may elect, in its sole discretion, that Modified Calculation Agent Adjustment shall apply for all or part of the Transaction.</w:t>
            </w:r>
          </w:p>
        </w:tc>
      </w:tr>
    </w:tbl>
    <w:p>
      <w:pPr>
        <w:pStyle w:val="TextBody"/>
        <w:bidi w:val="0"/>
        <w:spacing w:before="0" w:after="0"/>
        <w:ind w:left="4320" w:right="0" w:hanging="32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4320" w:right="0" w:hanging="32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2"/>
        <w:gridCol w:w="8393"/>
      </w:tblGrid>
      <w:tr>
        <w:trPr/>
        <w:tc>
          <w:tcPr>
            <w:tcW w:w="1812" w:type="dxa"/>
            <w:tcBorders/>
            <w:vAlign w:val="center"/>
          </w:tcPr>
          <w:p>
            <w:pPr>
              <w:pStyle w:val="TableContents"/>
              <w:bidi w:val="0"/>
              <w:spacing w:before="0" w:after="283"/>
              <w:ind w:left="0" w:right="0" w:hanging="360"/>
              <w:jc w:val="left"/>
              <w:rPr>
                <w:rFonts w:ascii="Times New Roman;Times;Serif" w:hAnsi="Times New Roman;Times;Serif"/>
                <w:sz w:val="20"/>
              </w:rPr>
            </w:pPr>
            <w:r>
              <w:rPr>
                <w:rFonts w:ascii="Times New Roman;Times;Serif" w:hAnsi="Times New Roman;Times;Serif"/>
                <w:sz w:val="20"/>
              </w:rPr>
              <w:t>(c)</w:t>
              <w:tab/>
              <w:t>Share-for-Combined:</w:t>
            </w:r>
          </w:p>
        </w:tc>
        <w:tc>
          <w:tcPr>
            <w:tcW w:w="83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Cancellation and Payment (Calculation Agent Determination); </w:t>
            </w:r>
            <w:r>
              <w:rPr>
                <w:rFonts w:ascii="Times New Roman;Times;Serif" w:hAnsi="Times New Roman;Times;Serif"/>
                <w:i/>
                <w:sz w:val="20"/>
              </w:rPr>
              <w:t>provided</w:t>
            </w:r>
            <w:r>
              <w:rPr>
                <w:rFonts w:ascii="Times New Roman;Times;Serif" w:hAnsi="Times New Roman;Times;Serif"/>
                <w:sz w:val="20"/>
              </w:rPr>
              <w:t xml:space="preserve"> that Dealer may elect, in its sole discretion, that Modified Calculation Agent Adjustment or Component Adjustment shall apply for all or part of the Transaction.</w:t>
            </w:r>
          </w:p>
        </w:tc>
      </w:tr>
      <w:tr>
        <w:trPr/>
        <w:tc>
          <w:tcPr>
            <w:tcW w:w="1812" w:type="dxa"/>
            <w:tcBorders/>
            <w:vAlign w:val="center"/>
          </w:tcPr>
          <w:p>
            <w:pPr>
              <w:pStyle w:val="TableContents"/>
              <w:bidi w:val="0"/>
              <w:spacing w:before="0" w:after="283"/>
              <w:jc w:val="left"/>
              <w:rPr/>
            </w:pPr>
            <w:r>
              <w:rPr/>
              <w:t> </w:t>
            </w:r>
          </w:p>
        </w:tc>
        <w:tc>
          <w:tcPr>
            <w:tcW w:w="8393" w:type="dxa"/>
            <w:tcBorders/>
            <w:vAlign w:val="center"/>
          </w:tcPr>
          <w:p>
            <w:pPr>
              <w:pStyle w:val="TableContents"/>
              <w:bidi w:val="0"/>
              <w:spacing w:before="0" w:after="283"/>
              <w:jc w:val="both"/>
              <w:rPr/>
            </w:pPr>
            <w:r>
              <w:rPr/>
              <w:t> </w:t>
            </w:r>
          </w:p>
        </w:tc>
      </w:tr>
      <w:tr>
        <w:trPr/>
        <w:tc>
          <w:tcPr>
            <w:tcW w:w="1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Tender Offer:</w:t>
            </w:r>
          </w:p>
        </w:tc>
        <w:tc>
          <w:tcPr>
            <w:tcW w:w="8393" w:type="dxa"/>
            <w:tcBorders/>
            <w:vAlign w:val="center"/>
          </w:tcPr>
          <w:p>
            <w:pPr>
              <w:pStyle w:val="TableContents"/>
              <w:bidi w:val="0"/>
              <w:spacing w:before="0" w:after="283"/>
              <w:jc w:val="both"/>
              <w:rPr/>
            </w:pPr>
            <w:r>
              <w:rPr>
                <w:rFonts w:ascii="Times New Roman;Times;Serif" w:hAnsi="Times New Roman;Times;Serif"/>
                <w:sz w:val="20"/>
              </w:rPr>
              <w:t>Applicable;</w:t>
            </w:r>
            <w:r>
              <w:rPr/>
              <w:t xml:space="preserve"> </w:t>
            </w:r>
            <w:r>
              <w:rPr>
                <w:i/>
              </w:rPr>
              <w:t>provided</w:t>
            </w:r>
            <w:r>
              <w:rPr/>
              <w:t xml:space="preserve"> that if an event occurs that constitutes both a Tender Offer under Section 12.1(d) of the Equity Definitions and an Additional Termination Event under Section 8(k)(iii) of this Confirmation, Dealer may elect, in its sole discretion, whether the provisions of Section 12.3 of the Equity Definitions or Section 8(k)(iii) will apply.</w:t>
            </w:r>
          </w:p>
        </w:tc>
      </w:tr>
      <w:tr>
        <w:trPr/>
        <w:tc>
          <w:tcPr>
            <w:tcW w:w="1812" w:type="dxa"/>
            <w:tcBorders/>
            <w:vAlign w:val="center"/>
          </w:tcPr>
          <w:p>
            <w:pPr>
              <w:pStyle w:val="TableContents"/>
              <w:bidi w:val="0"/>
              <w:spacing w:before="0" w:after="283"/>
              <w:jc w:val="left"/>
              <w:rPr/>
            </w:pPr>
            <w:r>
              <w:rPr/>
              <w:t> </w:t>
            </w:r>
          </w:p>
        </w:tc>
        <w:tc>
          <w:tcPr>
            <w:tcW w:w="8393" w:type="dxa"/>
            <w:tcBorders/>
            <w:vAlign w:val="center"/>
          </w:tcPr>
          <w:p>
            <w:pPr>
              <w:pStyle w:val="TableContents"/>
              <w:bidi w:val="0"/>
              <w:spacing w:before="0" w:after="283"/>
              <w:jc w:val="both"/>
              <w:rPr/>
            </w:pPr>
            <w:r>
              <w:rPr/>
              <w:t> </w:t>
            </w:r>
          </w:p>
        </w:tc>
      </w:tr>
      <w:tr>
        <w:trPr/>
        <w:tc>
          <w:tcPr>
            <w:tcW w:w="1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Consequences of Tender Offers:</w:t>
            </w:r>
          </w:p>
        </w:tc>
        <w:tc>
          <w:tcPr>
            <w:tcW w:w="8393" w:type="dxa"/>
            <w:tcBorders/>
            <w:vAlign w:val="center"/>
          </w:tcPr>
          <w:p>
            <w:pPr>
              <w:pStyle w:val="TableContents"/>
              <w:bidi w:val="0"/>
              <w:spacing w:before="0" w:after="283"/>
              <w:jc w:val="both"/>
              <w:rPr/>
            </w:pPr>
            <w:r>
              <w:rPr/>
              <w:t> </w:t>
            </w:r>
          </w:p>
        </w:tc>
      </w:tr>
      <w:tr>
        <w:trPr/>
        <w:tc>
          <w:tcPr>
            <w:tcW w:w="1812" w:type="dxa"/>
            <w:tcBorders/>
            <w:vAlign w:val="center"/>
          </w:tcPr>
          <w:p>
            <w:pPr>
              <w:pStyle w:val="TableContents"/>
              <w:bidi w:val="0"/>
              <w:spacing w:before="0" w:after="283"/>
              <w:jc w:val="left"/>
              <w:rPr/>
            </w:pPr>
            <w:r>
              <w:rPr/>
              <w:t> </w:t>
            </w:r>
          </w:p>
        </w:tc>
        <w:tc>
          <w:tcPr>
            <w:tcW w:w="8393" w:type="dxa"/>
            <w:tcBorders/>
            <w:vAlign w:val="center"/>
          </w:tcPr>
          <w:p>
            <w:pPr>
              <w:pStyle w:val="TableContents"/>
              <w:bidi w:val="0"/>
              <w:spacing w:before="0" w:after="283"/>
              <w:ind w:left="0" w:right="0" w:hanging="360"/>
              <w:jc w:val="both"/>
              <w:rPr/>
            </w:pPr>
            <w:r>
              <w:rPr/>
              <w:t> </w:t>
            </w:r>
          </w:p>
        </w:tc>
      </w:tr>
      <w:tr>
        <w:trPr/>
        <w:tc>
          <w:tcPr>
            <w:tcW w:w="1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tab/>
              <w:t>Share-for-Share:</w:t>
            </w:r>
          </w:p>
        </w:tc>
        <w:tc>
          <w:tcPr>
            <w:tcW w:w="83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Modified Calculation Agent Adjustment</w:t>
            </w:r>
          </w:p>
        </w:tc>
      </w:tr>
      <w:tr>
        <w:trPr/>
        <w:tc>
          <w:tcPr>
            <w:tcW w:w="1812" w:type="dxa"/>
            <w:tcBorders/>
            <w:vAlign w:val="center"/>
          </w:tcPr>
          <w:p>
            <w:pPr>
              <w:pStyle w:val="TableContents"/>
              <w:bidi w:val="0"/>
              <w:spacing w:before="0" w:after="283"/>
              <w:jc w:val="left"/>
              <w:rPr/>
            </w:pPr>
            <w:r>
              <w:rPr/>
              <w:t> </w:t>
            </w:r>
          </w:p>
        </w:tc>
        <w:tc>
          <w:tcPr>
            <w:tcW w:w="8393" w:type="dxa"/>
            <w:tcBorders/>
            <w:vAlign w:val="center"/>
          </w:tcPr>
          <w:p>
            <w:pPr>
              <w:pStyle w:val="TableContents"/>
              <w:bidi w:val="0"/>
              <w:spacing w:before="0" w:after="283"/>
              <w:ind w:left="0" w:right="0" w:hanging="360"/>
              <w:jc w:val="both"/>
              <w:rPr/>
            </w:pPr>
            <w:r>
              <w:rPr/>
              <w:t> </w:t>
            </w:r>
          </w:p>
        </w:tc>
      </w:tr>
      <w:tr>
        <w:trPr/>
        <w:tc>
          <w:tcPr>
            <w:tcW w:w="1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tab/>
              <w:t>Share-for-Other:</w:t>
            </w:r>
          </w:p>
        </w:tc>
        <w:tc>
          <w:tcPr>
            <w:tcW w:w="83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Modified Calculation Agent Adjustment</w:t>
            </w:r>
          </w:p>
        </w:tc>
      </w:tr>
      <w:tr>
        <w:trPr/>
        <w:tc>
          <w:tcPr>
            <w:tcW w:w="1812" w:type="dxa"/>
            <w:tcBorders/>
            <w:vAlign w:val="center"/>
          </w:tcPr>
          <w:p>
            <w:pPr>
              <w:pStyle w:val="TableContents"/>
              <w:bidi w:val="0"/>
              <w:spacing w:before="0" w:after="283"/>
              <w:jc w:val="left"/>
              <w:rPr/>
            </w:pPr>
            <w:r>
              <w:rPr/>
              <w:t> </w:t>
            </w:r>
          </w:p>
        </w:tc>
        <w:tc>
          <w:tcPr>
            <w:tcW w:w="8393" w:type="dxa"/>
            <w:tcBorders/>
            <w:vAlign w:val="center"/>
          </w:tcPr>
          <w:p>
            <w:pPr>
              <w:pStyle w:val="TableContents"/>
              <w:bidi w:val="0"/>
              <w:spacing w:before="0" w:after="283"/>
              <w:ind w:left="0" w:right="0" w:hanging="360"/>
              <w:jc w:val="both"/>
              <w:rPr/>
            </w:pPr>
            <w:r>
              <w:rPr/>
              <w:t> </w:t>
            </w:r>
          </w:p>
        </w:tc>
      </w:tr>
      <w:tr>
        <w:trPr/>
        <w:tc>
          <w:tcPr>
            <w:tcW w:w="1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tab/>
              <w:t>Share-for-Combined:</w:t>
            </w:r>
          </w:p>
        </w:tc>
        <w:tc>
          <w:tcPr>
            <w:tcW w:w="83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Modified Calculation Agent Adjustment</w:t>
            </w:r>
          </w:p>
        </w:tc>
      </w:tr>
      <w:tr>
        <w:trPr/>
        <w:tc>
          <w:tcPr>
            <w:tcW w:w="1812" w:type="dxa"/>
            <w:tcBorders/>
            <w:vAlign w:val="center"/>
          </w:tcPr>
          <w:p>
            <w:pPr>
              <w:pStyle w:val="TableContents"/>
              <w:bidi w:val="0"/>
              <w:spacing w:before="0" w:after="283"/>
              <w:jc w:val="left"/>
              <w:rPr/>
            </w:pPr>
            <w:r>
              <w:rPr/>
              <w:t> </w:t>
            </w:r>
          </w:p>
        </w:tc>
        <w:tc>
          <w:tcPr>
            <w:tcW w:w="8393" w:type="dxa"/>
            <w:tcBorders/>
            <w:vAlign w:val="center"/>
          </w:tcPr>
          <w:p>
            <w:pPr>
              <w:pStyle w:val="TableContents"/>
              <w:bidi w:val="0"/>
              <w:spacing w:before="0" w:after="283"/>
              <w:jc w:val="both"/>
              <w:rPr/>
            </w:pPr>
            <w:r>
              <w:rPr/>
              <w:t> </w:t>
            </w:r>
          </w:p>
        </w:tc>
      </w:tr>
      <w:tr>
        <w:trPr/>
        <w:tc>
          <w:tcPr>
            <w:tcW w:w="1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Consequences of Announcement Events:</w:t>
            </w:r>
          </w:p>
        </w:tc>
        <w:tc>
          <w:tcPr>
            <w:tcW w:w="83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Modified Calculation Agent Adjustment as set forth in Section 12.3(d) of the Equity Definitions; </w:t>
            </w:r>
            <w:r>
              <w:rPr>
                <w:rFonts w:ascii="Times New Roman;Times;Serif" w:hAnsi="Times New Roman;Times;Serif"/>
                <w:i/>
                <w:sz w:val="20"/>
              </w:rPr>
              <w:t>provided</w:t>
            </w:r>
            <w:r>
              <w:rPr>
                <w:rFonts w:ascii="Times New Roman;Times;Serif" w:hAnsi="Times New Roman;Times;Serif"/>
                <w:sz w:val="20"/>
              </w:rPr>
              <w:t xml:space="preserve"> that, in respect of an Announcement Event, (x) references to “Tender Offer” shall be replaced by references to “Announcement Event” and references to “Tender Offer Date” shall be replaced by references to “date of such Announcement Event”, (y) the word “shall” in the second line shall be replaced with “may”, and (z) for the avoidance of doubt, the Calculation Agent may determine whether the relevant Announcement Event has had an economic effect on any Component (and, if so, adjust the terms of such Component accordingly) on one or more occasions on or after the date of the Announcement Event up to, and including, the Expiration Date, any Early Termination Date and/or any other date of cancellation thereof, it being understood that any adjustment in respect of an Announcement Event shall take into account any earlier adjustment relating to the same Announcement Event. An Announcement Event shall be an “Extraordinary Event” for purposes of the Equity Definitions, to which Article 12 of the Equity Definitions is applicable.</w:t>
            </w:r>
          </w:p>
        </w:tc>
      </w:tr>
      <w:tr>
        <w:trPr/>
        <w:tc>
          <w:tcPr>
            <w:tcW w:w="1812" w:type="dxa"/>
            <w:tcBorders/>
            <w:vAlign w:val="center"/>
          </w:tcPr>
          <w:p>
            <w:pPr>
              <w:pStyle w:val="TableContents"/>
              <w:bidi w:val="0"/>
              <w:spacing w:before="0" w:after="283"/>
              <w:jc w:val="left"/>
              <w:rPr/>
            </w:pPr>
            <w:r>
              <w:rPr/>
              <w:t> </w:t>
            </w:r>
          </w:p>
        </w:tc>
        <w:tc>
          <w:tcPr>
            <w:tcW w:w="8393" w:type="dxa"/>
            <w:tcBorders/>
            <w:vAlign w:val="center"/>
          </w:tcPr>
          <w:p>
            <w:pPr>
              <w:pStyle w:val="TableContents"/>
              <w:bidi w:val="0"/>
              <w:spacing w:before="0" w:after="283"/>
              <w:jc w:val="both"/>
              <w:rPr/>
            </w:pPr>
            <w:r>
              <w:rPr/>
              <w:t> </w:t>
            </w:r>
          </w:p>
        </w:tc>
      </w:tr>
      <w:tr>
        <w:trPr/>
        <w:tc>
          <w:tcPr>
            <w:tcW w:w="1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Event:</w:t>
            </w:r>
          </w:p>
        </w:tc>
        <w:tc>
          <w:tcPr>
            <w:tcW w:w="83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The public announcement by any entity of (x) any transaction or event that, if completed, would constitute a Merger Event or Tender Offer, (y) any potential acquisition or disposition by Issuer and/or its subsidiaries where the aggregate consideration paid and/or delivered exceeds 15% of the market capitalization of Issuer as of the date of such announcement (an “</w:t>
            </w:r>
            <w:r>
              <w:rPr>
                <w:rFonts w:ascii="Times New Roman;Times;Serif" w:hAnsi="Times New Roman;Times;Serif"/>
                <w:b/>
                <w:sz w:val="20"/>
              </w:rPr>
              <w:t>Transformative Transaction</w:t>
            </w:r>
            <w:r>
              <w:rPr>
                <w:rFonts w:ascii="Times New Roman;Times;Serif" w:hAnsi="Times New Roman;Times;Serif"/>
                <w:sz w:val="20"/>
              </w:rPr>
              <w:t>”) or (z) the intention to enter into a Merger Event or Tender Offer or an Transformative Transaction, (ii) the public announcement by Issuer of an intention to solicit or enter into, or to explore strategic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5"/>
        <w:gridCol w:w="9070"/>
      </w:tblGrid>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alternatives or other similar undertaking that may include, a Merger Event or Tender Offer or an Transformative Transaction or (iii) any subsequent public announcement by any entity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the remainder of the definition of “Merger Event” in Section 12.1(b) of the Equity Definitions following the definition of “Reverse Merger” therein shall be disregarded.</w:t>
            </w:r>
          </w:p>
        </w:tc>
      </w:tr>
      <w:tr>
        <w:trPr/>
        <w:tc>
          <w:tcPr>
            <w:tcW w:w="1135" w:type="dxa"/>
            <w:tcBorders/>
            <w:vAlign w:val="center"/>
          </w:tcPr>
          <w:p>
            <w:pPr>
              <w:pStyle w:val="TableContents"/>
              <w:bidi w:val="0"/>
              <w:spacing w:before="0" w:after="283"/>
              <w:jc w:val="left"/>
              <w:rPr/>
            </w:pPr>
            <w:r>
              <w:rPr/>
              <w:t> </w:t>
            </w:r>
          </w:p>
        </w:tc>
        <w:tc>
          <w:tcPr>
            <w:tcW w:w="9070" w:type="dxa"/>
            <w:tcBorders/>
            <w:vAlign w:val="center"/>
          </w:tcPr>
          <w:p>
            <w:pPr>
              <w:pStyle w:val="TableContents"/>
              <w:bidi w:val="0"/>
              <w:spacing w:before="0" w:after="283"/>
              <w:jc w:val="both"/>
              <w:rPr/>
            </w:pPr>
            <w:r>
              <w:rPr/>
              <w:t> </w:t>
            </w:r>
          </w:p>
        </w:tc>
      </w:tr>
      <w:tr>
        <w:trPr/>
        <w:tc>
          <w:tcPr>
            <w:tcW w:w="1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Modified Calculation Agent Adjustment:</w:t>
            </w:r>
          </w:p>
        </w:tc>
        <w:tc>
          <w:tcPr>
            <w:tcW w:w="9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in respect of a Merger Event, the Counterparty under the Transaction following such Merger Event will not be the issuer of the New Shares, the Dealer may elect (in its sole discretion) for Cancellation and Payment (Calculation Agent Determination) to apply. In addition, if, in respect of any Merger Event to which Modified Calculation Agent Adjustment applies, the adjustments to be made in accordance with Section 12.2(e)(i) of the Equity Definitions would result in Counterparty being different from the issuer of the Shares, then with respect to such Merger Event, as a condition precedent to the adjustments contemplated in Section 12.2(e)(i) of the Equity Definitions, Counterparty and the issuer of the Shares shall, prior to the Merger Date, have entered into such documentation containing representations, warranties and agreements relating to securities law and other issues as requested by Dealer that Dealer has determined, in its reasonable discretion, to be reasonably necessary or appropriate to allow Dealer to continue as a party to the Transaction, as adjusted under Section 12.2(e)(i) of the Equity Definitions, and to preserve its hedging or hedge unwind activities in connection with the Transaction in a manner compliant with applicable legal, regulatory or self-regulatory requirements, or with related policies and procedures applicable to Dealer (whether or not such requirements or related policies and procedures are imposed by law or have been voluntarily adopted by Dealer), and if such conditions are not met or if the Calculation Agent determines that no adjustment that it could make under Section 12.2(e)(i) of the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4"/>
        <w:gridCol w:w="8621"/>
      </w:tblGrid>
      <w:tr>
        <w:trPr/>
        <w:tc>
          <w:tcPr>
            <w:tcW w:w="1584" w:type="dxa"/>
            <w:tcBorders/>
            <w:vAlign w:val="center"/>
          </w:tcPr>
          <w:p>
            <w:pPr>
              <w:pStyle w:val="TableContents"/>
              <w:bidi w:val="0"/>
              <w:spacing w:before="0" w:after="283"/>
              <w:jc w:val="left"/>
              <w:rPr/>
            </w:pPr>
            <w:r>
              <w:rPr/>
              <w:t> </w:t>
            </w:r>
          </w:p>
        </w:tc>
        <w:tc>
          <w:tcPr>
            <w:tcW w:w="86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 Definitions will produce a commercially reasonable result, then the consequences set forth in Section 12.2(e)(ii) of the Equity Definitions shall apply.</w:t>
            </w:r>
          </w:p>
        </w:tc>
      </w:tr>
      <w:tr>
        <w:trPr/>
        <w:tc>
          <w:tcPr>
            <w:tcW w:w="1584" w:type="dxa"/>
            <w:tcBorders/>
            <w:vAlign w:val="center"/>
          </w:tcPr>
          <w:p>
            <w:pPr>
              <w:pStyle w:val="TableContents"/>
              <w:bidi w:val="0"/>
              <w:spacing w:before="0" w:after="283"/>
              <w:jc w:val="left"/>
              <w:rPr/>
            </w:pPr>
            <w:r>
              <w:rPr/>
              <w:t> </w:t>
            </w:r>
          </w:p>
        </w:tc>
        <w:tc>
          <w:tcPr>
            <w:tcW w:w="8621" w:type="dxa"/>
            <w:tcBorders/>
            <w:vAlign w:val="center"/>
          </w:tcPr>
          <w:p>
            <w:pPr>
              <w:pStyle w:val="TableContents"/>
              <w:bidi w:val="0"/>
              <w:spacing w:before="0" w:after="283"/>
              <w:jc w:val="both"/>
              <w:rPr/>
            </w:pPr>
            <w:r>
              <w:rPr/>
              <w:t> </w:t>
            </w:r>
          </w:p>
        </w:tc>
      </w:tr>
      <w:tr>
        <w:trPr/>
        <w:tc>
          <w:tcPr>
            <w:tcW w:w="1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Composition of Combined Consideration:</w:t>
            </w:r>
          </w:p>
        </w:tc>
        <w:tc>
          <w:tcPr>
            <w:tcW w:w="86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in the Equity Definitions, if the composition of Combined Consideration in respect of any Share-for-Combined Merger Event could be determined by a holder of Shares, Dealer shall determine the composition of such Combined Consideration assumed for purposes of adjustments and deliveries hereunder in its sole discretion.</w:t>
            </w:r>
          </w:p>
        </w:tc>
      </w:tr>
      <w:tr>
        <w:trPr/>
        <w:tc>
          <w:tcPr>
            <w:tcW w:w="1584" w:type="dxa"/>
            <w:tcBorders/>
            <w:vAlign w:val="center"/>
          </w:tcPr>
          <w:p>
            <w:pPr>
              <w:pStyle w:val="TableContents"/>
              <w:bidi w:val="0"/>
              <w:spacing w:before="0" w:after="283"/>
              <w:jc w:val="left"/>
              <w:rPr/>
            </w:pPr>
            <w:r>
              <w:rPr/>
              <w:t> </w:t>
            </w:r>
          </w:p>
        </w:tc>
        <w:tc>
          <w:tcPr>
            <w:tcW w:w="8621" w:type="dxa"/>
            <w:tcBorders/>
            <w:vAlign w:val="center"/>
          </w:tcPr>
          <w:p>
            <w:pPr>
              <w:pStyle w:val="TableContents"/>
              <w:bidi w:val="0"/>
              <w:spacing w:before="0" w:after="283"/>
              <w:jc w:val="both"/>
              <w:rPr/>
            </w:pPr>
            <w:r>
              <w:rPr/>
              <w:t> </w:t>
            </w:r>
          </w:p>
        </w:tc>
      </w:tr>
      <w:tr>
        <w:trPr/>
        <w:tc>
          <w:tcPr>
            <w:tcW w:w="1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Nationalization, Insolvency or Delisting: </w:t>
            </w:r>
          </w:p>
        </w:tc>
        <w:tc>
          <w:tcPr>
            <w:tcW w:w="86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Cancellation and Payment (Calculation Agent Determination); </w:t>
            </w:r>
            <w:r>
              <w:rPr>
                <w:rFonts w:ascii="Times New Roman;Times;Serif" w:hAnsi="Times New Roman;Times;Serif"/>
                <w:i/>
                <w:sz w:val="20"/>
              </w:rPr>
              <w:t>provided</w:t>
            </w:r>
            <w:r>
              <w:rPr>
                <w:rFonts w:ascii="Times New Roman;Times;Serif" w:hAnsi="Times New Roman;Times;Serif"/>
                <w:sz w:val="20"/>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r>
        <w:trPr/>
        <w:tc>
          <w:tcPr>
            <w:tcW w:w="1584" w:type="dxa"/>
            <w:tcBorders/>
            <w:vAlign w:val="center"/>
          </w:tcPr>
          <w:p>
            <w:pPr>
              <w:pStyle w:val="TableContents"/>
              <w:bidi w:val="0"/>
              <w:spacing w:before="0" w:after="283"/>
              <w:jc w:val="left"/>
              <w:rPr/>
            </w:pPr>
            <w:r>
              <w:rPr/>
              <w:t> </w:t>
            </w:r>
          </w:p>
        </w:tc>
        <w:tc>
          <w:tcPr>
            <w:tcW w:w="8621" w:type="dxa"/>
            <w:tcBorders/>
            <w:vAlign w:val="center"/>
          </w:tcPr>
          <w:p>
            <w:pPr>
              <w:pStyle w:val="TableContents"/>
              <w:bidi w:val="0"/>
              <w:spacing w:before="0" w:after="283"/>
              <w:jc w:val="both"/>
              <w:rPr/>
            </w:pPr>
            <w:r>
              <w:rPr/>
              <w:t> </w:t>
            </w:r>
          </w:p>
        </w:tc>
      </w:tr>
      <w:tr>
        <w:trPr/>
        <w:tc>
          <w:tcPr>
            <w:tcW w:w="1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Termination Event(s):</w:t>
            </w:r>
          </w:p>
        </w:tc>
        <w:tc>
          <w:tcPr>
            <w:tcW w:w="86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tc>
      </w:tr>
      <w:tr>
        <w:trPr/>
        <w:tc>
          <w:tcPr>
            <w:tcW w:w="1584" w:type="dxa"/>
            <w:tcBorders/>
            <w:vAlign w:val="center"/>
          </w:tcPr>
          <w:p>
            <w:pPr>
              <w:pStyle w:val="TableContents"/>
              <w:bidi w:val="0"/>
              <w:spacing w:before="0" w:after="283"/>
              <w:jc w:val="left"/>
              <w:rPr/>
            </w:pPr>
            <w:r>
              <w:rPr/>
              <w:t> </w:t>
            </w:r>
          </w:p>
        </w:tc>
        <w:tc>
          <w:tcPr>
            <w:tcW w:w="8621" w:type="dxa"/>
            <w:tcBorders/>
            <w:vAlign w:val="center"/>
          </w:tcPr>
          <w:p>
            <w:pPr>
              <w:pStyle w:val="TableContents"/>
              <w:bidi w:val="0"/>
              <w:spacing w:before="0" w:after="283"/>
              <w:jc w:val="both"/>
              <w:rPr/>
            </w:pPr>
            <w:r>
              <w:rPr/>
              <w:t> </w:t>
            </w:r>
          </w:p>
        </w:tc>
      </w:tr>
      <w:tr>
        <w:trPr/>
        <w:tc>
          <w:tcPr>
            <w:tcW w:w="1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Disruption Events:</w:t>
            </w:r>
          </w:p>
        </w:tc>
        <w:tc>
          <w:tcPr>
            <w:tcW w:w="8621" w:type="dxa"/>
            <w:tcBorders/>
            <w:vAlign w:val="center"/>
          </w:tcPr>
          <w:p>
            <w:pPr>
              <w:pStyle w:val="TableContents"/>
              <w:bidi w:val="0"/>
              <w:spacing w:before="0" w:after="283"/>
              <w:jc w:val="both"/>
              <w:rPr/>
            </w:pPr>
            <w:r>
              <w:rPr/>
              <w:t> </w:t>
            </w:r>
          </w:p>
        </w:tc>
      </w:tr>
      <w:tr>
        <w:trPr/>
        <w:tc>
          <w:tcPr>
            <w:tcW w:w="1584" w:type="dxa"/>
            <w:tcBorders/>
            <w:vAlign w:val="center"/>
          </w:tcPr>
          <w:p>
            <w:pPr>
              <w:pStyle w:val="TableContents"/>
              <w:bidi w:val="0"/>
              <w:spacing w:before="0" w:after="283"/>
              <w:jc w:val="left"/>
              <w:rPr/>
            </w:pPr>
            <w:r>
              <w:rPr/>
              <w:t> </w:t>
            </w:r>
          </w:p>
        </w:tc>
        <w:tc>
          <w:tcPr>
            <w:tcW w:w="8621" w:type="dxa"/>
            <w:tcBorders/>
            <w:vAlign w:val="center"/>
          </w:tcPr>
          <w:p>
            <w:pPr>
              <w:pStyle w:val="TableContents"/>
              <w:bidi w:val="0"/>
              <w:spacing w:before="0" w:after="283"/>
              <w:jc w:val="both"/>
              <w:rPr/>
            </w:pPr>
            <w:r>
              <w:rPr/>
              <w:t> </w:t>
            </w:r>
          </w:p>
        </w:tc>
      </w:tr>
      <w:tr>
        <w:trPr/>
        <w:tc>
          <w:tcPr>
            <w:tcW w:w="1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tab/>
              <w:t>Change in Law:</w:t>
            </w:r>
          </w:p>
        </w:tc>
        <w:tc>
          <w:tcPr>
            <w:tcW w:w="86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Applicable; provided 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 and provided further that Section 12.9(a)(ii) of the Equity Definitions is hereby amended by (i) replacing the parenthetical beginning after the word “regulation” in the second line thereof with the phrase “(including, for the avoidance of doubt and without limitation, (x) any tax law or (y) adoption 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66"/>
        <w:gridCol w:w="9039"/>
      </w:tblGrid>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promulgation of new regulations authorized or mandated by existing statute)” and (ii) adding the words “, or holding, acquiring or disposing of Shares or any Hedge Positions relating to,” after the words “obligations under” in clause (Y) thereof.</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283"/>
              <w:jc w:val="both"/>
              <w:rPr/>
            </w:pPr>
            <w:r>
              <w:rPr/>
              <w:t> </w:t>
            </w:r>
          </w:p>
        </w:tc>
      </w:tr>
      <w:tr>
        <w:trPr/>
        <w:tc>
          <w:tcPr>
            <w:tcW w:w="1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tab/>
              <w:t>Failure to Deliver:</w:t>
            </w:r>
          </w:p>
        </w:tc>
        <w:tc>
          <w:tcPr>
            <w:tcW w:w="9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Applicable</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283"/>
              <w:jc w:val="both"/>
              <w:rPr/>
            </w:pPr>
            <w:r>
              <w:rPr/>
              <w:t> </w:t>
            </w:r>
          </w:p>
        </w:tc>
      </w:tr>
      <w:tr>
        <w:trPr/>
        <w:tc>
          <w:tcPr>
            <w:tcW w:w="1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tab/>
              <w:t>Insolvency Filing:</w:t>
            </w:r>
          </w:p>
        </w:tc>
        <w:tc>
          <w:tcPr>
            <w:tcW w:w="9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283"/>
              <w:jc w:val="both"/>
              <w:rPr/>
            </w:pPr>
            <w:r>
              <w:rPr/>
              <w:t> </w:t>
            </w:r>
          </w:p>
        </w:tc>
      </w:tr>
      <w:tr>
        <w:trPr/>
        <w:tc>
          <w:tcPr>
            <w:tcW w:w="1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tab/>
              <w:t>Hedging Disruption:</w:t>
            </w:r>
          </w:p>
        </w:tc>
        <w:tc>
          <w:tcPr>
            <w:tcW w:w="903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Section 12.9(a)(v) of the Equity Definitions is hereby amended by</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inserting the following words at the end of clause (A) thereof: “in the manner contemplated by the Hedging Party on the Trade Date” and</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inserting the following paragraphs at the end of such Section:</w:t>
            </w:r>
          </w:p>
          <w:p>
            <w:pPr>
              <w:pStyle w:val="TableContents"/>
              <w:bidi w:val="0"/>
              <w:spacing w:before="0" w:after="0"/>
              <w:ind w:left="720" w:right="0" w:hanging="360"/>
              <w:jc w:val="both"/>
              <w:rPr>
                <w:caps w:val="false"/>
                <w:smallCaps w:val="false"/>
              </w:rPr>
            </w:pPr>
            <w:r>
              <w:rPr>
                <w:caps w:val="false"/>
                <w:smallCaps w:val="false"/>
              </w:rPr>
              <w:t> </w:t>
            </w:r>
          </w:p>
          <w:p>
            <w:pPr>
              <w:pStyle w:val="TableContents"/>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Such inability described in clauses (A) or (B) above shall not constitute a “Hedging Disruption” if such inability results from Hedging Party’s creditworthiness.</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p>
            <w:pPr>
              <w:pStyle w:val="TableContents"/>
              <w:bidi w:val="0"/>
              <w:spacing w:before="0" w:after="0"/>
              <w:ind w:left="720" w:right="0" w:hanging="0"/>
              <w:jc w:val="both"/>
              <w:rPr>
                <w:caps w:val="false"/>
                <w:smallCaps w:val="false"/>
              </w:rPr>
            </w:pPr>
            <w:r>
              <w:rPr>
                <w:caps w:val="false"/>
                <w:smallCaps w:val="false"/>
              </w:rPr>
              <w:t> </w:t>
            </w:r>
          </w:p>
          <w:p>
            <w:pPr>
              <w:pStyle w:val="TableContents"/>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Section 12.9(b)(iii) of the Equity Definitions is hereby amended by inserting in the third line thereof, after the words “to terminate the Transaction”, the words “or a portion of the Transaction affected by such Hedging Disruption”.</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283"/>
              <w:jc w:val="both"/>
              <w:rPr/>
            </w:pPr>
            <w:r>
              <w:rPr/>
              <w:t> </w:t>
            </w:r>
          </w:p>
        </w:tc>
      </w:tr>
      <w:tr>
        <w:trPr/>
        <w:tc>
          <w:tcPr>
            <w:tcW w:w="1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tab/>
              <w:t>Increased Cost of Hedging:</w:t>
            </w:r>
          </w:p>
        </w:tc>
        <w:tc>
          <w:tcPr>
            <w:tcW w:w="9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Applicable; </w:t>
            </w:r>
            <w:r>
              <w:rPr>
                <w:rFonts w:ascii="Times New Roman;Times;Serif" w:hAnsi="Times New Roman;Times;Serif"/>
                <w:i/>
                <w:sz w:val="20"/>
              </w:rPr>
              <w:t>provided</w:t>
            </w:r>
            <w:r>
              <w:rPr>
                <w:rFonts w:ascii="Times New Roman;Times;Serif" w:hAnsi="Times New Roman;Times;Serif"/>
                <w:sz w:val="20"/>
              </w:rPr>
              <w:t xml:space="preserve"> that (i) that such increased cost described in Section 12.9(vi) of the Equity Definitions shall not constitute an “Increased Cost of Hedging” if such increased cost results from Hedging Party’s creditworthiness or financial position, and (ii) the following parenthetical shall be inserted immediately following the word “expense” in the third line of Section 12.9(a)(vi) of the Equity Definitions: “(including, for the avoidance of doubt, the incurrence of any stock borrow expense in excess of Hedging Party’s expectation as of the Trade Date, other than to the extent resulting from an Increased Cost of Stock Borrow)”.</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283"/>
              <w:jc w:val="both"/>
              <w:rPr/>
            </w:pPr>
            <w:r>
              <w:rPr/>
              <w:t> </w:t>
            </w:r>
          </w:p>
        </w:tc>
      </w:tr>
      <w:tr>
        <w:trPr/>
        <w:tc>
          <w:tcPr>
            <w:tcW w:w="1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tab/>
              <w:t>Loss of Stock Borrow:</w:t>
            </w:r>
          </w:p>
        </w:tc>
        <w:tc>
          <w:tcPr>
            <w:tcW w:w="90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bl>
    <w:p>
      <w:pPr>
        <w:pStyle w:val="TextBody"/>
        <w:bidi w:val="0"/>
        <w:spacing w:before="0" w:after="0"/>
        <w:ind w:left="4320" w:right="0" w:hanging="32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43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5"/>
        <w:gridCol w:w="834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Maximum Stock Loan Rate:</w:t>
            </w:r>
          </w:p>
        </w:tc>
        <w:tc>
          <w:tcPr>
            <w:tcW w:w="8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2.00 % per annum</w:t>
            </w:r>
          </w:p>
        </w:tc>
      </w:tr>
      <w:tr>
        <w:trPr/>
        <w:tc>
          <w:tcPr>
            <w:tcW w:w="1865"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tab/>
              <w:t>Increased Cost of Stock Borrow:</w:t>
            </w:r>
          </w:p>
        </w:tc>
        <w:tc>
          <w:tcPr>
            <w:tcW w:w="8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865"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Stock Loan Rate:</w:t>
            </w:r>
          </w:p>
        </w:tc>
        <w:tc>
          <w:tcPr>
            <w:tcW w:w="8340" w:type="dxa"/>
            <w:tcBorders/>
            <w:vAlign w:val="center"/>
          </w:tcPr>
          <w:p>
            <w:pPr>
              <w:pStyle w:val="TableContents"/>
              <w:bidi w:val="0"/>
              <w:spacing w:before="0" w:after="283"/>
              <w:jc w:val="both"/>
              <w:rPr/>
            </w:pPr>
            <w:r>
              <w:rPr>
                <w:rFonts w:ascii="Times New Roman;Times;Serif" w:hAnsi="Times New Roman;Times;Serif"/>
                <w:sz w:val="20"/>
              </w:rPr>
              <w:t>Prior to January 16, 2030, 0% per annum, and thereafter, 0.25 % per annum</w:t>
            </w:r>
            <w:r>
              <w:rPr/>
              <w:t>.</w:t>
            </w:r>
          </w:p>
        </w:tc>
      </w:tr>
      <w:tr>
        <w:trPr/>
        <w:tc>
          <w:tcPr>
            <w:tcW w:w="1865"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Hedging Party:</w:t>
            </w:r>
          </w:p>
        </w:tc>
        <w:tc>
          <w:tcPr>
            <w:tcW w:w="8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 for all applicable Additional Disruption Events.</w:t>
            </w:r>
          </w:p>
        </w:tc>
      </w:tr>
      <w:tr>
        <w:trPr/>
        <w:tc>
          <w:tcPr>
            <w:tcW w:w="1865"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Determining Party:</w:t>
            </w:r>
          </w:p>
        </w:tc>
        <w:tc>
          <w:tcPr>
            <w:tcW w:w="8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Dealer for all applicable Additional Disruption Events. </w:t>
            </w:r>
            <w:r>
              <w:rPr>
                <w:rFonts w:ascii="Times New Roman;Times;Serif" w:hAnsi="Times New Roman;Times;Serif"/>
                <w:sz w:val="20"/>
                <w:shd w:fill="FFFFFF" w:val="clear"/>
              </w:rPr>
              <w:t xml:space="preserve">All calculations and determinations by the Determining Party shall be made in good faith and in a commercially reasonable manner. Following any calculation by the Determining Party hereunder, upon written request by Counterparty, the Determining Party will, within five Exchange Business Days immediately following such request, provide to Counterparty a report </w:t>
            </w:r>
            <w:r>
              <w:rPr>
                <w:rFonts w:ascii="Times New Roman;Times;Serif" w:hAnsi="Times New Roman;Times;Serif"/>
                <w:sz w:val="20"/>
              </w:rPr>
              <w:t xml:space="preserve">(in a commonly used file format for the storage and manipulation of financial data) </w:t>
            </w:r>
            <w:r>
              <w:rPr>
                <w:rFonts w:ascii="Times New Roman;Times;Serif" w:hAnsi="Times New Roman;Times;Serif"/>
                <w:sz w:val="20"/>
                <w:shd w:fill="FFFFFF" w:val="clear"/>
              </w:rPr>
              <w:t xml:space="preserve">displaying in reasonable detail the basis for such calculation; </w:t>
            </w:r>
            <w:r>
              <w:rPr>
                <w:rFonts w:ascii="Times New Roman;Times;Serif" w:hAnsi="Times New Roman;Times;Serif"/>
                <w:i/>
                <w:sz w:val="20"/>
                <w:shd w:fill="FFFFFF" w:val="clear"/>
              </w:rPr>
              <w:t>provided, however</w:t>
            </w:r>
            <w:r>
              <w:rPr>
                <w:rFonts w:ascii="Times New Roman;Times;Serif" w:hAnsi="Times New Roman;Times;Serif"/>
                <w:sz w:val="20"/>
                <w:shd w:fill="FFFFFF" w:val="clear"/>
              </w:rPr>
              <w:t>, that in no event will the Determining Party be obligated to share with Counterparty any proprietary or confidential data or information or any proprietary or confidential models used by it.</w:t>
            </w:r>
          </w:p>
        </w:tc>
      </w:tr>
      <w:tr>
        <w:trPr/>
        <w:tc>
          <w:tcPr>
            <w:tcW w:w="1865"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Non-Reliance:</w:t>
            </w:r>
          </w:p>
        </w:tc>
        <w:tc>
          <w:tcPr>
            <w:tcW w:w="8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865"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Agreements and Acknowledgments Regarding Hedging Activities:</w:t>
            </w:r>
          </w:p>
        </w:tc>
        <w:tc>
          <w:tcPr>
            <w:tcW w:w="8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865"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both"/>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Acknowledgments:</w:t>
            </w:r>
          </w:p>
        </w:tc>
        <w:tc>
          <w:tcPr>
            <w:tcW w:w="8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w:t>
            </w:r>
          </w:p>
        </w:tc>
      </w:tr>
      <w:tr>
        <w:trPr/>
        <w:tc>
          <w:tcPr>
            <w:tcW w:w="1865"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ind w:left="0" w:right="0" w:hanging="360"/>
              <w:jc w:val="both"/>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w:t>
            </w:r>
            <w:r>
              <w:rPr>
                <w:rFonts w:ascii="Times New Roman;Times;Serif" w:hAnsi="Times New Roman;Times;Serif"/>
                <w:sz w:val="20"/>
                <w:u w:val="single"/>
              </w:rPr>
              <w:t>Calculation Agent</w:t>
            </w:r>
            <w:r>
              <w:rPr>
                <w:rFonts w:ascii="Times New Roman;Times;Serif" w:hAnsi="Times New Roman;Times;Serif"/>
                <w:sz w:val="20"/>
              </w:rPr>
              <w:t>:</w:t>
            </w:r>
          </w:p>
        </w:tc>
        <w:tc>
          <w:tcPr>
            <w:tcW w:w="8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Dealer; </w:t>
            </w:r>
            <w:r>
              <w:rPr>
                <w:rFonts w:ascii="Times New Roman;Times;Serif" w:hAnsi="Times New Roman;Times;Serif"/>
                <w:i/>
                <w:sz w:val="20"/>
              </w:rPr>
              <w:t>provided that</w:t>
            </w:r>
            <w:r>
              <w:rPr>
                <w:rFonts w:ascii="Times New Roman;Times;Serif" w:hAnsi="Times New Roman;Times;Serif"/>
                <w:sz w:val="20"/>
              </w:rPr>
              <w: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obligations of the Calculation Agent hereunder and such failure continues for five Exchange Business Days following notice to the Calculation Agent by Counterparty of such failure, Counterparty shall have the right to designate a nationally recognize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Calculation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Following any calculation by the Calculation Agent hereunder, upon written request by Counterparty, the Calculation Agent will, within five Exchange Business Days immediately following such request, provide to Counterparty by email to the email address provided by Counterparty in such written request a report (in a commonly used file format for the storage and manipulation of financial data) displaying in reasonable detail the basis for such calculation; </w:t>
            </w:r>
            <w:r>
              <w:rPr>
                <w:rFonts w:ascii="Times New Roman;Times;Serif" w:hAnsi="Times New Roman;Times;Serif"/>
                <w:i/>
                <w:sz w:val="20"/>
              </w:rPr>
              <w:t>provided that</w:t>
            </w:r>
            <w:r>
              <w:rPr>
                <w:rFonts w:ascii="Times New Roman;Times;Serif" w:hAnsi="Times New Roman;Times;Serif"/>
                <w:sz w:val="20"/>
              </w:rPr>
              <w:t xml:space="preserve"> in no event will Dealer be obligated to share with Counterparty any proprietary or confidential data or information or any proprietary or confidential models used by it or any information that is subject to an obligation not to disclose such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Account Details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Payment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Chase Manhattan Bank New York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 Goldman, Sachs &amp; Co.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#930-1-011483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 021-000021</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for delivery of Shares to Dealer: To be provided by Dealer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Payment Instructions: To be provided by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Dealer for the Transaction is: 200 West Street, New York, New York 10282-2198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Counterparty for the Transaction is: Inapplicable, Counterparty is not a Multibranch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For purposes of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Address for notices or communications to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 Suite 150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MN 55347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Kathy Hiebert,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Address for notices or communications to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Goldman Sachs &amp; Co. LLC</w:t>
      </w:r>
    </w:p>
    <w:p>
      <w:pPr>
        <w:pStyle w:val="TextBody"/>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10282-2198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Michael Voris, Equity Capital Markets Telephone: 212-902-4895</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212-256-5738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michael.voris@gs.com 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Jan Debeuckelaer Telephone: 212-934-0893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212-256-5738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jan.debeuckelaer@gs.com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Garrett Cohen Telephone: 212-357-3427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212-256-5738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garrett.cohen@gs.com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email notification to the following address: Eq-derivs-notifications@ny.ibd.gs.com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Warranties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Trade Date and as of the date of any Notice of Share Termination under (and as defined in) Section 8(b)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or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(or any successor issue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302A.673 of the Minnesota Business Corporations Act as an “interested shareholder”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On the Trade Date and the Premium Payment Date (A) the assets of Counterparty at their fair valuation exceed the liabilities of Counterparty, including contingent liabilities, (B) the capital of Counterparty is adequate to conduct the business of Counterparty and (C) Counterparty has the ability to pay its debts and obligations as such debts mature and does not intend to, or does not believe that it will, incur debt beyond its ability to pay as such debts mature.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Counterparty shall not take any action to decrease the number of Available Shares below the Capped Number (each as defined below, but without giving effect to the limitation on adjustments to the Capped Number set forth in the proviso in the first sentence of Section ‎8(f)).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representations and warranties of Counterparty set forth in Section 3 of the Agreement and Section 1 of the Purchase Agreement dated as of the Trade Date between Goldman Sachs &amp; Co. LLC and BMO Capital Markets Corp. as the representatives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of the Initial Purchasers and Counterparty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are true and correct as of the Trade Date and the Effective Date and are hereby deemed to be repeated to Dealer as if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(x) (A) On the Trade Date, the Shares or securities that are convertible into, or exchangeable or exercisable for Shares, are not, and shall not be, subject to a “restricted period,” as such term is defined in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 and (y)(A) during the period starting on the first Expiration Date and ending on the last Expiration Date (the “</w:t>
      </w:r>
      <w:r>
        <w:rPr>
          <w:rFonts w:ascii="Times New Roman;Times;Serif" w:hAnsi="Times New Roman;Times;Serif"/>
          <w:b/>
          <w:i w:val="false"/>
          <w:caps w:val="false"/>
          <w:smallCaps w:val="false"/>
          <w:sz w:val="20"/>
        </w:rPr>
        <w:t>Settlement Period</w:t>
      </w:r>
      <w:r>
        <w:rPr>
          <w:rFonts w:ascii="Times New Roman;Times;Serif" w:hAnsi="Times New Roman;Times;Serif"/>
          <w:b w:val="false"/>
          <w:i w:val="false"/>
          <w:caps w:val="false"/>
          <w:smallCaps w:val="false"/>
          <w:sz w:val="20"/>
        </w:rPr>
        <w:t>”), the Shares or securities that are convertible into, or exchangeable or exercisable for Shares, are not, and shall not be, subject to a “restricted period,” as defined in Regulation M and (B) Counterparty shall not engage in any “distribution,” as such term is defined in Regulation M until the second Exchange Business Day immediately following the Settlement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(x) On the Trade Date, (y) during the Settlement Period and (z) on any other Exercise Date, neither Counterparty nor any “affiliate” or “affiliated purchaser” (each as defined in Rule 10b-18 of the Exchange Act (“</w:t>
      </w:r>
      <w:r>
        <w:rPr>
          <w:rFonts w:ascii="Times New Roman;Times;Serif" w:hAnsi="Times New Roman;Times;Serif"/>
          <w:b/>
          <w:i w:val="false"/>
          <w:caps w:val="false"/>
          <w:smallCaps w:val="false"/>
          <w:sz w:val="20"/>
        </w:rPr>
        <w:t>Rule 10b-18</w:t>
      </w:r>
      <w:r>
        <w:rPr>
          <w:rFonts w:ascii="Times New Roman;Times;Serif" w:hAnsi="Times New Roman;Times;Serif"/>
          <w:b w:val="false"/>
          <w:i w:val="false"/>
          <w:caps w:val="false"/>
          <w:smallCaps w:val="false"/>
          <w:sz w:val="20"/>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Counterparty agrees that it (A) will not during the Settlement Period make, or permit to be made, any public announcement (as defined in Rule 165(f) under the Securities Act) of any Merger Transaction or potential Merger Transaction unless such public announcement is made prior to the opening or after the close of the regular trading session on the Exchange for the Shares; (B) shall promptly (but in any event prior to the next opening of the regular trading session on the Exchange) notify Dealer following any such announcement that such announcement has been made; and (C) shall promptly (but in any event prior to the next opening of the regular trading session on the Exchange) provide Dealer with written notice specifying (i) Counterparty’s average daily Rule 10b-18 Purchases (as defined in Rule 10b-18) during the three full calendar months immediately preceding the announcement date that were not effected through Dealer or its affiliates and (ii) the number of Shares purchased pursuant to the proviso in Rule 10b-18(b)(4) under the Exchange Act for the three full calendar months preceding the announcement date. Such written notice shall be deemed to be a certification by Counterparty to Dealer that such information is true and correct. In addition, Counterparty shall promptly notify Dealer of the earlier to occur of the completion of such transaction and the completion of the vote by target shareholders. “</w:t>
      </w:r>
      <w:r>
        <w:rPr>
          <w:rFonts w:ascii="Times New Roman;Times;Serif" w:hAnsi="Times New Roman;Times;Serif"/>
          <w:b/>
          <w:i w:val="false"/>
          <w:caps w:val="false"/>
          <w:smallCaps w:val="false"/>
          <w:sz w:val="20"/>
        </w:rPr>
        <w:t>Merger Transaction</w:t>
      </w:r>
      <w:r>
        <w:rPr>
          <w:rFonts w:ascii="Times New Roman;Times;Serif" w:hAnsi="Times New Roman;Times;Serif"/>
          <w:b w:val="false"/>
          <w:i w:val="false"/>
          <w:caps w:val="false"/>
          <w:smallCaps w:val="false"/>
          <w:sz w:val="20"/>
        </w:rPr>
        <w:t>” means any merger, acquisition or similar transaction involving a recapitalization as contemplated by Rule 10b-18(a)(13)(iv)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Any issuance of Shares upon exercise or termination of the Transaction has been, and throughout the Transaction will continue to be, duly authorized and, upon issuance, such Shares will be validly issued, fully paid and non-assessable, and the issuance or delivery thereof shall not be subject to any preemptive or similar rights and such Shares shall, upon issuance, be accepted for listing or quotation on the Exchange; (B) a number of Shares of Counterparty equal to the Capped Number have been reserved for issuance upon exercise or termination of the Warrants by all required corporate action of the Counterparty and (C) the Shares issuable upon exercise of the Warrants shall upon issuance be accepted for listing or quotation on the Exchange, subject to notice that the listing of the Shares issuable upon exercise or termination of the Warrants on the Exchange has been approved by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holding (however defined) or having a right to acquire Shares; provided however, that Counterparty makes no representation or warranty regarding any such requirement that is applicable generally to the ownership of equity securities by Dealer or any of its affiliates as a result of it or any such affiliates being financial institutions or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 (C) has total assets of at least $50 million. Counterparty will notify Dealer if the immediately preceding statement contained in this Section 7(a)(xiv) ceases to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26, 2023,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Dealer and Counterparty acknowledges that the offer and sale of the Transaction to it is intended to be exempt from registration under the Securities Act, by virtue of Section 4(a)(2) thereof. Accordingly, Dealer represents and warrants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Dealer and Counterparty agrees and acknowledges that Dealer is a “financial institution” and “financial participant” within the meaning of Sections 101(22) and 101(22A) of Title 11 of the United States Code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xml:space="preserve">”).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Bankruptcy Code, and (B) that Dealer is entitled to the protections afforded by, among other sections, Sections 362(b)(6), 362(b)(27), 362(o), 546(e), 546(j), 548(d)(2), 555 and 561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Counterparty shall deliver to Dealer (i) an incumbency certificate, dated as of the Trade Date, of Counterparty in customary form and (ii) an opinion of counsel, dated as of the Trade Date and reasonably acceptable to Dealer in form and substance, with respect to the matters set forth in Section 3(a) of the Agreement and Sections 7(a)(v), 7(a)(xii) and 7(a)(xv) of this Confirmation and such other matters as Dealer may reasonably request and (iii) evidence that the listing of the Shares issuable upon exercise or termination of the Warrants on the Exchange has been approved by the Exchange, subject only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 is acting as principal and is not a fiduciary or advisor in respect of any such transaction, including any entry, exercise, amendment, unwind or termination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Counterparty represents and warrants that it has received, read and understands the </w:t>
      </w:r>
      <w:r>
        <w:rPr>
          <w:rFonts w:ascii="Times New Roman;Times;Serif" w:hAnsi="Times New Roman;Times;Serif"/>
          <w:b/>
          <w:i w:val="false"/>
          <w:caps w:val="false"/>
          <w:smallCaps w:val="false"/>
          <w:sz w:val="20"/>
        </w:rPr>
        <w:t>OTC Options Risk Disclosure Statement</w:t>
      </w:r>
      <w:r>
        <w:rPr>
          <w:rFonts w:ascii="Times New Roman;Times;Serif" w:hAnsi="Times New Roman;Times;Serif"/>
          <w:b w:val="false"/>
          <w:i w:val="false"/>
          <w:caps w:val="false"/>
          <w:smallCaps w:val="false"/>
          <w:sz w:val="20"/>
        </w:rPr>
        <w:t xml:space="preserve"> and a copy of the most recent disclosure pamphlet prepared by The Options Clearing Corporation entitled “</w:t>
      </w:r>
      <w:r>
        <w:rPr>
          <w:rFonts w:ascii="Times New Roman;Times;Serif" w:hAnsi="Times New Roman;Times;Serif"/>
          <w:b/>
          <w:i w:val="false"/>
          <w:caps w:val="false"/>
          <w:smallCaps w:val="false"/>
          <w:sz w:val="20"/>
        </w:rPr>
        <w:t>Characteristics and Risks of Standardized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 acknowledges and agrees to be bound by the Conduct Rules of the Financial Industry Regulatory Authority, Inc. applicable to transactions in options, and further agrees not to violate the position and exercise limits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Right to Extend</w:t>
      </w:r>
      <w:r>
        <w:rPr>
          <w:rFonts w:ascii="Times New Roman;Times;Serif" w:hAnsi="Times New Roman;Times;Serif"/>
          <w:b w:val="false"/>
          <w:i w:val="false"/>
          <w:caps w:val="false"/>
          <w:smallCaps w:val="false"/>
          <w:sz w:val="20"/>
        </w:rPr>
        <w:t>. Dealer may postpone or add, in whole or in part, any Expiration Date or Settlement Date or any other date of valuation or delivery by Counterparty, with respect to some or all of the relevant Warrants (in which event the Calculation Agent shall make appropriate adjustments to the relevant delivery obligation), if Dealer determines, in its commercially reasonable discretion, that such extension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 and in the case of policies or procedures, so long as such policies and procedures are consistently applied to transactions similar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Alternative Calculations and Payment on Early Termination and on Certain Extraordinary Events</w:t>
      </w:r>
      <w:r>
        <w:rPr>
          <w:rFonts w:ascii="Times New Roman;Times;Serif" w:hAnsi="Times New Roman;Times;Serif"/>
          <w:b w:val="false"/>
          <w:i w:val="false"/>
          <w:caps w:val="false"/>
          <w:smallCaps w:val="false"/>
          <w:sz w:val="20"/>
        </w:rPr>
        <w:t>. If Counterparty shall owe Dealer any amount pursuant to Section 6(d)(ii) of the Agreement (a “</w:t>
      </w:r>
      <w:r>
        <w:rPr>
          <w:rFonts w:ascii="Times New Roman;Times;Serif" w:hAnsi="Times New Roman;Times;Serif"/>
          <w:b/>
          <w:i w:val="false"/>
          <w:caps w:val="false"/>
          <w:smallCaps w:val="false"/>
          <w:sz w:val="20"/>
        </w:rPr>
        <w:t>Payment Obligation</w:t>
      </w:r>
      <w:r>
        <w:rPr>
          <w:rFonts w:ascii="Times New Roman;Times;Serif" w:hAnsi="Times New Roman;Times;Serif"/>
          <w:b w:val="false"/>
          <w:i w:val="false"/>
          <w:caps w:val="false"/>
          <w:smallCaps w:val="false"/>
          <w:sz w:val="20"/>
        </w:rPr>
        <w:t>”), Counterparty shall have the right, in its sole discretion,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Merger Date, Tender Offer Date, Announcement Date, Early Termination Date or date of cancellation or termination in respect of an Extraordinary Event, as applicable (“</w:t>
      </w:r>
      <w:r>
        <w:rPr>
          <w:rFonts w:ascii="Times New Roman;Times;Serif" w:hAnsi="Times New Roman;Times;Serif"/>
          <w:b/>
          <w:i w:val="false"/>
          <w:caps w:val="false"/>
          <w:smallCaps w:val="false"/>
          <w:sz w:val="20"/>
        </w:rPr>
        <w:t>Notice of Share Termination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does not elect to satisfy its Payment Obligation by the Share Termination Alternative, Dealer shall have the right, in its sole discretion, to elect to require Counterparty to satisfy its Payment Obligation by the Share Termination Alternative, notwithstanding Counterparty’s failure to elect or election to the contrary;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which Event of Default, Termination Event or Extraordinary Event resulted from an event or events within Counterparty’s control. Upon such Notice of Share Termination, the following provisions shall apply on the Scheduled Trading Day immediately following the Merger Date, the Tender Offer Date, Announcement Date, Early Termination Date or date of cancellation or termination in respect of an Extraordinary Event, as applicable: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17"/>
        <w:gridCol w:w="8949"/>
        <w:gridCol w:w="39"/>
      </w:tblGrid>
      <w:tr>
        <w:trPr/>
        <w:tc>
          <w:tcPr>
            <w:tcW w:w="1217" w:type="dxa"/>
            <w:tcBorders/>
            <w:vAlign w:val="center"/>
          </w:tcPr>
          <w:p>
            <w:pPr>
              <w:pStyle w:val="TableContents"/>
              <w:bidi w:val="0"/>
              <w:spacing w:before="0" w:after="283"/>
              <w:ind w:left="0" w:right="0" w:hanging="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Termination Alternative:</w:t>
            </w:r>
          </w:p>
        </w:tc>
        <w:tc>
          <w:tcPr>
            <w:tcW w:w="8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means that Counterparty shall deliver to Dealer the Share Termination Delivery Property on the date on which the Payment Obligation would otherwise be due pursuant to Section 6(d)(ii) of the Agreement, or such later date or dates as the Calculation Agent may reasonably determine (the “Share Termination Payment Date”), in satisfaction of the Payment Obligation.</w:t>
            </w:r>
          </w:p>
        </w:tc>
        <w:tc>
          <w:tcPr>
            <w:tcW w:w="39" w:type="dxa"/>
            <w:tcBorders/>
          </w:tcPr>
          <w:p>
            <w:pPr>
              <w:pStyle w:val="TableContents"/>
              <w:bidi w:val="0"/>
              <w:spacing w:before="0" w:after="283"/>
              <w:jc w:val="left"/>
              <w:rPr>
                <w:sz w:val="4"/>
                <w:szCs w:val="4"/>
              </w:rPr>
            </w:pPr>
            <w:r>
              <w:rPr>
                <w:sz w:val="4"/>
                <w:szCs w:val="4"/>
              </w:rPr>
            </w:r>
          </w:p>
        </w:tc>
      </w:tr>
      <w:tr>
        <w:trPr/>
        <w:tc>
          <w:tcPr>
            <w:tcW w:w="1217" w:type="dxa"/>
            <w:tcBorders/>
            <w:vAlign w:val="center"/>
          </w:tcPr>
          <w:p>
            <w:pPr>
              <w:pStyle w:val="TableContents"/>
              <w:bidi w:val="0"/>
              <w:spacing w:before="0" w:after="283"/>
              <w:jc w:val="left"/>
              <w:rPr>
                <w:caps w:val="false"/>
                <w:smallCaps w:val="false"/>
              </w:rPr>
            </w:pPr>
            <w:r>
              <w:rPr>
                <w:caps w:val="false"/>
                <w:smallCaps w:val="false"/>
              </w:rPr>
              <w:t> </w:t>
            </w:r>
          </w:p>
        </w:tc>
        <w:tc>
          <w:tcPr>
            <w:tcW w:w="8949" w:type="dxa"/>
            <w:tcBorders/>
            <w:vAlign w:val="center"/>
          </w:tcPr>
          <w:p>
            <w:pPr>
              <w:pStyle w:val="TableContents"/>
              <w:bidi w:val="0"/>
              <w:spacing w:before="0" w:after="283"/>
              <w:jc w:val="both"/>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217" w:type="dxa"/>
            <w:tcBorders/>
            <w:vAlign w:val="center"/>
          </w:tcPr>
          <w:p>
            <w:pPr>
              <w:pStyle w:val="TableContents"/>
              <w:bidi w:val="0"/>
              <w:spacing w:before="0" w:after="283"/>
              <w:jc w:val="left"/>
              <w:rPr>
                <w:sz w:val="20"/>
              </w:rPr>
            </w:pPr>
            <w:r>
              <w:rPr>
                <w:sz w:val="20"/>
              </w:rPr>
              <w:t>Share Termination Delivery Property:</w:t>
            </w:r>
          </w:p>
        </w:tc>
        <w:tc>
          <w:tcPr>
            <w:tcW w:w="8949" w:type="dxa"/>
            <w:tcBorders/>
            <w:vAlign w:val="center"/>
          </w:tcPr>
          <w:p>
            <w:pPr>
              <w:pStyle w:val="TableContents"/>
              <w:bidi w:val="0"/>
              <w:spacing w:before="0" w:after="283"/>
              <w:jc w:val="both"/>
              <w:rPr>
                <w:sz w:val="20"/>
              </w:rPr>
            </w:pPr>
            <w:r>
              <w:rPr>
                <w:sz w:val="20"/>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in the Settlement Currency equal to the value of such fractional security based on the values used to calculate the Share Termination Unit Price.</w:t>
            </w:r>
          </w:p>
        </w:tc>
        <w:tc>
          <w:tcPr>
            <w:tcW w:w="39" w:type="dxa"/>
            <w:tcBorders/>
            <w:vAlign w:val="center"/>
          </w:tcPr>
          <w:p>
            <w:pPr>
              <w:pStyle w:val="TableContents"/>
              <w:bidi w:val="0"/>
              <w:spacing w:before="0" w:after="283"/>
              <w:jc w:val="left"/>
              <w:rPr>
                <w:sz w:val="4"/>
                <w:szCs w:val="4"/>
              </w:rPr>
            </w:pPr>
            <w:r>
              <w:rPr>
                <w:sz w:val="4"/>
                <w:szCs w:val="4"/>
              </w:rPr>
            </w:r>
          </w:p>
        </w:tc>
      </w:tr>
      <w:tr>
        <w:trPr/>
        <w:tc>
          <w:tcPr>
            <w:tcW w:w="1217" w:type="dxa"/>
            <w:tcBorders/>
            <w:vAlign w:val="center"/>
          </w:tcPr>
          <w:p>
            <w:pPr>
              <w:pStyle w:val="TableContents"/>
              <w:bidi w:val="0"/>
              <w:spacing w:before="0" w:after="283"/>
              <w:jc w:val="left"/>
              <w:rPr>
                <w:caps w:val="false"/>
                <w:smallCaps w:val="false"/>
              </w:rPr>
            </w:pPr>
            <w:r>
              <w:rPr>
                <w:caps w:val="false"/>
                <w:smallCaps w:val="false"/>
              </w:rPr>
              <w:t> </w:t>
            </w:r>
          </w:p>
        </w:tc>
        <w:tc>
          <w:tcPr>
            <w:tcW w:w="8949" w:type="dxa"/>
            <w:tcBorders/>
            <w:vAlign w:val="center"/>
          </w:tcPr>
          <w:p>
            <w:pPr>
              <w:pStyle w:val="TableContents"/>
              <w:bidi w:val="0"/>
              <w:spacing w:before="0" w:after="283"/>
              <w:ind w:left="0" w:right="0" w:hanging="2880"/>
              <w:jc w:val="both"/>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Termination Unit Price:</w:t>
            </w:r>
          </w:p>
        </w:tc>
        <w:tc>
          <w:tcPr>
            <w:tcW w:w="8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property contained in one Share Termination Delivery Unit on the date such Share Termination Delivery Units are to be delivered as Share Termination Delivery Property, as determined by the Calculation Agent and notified by the Calculation Agent to Counterparty at the time of notification of the Payment Obligation.</w:t>
            </w:r>
          </w:p>
        </w:tc>
        <w:tc>
          <w:tcPr>
            <w:tcW w:w="39" w:type="dxa"/>
            <w:tcBorders/>
          </w:tcPr>
          <w:p>
            <w:pPr>
              <w:pStyle w:val="TableContents"/>
              <w:bidi w:val="0"/>
              <w:spacing w:before="0" w:after="283"/>
              <w:jc w:val="left"/>
              <w:rPr>
                <w:sz w:val="4"/>
                <w:szCs w:val="4"/>
              </w:rPr>
            </w:pPr>
            <w:r>
              <w:rPr>
                <w:sz w:val="4"/>
                <w:szCs w:val="4"/>
              </w:rPr>
            </w:r>
          </w:p>
        </w:tc>
      </w:tr>
      <w:tr>
        <w:trPr/>
        <w:tc>
          <w:tcPr>
            <w:tcW w:w="1217" w:type="dxa"/>
            <w:tcBorders/>
            <w:vAlign w:val="center"/>
          </w:tcPr>
          <w:p>
            <w:pPr>
              <w:pStyle w:val="TableContents"/>
              <w:bidi w:val="0"/>
              <w:spacing w:before="0" w:after="283"/>
              <w:jc w:val="left"/>
              <w:rPr>
                <w:caps w:val="false"/>
                <w:smallCaps w:val="false"/>
              </w:rPr>
            </w:pPr>
            <w:r>
              <w:rPr>
                <w:caps w:val="false"/>
                <w:smallCaps w:val="false"/>
              </w:rPr>
              <w:t> </w:t>
            </w:r>
          </w:p>
        </w:tc>
        <w:tc>
          <w:tcPr>
            <w:tcW w:w="8949" w:type="dxa"/>
            <w:tcBorders/>
            <w:vAlign w:val="center"/>
          </w:tcPr>
          <w:p>
            <w:pPr>
              <w:pStyle w:val="TableContents"/>
              <w:bidi w:val="0"/>
              <w:spacing w:before="0" w:after="283"/>
              <w:ind w:left="0" w:right="0" w:hanging="2880"/>
              <w:jc w:val="both"/>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Termination Delivery Unit:</w:t>
            </w:r>
          </w:p>
        </w:tc>
        <w:tc>
          <w:tcPr>
            <w:tcW w:w="8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tc>
        <w:tc>
          <w:tcPr>
            <w:tcW w:w="39" w:type="dxa"/>
            <w:tcBorders/>
          </w:tcPr>
          <w:p>
            <w:pPr>
              <w:pStyle w:val="TableContents"/>
              <w:bidi w:val="0"/>
              <w:spacing w:before="0" w:after="283"/>
              <w:jc w:val="left"/>
              <w:rPr>
                <w:sz w:val="4"/>
                <w:szCs w:val="4"/>
              </w:rPr>
            </w:pPr>
            <w:r>
              <w:rPr>
                <w:sz w:val="4"/>
                <w:szCs w:val="4"/>
              </w:rPr>
            </w:r>
          </w:p>
        </w:tc>
      </w:tr>
      <w:tr>
        <w:trPr/>
        <w:tc>
          <w:tcPr>
            <w:tcW w:w="1217" w:type="dxa"/>
            <w:tcBorders/>
            <w:vAlign w:val="center"/>
          </w:tcPr>
          <w:p>
            <w:pPr>
              <w:pStyle w:val="TableContents"/>
              <w:bidi w:val="0"/>
              <w:spacing w:before="0" w:after="283"/>
              <w:jc w:val="left"/>
              <w:rPr>
                <w:caps w:val="false"/>
                <w:smallCaps w:val="false"/>
              </w:rPr>
            </w:pPr>
            <w:r>
              <w:rPr>
                <w:caps w:val="false"/>
                <w:smallCaps w:val="false"/>
              </w:rPr>
              <w:t> </w:t>
            </w:r>
          </w:p>
        </w:tc>
        <w:tc>
          <w:tcPr>
            <w:tcW w:w="8949" w:type="dxa"/>
            <w:tcBorders/>
            <w:vAlign w:val="center"/>
          </w:tcPr>
          <w:p>
            <w:pPr>
              <w:pStyle w:val="TableContents"/>
              <w:bidi w:val="0"/>
              <w:spacing w:before="0" w:after="283"/>
              <w:ind w:left="0" w:right="0" w:hanging="2880"/>
              <w:jc w:val="both"/>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Deliver:</w:t>
            </w:r>
          </w:p>
        </w:tc>
        <w:tc>
          <w:tcPr>
            <w:tcW w:w="8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39" w:type="dxa"/>
            <w:tcBorders/>
          </w:tcPr>
          <w:p>
            <w:pPr>
              <w:pStyle w:val="TableContents"/>
              <w:bidi w:val="0"/>
              <w:spacing w:before="0" w:after="283"/>
              <w:jc w:val="left"/>
              <w:rPr>
                <w:sz w:val="4"/>
                <w:szCs w:val="4"/>
              </w:rPr>
            </w:pPr>
            <w:r>
              <w:rPr>
                <w:sz w:val="4"/>
                <w:szCs w:val="4"/>
              </w:rPr>
            </w:r>
          </w:p>
        </w:tc>
      </w:tr>
      <w:tr>
        <w:trPr/>
        <w:tc>
          <w:tcPr>
            <w:tcW w:w="1217" w:type="dxa"/>
            <w:tcBorders/>
            <w:vAlign w:val="center"/>
          </w:tcPr>
          <w:p>
            <w:pPr>
              <w:pStyle w:val="TableContents"/>
              <w:bidi w:val="0"/>
              <w:spacing w:before="0" w:after="283"/>
              <w:jc w:val="left"/>
              <w:rPr>
                <w:caps w:val="false"/>
                <w:smallCaps w:val="false"/>
              </w:rPr>
            </w:pPr>
            <w:r>
              <w:rPr>
                <w:caps w:val="false"/>
                <w:smallCaps w:val="false"/>
              </w:rPr>
              <w:t> </w:t>
            </w:r>
          </w:p>
        </w:tc>
        <w:tc>
          <w:tcPr>
            <w:tcW w:w="8949" w:type="dxa"/>
            <w:tcBorders/>
            <w:vAlign w:val="center"/>
          </w:tcPr>
          <w:p>
            <w:pPr>
              <w:pStyle w:val="TableContents"/>
              <w:bidi w:val="0"/>
              <w:spacing w:before="0" w:after="283"/>
              <w:ind w:left="0" w:right="0" w:hanging="2880"/>
              <w:jc w:val="both"/>
              <w:rPr/>
            </w:pPr>
            <w:r>
              <w:rPr/>
              <w:t> </w:t>
            </w:r>
          </w:p>
        </w:tc>
        <w:tc>
          <w:tcPr>
            <w:tcW w:w="39" w:type="dxa"/>
            <w:tcBorders/>
          </w:tcPr>
          <w:p>
            <w:pPr>
              <w:pStyle w:val="TableContents"/>
              <w:bidi w:val="0"/>
              <w:spacing w:before="0" w:after="283"/>
              <w:jc w:val="left"/>
              <w:rPr>
                <w:sz w:val="4"/>
                <w:szCs w:val="4"/>
              </w:rPr>
            </w:pPr>
            <w:r>
              <w:rPr>
                <w:sz w:val="4"/>
                <w:szCs w:val="4"/>
              </w:rPr>
            </w:r>
          </w:p>
        </w:tc>
      </w:tr>
      <w:tr>
        <w:trPr/>
        <w:tc>
          <w:tcPr>
            <w:tcW w:w="1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Applicable Provisions:</w:t>
            </w:r>
          </w:p>
        </w:tc>
        <w:tc>
          <w:tcPr>
            <w:tcW w:w="894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If Share Termination Alternative is applicable, the provisions of Sections 9.1(c), 9.8, 9.9, 9.11 and 9.12 of the Equity Definitions will be applicable as if “Physical Settlement” applied to the Transaction, except that all references to “Shares” shall be read as references to “Share Termination Delivery Units”;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security forming a part thereof). If, in the reasonable opinion of Dealer, based on advice of counsel, for any reason, any securities comprising the Share Termination Delivery Units deliverable pursuant to this Section 8(b) would not be immediately freely transferable by Dealer under Rule 144 under the Securities Act, then Dealer may elect to either (x) permit delivery of such securities notwithstanding any restriction on transfer or </w:t>
            </w:r>
          </w:p>
        </w:tc>
        <w:tc>
          <w:tcPr>
            <w:tcW w:w="39" w:type="dxa"/>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63" w:type="dxa"/>
        <w:jc w:val="left"/>
        <w:tblInd w:w="0" w:type="dxa"/>
        <w:tblLayout w:type="fixed"/>
        <w:tblCellMar>
          <w:top w:w="0" w:type="dxa"/>
          <w:left w:w="0" w:type="dxa"/>
          <w:bottom w:w="0" w:type="dxa"/>
          <w:right w:w="0" w:type="dxa"/>
        </w:tblCellMar>
      </w:tblPr>
      <w:tblGrid>
        <w:gridCol w:w="38"/>
        <w:gridCol w:w="4925"/>
      </w:tblGrid>
      <w:tr>
        <w:trPr/>
        <w:tc>
          <w:tcPr>
            <w:tcW w:w="38" w:type="dxa"/>
            <w:tcBorders/>
            <w:vAlign w:val="center"/>
          </w:tcPr>
          <w:p>
            <w:pPr>
              <w:pStyle w:val="TableContents"/>
              <w:bidi w:val="0"/>
              <w:spacing w:before="0" w:after="283"/>
              <w:ind w:left="0" w:right="0" w:hanging="2880"/>
              <w:jc w:val="left"/>
              <w:rPr>
                <w:sz w:val="4"/>
                <w:szCs w:val="4"/>
              </w:rPr>
            </w:pPr>
            <w:r>
              <w:rPr>
                <w:sz w:val="4"/>
                <w:szCs w:val="4"/>
              </w:rPr>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have the provisions set forth in Section 8(c) below apply.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Registration/Private Placement Procedures</w:t>
      </w:r>
      <w:r>
        <w:rPr>
          <w:rFonts w:ascii="Times New Roman;Times;Serif" w:hAnsi="Times New Roman;Times;Serif"/>
          <w:b w:val="false"/>
          <w:i w:val="false"/>
          <w:caps w:val="false"/>
          <w:smallCaps w:val="false"/>
          <w:sz w:val="20"/>
        </w:rPr>
        <w:t>. (i) With respect to the Transaction, the following provisions shall apply to the extent provided for above opposite the caption “Net Share Settlement” in Section 2 or in paragraph (b) of this Section 8. If so applicable, then, at the election of Counterparty by notice to Dealer within one Exchange Business Day after the relevant delivery obligation arises, but in any event at least one Exchange Business Day prior to the date on which such delivery obligation is due, either (A) all Shares or Share Termination Delivery Units, as the case may be, delivered by Counterparty to Dealer shall be, at the time of such delivery, covered by an effective registration statement of Counterparty for immediate resale by Dealer (such registration statement and the corresponding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(including, without limitation, any sections describing the plan of distribution) in form and content commercially reasonably satisfactory to Dealer) or (B) Counterparty shall deliver additional Shares or Share Termination Delivery Units, as the case may be, so that the value of such Shares or Share Termination Delivery Units, as determined by the Calculation Agent to reflect a commercially reasonable liquidity discount, equals the value of the number of Shares or Share Termination Delivery Units that would otherwise be deliverable if such Shares or Share Termination Delivery Units were freely tradeable (without prospectus delivery) upon receipt by Dealer (such value, the “</w:t>
      </w:r>
      <w:r>
        <w:rPr>
          <w:rFonts w:ascii="Times New Roman;Times;Serif" w:hAnsi="Times New Roman;Times;Serif"/>
          <w:b/>
          <w:i w:val="false"/>
          <w:caps w:val="false"/>
          <w:smallCaps w:val="false"/>
          <w:sz w:val="20"/>
        </w:rPr>
        <w:t>Freely Tradeable Value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requested by Dealer, Counterparty shall make the election described in this clause (B) with respect to Shares delivered on all Settlement Dates no later than one Exchange Business Day prior to the first Exercise Date, and the applicable procedures described below shall apply to all Shares delivered on the Settlement Dates on an aggregate basis. (For the avoidance of doubt, as used in this paragraph (c) only, the term “Counterparty” shall mean the issuer of the relevant securities, as the context shall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shall be a condition to Counterparty’s right to make the election described in clause (c)(i)(A)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an affiliate of Dealer designated by Dealer) shall be afforded a reasonable opportunity to conduct a due diligence investigation with respect to Counterparty that is customary in scope for underwritten offerings of equity securities and that yields results that are satisfactory to Dealer or such affiliate, as the case may be, in its discretion;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Dealer (or an affiliate of Dealer designated by Dealer) and Counterparty shall enter into an agreement (a “</w:t>
      </w:r>
      <w:r>
        <w:rPr>
          <w:rFonts w:ascii="Times New Roman;Times;Serif" w:hAnsi="Times New Roman;Times;Serif"/>
          <w:b/>
          <w:i w:val="false"/>
          <w:caps w:val="false"/>
          <w:smallCaps w:val="false"/>
          <w:sz w:val="20"/>
        </w:rPr>
        <w:t>Registration Agreement</w:t>
      </w:r>
      <w:r>
        <w:rPr>
          <w:rFonts w:ascii="Times New Roman;Times;Serif" w:hAnsi="Times New Roman;Times;Serif"/>
          <w:b w:val="false"/>
          <w:i w:val="false"/>
          <w:caps w:val="false"/>
          <w:smallCaps w:val="false"/>
          <w:sz w:val="20"/>
        </w:rPr>
        <w:t>”) on commercially reasonable terms in connection with the public resale of such Shares or Share Termination Delivery Units, as the case may be, by Dealer or such affiliate substantially similar to underwriting agreements customary for underwritten offerings of equity securities, in form and substance commercially reasonably satisfactory to Dealer or such affiliate and Counterparty, which Registration Agreement shall include, without limitation, provisions substantially similar to those contained in such underwriting agreements relating to the indemnification of, and contribution in connection with the liability of, Dealer and its affiliates and Counterparty, shall provide for the payment by Counterparty of all expenses in connection with such resale, including all registration costs and all fees and expenses of counsel for Dealer, and shall provide for the delivery of accountants’ “comfort letters” to Dealer or such affiliate with respect to the financial statements and certain financial information contained in or incorporated by reference into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Counterparty makes the election described in clause (c)(i)(B)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an affiliate of Dealer designated by Dealer) and any potential institutional purchaser of any such Shares or Share Termination Delivery Units, as the case may be, from Dealer or such affiliate identified by Dealer shall be afforded a commercially reasonable opportunity to conduct a due diligence investigation in compliance with applicable law with respect to Counterparty customary in scope for private placements of equity securities (including, without limitation, the right to have made available to them for inspection all financial and other records, pertinent corporate documents and other information reasonably requested by them), subject to execution by such recipients of customary confidentiality agreements reasonably acceptable to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Dealer (or an affiliate of Dealer designated by Dealer) and Counterparty shall enter into an agreement (a “</w:t>
      </w:r>
      <w:r>
        <w:rPr>
          <w:rFonts w:ascii="Times New Roman;Times;Serif" w:hAnsi="Times New Roman;Times;Serif"/>
          <w:b/>
          <w:i w:val="false"/>
          <w:caps w:val="false"/>
          <w:smallCaps w:val="false"/>
          <w:sz w:val="20"/>
        </w:rPr>
        <w:t>Private Placement Agreement</w:t>
      </w:r>
      <w:r>
        <w:rPr>
          <w:rFonts w:ascii="Times New Roman;Times;Serif" w:hAnsi="Times New Roman;Times;Serif"/>
          <w:b w:val="false"/>
          <w:i w:val="false"/>
          <w:caps w:val="false"/>
          <w:smallCaps w:val="false"/>
          <w:sz w:val="20"/>
        </w:rPr>
        <w:t>”) on commercially reasonable terms in connection with the private placement of such Shares or Share Termination Delivery Units, as the case may be, by Counterparty to Dealer or such affiliate and the private resale of such shares by Dealer or such affiliate, substantially similar to private placement purchase agreements customary for private placements of equity securities, in form and substance commercially reasonably satisfactory to Dealer and Counterparty,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Counterparty, shall provide for the payment by Counterparty of all expenses in connection with such resale, including all fees and expenses of counsel for Dealer, shall contain representations, warranties and agreements of Counterparty reasonably necessary or advisable to establish and maintain the availability of an exemption from the registration requirements of the Securities Act for such resales, and shall use best efforts to provide for the delivery of accountants’ “comfort letters” to Dealer or such affiliate with respect to the financial statements and certain financial information contained in or incorporated by reference into the offering memorandum prepared for the resale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Counterparty agrees that (i) any Shares or Share Termination Delivery Units so delivered to Dealer may be transferred by and among Dealer and its affiliates, and Counterparty shall effect such transfer without any further action by Dealer and (ii) after the minimum “holding period” within the meaning of Rule 144(d) under the Securities Act has elapsed with respect to such Shares or any securities issued by Counterparty comprising such Share Termination Delivery Units, Counterparty shall promptly remove, or cause the transfer agent for such Shares or securities to remove, any legends referring to any such restrictions or requirements from such Shares or securities, without any further requirement for the delivery of any certificate, consent, agreement, opinion of counsel, notice or any other document, any transfer tax stamps or payment of any other amount or any other action by Dealer (or such affiliate of Dealer);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Counterparty shall not take, or cause to be taken, any action that would make unavailable either the exemption pursuant to Section 4(a)(2) of the Securities Act for the sale by Counterparty to Dealer (or any affiliate designated by Dealer) of the Shares or Share Termination Delivery Units, as the case may be, or the exemption pursuant to Section 4(a)(1) or Section 4(a)(3) of the Securities Act for resales of the Shares or Share Termination Delivery Units, as the case may be, by Dealer (or any such affiliate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If Counterparty makes the election described in clause (i)(B) of paragraph (c) of this Section 8, then Dealer or its affiliates may sell (which sale shall be made in a commercially reasonable manner) such Shares or Share Termination Delivery Units, as the case may be, during a period (the “</w:t>
      </w:r>
      <w:r>
        <w:rPr>
          <w:rFonts w:ascii="Times New Roman;Times;Serif" w:hAnsi="Times New Roman;Times;Serif"/>
          <w:b/>
          <w:i w:val="false"/>
          <w:caps w:val="false"/>
          <w:smallCaps w:val="false"/>
          <w:sz w:val="20"/>
        </w:rPr>
        <w:t>Resale Period</w:t>
      </w:r>
      <w:r>
        <w:rPr>
          <w:rFonts w:ascii="Times New Roman;Times;Serif" w:hAnsi="Times New Roman;Times;Serif"/>
          <w:b w:val="false"/>
          <w:i w:val="false"/>
          <w:caps w:val="false"/>
          <w:smallCaps w:val="false"/>
          <w:sz w:val="20"/>
        </w:rPr>
        <w:t>”) commencing on the Exchange Business Day following delivery of such Shares or Share Termination Delivery Units, as the case may be, and ending on the Exchange Business Day on which Dealer or its affiliates completes the sale of a sufficient number of Shares or Share Termination Delivery Units, as the case may be, so that the realized net proceeds of such sales exceed the Freely Tradeable Value. If any of such delivered Shares or Share Termination Delivery Units remain after such realized net proceeds exceed the Freely Tradeable Value, Dealer shall return such remaining Shares or Share Termination Delivery Units to Counterparty. If the Freely Tradeable Value exceeds the realized net proceeds from such resale, Counterparty shall transfer to Dealer by the open of the regular trading session on the Exchange on the Exchange Trading Day immediately following the final day of the Resale Period (without giving effect to any extension thereof pursuant to the immediately succeeding sentence), the amount of such excess (the “</w:t>
      </w:r>
      <w:r>
        <w:rPr>
          <w:rFonts w:ascii="Times New Roman;Times;Serif" w:hAnsi="Times New Roman;Times;Serif"/>
          <w:b/>
          <w:i w:val="false"/>
          <w:caps w:val="false"/>
          <w:smallCaps w:val="false"/>
          <w:sz w:val="20"/>
        </w:rPr>
        <w:t>Additional Amount</w:t>
      </w:r>
      <w:r>
        <w:rPr>
          <w:rFonts w:ascii="Times New Roman;Times;Serif" w:hAnsi="Times New Roman;Times;Serif"/>
          <w:b w:val="false"/>
          <w:i w:val="false"/>
          <w:caps w:val="false"/>
          <w:smallCaps w:val="false"/>
          <w:sz w:val="20"/>
        </w:rPr>
        <w:t>”) in cash or in a number of additional Shares or Share Termination Delivery Units, as the case may be, (“</w:t>
      </w:r>
      <w:r>
        <w:rPr>
          <w:rFonts w:ascii="Times New Roman;Times;Serif" w:hAnsi="Times New Roman;Times;Serif"/>
          <w:b/>
          <w:i w:val="false"/>
          <w:caps w:val="false"/>
          <w:smallCaps w:val="false"/>
          <w:sz w:val="20"/>
        </w:rPr>
        <w:t>Make-whole Shares</w:t>
      </w:r>
      <w:r>
        <w:rPr>
          <w:rFonts w:ascii="Times New Roman;Times;Serif" w:hAnsi="Times New Roman;Times;Serif"/>
          <w:b w:val="false"/>
          <w:i w:val="false"/>
          <w:caps w:val="false"/>
          <w:smallCaps w:val="false"/>
          <w:sz w:val="20"/>
        </w:rPr>
        <w:t>”) in an amount that, based on the Relevant Price on such final day of the Resale Period (as if such day was the “Valuation Date” for purposes of computing such Relevant Price), has a dollar value equal to the Additional Amount. The Resale Period shall continue to enable the sale of the Make-whole Shares in the manner contemplated by this Section 8(d). This provision shall be applied successively until the Additional Amount is equal to zero, subject to Section 8(f).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Beneficial Ownership</w:t>
      </w:r>
      <w:r>
        <w:rPr>
          <w:rFonts w:ascii="Times New Roman;Times;Serif" w:hAnsi="Times New Roman;Times;Serif"/>
          <w:b w:val="false"/>
          <w:i w:val="false"/>
          <w:caps w:val="false"/>
          <w:smallCaps w:val="false"/>
          <w:sz w:val="20"/>
        </w:rPr>
        <w:t>. Notwithstanding anything to the contrary in the Agreement or this Confirmation, in no event shall Dealer be entitled to receive, or shall be deemed to receive, any Shares if, immediately upon giving effect to such receipt of such Shares (and after taking into account any Shares deliverable by Counterparty to Dealer at such time under any transaction or security other than the Transaction), (i) the “beneficial ownership” (within the meaning of Section 13 of the Exchange Act and the rules promulgated thereunder) of Shares by Dealer, any of its affiliates subject to aggregation with Dealer for purposes of the “beneficial ownership” test under Section 13 of the Exchange Act and all persons who may form a “group” (within the meaning of Rule 13d-5(b)(1) under the Exchange Act) with Dealer with respect to “beneficial ownership” of any Shares (collectively, “</w:t>
      </w:r>
      <w:r>
        <w:rPr>
          <w:rFonts w:ascii="Times New Roman;Times;Serif" w:hAnsi="Times New Roman;Times;Serif"/>
          <w:b/>
          <w:i w:val="false"/>
          <w:caps w:val="false"/>
          <w:smallCaps w:val="false"/>
          <w:sz w:val="20"/>
        </w:rPr>
        <w:t>Dealer Group</w:t>
      </w:r>
      <w:r>
        <w:rPr>
          <w:rFonts w:ascii="Times New Roman;Times;Serif" w:hAnsi="Times New Roman;Times;Serif"/>
          <w:b w:val="false"/>
          <w:i w:val="false"/>
          <w:caps w:val="false"/>
          <w:smallCaps w:val="false"/>
          <w:sz w:val="20"/>
        </w:rPr>
        <w:t>”) (or, to the extent that for any reason the equivalent calculation under Section 16 of the Exchange Act and the rules and regulations thereunder results in a higher number, such higher number) would be equal to or greater than 8.0% or more of the outstanding Shares on the date of determination or (ii) Dealer, Dealer Group or any person whose ownership position would be aggregated with that of Dealer or Dealer Group (Dealer, Dealer Group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the Minnesota Business Corporations or other federal, state or local law, rule, regulation or regulatory order or organizational documents or contracts of Counterparty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xml:space="preserve">”), would own, beneficially own, constructively own, control, hold the power to vote or otherwise meet a relevant definition of ownership in excess of a number of Shares equal to (x) the number of Shares that would give rise to reporting or registration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1.0% of the number of Shares outstanding on the date of determination (either such condition described in clause (i) or (ii), an “</w:t>
      </w:r>
      <w:r>
        <w:rPr>
          <w:rFonts w:ascii="Times New Roman;Times;Serif" w:hAnsi="Times New Roman;Times;Serif"/>
          <w:b/>
          <w:i w:val="false"/>
          <w:caps w:val="false"/>
          <w:smallCaps w:val="false"/>
          <w:sz w:val="20"/>
        </w:rPr>
        <w:t>Excess Ownership Position</w:t>
      </w:r>
      <w:r>
        <w:rPr>
          <w:rFonts w:ascii="Times New Roman;Times;Serif" w:hAnsi="Times New Roman;Times;Serif"/>
          <w:b w:val="false"/>
          <w:i w:val="false"/>
          <w:caps w:val="false"/>
          <w:smallCaps w:val="false"/>
          <w:sz w:val="20"/>
        </w:rPr>
        <w:t>”). If any delivery owed to Dealer hereunder is not made, in whole or in part, as a result of this provision, Counterparty’s obligation to make such delivery shall not be extinguished and Counterparty shall make such delivery as promptly as practicable after, but in no event later than one Exchange Business Day after, Dealer gives notice to Counterparty that such delivery would not result in the existence of an Excess Ownership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Limitations on Settlement by Counterparty</w:t>
      </w:r>
      <w:r>
        <w:rPr>
          <w:rFonts w:ascii="Times New Roman;Times;Serif" w:hAnsi="Times New Roman;Times;Serif"/>
          <w:b w:val="false"/>
          <w:i w:val="false"/>
          <w:caps w:val="false"/>
          <w:smallCaps w:val="false"/>
          <w:sz w:val="20"/>
        </w:rPr>
        <w:t xml:space="preserve">. Notwithstanding anything herein or in the Agreement to the contrary (except as set forth in this Section 8(f)), in no event shall Counterparty be required to deliver Shares in connection with the Transaction in excess of 3,411,720 Shares, as such number may be adjusted from time to time in accordance with the provisions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adjustment shall cause the Capped Number to exceed the Available Shares (as in effect from time to time), other than as a result of actions of Counterparty or events within Counterparty’s control (the “</w:t>
      </w:r>
      <w:r>
        <w:rPr>
          <w:rFonts w:ascii="Times New Roman;Times;Serif" w:hAnsi="Times New Roman;Times;Serif"/>
          <w:b/>
          <w:i w:val="false"/>
          <w:caps w:val="false"/>
          <w:smallCaps w:val="false"/>
          <w:sz w:val="20"/>
        </w:rPr>
        <w:t>Capped Number</w:t>
      </w:r>
      <w:r>
        <w:rPr>
          <w:rFonts w:ascii="Times New Roman;Times;Serif" w:hAnsi="Times New Roman;Times;Serif"/>
          <w:b w:val="false"/>
          <w:i w:val="false"/>
          <w:caps w:val="false"/>
          <w:smallCaps w:val="false"/>
          <w:sz w:val="20"/>
        </w:rPr>
        <w:t>”). Notwithstanding anything to the contrary in the Agreement or the Equity Definitions, such limitation shall not affect the calculation of any Payment Obligation (as defined in Section ‎8(b)), it being understood that if the Share Termination Alternative applies pursuant to Section 8(b), the number of Shares deliverable pursuant to such Section shall not exceed the Capped Number. Counterparty represents and warrants to Dealer (which representation and warranty shall be deemed to be repeated on each day that the Transaction is outstanding) that the Capped Number is equal to or less than the number of authorized but unissued Shares of the Counterparty that are not reserved for future issuance in connection with transactions in the Shares (other than the Transaction) on the date of the determination of the Capped Number (such Shares, the “</w:t>
      </w:r>
      <w:r>
        <w:rPr>
          <w:rFonts w:ascii="Times New Roman;Times;Serif" w:hAnsi="Times New Roman;Times;Serif"/>
          <w:b/>
          <w:i w:val="false"/>
          <w:caps w:val="false"/>
          <w:smallCaps w:val="false"/>
          <w:sz w:val="20"/>
        </w:rPr>
        <w:t>Available Shares</w:t>
      </w:r>
      <w:r>
        <w:rPr>
          <w:rFonts w:ascii="Times New Roman;Times;Serif" w:hAnsi="Times New Roman;Times;Serif"/>
          <w:b w:val="false"/>
          <w:i w:val="false"/>
          <w:caps w:val="false"/>
          <w:smallCaps w:val="false"/>
          <w:sz w:val="20"/>
        </w:rPr>
        <w:t>”). In the event Counterparty shall not have delivered the full number of Shares otherwise deliverable as a result of this Section 8(f) (the resulting deficit, the “</w:t>
      </w:r>
      <w:r>
        <w:rPr>
          <w:rFonts w:ascii="Times New Roman;Times;Serif" w:hAnsi="Times New Roman;Times;Serif"/>
          <w:b/>
          <w:i w:val="false"/>
          <w:caps w:val="false"/>
          <w:smallCaps w:val="false"/>
          <w:sz w:val="20"/>
        </w:rPr>
        <w:t>Deficit Shares</w:t>
      </w:r>
      <w:r>
        <w:rPr>
          <w:rFonts w:ascii="Times New Roman;Times;Serif" w:hAnsi="Times New Roman;Times;Serif"/>
          <w:b w:val="false"/>
          <w:i w:val="false"/>
          <w:caps w:val="false"/>
          <w:smallCaps w:val="false"/>
          <w:sz w:val="20"/>
        </w:rPr>
        <w:t>”), Counterparty shall be continually obligated to deliver Shares, from time to time until the full number of Deficit Shares have been delivered pursuant to this paragraph, when, and to the extent, that (A) Shares are repurchased, acquired or otherwise received by Counterparty or any of its subsidiaries after the Trade Date (whether or not in exchange for cash, fair value or any other consideration), (B) authorized and unissued Shares previously reserved for issuance in respect of other transactions become no longer so reserved or (C) Counterparty additionally authorizes any unissued Shares that are not reserved for other transactions (such events as set forth in clauses (A), (B) and (C) above, collectively, the “</w:t>
      </w:r>
      <w:r>
        <w:rPr>
          <w:rFonts w:ascii="Times New Roman;Times;Serif" w:hAnsi="Times New Roman;Times;Serif"/>
          <w:b/>
          <w:i w:val="false"/>
          <w:caps w:val="false"/>
          <w:smallCaps w:val="false"/>
          <w:sz w:val="20"/>
        </w:rPr>
        <w:t>Share Issuance Events</w:t>
      </w:r>
      <w:r>
        <w:rPr>
          <w:rFonts w:ascii="Times New Roman;Times;Serif" w:hAnsi="Times New Roman;Times;Serif"/>
          <w:b w:val="false"/>
          <w:i w:val="false"/>
          <w:caps w:val="false"/>
          <w:smallCaps w:val="false"/>
          <w:sz w:val="20"/>
        </w:rPr>
        <w:t xml:space="preserve">”). In the event that there are any Deficit Shares or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in the first sentence of this Section 8(f) has prevented any adjustment to the Capped Number, (i) Counterparty shall promptly notify Dealer of the occurrence of any of the Share Issuance Events (including the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Shares subject to clause (A), (B) or (C) and the corresponding number of Shares to be delivered) and, as promptly as reasonably practicable, deliver such Shares thereafter, (ii) Counterparty shall use its best efforts to cause Share Issuance Events to the extent necessary to deliver the full number of Deficit Shares or cause the Capped Number to equal the Capped Number that would be in effect but for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set forth in the first sentence of this Section 8(f), as the case may be, and (iii) Counterparty shall not, until Counterparty’s obligations under the Transaction have been satisfied in full, use any Shares that become available for potential delivery to Dealer as a result of any Share Issuance Event for the settlement or satisfaction of any transaction or obligation other than the Transaction or any other warrant transaction between Counterparty and Dealer or reserve any such Shares for future issuance for any purpose other than to satisfy Counterparty’s obligations to Dealer under the Transaction or any other warrant transaction between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Equity Rights</w:t>
      </w:r>
      <w:r>
        <w:rPr>
          <w:rFonts w:ascii="Times New Roman;Times;Serif" w:hAnsi="Times New Roman;Times;Serif"/>
          <w:b w:val="false"/>
          <w:i w:val="false"/>
          <w:caps w:val="false"/>
          <w:smallCaps w:val="false"/>
          <w:sz w:val="20"/>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Amendments to Equity Definitions</w:t>
      </w:r>
      <w:r>
        <w:rPr>
          <w:rFonts w:ascii="Times New Roman;Times;Serif" w:hAnsi="Times New Roman;Times;Serif"/>
          <w:b w:val="false"/>
          <w:i w:val="false"/>
          <w:caps w:val="false"/>
          <w:smallCaps w:val="false"/>
          <w:sz w:val="20"/>
        </w:rPr>
        <w:t>. The following amendments shall be made to the Equity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first sentence of Section 11.2(c) of the Equity Definitions, prior to clause (A) thereof, is hereby amended to read as follows: ‘(c)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an effect on the theoretical value of the relevant Shares or options on the Shares and, if so, will (i) make appropriate adjustment(s), if any, to any one or more of:’ and, the portion of such sentence immediately preceding clause (ii) thereof is hereby amended by deleting the words “diluting or concentrative” and the words “(provided that no adjustments will be made to account solely for changes in volatility, expected dividends, stock loan rate or liquidity relative to the relevant Shares)” and replacing such latter phrase with the words “(and, for the avoidance of doubt, adjustments may be made to account solely for changes in volatility, expected dividends, stock loan rate or liquidity relative to the relevant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Sections 11.2(a) and 11.2(e)(vii) of the Equity Definitions are hereby amended by deleting the words “a diluting or concentrative” and, in the case of Section 11.2(e)(vii), replacing them with “an economic” and, in each case, adding the phrase “or options on the Shares” at the end of the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Section 12.7(b) of the Equity Definitions is hereby amended by deleting the words “(and in any event within five Exchange Business Days) by the parties after” appearing after the words “agreed promptly” and replacing with the words “by the parties on or prior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Section 12.9(b)(iv) of the Equity Definitions is hereby amended by (A) deleting (1) subsection (A) in its entirety, (2) the phrase “or (B)” following subsection (A) and (3) the phrase “in each case” in subsection (B); (B) replacing “will lend” with “lends” in subsection (B); and (C) deleting the phrase “neither the Non-Hedging Party nor the Lending Party lends Shares in the amount of the Hedging Shares or” in the penultimate sentence; “</w:t>
      </w:r>
      <w:r>
        <w:rPr>
          <w:rFonts w:ascii="Times New Roman;Times;Serif" w:hAnsi="Times New Roman;Times;Serif"/>
          <w:b/>
          <w:i w:val="false"/>
          <w:caps w:val="false"/>
          <w:smallCaps w:val="false"/>
          <w:sz w:val="20"/>
        </w:rPr>
        <w:t>Lending Party</w:t>
      </w:r>
      <w:r>
        <w:rPr>
          <w:rFonts w:ascii="Times New Roman;Times;Serif" w:hAnsi="Times New Roman;Times;Serif"/>
          <w:b w:val="false"/>
          <w:i w:val="false"/>
          <w:caps w:val="false"/>
          <w:smallCaps w:val="false"/>
          <w:sz w:val="20"/>
        </w:rPr>
        <w:t>” means a third party that is not the Counterparty or an affiliate of the Counterparty that Dealer considers to be an acceptable counterparty (acting in good faith and in a reasonable manner in light of (x) other transactions that Dealer (or its agent or affiliate) may have entered into with such party and (y) any legal, regulatory or self-regulatory requirements or related policies and procedures (whether or not such requirements or related policies and procedures are imposed by law or have been voluntarily adopted by Dealer) that apply generally to transactions of a nature and kind similar to the transactions contemplated with such party);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Section 12.9(b)(v) of the Equity Definitions is hereby amended by (A) adding the word “or” immediately before subsection “(B)” and deleting the comma at the end of subsection (A); and (B)(1) deleting subsection (C) in its entirety, (2) deleting the word “or” immediately preceding subsection (C), (3) replacing in the penultimate sentence the words “either party” with “the Hedging Party” and (4) deleting clause (X) in the final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Transfer and Assignment</w:t>
      </w:r>
      <w:r>
        <w:rPr>
          <w:rFonts w:ascii="Times New Roman;Times;Serif" w:hAnsi="Times New Roman;Times;Serif"/>
          <w:b w:val="false"/>
          <w:i w:val="false"/>
          <w:caps w:val="false"/>
          <w:smallCaps w:val="false"/>
          <w:sz w:val="20"/>
        </w:rPr>
        <w:t>. Dealer may transfer or assign its rights and obligations hereunder and under the Agreement, in whole or in part, at any time without the consent of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Additional Termination Events</w:t>
      </w:r>
      <w:r>
        <w:rPr>
          <w:rFonts w:ascii="Times New Roman;Times;Serif" w:hAnsi="Times New Roman;Times;Serif"/>
          <w:b w:val="false"/>
          <w:i w:val="false"/>
          <w:caps w:val="false"/>
          <w:smallCaps w:val="false"/>
          <w:sz w:val="20"/>
        </w:rPr>
        <w:t xml:space="preserve">. The occurrence of any of the following shall constitute an Additional Termination Event with respect to which the Transaction shall be the sole Affected Transaction and Counterparty shall be the sole Affected Party and Dealer shall be the party entitled to designate an Early Termination Date pursuant to Section 6(b) of the Agreement and to determine the amount payable pursuant to Section 6(e) of the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Additional Termination Event, Dealer may choose to treat part of the Transaction as the sole Affected Transaction, and, upon the termination of the Affected Transaction, a Transaction with terms identical to those set forth herein except with a Number of Warrants equal to the unaffected number of Warrants shall be treated for all purposes as the Transaction, which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Dealer reasonably determines that it is advisable to terminate a portion of the Transaction so that Dealer’s related commercially reasonable hedging activities will comply with applicable securities laws, rules or regulations or related policies and procedures of Dealer (whether or not such requirements, policies or procedures are imposed by law or have been voluntarily adopted by Dealer), or Dealer, despite using commercially reasonable efforts, is unable or reasonably determines that it is impractical or illegal to hedge its obligations pursuant to this Transaction in the public market without registration under the Securities Act or as a result of any legal, regulatory or self-regulatory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any time at which any Excess Ownership Position occurs, Dealer, in its discretion, is unable to effect a transfer or assignment to a third party of the Transaction or any other transaction between the parties after using its commercially reasonable efforts on pricing and terms and within a time period reasonably acceptable to Dealer such that an Excess Ownership Position no longer exists;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Dealer shall treat only that portion of the Transaction as the Affected Transaction as necessary so that such Excess Ownership Position would no longer exist following the resulting partial termination of the Transaction (after taking into account commercially reasonable adjustments to Dealer’s commercially reasonable Hedge Positions from such partial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“person” or “group” (within the meaning of Section 13(d) of the Exchange Act), other than Counterparty or its wholly-owned subsidiaries, becomes the direct or indirect ultimate “beneficial owner,” as defined in Rule 13d-3 under the Exchange Act, of the common equity of Counterparty representing more than 50.0% of the voting power of such common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(1) any sale, lease or other transfer, in one transaction or a series of transactions, of all or substantially all of the assets of Counterparty and its subsidiaries, taken as a whole, to any person; or (2) any transaction or series of related transactions in connection with which (whether by means of merger, consolidation, share exchange, combination, reclassification, recapitalization, acquisition, liquidation or otherwise) all of the Shares are exchanged for, converted into, acquired for, or constitutes solely the right to receive, other securities, cash or other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any transaction or event set forth in the immediately preceding clause (iv) shall not constitute an Additional Termination Event if at least 90% of the consideration received or to be received by holders of the Shares (excluding cash payments for fractional Shares or pursuant to dissenters rights) in connection with the transaction or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would otherwise constitute an Additional Termination Event pursuant to clause (iv) of this Section 8(k) consists of shares of common stock listed on any of The New York Stock Exchange, The NASDAQ Global Select Market or The NASDAQ Global Market (or any of their respective successors) or that will be so listed when issued or exchanged in connection with such transaction or transactions, and following such transaction or transactions, the Shares will consist of such consideration, excluding cash payments for fractional shares. For the avoidance of doubt, an event that is not considered an Additional Termination Event pursuant to the immediately preceding sentence shall not be an Additional Termination Event solely because such event could also be described by clause (iii)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holders of Shares approve any plan or proposal for Counterparty’s liquidation or dissolution (other than in a transaction described in (iv)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Early Unwind</w:t>
      </w:r>
      <w:r>
        <w:rPr>
          <w:rFonts w:ascii="Times New Roman;Times;Serif" w:hAnsi="Times New Roman;Times;Serif"/>
          <w:b w:val="false"/>
          <w:i w:val="false"/>
          <w:caps w:val="false"/>
          <w:smallCaps w:val="false"/>
          <w:sz w:val="20"/>
        </w:rPr>
        <w:t>. In the event the sale by Counterparty of the Firm Securities (defined under the Purchase Agreement) is not consummated pursuant to the Purchase Agreement for any reason by the close of business in New York on January 23, 2023 (or such later date as agreed upon by the parties (January 23, 2023 or such later date being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on the Early Unwind Date and (i) the Transaction and all of the respective rights and obligations of Dealer and Counterparty thereunder shall be cancelled and terminated and (ii) Counterparty shall pay to Dealer an amount in cash equal to the aggregate amount of actual costs and expenses relating to the unwinding of Dealer’s commercially reasonable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No Netting and Set-off</w:t>
      </w:r>
      <w:r>
        <w:rPr>
          <w:rFonts w:ascii="Times New Roman;Times;Serif" w:hAnsi="Times New Roman;Times;Serif"/>
          <w:b w:val="false"/>
          <w:i w:val="false"/>
          <w:caps w:val="false"/>
          <w:smallCaps w:val="false"/>
          <w:sz w:val="20"/>
        </w:rPr>
        <w:t>. 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Delivery of Cash</w:t>
      </w:r>
      <w:r>
        <w:rPr>
          <w:rFonts w:ascii="Times New Roman;Times;Serif" w:hAnsi="Times New Roman;Times;Serif"/>
          <w:b w:val="false"/>
          <w:i w:val="false"/>
          <w:caps w:val="false"/>
          <w:smallCaps w:val="false"/>
          <w:sz w:val="20"/>
        </w:rPr>
        <w:t>. For the avoidance of doubt, nothing in this Confirmation shall be interpreted as requiring the Counterparty to deliver cash in respect of the settlement of the Transaction, except in circumstances where the required cash settlement thereof is permitted for classification of the contract as equity by ASC 815-40, Derivatives and Hedging – Contracts in Entity’s Own Equity, as in effect on the relevant Trade Date (including, without limitation, where the Counterparty so elects to deliver cash or fails timely to elect to deliver Shares or Share Termination Delivery Property in respect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Agreements and Acknowledgements Regarding Hedging</w:t>
      </w:r>
      <w:r>
        <w:rPr>
          <w:rFonts w:ascii="Times New Roman;Times;Serif" w:hAnsi="Times New Roman;Times;Serif"/>
          <w:b w:val="false"/>
          <w:i w:val="false"/>
          <w:caps w:val="false"/>
          <w:smallCaps w:val="false"/>
          <w:sz w:val="20"/>
        </w:rPr>
        <w:t>. Counterparty understands, acknowledges and agrees that: (A) at any time on and 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Counterparty shall be conducted and shall do so in a manner that it deems appropriate to hedge its price and market risk with respect to the VWAP Prices; (D) any market activities of Dealer and its affiliates with respect to Shares may affect the market price and volatility of Shares, as well as the VWAP Prices,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Wall Street Transparency and Accountability Act</w:t>
      </w:r>
      <w:r>
        <w:rPr>
          <w:rFonts w:ascii="Times New Roman;Times;Serif" w:hAnsi="Times New Roman;Times;Serif"/>
          <w:b w:val="false"/>
          <w:i w:val="false"/>
          <w:caps w:val="false"/>
          <w:smallCaps w:val="false"/>
          <w:sz w:val="20"/>
        </w:rPr>
        <w:t>. In connection with Section 739 of the Wall Street Transparency and Accountability Act of 2010 (the “WSTAA”),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This Confirmation and the Agreement may not be modified, amended or supplemented, except in a written instrument signed by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Confirmation may be executed in several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Withholding Tax imposed on payments to non-US counterparties under the United States Foreign Account Tax Compliance Act.</w:t>
      </w:r>
      <w:r>
        <w:rPr>
          <w:rFonts w:ascii="Times New Roman;Times;Serif" w:hAnsi="Times New Roman;Times;Serif"/>
          <w:b w:val="false"/>
          <w:i w:val="false"/>
          <w:caps w:val="false"/>
          <w:smallCaps w:val="false"/>
          <w:sz w:val="20"/>
        </w:rPr>
        <w:t xml:space="preserve"> “Indemnifiable Tax” as defined in Section 14 of the Agreement, 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Times;Serif" w:hAnsi="Times New Roman;Times;Serif"/>
          <w:b/>
          <w:i w:val="false"/>
          <w:caps w:val="false"/>
          <w:smallCaps w:val="false"/>
          <w:sz w:val="20"/>
        </w:rPr>
        <w:t>FATCA Withholding Tax</w:t>
      </w:r>
      <w:r>
        <w:rPr>
          <w:rFonts w:ascii="Times New Roman;Times;Serif" w:hAnsi="Times New Roman;Times;Serif"/>
          <w:b w:val="false"/>
          <w:i w:val="false"/>
          <w:caps w:val="false"/>
          <w:smallCaps w:val="false"/>
          <w:sz w:val="20"/>
        </w:rPr>
        <w:t>”). For the avoidance of doubt, a FATCA Withholding Tax is a Tax the deduction or withholding of which is required by applicable law for the purposes of Section 2(d)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HIRE Act.</w:t>
      </w:r>
      <w:r>
        <w:rPr>
          <w:rFonts w:ascii="Times New Roman;Times;Serif" w:hAnsi="Times New Roman;Times;Serif"/>
          <w:b w:val="false"/>
          <w:i w:val="false"/>
          <w:caps w:val="false"/>
          <w:smallCaps w:val="false"/>
          <w:sz w:val="20"/>
        </w:rPr>
        <w:t xml:space="preserve">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Times;Serif" w:hAnsi="Times New Roman;Times;Serif"/>
          <w:b/>
          <w:i w:val="false"/>
          <w:caps w:val="false"/>
          <w:smallCaps w:val="false"/>
          <w:sz w:val="20"/>
        </w:rPr>
        <w:t>871(m) Protocol</w:t>
      </w:r>
      <w:r>
        <w:rPr>
          <w:rFonts w:ascii="Times New Roman;Times;Serif" w:hAnsi="Times New Roman;Times;Serif"/>
          <w:b w:val="false"/>
          <w:i w:val="false"/>
          <w:caps w:val="false"/>
          <w:smallCaps w:val="false"/>
          <w:sz w:val="20"/>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Agreement” in the 871(m) Protocol will be deemed to be references to the Master Agreement with respect to this Transaction, and references to the “Implementation Date” in the 871(m) Protocol will be deemed to be references to the Trade Date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Tax documentation</w:t>
      </w:r>
      <w:r>
        <w:rPr>
          <w:rFonts w:ascii="Times New Roman;Times;Serif" w:hAnsi="Times New Roman;Times;Serif"/>
          <w:b w:val="false"/>
          <w:i w:val="false"/>
          <w:caps w:val="false"/>
          <w:smallCaps w:val="false"/>
          <w:sz w:val="20"/>
        </w:rPr>
        <w:t>.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W-9, or any successor thereto, (i) on or before the date of execution of this Confirmation, (ii) upon reasonable request of Counterparty and (iii) promptly upon learning that any such tax form previously provided by Dealer has become obsolete or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 Representations. For the purpose of Section 3(f) of the Agreement, Counterparty is a corporation for U.S. federal income tax purposes and is organized under the laws of the State of Minnesota.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For the purpose of Section 3(f) of the Agreement, Dealer represents to Counterparty that for U.S. federal income tax purposes it is a “U.S. person” (as that term is used in section 1.1441-4(a)(3)(ii) of the United States Treasury Regulations) and an “exempt recipient” (as that term is used in section 1.6049-4(c)(1) of the United States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QFC Stay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In the event that Dealer becomes subject to a proceeding under (i) the Federal Deposit Insurance Act and the regulations promulgated thereunder or (ii) Title II of the Dodd-Frank Wall Street Reform and Consumer Protection Act and the regulations promulgated thereunder (a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 Dealer are permitted to be exercised to no greater extent than such Default Rights could be exercised under the U.S. Special Resolution Regime if this Confirmation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except to the extent that the exercise of such Default Right would be permitted under the provisions of 12 C.F.R. 252.84, 12 C.F.R. 47.5 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Counterparty has previously adhered to, or subsequently adheres to, the ISDA 2018 U.S. Resolution Stay Protocol as published by the International Swaps and Derivatives Association, Inc. as of July 31, 2018 (the “</w:t>
      </w:r>
      <w:r>
        <w:rPr>
          <w:rFonts w:ascii="Times New Roman;Times;Serif" w:hAnsi="Times New Roman;Times;Serif"/>
          <w:b/>
          <w:i w:val="false"/>
          <w:caps w:val="false"/>
          <w:smallCaps w:val="false"/>
          <w:sz w:val="20"/>
        </w:rPr>
        <w:t>ISDA U.S. Protocol</w:t>
      </w:r>
      <w:r>
        <w:rPr>
          <w:rFonts w:ascii="Times New Roman;Times;Serif" w:hAnsi="Times New Roman;Times;Serif"/>
          <w:b w:val="false"/>
          <w:i w:val="false"/>
          <w:caps w:val="false"/>
          <w:smallCaps w:val="false"/>
          <w:sz w:val="20"/>
        </w:rPr>
        <w:t>”), the terms of such protocol shall be incorporated into and form a part of this Confirmation and the terms of the ISDA U.S. Protocol shall supersede and replace the terms of this Section 8(u).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w:t>
      </w:r>
      <w:r>
        <w:rPr>
          <w:rFonts w:ascii="Times New Roman;Times;Serif" w:hAnsi="Times New Roman;Times;Serif"/>
          <w:b/>
          <w:i w:val="false"/>
          <w:caps w:val="false"/>
          <w:smallCaps w:val="false"/>
          <w:sz w:val="20"/>
        </w:rPr>
        <w:t>Preexisting In-Scope Agreement</w:t>
      </w:r>
      <w:r>
        <w:rPr>
          <w:rFonts w:ascii="Times New Roman;Times;Serif" w:hAnsi="Times New Roman;Times;Serif"/>
          <w:b w:val="false"/>
          <w:i w:val="false"/>
          <w:caps w:val="false"/>
          <w:smallCaps w:val="false"/>
          <w:sz w:val="20"/>
        </w:rPr>
        <w:t>”), then each such Preexisting In-Scope Agreement is hereby amended to include the foregoing provisions in this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8(u), with references to “this Confirmation” being understood to be references to the applicable Preexisting In-Scope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8(u):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is defined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Enhancement</w:t>
      </w:r>
      <w:r>
        <w:rPr>
          <w:rFonts w:ascii="Times New Roman;Times;Serif" w:hAnsi="Times New Roman;Times;Serif"/>
          <w:b w:val="false"/>
          <w:i w:val="false"/>
          <w:caps w:val="false"/>
          <w:smallCaps w:val="false"/>
          <w:sz w:val="20"/>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val="false"/>
          <w:smallCaps w:val="false"/>
          <w:sz w:val="20"/>
          <w:u w:val="single"/>
        </w:rPr>
        <w:t>Arbitration</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All parties to this Confirmation are giving up the right to sue each other in court, including the right to a trial by jury, except as provided by the rules of the arbitration forum in which a claim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Arbitration awards are generally final and binding; a party’s ability to have a court reverse or modify an arbitration award is very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The ability of the parties to obtain documents, witness statements and other discovery is generally more limited in arbitration than in court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The arbitrators do not have to explain the reason(s) for their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The rules of some arbitration forums may impose time limits for bringing a claim in arbitration. In some cases, a claim that is ineligible for arbitration may be brought in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The rules of the arbitration forum in which the claim is filed, and any amendments thereto, shall be incorporated into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 (iii) Counterparty is excluded from the class by the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Such forbearance to enforce an agreement to arbitrate shall not constitute a waiver of any rights under this Confirmation except to the extent stated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Goldman Sachs &amp; Co. LLC, Equity Derivatives Documentation Department, Facsimile No. (212) 428-1980/83</w:t>
      </w:r>
    </w:p>
    <w:p>
      <w:pPr>
        <w:pStyle w:val="TextBody"/>
        <w:bidi w:val="0"/>
        <w:spacing w:before="0" w:after="0"/>
        <w:ind w:left="0" w:right="0" w:hanging="0"/>
        <w:jc w:val="left"/>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75"/>
        <w:gridCol w:w="588"/>
        <w:gridCol w:w="2911"/>
      </w:tblGrid>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pPr>
            <w:r>
              <w:rPr/>
              <w:t>Yours faithfully,</w:t>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29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b/>
              </w:rPr>
            </w:pPr>
            <w:r>
              <w:rPr>
                <w:b/>
              </w:rPr>
              <w:t>GOLDMAN SACHS &amp; CO. LLC</w:t>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291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pPr>
            <w:r>
              <w:rPr/>
              <w:t>By:</w:t>
            </w:r>
          </w:p>
        </w:tc>
        <w:tc>
          <w:tcPr>
            <w:tcW w:w="2911" w:type="dxa"/>
            <w:tcBorders>
              <w:bottom w:val="single" w:sz="8" w:space="0" w:color="000000"/>
            </w:tcBorders>
            <w:tcMar>
              <w:bottom w:w="28" w:type="dxa"/>
            </w:tcMar>
            <w:vAlign w:val="center"/>
          </w:tcPr>
          <w:p>
            <w:pPr>
              <w:pStyle w:val="TableContents"/>
              <w:bidi w:val="0"/>
              <w:spacing w:before="0" w:after="283"/>
              <w:jc w:val="left"/>
              <w:rPr/>
            </w:pPr>
            <w:r>
              <w:rPr/>
              <w:t>/s/ Mike Voris</w:t>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2911" w:type="dxa"/>
            <w:tcBorders/>
            <w:vAlign w:val="center"/>
          </w:tcPr>
          <w:p>
            <w:pPr>
              <w:pStyle w:val="TableContents"/>
              <w:bidi w:val="0"/>
              <w:spacing w:before="0" w:after="283"/>
              <w:jc w:val="left"/>
              <w:rPr/>
            </w:pPr>
            <w:r>
              <w:rPr/>
              <w:t>Name: Mike Voris</w:t>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2911" w:type="dxa"/>
            <w:tcBorders/>
            <w:vAlign w:val="center"/>
          </w:tcPr>
          <w:p>
            <w:pPr>
              <w:pStyle w:val="TableContents"/>
              <w:bidi w:val="0"/>
              <w:spacing w:before="0" w:after="283"/>
              <w:jc w:val="left"/>
              <w:rPr/>
            </w:pPr>
            <w:r>
              <w:rPr/>
              <w:t>Title: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Base Warrant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and Accepted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WINNEBAGO INDUSTRIES, INC.</w:t>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380"/>
        <w:gridCol w:w="3170"/>
        <w:gridCol w:w="75"/>
      </w:tblGrid>
      <w:tr>
        <w:trPr/>
        <w:tc>
          <w:tcPr>
            <w:tcW w:w="380" w:type="dxa"/>
            <w:tcBorders/>
            <w:vAlign w:val="center"/>
          </w:tcPr>
          <w:p>
            <w:pPr>
              <w:pStyle w:val="TableContents"/>
              <w:bidi w:val="0"/>
              <w:spacing w:before="0" w:after="283"/>
              <w:jc w:val="left"/>
              <w:rPr/>
            </w:pPr>
            <w:r>
              <w:rPr/>
              <w:t>By:</w:t>
            </w:r>
          </w:p>
        </w:tc>
        <w:tc>
          <w:tcPr>
            <w:tcW w:w="3170" w:type="dxa"/>
            <w:tcBorders>
              <w:bottom w:val="single" w:sz="8" w:space="0" w:color="000000"/>
            </w:tcBorders>
            <w:tcMar>
              <w:bottom w:w="28" w:type="dxa"/>
            </w:tcMar>
            <w:vAlign w:val="center"/>
          </w:tcPr>
          <w:p>
            <w:pPr>
              <w:pStyle w:val="TableContents"/>
              <w:bidi w:val="0"/>
              <w:spacing w:before="0" w:after="283"/>
              <w:jc w:val="both"/>
              <w:rPr/>
            </w:pPr>
            <w:r>
              <w:rPr/>
              <w:t>/s/ Bryan L. Hughes</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both"/>
              <w:rPr/>
            </w:pPr>
            <w:r>
              <w:rPr/>
              <w:t>Name: Bryan L. Hughes</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both"/>
              <w:rPr/>
            </w:pPr>
            <w:r>
              <w:rPr/>
              <w:t>Title: Chief Financial Officer and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both"/>
              <w:rPr/>
            </w:pPr>
            <w:r>
              <w:rPr/>
              <w:t>Senior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GS Warrant Confirmation]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Component of the Transaction, the Number of Warrants and Expiration Date is set forth below.</w:t>
      </w:r>
    </w:p>
    <w:p>
      <w:pPr>
        <w:pStyle w:val="TextBody"/>
        <w:bidi w:val="0"/>
        <w:spacing w:before="0" w:after="0"/>
        <w:ind w:left="0" w:right="0" w:hanging="0"/>
        <w:jc w:val="left"/>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1985"/>
        <w:gridCol w:w="1970"/>
        <w:gridCol w:w="1535"/>
      </w:tblGrid>
      <w:tr>
        <w:trPr/>
        <w:tc>
          <w:tcPr>
            <w:tcW w:w="1985" w:type="dxa"/>
            <w:tcBorders/>
            <w:vAlign w:val="center"/>
          </w:tcPr>
          <w:p>
            <w:pPr>
              <w:pStyle w:val="TableContents"/>
              <w:bidi w:val="0"/>
              <w:spacing w:before="0" w:after="283"/>
              <w:jc w:val="center"/>
              <w:rPr>
                <w:b w:val="false"/>
                <w:u w:val="single"/>
              </w:rPr>
            </w:pPr>
            <w:r>
              <w:rPr>
                <w:b w:val="false"/>
                <w:u w:val="single"/>
              </w:rPr>
              <w:t>Component Number</w:t>
            </w:r>
          </w:p>
        </w:tc>
        <w:tc>
          <w:tcPr>
            <w:tcW w:w="1970" w:type="dxa"/>
            <w:tcBorders/>
            <w:vAlign w:val="center"/>
          </w:tcPr>
          <w:p>
            <w:pPr>
              <w:pStyle w:val="TableContents"/>
              <w:bidi w:val="0"/>
              <w:spacing w:before="0" w:after="283"/>
              <w:jc w:val="center"/>
              <w:rPr>
                <w:b w:val="false"/>
                <w:u w:val="single"/>
              </w:rPr>
            </w:pPr>
            <w:r>
              <w:rPr>
                <w:b w:val="false"/>
                <w:u w:val="single"/>
              </w:rPr>
              <w:t>Number of Warrants</w:t>
            </w:r>
          </w:p>
        </w:tc>
        <w:tc>
          <w:tcPr>
            <w:tcW w:w="1535" w:type="dxa"/>
            <w:tcBorders/>
            <w:vAlign w:val="center"/>
          </w:tcPr>
          <w:p>
            <w:pPr>
              <w:pStyle w:val="TableContents"/>
              <w:bidi w:val="0"/>
              <w:spacing w:before="0" w:after="283"/>
              <w:jc w:val="center"/>
              <w:rPr>
                <w:b w:val="false"/>
                <w:u w:val="single"/>
              </w:rPr>
            </w:pPr>
            <w:r>
              <w:rPr>
                <w:b w:val="false"/>
                <w:u w:val="single"/>
              </w:rPr>
              <w:t>Expiration Date</w:t>
            </w:r>
          </w:p>
        </w:tc>
      </w:tr>
      <w:tr>
        <w:trPr/>
        <w:tc>
          <w:tcPr>
            <w:tcW w:w="1985" w:type="dxa"/>
            <w:tcBorders/>
            <w:vAlign w:val="center"/>
          </w:tcPr>
          <w:p>
            <w:pPr>
              <w:pStyle w:val="TableContents"/>
              <w:bidi w:val="0"/>
              <w:spacing w:before="0" w:after="283"/>
              <w:jc w:val="center"/>
              <w:rPr>
                <w:b w:val="false"/>
              </w:rPr>
            </w:pPr>
            <w:r>
              <w:rPr>
                <w:b w:val="false"/>
              </w:rPr>
              <w:t>1</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April 15, 2030</w:t>
            </w:r>
          </w:p>
        </w:tc>
      </w:tr>
      <w:tr>
        <w:trPr/>
        <w:tc>
          <w:tcPr>
            <w:tcW w:w="1985" w:type="dxa"/>
            <w:tcBorders/>
            <w:vAlign w:val="center"/>
          </w:tcPr>
          <w:p>
            <w:pPr>
              <w:pStyle w:val="TableContents"/>
              <w:bidi w:val="0"/>
              <w:spacing w:before="0" w:after="283"/>
              <w:jc w:val="center"/>
              <w:rPr>
                <w:b w:val="false"/>
              </w:rPr>
            </w:pPr>
            <w:r>
              <w:rPr>
                <w:b w:val="false"/>
              </w:rPr>
              <w:t>2</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April 16, 2030</w:t>
            </w:r>
          </w:p>
        </w:tc>
      </w:tr>
      <w:tr>
        <w:trPr/>
        <w:tc>
          <w:tcPr>
            <w:tcW w:w="1985" w:type="dxa"/>
            <w:tcBorders/>
            <w:vAlign w:val="center"/>
          </w:tcPr>
          <w:p>
            <w:pPr>
              <w:pStyle w:val="TableContents"/>
              <w:bidi w:val="0"/>
              <w:spacing w:before="0" w:after="283"/>
              <w:jc w:val="center"/>
              <w:rPr>
                <w:b w:val="false"/>
              </w:rPr>
            </w:pPr>
            <w:r>
              <w:rPr>
                <w:b w:val="false"/>
              </w:rPr>
              <w:t>3</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April 17, 2030</w:t>
            </w:r>
          </w:p>
        </w:tc>
      </w:tr>
      <w:tr>
        <w:trPr/>
        <w:tc>
          <w:tcPr>
            <w:tcW w:w="1985" w:type="dxa"/>
            <w:tcBorders/>
            <w:vAlign w:val="center"/>
          </w:tcPr>
          <w:p>
            <w:pPr>
              <w:pStyle w:val="TableContents"/>
              <w:bidi w:val="0"/>
              <w:spacing w:before="0" w:after="283"/>
              <w:jc w:val="center"/>
              <w:rPr>
                <w:b w:val="false"/>
              </w:rPr>
            </w:pPr>
            <w:r>
              <w:rPr>
                <w:b w:val="false"/>
              </w:rPr>
              <w:t>4</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April 18, 2030</w:t>
            </w:r>
          </w:p>
        </w:tc>
      </w:tr>
      <w:tr>
        <w:trPr/>
        <w:tc>
          <w:tcPr>
            <w:tcW w:w="1985" w:type="dxa"/>
            <w:tcBorders/>
            <w:vAlign w:val="center"/>
          </w:tcPr>
          <w:p>
            <w:pPr>
              <w:pStyle w:val="TableContents"/>
              <w:bidi w:val="0"/>
              <w:spacing w:before="0" w:after="283"/>
              <w:jc w:val="center"/>
              <w:rPr>
                <w:b w:val="false"/>
              </w:rPr>
            </w:pPr>
            <w:r>
              <w:rPr>
                <w:b w:val="false"/>
              </w:rPr>
              <w:t>5</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April 22, 2030</w:t>
            </w:r>
          </w:p>
        </w:tc>
      </w:tr>
      <w:tr>
        <w:trPr/>
        <w:tc>
          <w:tcPr>
            <w:tcW w:w="1985" w:type="dxa"/>
            <w:tcBorders/>
            <w:vAlign w:val="center"/>
          </w:tcPr>
          <w:p>
            <w:pPr>
              <w:pStyle w:val="TableContents"/>
              <w:bidi w:val="0"/>
              <w:spacing w:before="0" w:after="283"/>
              <w:jc w:val="center"/>
              <w:rPr>
                <w:b w:val="false"/>
              </w:rPr>
            </w:pPr>
            <w:r>
              <w:rPr>
                <w:b w:val="false"/>
              </w:rPr>
              <w:t>6</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April 23, 2030</w:t>
            </w:r>
          </w:p>
        </w:tc>
      </w:tr>
      <w:tr>
        <w:trPr/>
        <w:tc>
          <w:tcPr>
            <w:tcW w:w="1985" w:type="dxa"/>
            <w:tcBorders/>
            <w:vAlign w:val="center"/>
          </w:tcPr>
          <w:p>
            <w:pPr>
              <w:pStyle w:val="TableContents"/>
              <w:bidi w:val="0"/>
              <w:spacing w:before="0" w:after="283"/>
              <w:jc w:val="center"/>
              <w:rPr>
                <w:b w:val="false"/>
              </w:rPr>
            </w:pPr>
            <w:r>
              <w:rPr>
                <w:b w:val="false"/>
              </w:rPr>
              <w:t>7</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April 24, 2030</w:t>
            </w:r>
          </w:p>
        </w:tc>
      </w:tr>
      <w:tr>
        <w:trPr/>
        <w:tc>
          <w:tcPr>
            <w:tcW w:w="1985" w:type="dxa"/>
            <w:tcBorders/>
            <w:vAlign w:val="center"/>
          </w:tcPr>
          <w:p>
            <w:pPr>
              <w:pStyle w:val="TableContents"/>
              <w:bidi w:val="0"/>
              <w:spacing w:before="0" w:after="283"/>
              <w:jc w:val="center"/>
              <w:rPr>
                <w:b w:val="false"/>
              </w:rPr>
            </w:pPr>
            <w:r>
              <w:rPr>
                <w:b w:val="false"/>
              </w:rPr>
              <w:t>8</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April 25, 2030</w:t>
            </w:r>
          </w:p>
        </w:tc>
      </w:tr>
      <w:tr>
        <w:trPr/>
        <w:tc>
          <w:tcPr>
            <w:tcW w:w="1985" w:type="dxa"/>
            <w:tcBorders/>
            <w:vAlign w:val="center"/>
          </w:tcPr>
          <w:p>
            <w:pPr>
              <w:pStyle w:val="TableContents"/>
              <w:bidi w:val="0"/>
              <w:spacing w:before="0" w:after="283"/>
              <w:jc w:val="center"/>
              <w:rPr>
                <w:b w:val="false"/>
              </w:rPr>
            </w:pPr>
            <w:r>
              <w:rPr>
                <w:b w:val="false"/>
              </w:rPr>
              <w:t>9</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April 26, 2030</w:t>
            </w:r>
          </w:p>
        </w:tc>
      </w:tr>
      <w:tr>
        <w:trPr/>
        <w:tc>
          <w:tcPr>
            <w:tcW w:w="1985" w:type="dxa"/>
            <w:tcBorders/>
            <w:vAlign w:val="center"/>
          </w:tcPr>
          <w:p>
            <w:pPr>
              <w:pStyle w:val="TableContents"/>
              <w:bidi w:val="0"/>
              <w:spacing w:before="0" w:after="283"/>
              <w:jc w:val="center"/>
              <w:rPr>
                <w:b w:val="false"/>
              </w:rPr>
            </w:pPr>
            <w:r>
              <w:rPr>
                <w:b w:val="false"/>
              </w:rPr>
              <w:t>10</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April 29, 2030</w:t>
            </w:r>
          </w:p>
        </w:tc>
      </w:tr>
      <w:tr>
        <w:trPr/>
        <w:tc>
          <w:tcPr>
            <w:tcW w:w="1985" w:type="dxa"/>
            <w:tcBorders/>
            <w:vAlign w:val="center"/>
          </w:tcPr>
          <w:p>
            <w:pPr>
              <w:pStyle w:val="TableContents"/>
              <w:bidi w:val="0"/>
              <w:spacing w:before="0" w:after="283"/>
              <w:jc w:val="center"/>
              <w:rPr>
                <w:b w:val="false"/>
              </w:rPr>
            </w:pPr>
            <w:r>
              <w:rPr>
                <w:b w:val="false"/>
              </w:rPr>
              <w:t>11</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April 30, 2030</w:t>
            </w:r>
          </w:p>
        </w:tc>
      </w:tr>
      <w:tr>
        <w:trPr/>
        <w:tc>
          <w:tcPr>
            <w:tcW w:w="1985" w:type="dxa"/>
            <w:tcBorders/>
            <w:vAlign w:val="center"/>
          </w:tcPr>
          <w:p>
            <w:pPr>
              <w:pStyle w:val="TableContents"/>
              <w:bidi w:val="0"/>
              <w:spacing w:before="0" w:after="283"/>
              <w:jc w:val="center"/>
              <w:rPr>
                <w:b w:val="false"/>
              </w:rPr>
            </w:pPr>
            <w:r>
              <w:rPr>
                <w:b w:val="false"/>
              </w:rPr>
              <w:t>12</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1, 2030</w:t>
            </w:r>
          </w:p>
        </w:tc>
      </w:tr>
      <w:tr>
        <w:trPr/>
        <w:tc>
          <w:tcPr>
            <w:tcW w:w="1985" w:type="dxa"/>
            <w:tcBorders/>
            <w:vAlign w:val="center"/>
          </w:tcPr>
          <w:p>
            <w:pPr>
              <w:pStyle w:val="TableContents"/>
              <w:bidi w:val="0"/>
              <w:spacing w:before="0" w:after="283"/>
              <w:jc w:val="center"/>
              <w:rPr>
                <w:b w:val="false"/>
              </w:rPr>
            </w:pPr>
            <w:r>
              <w:rPr>
                <w:b w:val="false"/>
              </w:rPr>
              <w:t>13</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2, 2030</w:t>
            </w:r>
          </w:p>
        </w:tc>
      </w:tr>
      <w:tr>
        <w:trPr/>
        <w:tc>
          <w:tcPr>
            <w:tcW w:w="1985" w:type="dxa"/>
            <w:tcBorders/>
            <w:vAlign w:val="center"/>
          </w:tcPr>
          <w:p>
            <w:pPr>
              <w:pStyle w:val="TableContents"/>
              <w:bidi w:val="0"/>
              <w:spacing w:before="0" w:after="283"/>
              <w:jc w:val="center"/>
              <w:rPr>
                <w:b w:val="false"/>
              </w:rPr>
            </w:pPr>
            <w:r>
              <w:rPr>
                <w:b w:val="false"/>
              </w:rPr>
              <w:t>14</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3, 2030</w:t>
            </w:r>
          </w:p>
        </w:tc>
      </w:tr>
      <w:tr>
        <w:trPr/>
        <w:tc>
          <w:tcPr>
            <w:tcW w:w="1985" w:type="dxa"/>
            <w:tcBorders/>
            <w:vAlign w:val="center"/>
          </w:tcPr>
          <w:p>
            <w:pPr>
              <w:pStyle w:val="TableContents"/>
              <w:bidi w:val="0"/>
              <w:spacing w:before="0" w:after="283"/>
              <w:jc w:val="center"/>
              <w:rPr>
                <w:b w:val="false"/>
              </w:rPr>
            </w:pPr>
            <w:r>
              <w:rPr>
                <w:b w:val="false"/>
              </w:rPr>
              <w:t>15</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6, 2030</w:t>
            </w:r>
          </w:p>
        </w:tc>
      </w:tr>
      <w:tr>
        <w:trPr/>
        <w:tc>
          <w:tcPr>
            <w:tcW w:w="1985" w:type="dxa"/>
            <w:tcBorders/>
            <w:vAlign w:val="center"/>
          </w:tcPr>
          <w:p>
            <w:pPr>
              <w:pStyle w:val="TableContents"/>
              <w:bidi w:val="0"/>
              <w:spacing w:before="0" w:after="283"/>
              <w:jc w:val="center"/>
              <w:rPr>
                <w:b w:val="false"/>
              </w:rPr>
            </w:pPr>
            <w:r>
              <w:rPr>
                <w:b w:val="false"/>
              </w:rPr>
              <w:t>16</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7, 2030</w:t>
            </w:r>
          </w:p>
        </w:tc>
      </w:tr>
      <w:tr>
        <w:trPr/>
        <w:tc>
          <w:tcPr>
            <w:tcW w:w="1985" w:type="dxa"/>
            <w:tcBorders/>
            <w:vAlign w:val="center"/>
          </w:tcPr>
          <w:p>
            <w:pPr>
              <w:pStyle w:val="TableContents"/>
              <w:bidi w:val="0"/>
              <w:spacing w:before="0" w:after="283"/>
              <w:jc w:val="center"/>
              <w:rPr>
                <w:b w:val="false"/>
              </w:rPr>
            </w:pPr>
            <w:r>
              <w:rPr>
                <w:b w:val="false"/>
              </w:rPr>
              <w:t>17</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8, 2030</w:t>
            </w:r>
          </w:p>
        </w:tc>
      </w:tr>
      <w:tr>
        <w:trPr/>
        <w:tc>
          <w:tcPr>
            <w:tcW w:w="1985" w:type="dxa"/>
            <w:tcBorders/>
            <w:vAlign w:val="center"/>
          </w:tcPr>
          <w:p>
            <w:pPr>
              <w:pStyle w:val="TableContents"/>
              <w:bidi w:val="0"/>
              <w:spacing w:before="0" w:after="283"/>
              <w:jc w:val="center"/>
              <w:rPr>
                <w:b w:val="false"/>
              </w:rPr>
            </w:pPr>
            <w:r>
              <w:rPr>
                <w:b w:val="false"/>
              </w:rPr>
              <w:t>18</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9, 2030</w:t>
            </w:r>
          </w:p>
        </w:tc>
      </w:tr>
      <w:tr>
        <w:trPr/>
        <w:tc>
          <w:tcPr>
            <w:tcW w:w="1985" w:type="dxa"/>
            <w:tcBorders/>
            <w:vAlign w:val="center"/>
          </w:tcPr>
          <w:p>
            <w:pPr>
              <w:pStyle w:val="TableContents"/>
              <w:bidi w:val="0"/>
              <w:spacing w:before="0" w:after="283"/>
              <w:jc w:val="center"/>
              <w:rPr>
                <w:b w:val="false"/>
              </w:rPr>
            </w:pPr>
            <w:r>
              <w:rPr>
                <w:b w:val="false"/>
              </w:rPr>
              <w:t>19</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10, 2030</w:t>
            </w:r>
          </w:p>
        </w:tc>
      </w:tr>
      <w:tr>
        <w:trPr/>
        <w:tc>
          <w:tcPr>
            <w:tcW w:w="1985" w:type="dxa"/>
            <w:tcBorders/>
            <w:vAlign w:val="center"/>
          </w:tcPr>
          <w:p>
            <w:pPr>
              <w:pStyle w:val="TableContents"/>
              <w:bidi w:val="0"/>
              <w:spacing w:before="0" w:after="283"/>
              <w:jc w:val="center"/>
              <w:rPr>
                <w:b w:val="false"/>
              </w:rPr>
            </w:pPr>
            <w:r>
              <w:rPr>
                <w:b w:val="false"/>
              </w:rPr>
              <w:t>20</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13, 2030</w:t>
            </w:r>
          </w:p>
        </w:tc>
      </w:tr>
      <w:tr>
        <w:trPr/>
        <w:tc>
          <w:tcPr>
            <w:tcW w:w="1985" w:type="dxa"/>
            <w:tcBorders/>
            <w:vAlign w:val="center"/>
          </w:tcPr>
          <w:p>
            <w:pPr>
              <w:pStyle w:val="TableContents"/>
              <w:bidi w:val="0"/>
              <w:spacing w:before="0" w:after="283"/>
              <w:jc w:val="center"/>
              <w:rPr>
                <w:b w:val="false"/>
              </w:rPr>
            </w:pPr>
            <w:r>
              <w:rPr>
                <w:b w:val="false"/>
              </w:rPr>
              <w:t>21</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14, 2030</w:t>
            </w:r>
          </w:p>
        </w:tc>
      </w:tr>
      <w:tr>
        <w:trPr/>
        <w:tc>
          <w:tcPr>
            <w:tcW w:w="1985" w:type="dxa"/>
            <w:tcBorders/>
            <w:vAlign w:val="center"/>
          </w:tcPr>
          <w:p>
            <w:pPr>
              <w:pStyle w:val="TableContents"/>
              <w:bidi w:val="0"/>
              <w:spacing w:before="0" w:after="283"/>
              <w:jc w:val="center"/>
              <w:rPr>
                <w:b w:val="false"/>
              </w:rPr>
            </w:pPr>
            <w:r>
              <w:rPr>
                <w:b w:val="false"/>
              </w:rPr>
              <w:t>22</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15, 2030</w:t>
            </w:r>
          </w:p>
        </w:tc>
      </w:tr>
      <w:tr>
        <w:trPr/>
        <w:tc>
          <w:tcPr>
            <w:tcW w:w="1985" w:type="dxa"/>
            <w:tcBorders/>
            <w:vAlign w:val="center"/>
          </w:tcPr>
          <w:p>
            <w:pPr>
              <w:pStyle w:val="TableContents"/>
              <w:bidi w:val="0"/>
              <w:spacing w:before="0" w:after="283"/>
              <w:jc w:val="center"/>
              <w:rPr>
                <w:b w:val="false"/>
              </w:rPr>
            </w:pPr>
            <w:r>
              <w:rPr>
                <w:b w:val="false"/>
              </w:rPr>
              <w:t>23</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16, 2030</w:t>
            </w:r>
          </w:p>
        </w:tc>
      </w:tr>
      <w:tr>
        <w:trPr/>
        <w:tc>
          <w:tcPr>
            <w:tcW w:w="1985" w:type="dxa"/>
            <w:tcBorders/>
            <w:vAlign w:val="center"/>
          </w:tcPr>
          <w:p>
            <w:pPr>
              <w:pStyle w:val="TableContents"/>
              <w:bidi w:val="0"/>
              <w:spacing w:before="0" w:after="283"/>
              <w:jc w:val="center"/>
              <w:rPr>
                <w:b w:val="false"/>
              </w:rPr>
            </w:pPr>
            <w:r>
              <w:rPr>
                <w:b w:val="false"/>
              </w:rPr>
              <w:t>24</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17, 2030</w:t>
            </w:r>
          </w:p>
        </w:tc>
      </w:tr>
      <w:tr>
        <w:trPr/>
        <w:tc>
          <w:tcPr>
            <w:tcW w:w="1985" w:type="dxa"/>
            <w:tcBorders/>
            <w:vAlign w:val="center"/>
          </w:tcPr>
          <w:p>
            <w:pPr>
              <w:pStyle w:val="TableContents"/>
              <w:bidi w:val="0"/>
              <w:spacing w:before="0" w:after="283"/>
              <w:jc w:val="center"/>
              <w:rPr>
                <w:b w:val="false"/>
              </w:rPr>
            </w:pPr>
            <w:r>
              <w:rPr>
                <w:b w:val="false"/>
              </w:rPr>
              <w:t>25</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20, 2030</w:t>
            </w:r>
          </w:p>
        </w:tc>
      </w:tr>
      <w:tr>
        <w:trPr/>
        <w:tc>
          <w:tcPr>
            <w:tcW w:w="1985" w:type="dxa"/>
            <w:tcBorders/>
            <w:vAlign w:val="center"/>
          </w:tcPr>
          <w:p>
            <w:pPr>
              <w:pStyle w:val="TableContents"/>
              <w:bidi w:val="0"/>
              <w:spacing w:before="0" w:after="283"/>
              <w:jc w:val="center"/>
              <w:rPr>
                <w:b w:val="false"/>
              </w:rPr>
            </w:pPr>
            <w:r>
              <w:rPr>
                <w:b w:val="false"/>
              </w:rPr>
              <w:t>26</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21, 2030</w:t>
            </w:r>
          </w:p>
        </w:tc>
      </w:tr>
      <w:tr>
        <w:trPr/>
        <w:tc>
          <w:tcPr>
            <w:tcW w:w="1985" w:type="dxa"/>
            <w:tcBorders/>
            <w:vAlign w:val="center"/>
          </w:tcPr>
          <w:p>
            <w:pPr>
              <w:pStyle w:val="TableContents"/>
              <w:bidi w:val="0"/>
              <w:spacing w:before="0" w:after="283"/>
              <w:jc w:val="center"/>
              <w:rPr>
                <w:b w:val="false"/>
              </w:rPr>
            </w:pPr>
            <w:r>
              <w:rPr>
                <w:b w:val="false"/>
              </w:rPr>
              <w:t>27</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22, 2030</w:t>
            </w:r>
          </w:p>
        </w:tc>
      </w:tr>
      <w:tr>
        <w:trPr/>
        <w:tc>
          <w:tcPr>
            <w:tcW w:w="1985" w:type="dxa"/>
            <w:tcBorders/>
            <w:vAlign w:val="center"/>
          </w:tcPr>
          <w:p>
            <w:pPr>
              <w:pStyle w:val="TableContents"/>
              <w:bidi w:val="0"/>
              <w:spacing w:before="0" w:after="283"/>
              <w:jc w:val="center"/>
              <w:rPr>
                <w:b w:val="false"/>
              </w:rPr>
            </w:pPr>
            <w:r>
              <w:rPr>
                <w:b w:val="false"/>
              </w:rPr>
              <w:t>28</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23, 2030</w:t>
            </w:r>
          </w:p>
        </w:tc>
      </w:tr>
      <w:tr>
        <w:trPr/>
        <w:tc>
          <w:tcPr>
            <w:tcW w:w="1985" w:type="dxa"/>
            <w:tcBorders/>
            <w:vAlign w:val="center"/>
          </w:tcPr>
          <w:p>
            <w:pPr>
              <w:pStyle w:val="TableContents"/>
              <w:bidi w:val="0"/>
              <w:spacing w:before="0" w:after="283"/>
              <w:jc w:val="center"/>
              <w:rPr>
                <w:b w:val="false"/>
              </w:rPr>
            </w:pPr>
            <w:r>
              <w:rPr>
                <w:b w:val="false"/>
              </w:rPr>
              <w:t>29</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24, 2030</w:t>
            </w:r>
          </w:p>
        </w:tc>
      </w:tr>
      <w:tr>
        <w:trPr/>
        <w:tc>
          <w:tcPr>
            <w:tcW w:w="1985" w:type="dxa"/>
            <w:tcBorders/>
            <w:vAlign w:val="center"/>
          </w:tcPr>
          <w:p>
            <w:pPr>
              <w:pStyle w:val="TableContents"/>
              <w:bidi w:val="0"/>
              <w:spacing w:before="0" w:after="283"/>
              <w:jc w:val="center"/>
              <w:rPr>
                <w:b w:val="false"/>
              </w:rPr>
            </w:pPr>
            <w:r>
              <w:rPr>
                <w:b w:val="false"/>
              </w:rPr>
              <w:t>30</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28, 2030</w:t>
            </w:r>
          </w:p>
        </w:tc>
      </w:tr>
      <w:tr>
        <w:trPr/>
        <w:tc>
          <w:tcPr>
            <w:tcW w:w="1985" w:type="dxa"/>
            <w:tcBorders/>
            <w:vAlign w:val="center"/>
          </w:tcPr>
          <w:p>
            <w:pPr>
              <w:pStyle w:val="TableContents"/>
              <w:bidi w:val="0"/>
              <w:spacing w:before="0" w:after="283"/>
              <w:jc w:val="center"/>
              <w:rPr>
                <w:b w:val="false"/>
              </w:rPr>
            </w:pPr>
            <w:r>
              <w:rPr>
                <w:b w:val="false"/>
              </w:rPr>
              <w:t>31</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29, 2030</w:t>
            </w:r>
          </w:p>
        </w:tc>
      </w:tr>
      <w:tr>
        <w:trPr/>
        <w:tc>
          <w:tcPr>
            <w:tcW w:w="1985" w:type="dxa"/>
            <w:tcBorders/>
            <w:vAlign w:val="center"/>
          </w:tcPr>
          <w:p>
            <w:pPr>
              <w:pStyle w:val="TableContents"/>
              <w:bidi w:val="0"/>
              <w:spacing w:before="0" w:after="283"/>
              <w:jc w:val="center"/>
              <w:rPr>
                <w:b w:val="false"/>
              </w:rPr>
            </w:pPr>
            <w:r>
              <w:rPr>
                <w:b w:val="false"/>
              </w:rPr>
              <w:t>32</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30, 2030</w:t>
            </w:r>
          </w:p>
        </w:tc>
      </w:tr>
      <w:tr>
        <w:trPr/>
        <w:tc>
          <w:tcPr>
            <w:tcW w:w="1985" w:type="dxa"/>
            <w:tcBorders/>
            <w:vAlign w:val="center"/>
          </w:tcPr>
          <w:p>
            <w:pPr>
              <w:pStyle w:val="TableContents"/>
              <w:bidi w:val="0"/>
              <w:spacing w:before="0" w:after="283"/>
              <w:jc w:val="center"/>
              <w:rPr>
                <w:b w:val="false"/>
              </w:rPr>
            </w:pPr>
            <w:r>
              <w:rPr>
                <w:b w:val="false"/>
              </w:rPr>
              <w:t>33</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May 31, 2030</w:t>
            </w:r>
          </w:p>
        </w:tc>
      </w:tr>
      <w:tr>
        <w:trPr/>
        <w:tc>
          <w:tcPr>
            <w:tcW w:w="1985" w:type="dxa"/>
            <w:tcBorders/>
            <w:vAlign w:val="center"/>
          </w:tcPr>
          <w:p>
            <w:pPr>
              <w:pStyle w:val="TableContents"/>
              <w:bidi w:val="0"/>
              <w:spacing w:before="0" w:after="283"/>
              <w:jc w:val="center"/>
              <w:rPr>
                <w:b w:val="false"/>
              </w:rPr>
            </w:pPr>
            <w:r>
              <w:rPr>
                <w:b w:val="false"/>
              </w:rPr>
              <w:t>34</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June 3, 2030</w:t>
            </w:r>
          </w:p>
        </w:tc>
      </w:tr>
      <w:tr>
        <w:trPr/>
        <w:tc>
          <w:tcPr>
            <w:tcW w:w="1985" w:type="dxa"/>
            <w:tcBorders/>
            <w:vAlign w:val="center"/>
          </w:tcPr>
          <w:p>
            <w:pPr>
              <w:pStyle w:val="TableContents"/>
              <w:bidi w:val="0"/>
              <w:spacing w:before="0" w:after="283"/>
              <w:jc w:val="center"/>
              <w:rPr>
                <w:b w:val="false"/>
              </w:rPr>
            </w:pPr>
            <w:r>
              <w:rPr>
                <w:b w:val="false"/>
              </w:rPr>
              <w:t>35</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June 4, 2030</w:t>
            </w:r>
          </w:p>
        </w:tc>
      </w:tr>
      <w:tr>
        <w:trPr/>
        <w:tc>
          <w:tcPr>
            <w:tcW w:w="1985" w:type="dxa"/>
            <w:tcBorders/>
            <w:vAlign w:val="center"/>
          </w:tcPr>
          <w:p>
            <w:pPr>
              <w:pStyle w:val="TableContents"/>
              <w:bidi w:val="0"/>
              <w:spacing w:before="0" w:after="283"/>
              <w:jc w:val="center"/>
              <w:rPr>
                <w:b w:val="false"/>
              </w:rPr>
            </w:pPr>
            <w:r>
              <w:rPr>
                <w:b w:val="false"/>
              </w:rPr>
              <w:t>36</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June 5, 2030</w:t>
            </w:r>
          </w:p>
        </w:tc>
      </w:tr>
      <w:tr>
        <w:trPr/>
        <w:tc>
          <w:tcPr>
            <w:tcW w:w="1985" w:type="dxa"/>
            <w:tcBorders/>
            <w:vAlign w:val="center"/>
          </w:tcPr>
          <w:p>
            <w:pPr>
              <w:pStyle w:val="TableContents"/>
              <w:bidi w:val="0"/>
              <w:spacing w:before="0" w:after="283"/>
              <w:jc w:val="center"/>
              <w:rPr>
                <w:b w:val="false"/>
              </w:rPr>
            </w:pPr>
            <w:r>
              <w:rPr>
                <w:b w:val="false"/>
              </w:rPr>
              <w:t>37</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June 6, 2030</w:t>
            </w:r>
          </w:p>
        </w:tc>
      </w:tr>
      <w:tr>
        <w:trPr/>
        <w:tc>
          <w:tcPr>
            <w:tcW w:w="1985" w:type="dxa"/>
            <w:tcBorders/>
            <w:vAlign w:val="center"/>
          </w:tcPr>
          <w:p>
            <w:pPr>
              <w:pStyle w:val="TableContents"/>
              <w:bidi w:val="0"/>
              <w:spacing w:before="0" w:after="283"/>
              <w:jc w:val="center"/>
              <w:rPr>
                <w:b w:val="false"/>
              </w:rPr>
            </w:pPr>
            <w:r>
              <w:rPr>
                <w:b w:val="false"/>
              </w:rPr>
              <w:t>38</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June 7, 2030</w:t>
            </w:r>
          </w:p>
        </w:tc>
      </w:tr>
      <w:tr>
        <w:trPr/>
        <w:tc>
          <w:tcPr>
            <w:tcW w:w="1985" w:type="dxa"/>
            <w:tcBorders/>
            <w:vAlign w:val="center"/>
          </w:tcPr>
          <w:p>
            <w:pPr>
              <w:pStyle w:val="TableContents"/>
              <w:bidi w:val="0"/>
              <w:spacing w:before="0" w:after="283"/>
              <w:jc w:val="center"/>
              <w:rPr>
                <w:b w:val="false"/>
              </w:rPr>
            </w:pPr>
            <w:r>
              <w:rPr>
                <w:b w:val="false"/>
              </w:rPr>
              <w:t>39</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June 10, 2030</w:t>
            </w:r>
          </w:p>
        </w:tc>
      </w:tr>
      <w:tr>
        <w:trPr/>
        <w:tc>
          <w:tcPr>
            <w:tcW w:w="1985" w:type="dxa"/>
            <w:tcBorders/>
            <w:vAlign w:val="center"/>
          </w:tcPr>
          <w:p>
            <w:pPr>
              <w:pStyle w:val="TableContents"/>
              <w:bidi w:val="0"/>
              <w:spacing w:before="0" w:after="283"/>
              <w:jc w:val="center"/>
              <w:rPr>
                <w:b w:val="false"/>
              </w:rPr>
            </w:pPr>
            <w:r>
              <w:rPr>
                <w:b w:val="false"/>
              </w:rPr>
              <w:t>40</w:t>
            </w:r>
          </w:p>
        </w:tc>
        <w:tc>
          <w:tcPr>
            <w:tcW w:w="1970" w:type="dxa"/>
            <w:tcBorders/>
            <w:vAlign w:val="center"/>
          </w:tcPr>
          <w:p>
            <w:pPr>
              <w:pStyle w:val="TableContents"/>
              <w:bidi w:val="0"/>
              <w:spacing w:before="0" w:after="283"/>
              <w:jc w:val="center"/>
              <w:rPr>
                <w:b w:val="false"/>
              </w:rPr>
            </w:pPr>
            <w:r>
              <w:rPr>
                <w:b w:val="false"/>
              </w:rPr>
              <w:t>11,373</w:t>
            </w:r>
          </w:p>
        </w:tc>
        <w:tc>
          <w:tcPr>
            <w:tcW w:w="1535" w:type="dxa"/>
            <w:tcBorders/>
            <w:vAlign w:val="center"/>
          </w:tcPr>
          <w:p>
            <w:pPr>
              <w:pStyle w:val="TableContents"/>
              <w:bidi w:val="0"/>
              <w:spacing w:before="0" w:after="283"/>
              <w:jc w:val="left"/>
              <w:rPr>
                <w:b w:val="false"/>
              </w:rPr>
            </w:pPr>
            <w:r>
              <w:rPr>
                <w:b w:val="false"/>
              </w:rPr>
              <w:t>June 11, 2030</w:t>
            </w:r>
          </w:p>
        </w:tc>
      </w:tr>
      <w:tr>
        <w:trPr/>
        <w:tc>
          <w:tcPr>
            <w:tcW w:w="1985" w:type="dxa"/>
            <w:tcBorders/>
            <w:vAlign w:val="center"/>
          </w:tcPr>
          <w:p>
            <w:pPr>
              <w:pStyle w:val="TableContents"/>
              <w:bidi w:val="0"/>
              <w:spacing w:before="0" w:after="283"/>
              <w:jc w:val="center"/>
              <w:rPr>
                <w:b w:val="false"/>
              </w:rPr>
            </w:pPr>
            <w:r>
              <w:rPr>
                <w:b w:val="false"/>
              </w:rPr>
              <w:t>41</w:t>
            </w:r>
          </w:p>
        </w:tc>
        <w:tc>
          <w:tcPr>
            <w:tcW w:w="1970" w:type="dxa"/>
            <w:tcBorders/>
            <w:vAlign w:val="center"/>
          </w:tcPr>
          <w:p>
            <w:pPr>
              <w:pStyle w:val="TableContents"/>
              <w:bidi w:val="0"/>
              <w:spacing w:before="0" w:after="283"/>
              <w:jc w:val="center"/>
              <w:rPr>
                <w:b w:val="false"/>
              </w:rPr>
            </w:pPr>
            <w:r>
              <w:rPr>
                <w:b w:val="false"/>
              </w:rPr>
              <w:t>11,372</w:t>
            </w:r>
          </w:p>
        </w:tc>
        <w:tc>
          <w:tcPr>
            <w:tcW w:w="1535" w:type="dxa"/>
            <w:tcBorders/>
            <w:vAlign w:val="center"/>
          </w:tcPr>
          <w:p>
            <w:pPr>
              <w:pStyle w:val="TableContents"/>
              <w:bidi w:val="0"/>
              <w:spacing w:before="0" w:after="283"/>
              <w:jc w:val="left"/>
              <w:rPr>
                <w:b w:val="false"/>
              </w:rPr>
            </w:pPr>
            <w:r>
              <w:rPr>
                <w:b w:val="false"/>
              </w:rPr>
              <w:t>June 12, 2030</w:t>
            </w:r>
          </w:p>
        </w:tc>
      </w:tr>
      <w:tr>
        <w:trPr/>
        <w:tc>
          <w:tcPr>
            <w:tcW w:w="1985" w:type="dxa"/>
            <w:tcBorders/>
            <w:vAlign w:val="center"/>
          </w:tcPr>
          <w:p>
            <w:pPr>
              <w:pStyle w:val="TableContents"/>
              <w:bidi w:val="0"/>
              <w:spacing w:before="0" w:after="283"/>
              <w:jc w:val="center"/>
              <w:rPr>
                <w:b w:val="false"/>
              </w:rPr>
            </w:pPr>
            <w:r>
              <w:rPr>
                <w:b w:val="false"/>
              </w:rPr>
              <w:t>42</w:t>
            </w:r>
          </w:p>
        </w:tc>
        <w:tc>
          <w:tcPr>
            <w:tcW w:w="1970" w:type="dxa"/>
            <w:tcBorders/>
            <w:vAlign w:val="center"/>
          </w:tcPr>
          <w:p>
            <w:pPr>
              <w:pStyle w:val="TableContents"/>
              <w:bidi w:val="0"/>
              <w:spacing w:before="0" w:after="283"/>
              <w:jc w:val="center"/>
              <w:rPr>
                <w:b w:val="false"/>
              </w:rPr>
            </w:pPr>
            <w:r>
              <w:rPr>
                <w:b w:val="false"/>
              </w:rPr>
              <w:t>11,372</w:t>
            </w:r>
          </w:p>
        </w:tc>
        <w:tc>
          <w:tcPr>
            <w:tcW w:w="1535" w:type="dxa"/>
            <w:tcBorders/>
            <w:vAlign w:val="center"/>
          </w:tcPr>
          <w:p>
            <w:pPr>
              <w:pStyle w:val="TableContents"/>
              <w:bidi w:val="0"/>
              <w:spacing w:before="0" w:after="283"/>
              <w:jc w:val="left"/>
              <w:rPr>
                <w:b w:val="false"/>
              </w:rPr>
            </w:pPr>
            <w:r>
              <w:rPr>
                <w:b w:val="false"/>
              </w:rPr>
              <w:t>June 13, 2030</w:t>
            </w:r>
          </w:p>
        </w:tc>
      </w:tr>
      <w:tr>
        <w:trPr/>
        <w:tc>
          <w:tcPr>
            <w:tcW w:w="1985" w:type="dxa"/>
            <w:tcBorders/>
            <w:vAlign w:val="center"/>
          </w:tcPr>
          <w:p>
            <w:pPr>
              <w:pStyle w:val="TableContents"/>
              <w:bidi w:val="0"/>
              <w:spacing w:before="0" w:after="283"/>
              <w:jc w:val="center"/>
              <w:rPr>
                <w:b w:val="false"/>
              </w:rPr>
            </w:pPr>
            <w:r>
              <w:rPr>
                <w:b w:val="false"/>
              </w:rPr>
              <w:t>43</w:t>
            </w:r>
          </w:p>
        </w:tc>
        <w:tc>
          <w:tcPr>
            <w:tcW w:w="1970" w:type="dxa"/>
            <w:tcBorders/>
            <w:vAlign w:val="center"/>
          </w:tcPr>
          <w:p>
            <w:pPr>
              <w:pStyle w:val="TableContents"/>
              <w:bidi w:val="0"/>
              <w:spacing w:before="0" w:after="283"/>
              <w:jc w:val="center"/>
              <w:rPr>
                <w:b w:val="false"/>
              </w:rPr>
            </w:pPr>
            <w:r>
              <w:rPr>
                <w:b w:val="false"/>
              </w:rPr>
              <w:t>11,372</w:t>
            </w:r>
          </w:p>
        </w:tc>
        <w:tc>
          <w:tcPr>
            <w:tcW w:w="1535" w:type="dxa"/>
            <w:tcBorders/>
            <w:vAlign w:val="center"/>
          </w:tcPr>
          <w:p>
            <w:pPr>
              <w:pStyle w:val="TableContents"/>
              <w:bidi w:val="0"/>
              <w:spacing w:before="0" w:after="283"/>
              <w:jc w:val="left"/>
              <w:rPr>
                <w:b w:val="false"/>
              </w:rPr>
            </w:pPr>
            <w:r>
              <w:rPr>
                <w:b w:val="false"/>
              </w:rPr>
              <w:t>June 14, 2030</w:t>
            </w:r>
          </w:p>
        </w:tc>
      </w:tr>
      <w:tr>
        <w:trPr/>
        <w:tc>
          <w:tcPr>
            <w:tcW w:w="1985" w:type="dxa"/>
            <w:tcBorders/>
            <w:vAlign w:val="center"/>
          </w:tcPr>
          <w:p>
            <w:pPr>
              <w:pStyle w:val="TableContents"/>
              <w:bidi w:val="0"/>
              <w:spacing w:before="0" w:after="283"/>
              <w:jc w:val="center"/>
              <w:rPr>
                <w:b w:val="false"/>
              </w:rPr>
            </w:pPr>
            <w:r>
              <w:rPr>
                <w:b w:val="false"/>
              </w:rPr>
              <w:t>44</w:t>
            </w:r>
          </w:p>
        </w:tc>
        <w:tc>
          <w:tcPr>
            <w:tcW w:w="1970" w:type="dxa"/>
            <w:tcBorders/>
            <w:vAlign w:val="center"/>
          </w:tcPr>
          <w:p>
            <w:pPr>
              <w:pStyle w:val="TableContents"/>
              <w:bidi w:val="0"/>
              <w:spacing w:before="0" w:after="283"/>
              <w:jc w:val="center"/>
              <w:rPr>
                <w:b w:val="false"/>
              </w:rPr>
            </w:pPr>
            <w:r>
              <w:rPr>
                <w:b w:val="false"/>
              </w:rPr>
              <w:t>11,372</w:t>
            </w:r>
          </w:p>
        </w:tc>
        <w:tc>
          <w:tcPr>
            <w:tcW w:w="1535" w:type="dxa"/>
            <w:tcBorders/>
            <w:vAlign w:val="center"/>
          </w:tcPr>
          <w:p>
            <w:pPr>
              <w:pStyle w:val="TableContents"/>
              <w:bidi w:val="0"/>
              <w:spacing w:before="0" w:after="283"/>
              <w:jc w:val="left"/>
              <w:rPr>
                <w:b w:val="false"/>
              </w:rPr>
            </w:pPr>
            <w:r>
              <w:rPr>
                <w:b w:val="false"/>
              </w:rPr>
              <w:t>June 17, 2030</w:t>
            </w:r>
          </w:p>
        </w:tc>
      </w:tr>
      <w:tr>
        <w:trPr/>
        <w:tc>
          <w:tcPr>
            <w:tcW w:w="1985" w:type="dxa"/>
            <w:tcBorders/>
            <w:vAlign w:val="center"/>
          </w:tcPr>
          <w:p>
            <w:pPr>
              <w:pStyle w:val="TableContents"/>
              <w:bidi w:val="0"/>
              <w:spacing w:before="0" w:after="283"/>
              <w:jc w:val="center"/>
              <w:rPr>
                <w:b w:val="false"/>
              </w:rPr>
            </w:pPr>
            <w:r>
              <w:rPr>
                <w:b w:val="false"/>
              </w:rPr>
              <w:t>45</w:t>
            </w:r>
          </w:p>
        </w:tc>
        <w:tc>
          <w:tcPr>
            <w:tcW w:w="1970" w:type="dxa"/>
            <w:tcBorders/>
            <w:vAlign w:val="center"/>
          </w:tcPr>
          <w:p>
            <w:pPr>
              <w:pStyle w:val="TableContents"/>
              <w:bidi w:val="0"/>
              <w:spacing w:before="0" w:after="283"/>
              <w:jc w:val="center"/>
              <w:rPr>
                <w:b w:val="false"/>
              </w:rPr>
            </w:pPr>
            <w:r>
              <w:rPr>
                <w:b w:val="false"/>
              </w:rPr>
              <w:t>11,372</w:t>
            </w:r>
          </w:p>
        </w:tc>
        <w:tc>
          <w:tcPr>
            <w:tcW w:w="1535" w:type="dxa"/>
            <w:tcBorders/>
            <w:vAlign w:val="center"/>
          </w:tcPr>
          <w:p>
            <w:pPr>
              <w:pStyle w:val="TableContents"/>
              <w:bidi w:val="0"/>
              <w:spacing w:before="0" w:after="283"/>
              <w:jc w:val="left"/>
              <w:rPr>
                <w:b w:val="false"/>
              </w:rPr>
            </w:pPr>
            <w:r>
              <w:rPr>
                <w:b w:val="false"/>
              </w:rPr>
              <w:t>June 18, 2030</w:t>
            </w:r>
          </w:p>
        </w:tc>
      </w:tr>
      <w:tr>
        <w:trPr/>
        <w:tc>
          <w:tcPr>
            <w:tcW w:w="1985" w:type="dxa"/>
            <w:tcBorders/>
            <w:vAlign w:val="center"/>
          </w:tcPr>
          <w:p>
            <w:pPr>
              <w:pStyle w:val="TableContents"/>
              <w:bidi w:val="0"/>
              <w:spacing w:before="0" w:after="283"/>
              <w:jc w:val="center"/>
              <w:rPr>
                <w:b w:val="false"/>
              </w:rPr>
            </w:pPr>
            <w:r>
              <w:rPr>
                <w:b w:val="false"/>
              </w:rPr>
              <w:t>46</w:t>
            </w:r>
          </w:p>
        </w:tc>
        <w:tc>
          <w:tcPr>
            <w:tcW w:w="1970" w:type="dxa"/>
            <w:tcBorders/>
            <w:vAlign w:val="center"/>
          </w:tcPr>
          <w:p>
            <w:pPr>
              <w:pStyle w:val="TableContents"/>
              <w:bidi w:val="0"/>
              <w:spacing w:before="0" w:after="283"/>
              <w:jc w:val="center"/>
              <w:rPr>
                <w:b w:val="false"/>
              </w:rPr>
            </w:pPr>
            <w:r>
              <w:rPr>
                <w:b w:val="false"/>
              </w:rPr>
              <w:t>11,372</w:t>
            </w:r>
          </w:p>
        </w:tc>
        <w:tc>
          <w:tcPr>
            <w:tcW w:w="1535" w:type="dxa"/>
            <w:tcBorders/>
            <w:vAlign w:val="center"/>
          </w:tcPr>
          <w:p>
            <w:pPr>
              <w:pStyle w:val="TableContents"/>
              <w:bidi w:val="0"/>
              <w:spacing w:before="0" w:after="283"/>
              <w:jc w:val="left"/>
              <w:rPr>
                <w:b w:val="false"/>
              </w:rPr>
            </w:pPr>
            <w:r>
              <w:rPr>
                <w:b w:val="false"/>
              </w:rPr>
              <w:t>June 20, 2030</w:t>
            </w:r>
          </w:p>
        </w:tc>
      </w:tr>
      <w:tr>
        <w:trPr/>
        <w:tc>
          <w:tcPr>
            <w:tcW w:w="1985" w:type="dxa"/>
            <w:tcBorders/>
            <w:vAlign w:val="center"/>
          </w:tcPr>
          <w:p>
            <w:pPr>
              <w:pStyle w:val="TableContents"/>
              <w:bidi w:val="0"/>
              <w:spacing w:before="0" w:after="283"/>
              <w:jc w:val="center"/>
              <w:rPr>
                <w:b w:val="false"/>
              </w:rPr>
            </w:pPr>
            <w:r>
              <w:rPr>
                <w:b w:val="false"/>
              </w:rPr>
              <w:t>47</w:t>
            </w:r>
          </w:p>
        </w:tc>
        <w:tc>
          <w:tcPr>
            <w:tcW w:w="1970" w:type="dxa"/>
            <w:tcBorders/>
            <w:vAlign w:val="center"/>
          </w:tcPr>
          <w:p>
            <w:pPr>
              <w:pStyle w:val="TableContents"/>
              <w:bidi w:val="0"/>
              <w:spacing w:before="0" w:after="283"/>
              <w:jc w:val="center"/>
              <w:rPr>
                <w:b w:val="false"/>
              </w:rPr>
            </w:pPr>
            <w:r>
              <w:rPr>
                <w:b w:val="false"/>
              </w:rPr>
              <w:t>11,372</w:t>
            </w:r>
          </w:p>
        </w:tc>
        <w:tc>
          <w:tcPr>
            <w:tcW w:w="1535" w:type="dxa"/>
            <w:tcBorders/>
            <w:vAlign w:val="center"/>
          </w:tcPr>
          <w:p>
            <w:pPr>
              <w:pStyle w:val="TableContents"/>
              <w:bidi w:val="0"/>
              <w:spacing w:before="0" w:after="283"/>
              <w:jc w:val="left"/>
              <w:rPr>
                <w:b w:val="false"/>
              </w:rPr>
            </w:pPr>
            <w:r>
              <w:rPr>
                <w:b w:val="false"/>
              </w:rPr>
              <w:t>June 21, 2030</w:t>
            </w:r>
          </w:p>
        </w:tc>
      </w:tr>
      <w:tr>
        <w:trPr/>
        <w:tc>
          <w:tcPr>
            <w:tcW w:w="1985" w:type="dxa"/>
            <w:tcBorders/>
            <w:vAlign w:val="center"/>
          </w:tcPr>
          <w:p>
            <w:pPr>
              <w:pStyle w:val="TableContents"/>
              <w:bidi w:val="0"/>
              <w:spacing w:before="0" w:after="283"/>
              <w:jc w:val="center"/>
              <w:rPr>
                <w:b w:val="false"/>
              </w:rPr>
            </w:pPr>
            <w:r>
              <w:rPr>
                <w:b w:val="false"/>
              </w:rPr>
              <w:t>48</w:t>
            </w:r>
          </w:p>
        </w:tc>
        <w:tc>
          <w:tcPr>
            <w:tcW w:w="1970" w:type="dxa"/>
            <w:tcBorders/>
            <w:vAlign w:val="center"/>
          </w:tcPr>
          <w:p>
            <w:pPr>
              <w:pStyle w:val="TableContents"/>
              <w:bidi w:val="0"/>
              <w:spacing w:before="0" w:after="283"/>
              <w:jc w:val="center"/>
              <w:rPr>
                <w:b w:val="false"/>
              </w:rPr>
            </w:pPr>
            <w:r>
              <w:rPr>
                <w:b w:val="false"/>
              </w:rPr>
              <w:t>11,372</w:t>
            </w:r>
          </w:p>
        </w:tc>
        <w:tc>
          <w:tcPr>
            <w:tcW w:w="1535" w:type="dxa"/>
            <w:tcBorders/>
            <w:vAlign w:val="center"/>
          </w:tcPr>
          <w:p>
            <w:pPr>
              <w:pStyle w:val="TableContents"/>
              <w:bidi w:val="0"/>
              <w:spacing w:before="0" w:after="283"/>
              <w:jc w:val="left"/>
              <w:rPr>
                <w:b w:val="false"/>
              </w:rPr>
            </w:pPr>
            <w:r>
              <w:rPr>
                <w:b w:val="false"/>
              </w:rPr>
              <w:t>June 24, 2030</w:t>
            </w:r>
          </w:p>
        </w:tc>
      </w:tr>
      <w:tr>
        <w:trPr/>
        <w:tc>
          <w:tcPr>
            <w:tcW w:w="1985" w:type="dxa"/>
            <w:tcBorders/>
            <w:vAlign w:val="center"/>
          </w:tcPr>
          <w:p>
            <w:pPr>
              <w:pStyle w:val="TableContents"/>
              <w:bidi w:val="0"/>
              <w:spacing w:before="0" w:after="283"/>
              <w:jc w:val="center"/>
              <w:rPr>
                <w:b w:val="false"/>
              </w:rPr>
            </w:pPr>
            <w:r>
              <w:rPr>
                <w:b w:val="false"/>
              </w:rPr>
              <w:t>49</w:t>
            </w:r>
          </w:p>
        </w:tc>
        <w:tc>
          <w:tcPr>
            <w:tcW w:w="1970" w:type="dxa"/>
            <w:tcBorders/>
            <w:vAlign w:val="center"/>
          </w:tcPr>
          <w:p>
            <w:pPr>
              <w:pStyle w:val="TableContents"/>
              <w:bidi w:val="0"/>
              <w:spacing w:before="0" w:after="283"/>
              <w:jc w:val="center"/>
              <w:rPr>
                <w:b w:val="false"/>
              </w:rPr>
            </w:pPr>
            <w:r>
              <w:rPr>
                <w:b w:val="false"/>
              </w:rPr>
              <w:t>11,372</w:t>
            </w:r>
          </w:p>
        </w:tc>
        <w:tc>
          <w:tcPr>
            <w:tcW w:w="1535" w:type="dxa"/>
            <w:tcBorders/>
            <w:vAlign w:val="center"/>
          </w:tcPr>
          <w:p>
            <w:pPr>
              <w:pStyle w:val="TableContents"/>
              <w:bidi w:val="0"/>
              <w:spacing w:before="0" w:after="283"/>
              <w:jc w:val="left"/>
              <w:rPr>
                <w:b w:val="false"/>
              </w:rPr>
            </w:pPr>
            <w:r>
              <w:rPr>
                <w:b w:val="false"/>
              </w:rPr>
              <w:t xml:space="preserve">June 25, 2030 </w:t>
            </w:r>
          </w:p>
        </w:tc>
      </w:tr>
      <w:tr>
        <w:trPr/>
        <w:tc>
          <w:tcPr>
            <w:tcW w:w="1985" w:type="dxa"/>
            <w:tcBorders/>
            <w:vAlign w:val="center"/>
          </w:tcPr>
          <w:p>
            <w:pPr>
              <w:pStyle w:val="TableContents"/>
              <w:bidi w:val="0"/>
              <w:spacing w:before="0" w:after="283"/>
              <w:jc w:val="center"/>
              <w:rPr/>
            </w:pPr>
            <w:r>
              <w:rPr/>
              <w:t> </w:t>
            </w:r>
          </w:p>
        </w:tc>
        <w:tc>
          <w:tcPr>
            <w:tcW w:w="19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2955" w:type="dxa"/>
        <w:jc w:val="left"/>
        <w:tblInd w:w="0" w:type="dxa"/>
        <w:tblLayout w:type="fixed"/>
        <w:tblCellMar>
          <w:top w:w="0" w:type="dxa"/>
          <w:left w:w="0" w:type="dxa"/>
          <w:bottom w:w="0" w:type="dxa"/>
          <w:right w:w="0" w:type="dxa"/>
        </w:tblCellMar>
      </w:tblPr>
      <w:tblGrid>
        <w:gridCol w:w="395"/>
        <w:gridCol w:w="680"/>
        <w:gridCol w:w="1880"/>
      </w:tblGrid>
      <w:tr>
        <w:trPr/>
        <w:tc>
          <w:tcPr>
            <w:tcW w:w="395" w:type="dxa"/>
            <w:tcBorders/>
            <w:vAlign w:val="center"/>
          </w:tcPr>
          <w:p>
            <w:pPr>
              <w:pStyle w:val="TableContents"/>
              <w:bidi w:val="0"/>
              <w:spacing w:before="0" w:after="283"/>
              <w:jc w:val="center"/>
              <w:rPr>
                <w:b w:val="false"/>
              </w:rPr>
            </w:pPr>
            <w:r>
              <w:rPr>
                <w:b w:val="false"/>
              </w:rPr>
              <w:t>50</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June 26, 2030</w:t>
            </w:r>
          </w:p>
        </w:tc>
      </w:tr>
      <w:tr>
        <w:trPr/>
        <w:tc>
          <w:tcPr>
            <w:tcW w:w="395" w:type="dxa"/>
            <w:tcBorders/>
            <w:vAlign w:val="center"/>
          </w:tcPr>
          <w:p>
            <w:pPr>
              <w:pStyle w:val="TableContents"/>
              <w:bidi w:val="0"/>
              <w:spacing w:before="0" w:after="283"/>
              <w:jc w:val="center"/>
              <w:rPr>
                <w:b w:val="false"/>
              </w:rPr>
            </w:pPr>
            <w:r>
              <w:rPr>
                <w:b w:val="false"/>
              </w:rPr>
              <w:t>51</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June 27, 2030</w:t>
            </w:r>
          </w:p>
        </w:tc>
      </w:tr>
      <w:tr>
        <w:trPr/>
        <w:tc>
          <w:tcPr>
            <w:tcW w:w="395" w:type="dxa"/>
            <w:tcBorders/>
            <w:vAlign w:val="center"/>
          </w:tcPr>
          <w:p>
            <w:pPr>
              <w:pStyle w:val="TableContents"/>
              <w:bidi w:val="0"/>
              <w:spacing w:before="0" w:after="283"/>
              <w:jc w:val="center"/>
              <w:rPr>
                <w:b w:val="false"/>
              </w:rPr>
            </w:pPr>
            <w:r>
              <w:rPr>
                <w:b w:val="false"/>
              </w:rPr>
              <w:t>52</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June 28, 2030</w:t>
            </w:r>
          </w:p>
        </w:tc>
      </w:tr>
      <w:tr>
        <w:trPr/>
        <w:tc>
          <w:tcPr>
            <w:tcW w:w="395" w:type="dxa"/>
            <w:tcBorders/>
            <w:vAlign w:val="center"/>
          </w:tcPr>
          <w:p>
            <w:pPr>
              <w:pStyle w:val="TableContents"/>
              <w:bidi w:val="0"/>
              <w:spacing w:before="0" w:after="283"/>
              <w:jc w:val="center"/>
              <w:rPr>
                <w:b w:val="false"/>
              </w:rPr>
            </w:pPr>
            <w:r>
              <w:rPr>
                <w:b w:val="false"/>
              </w:rPr>
              <w:t>53</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1, 2030</w:t>
            </w:r>
          </w:p>
        </w:tc>
      </w:tr>
      <w:tr>
        <w:trPr/>
        <w:tc>
          <w:tcPr>
            <w:tcW w:w="395" w:type="dxa"/>
            <w:tcBorders/>
            <w:vAlign w:val="center"/>
          </w:tcPr>
          <w:p>
            <w:pPr>
              <w:pStyle w:val="TableContents"/>
              <w:bidi w:val="0"/>
              <w:spacing w:before="0" w:after="283"/>
              <w:jc w:val="center"/>
              <w:rPr>
                <w:b w:val="false"/>
              </w:rPr>
            </w:pPr>
            <w:r>
              <w:rPr>
                <w:b w:val="false"/>
              </w:rPr>
              <w:t>54</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2, 2030</w:t>
            </w:r>
          </w:p>
        </w:tc>
      </w:tr>
      <w:tr>
        <w:trPr/>
        <w:tc>
          <w:tcPr>
            <w:tcW w:w="395" w:type="dxa"/>
            <w:tcBorders/>
            <w:vAlign w:val="center"/>
          </w:tcPr>
          <w:p>
            <w:pPr>
              <w:pStyle w:val="TableContents"/>
              <w:bidi w:val="0"/>
              <w:spacing w:before="0" w:after="283"/>
              <w:jc w:val="center"/>
              <w:rPr>
                <w:b w:val="false"/>
              </w:rPr>
            </w:pPr>
            <w:r>
              <w:rPr>
                <w:b w:val="false"/>
              </w:rPr>
              <w:t>55</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3, 2030</w:t>
            </w:r>
          </w:p>
        </w:tc>
      </w:tr>
      <w:tr>
        <w:trPr/>
        <w:tc>
          <w:tcPr>
            <w:tcW w:w="395" w:type="dxa"/>
            <w:tcBorders/>
            <w:vAlign w:val="center"/>
          </w:tcPr>
          <w:p>
            <w:pPr>
              <w:pStyle w:val="TableContents"/>
              <w:bidi w:val="0"/>
              <w:spacing w:before="0" w:after="283"/>
              <w:jc w:val="center"/>
              <w:rPr>
                <w:b w:val="false"/>
              </w:rPr>
            </w:pPr>
            <w:r>
              <w:rPr>
                <w:b w:val="false"/>
              </w:rPr>
              <w:t>56</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5, 2030</w:t>
            </w:r>
          </w:p>
        </w:tc>
      </w:tr>
      <w:tr>
        <w:trPr/>
        <w:tc>
          <w:tcPr>
            <w:tcW w:w="395" w:type="dxa"/>
            <w:tcBorders/>
            <w:vAlign w:val="center"/>
          </w:tcPr>
          <w:p>
            <w:pPr>
              <w:pStyle w:val="TableContents"/>
              <w:bidi w:val="0"/>
              <w:spacing w:before="0" w:after="283"/>
              <w:jc w:val="center"/>
              <w:rPr>
                <w:b w:val="false"/>
              </w:rPr>
            </w:pPr>
            <w:r>
              <w:rPr>
                <w:b w:val="false"/>
              </w:rPr>
              <w:t>57</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8, 2030</w:t>
            </w:r>
          </w:p>
        </w:tc>
      </w:tr>
      <w:tr>
        <w:trPr/>
        <w:tc>
          <w:tcPr>
            <w:tcW w:w="395" w:type="dxa"/>
            <w:tcBorders/>
            <w:vAlign w:val="center"/>
          </w:tcPr>
          <w:p>
            <w:pPr>
              <w:pStyle w:val="TableContents"/>
              <w:bidi w:val="0"/>
              <w:spacing w:before="0" w:after="283"/>
              <w:jc w:val="center"/>
              <w:rPr>
                <w:b w:val="false"/>
              </w:rPr>
            </w:pPr>
            <w:r>
              <w:rPr>
                <w:b w:val="false"/>
              </w:rPr>
              <w:t>58</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9, 2030</w:t>
            </w:r>
          </w:p>
        </w:tc>
      </w:tr>
      <w:tr>
        <w:trPr/>
        <w:tc>
          <w:tcPr>
            <w:tcW w:w="395" w:type="dxa"/>
            <w:tcBorders/>
            <w:vAlign w:val="center"/>
          </w:tcPr>
          <w:p>
            <w:pPr>
              <w:pStyle w:val="TableContents"/>
              <w:bidi w:val="0"/>
              <w:spacing w:before="0" w:after="283"/>
              <w:jc w:val="center"/>
              <w:rPr>
                <w:b w:val="false"/>
              </w:rPr>
            </w:pPr>
            <w:r>
              <w:rPr>
                <w:b w:val="false"/>
              </w:rPr>
              <w:t>59</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10, 2030</w:t>
            </w:r>
          </w:p>
        </w:tc>
      </w:tr>
      <w:tr>
        <w:trPr/>
        <w:tc>
          <w:tcPr>
            <w:tcW w:w="395" w:type="dxa"/>
            <w:tcBorders/>
            <w:vAlign w:val="center"/>
          </w:tcPr>
          <w:p>
            <w:pPr>
              <w:pStyle w:val="TableContents"/>
              <w:bidi w:val="0"/>
              <w:spacing w:before="0" w:after="283"/>
              <w:jc w:val="center"/>
              <w:rPr>
                <w:b w:val="false"/>
              </w:rPr>
            </w:pPr>
            <w:r>
              <w:rPr>
                <w:b w:val="false"/>
              </w:rPr>
              <w:t>60</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11, 2030</w:t>
            </w:r>
          </w:p>
        </w:tc>
      </w:tr>
      <w:tr>
        <w:trPr/>
        <w:tc>
          <w:tcPr>
            <w:tcW w:w="395" w:type="dxa"/>
            <w:tcBorders/>
            <w:vAlign w:val="center"/>
          </w:tcPr>
          <w:p>
            <w:pPr>
              <w:pStyle w:val="TableContents"/>
              <w:bidi w:val="0"/>
              <w:spacing w:before="0" w:after="283"/>
              <w:jc w:val="center"/>
              <w:rPr>
                <w:b w:val="false"/>
              </w:rPr>
            </w:pPr>
            <w:r>
              <w:rPr>
                <w:b w:val="false"/>
              </w:rPr>
              <w:t>61</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12, 2030</w:t>
            </w:r>
          </w:p>
        </w:tc>
      </w:tr>
      <w:tr>
        <w:trPr/>
        <w:tc>
          <w:tcPr>
            <w:tcW w:w="395" w:type="dxa"/>
            <w:tcBorders/>
            <w:vAlign w:val="center"/>
          </w:tcPr>
          <w:p>
            <w:pPr>
              <w:pStyle w:val="TableContents"/>
              <w:bidi w:val="0"/>
              <w:spacing w:before="0" w:after="283"/>
              <w:jc w:val="center"/>
              <w:rPr>
                <w:b w:val="false"/>
              </w:rPr>
            </w:pPr>
            <w:r>
              <w:rPr>
                <w:b w:val="false"/>
              </w:rPr>
              <w:t>62</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15, 2030</w:t>
            </w:r>
          </w:p>
        </w:tc>
      </w:tr>
      <w:tr>
        <w:trPr/>
        <w:tc>
          <w:tcPr>
            <w:tcW w:w="395" w:type="dxa"/>
            <w:tcBorders/>
            <w:vAlign w:val="center"/>
          </w:tcPr>
          <w:p>
            <w:pPr>
              <w:pStyle w:val="TableContents"/>
              <w:bidi w:val="0"/>
              <w:spacing w:before="0" w:after="283"/>
              <w:jc w:val="center"/>
              <w:rPr>
                <w:b w:val="false"/>
              </w:rPr>
            </w:pPr>
            <w:r>
              <w:rPr>
                <w:b w:val="false"/>
              </w:rPr>
              <w:t>63</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16, 2030</w:t>
            </w:r>
          </w:p>
        </w:tc>
      </w:tr>
      <w:tr>
        <w:trPr/>
        <w:tc>
          <w:tcPr>
            <w:tcW w:w="395" w:type="dxa"/>
            <w:tcBorders/>
            <w:vAlign w:val="center"/>
          </w:tcPr>
          <w:p>
            <w:pPr>
              <w:pStyle w:val="TableContents"/>
              <w:bidi w:val="0"/>
              <w:spacing w:before="0" w:after="283"/>
              <w:jc w:val="center"/>
              <w:rPr>
                <w:b w:val="false"/>
              </w:rPr>
            </w:pPr>
            <w:r>
              <w:rPr>
                <w:b w:val="false"/>
              </w:rPr>
              <w:t>64</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17, 2030</w:t>
            </w:r>
          </w:p>
        </w:tc>
      </w:tr>
      <w:tr>
        <w:trPr/>
        <w:tc>
          <w:tcPr>
            <w:tcW w:w="395" w:type="dxa"/>
            <w:tcBorders/>
            <w:vAlign w:val="center"/>
          </w:tcPr>
          <w:p>
            <w:pPr>
              <w:pStyle w:val="TableContents"/>
              <w:bidi w:val="0"/>
              <w:spacing w:before="0" w:after="283"/>
              <w:jc w:val="center"/>
              <w:rPr>
                <w:b w:val="false"/>
              </w:rPr>
            </w:pPr>
            <w:r>
              <w:rPr>
                <w:b w:val="false"/>
              </w:rPr>
              <w:t>65</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18, 2030</w:t>
            </w:r>
          </w:p>
        </w:tc>
      </w:tr>
      <w:tr>
        <w:trPr/>
        <w:tc>
          <w:tcPr>
            <w:tcW w:w="395" w:type="dxa"/>
            <w:tcBorders/>
            <w:vAlign w:val="center"/>
          </w:tcPr>
          <w:p>
            <w:pPr>
              <w:pStyle w:val="TableContents"/>
              <w:bidi w:val="0"/>
              <w:spacing w:before="0" w:after="283"/>
              <w:jc w:val="center"/>
              <w:rPr>
                <w:b w:val="false"/>
              </w:rPr>
            </w:pPr>
            <w:r>
              <w:rPr>
                <w:b w:val="false"/>
              </w:rPr>
              <w:t>66</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19, 2030</w:t>
            </w:r>
          </w:p>
        </w:tc>
      </w:tr>
      <w:tr>
        <w:trPr/>
        <w:tc>
          <w:tcPr>
            <w:tcW w:w="395" w:type="dxa"/>
            <w:tcBorders/>
            <w:vAlign w:val="center"/>
          </w:tcPr>
          <w:p>
            <w:pPr>
              <w:pStyle w:val="TableContents"/>
              <w:bidi w:val="0"/>
              <w:spacing w:before="0" w:after="283"/>
              <w:jc w:val="center"/>
              <w:rPr>
                <w:b w:val="false"/>
              </w:rPr>
            </w:pPr>
            <w:r>
              <w:rPr>
                <w:b w:val="false"/>
              </w:rPr>
              <w:t>67</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22, 2030</w:t>
            </w:r>
          </w:p>
        </w:tc>
      </w:tr>
      <w:tr>
        <w:trPr/>
        <w:tc>
          <w:tcPr>
            <w:tcW w:w="395" w:type="dxa"/>
            <w:tcBorders/>
            <w:vAlign w:val="center"/>
          </w:tcPr>
          <w:p>
            <w:pPr>
              <w:pStyle w:val="TableContents"/>
              <w:bidi w:val="0"/>
              <w:spacing w:before="0" w:after="283"/>
              <w:jc w:val="center"/>
              <w:rPr>
                <w:b w:val="false"/>
              </w:rPr>
            </w:pPr>
            <w:r>
              <w:rPr>
                <w:b w:val="false"/>
              </w:rPr>
              <w:t>68</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23, 2030</w:t>
            </w:r>
          </w:p>
        </w:tc>
      </w:tr>
      <w:tr>
        <w:trPr/>
        <w:tc>
          <w:tcPr>
            <w:tcW w:w="395" w:type="dxa"/>
            <w:tcBorders/>
            <w:vAlign w:val="center"/>
          </w:tcPr>
          <w:p>
            <w:pPr>
              <w:pStyle w:val="TableContents"/>
              <w:bidi w:val="0"/>
              <w:spacing w:before="0" w:after="283"/>
              <w:jc w:val="center"/>
              <w:rPr>
                <w:b w:val="false"/>
              </w:rPr>
            </w:pPr>
            <w:r>
              <w:rPr>
                <w:b w:val="false"/>
              </w:rPr>
              <w:t>69</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24, 2030</w:t>
            </w:r>
          </w:p>
        </w:tc>
      </w:tr>
      <w:tr>
        <w:trPr/>
        <w:tc>
          <w:tcPr>
            <w:tcW w:w="395" w:type="dxa"/>
            <w:tcBorders/>
            <w:vAlign w:val="center"/>
          </w:tcPr>
          <w:p>
            <w:pPr>
              <w:pStyle w:val="TableContents"/>
              <w:bidi w:val="0"/>
              <w:spacing w:before="0" w:after="283"/>
              <w:jc w:val="center"/>
              <w:rPr>
                <w:b w:val="false"/>
              </w:rPr>
            </w:pPr>
            <w:r>
              <w:rPr>
                <w:b w:val="false"/>
              </w:rPr>
              <w:t>70</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25, 2030</w:t>
            </w:r>
          </w:p>
        </w:tc>
      </w:tr>
      <w:tr>
        <w:trPr/>
        <w:tc>
          <w:tcPr>
            <w:tcW w:w="395" w:type="dxa"/>
            <w:tcBorders/>
            <w:vAlign w:val="center"/>
          </w:tcPr>
          <w:p>
            <w:pPr>
              <w:pStyle w:val="TableContents"/>
              <w:bidi w:val="0"/>
              <w:spacing w:before="0" w:after="283"/>
              <w:jc w:val="center"/>
              <w:rPr>
                <w:b w:val="false"/>
              </w:rPr>
            </w:pPr>
            <w:r>
              <w:rPr>
                <w:b w:val="false"/>
              </w:rPr>
              <w:t>71</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26, 2030</w:t>
            </w:r>
          </w:p>
        </w:tc>
      </w:tr>
      <w:tr>
        <w:trPr/>
        <w:tc>
          <w:tcPr>
            <w:tcW w:w="395" w:type="dxa"/>
            <w:tcBorders/>
            <w:vAlign w:val="center"/>
          </w:tcPr>
          <w:p>
            <w:pPr>
              <w:pStyle w:val="TableContents"/>
              <w:bidi w:val="0"/>
              <w:spacing w:before="0" w:after="283"/>
              <w:jc w:val="center"/>
              <w:rPr>
                <w:b w:val="false"/>
              </w:rPr>
            </w:pPr>
            <w:r>
              <w:rPr>
                <w:b w:val="false"/>
              </w:rPr>
              <w:t>72</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29, 2030</w:t>
            </w:r>
          </w:p>
        </w:tc>
      </w:tr>
      <w:tr>
        <w:trPr/>
        <w:tc>
          <w:tcPr>
            <w:tcW w:w="395" w:type="dxa"/>
            <w:tcBorders/>
            <w:vAlign w:val="center"/>
          </w:tcPr>
          <w:p>
            <w:pPr>
              <w:pStyle w:val="TableContents"/>
              <w:bidi w:val="0"/>
              <w:spacing w:before="0" w:after="283"/>
              <w:jc w:val="center"/>
              <w:rPr>
                <w:b w:val="false"/>
              </w:rPr>
            </w:pPr>
            <w:r>
              <w:rPr>
                <w:b w:val="false"/>
              </w:rPr>
              <w:t>73</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30, 2030</w:t>
            </w:r>
          </w:p>
        </w:tc>
      </w:tr>
      <w:tr>
        <w:trPr/>
        <w:tc>
          <w:tcPr>
            <w:tcW w:w="395" w:type="dxa"/>
            <w:tcBorders/>
            <w:vAlign w:val="center"/>
          </w:tcPr>
          <w:p>
            <w:pPr>
              <w:pStyle w:val="TableContents"/>
              <w:bidi w:val="0"/>
              <w:spacing w:before="0" w:after="283"/>
              <w:jc w:val="center"/>
              <w:rPr>
                <w:b w:val="false"/>
              </w:rPr>
            </w:pPr>
            <w:r>
              <w:rPr>
                <w:b w:val="false"/>
              </w:rPr>
              <w:t>74</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July 31, 2030</w:t>
            </w:r>
          </w:p>
        </w:tc>
      </w:tr>
      <w:tr>
        <w:trPr/>
        <w:tc>
          <w:tcPr>
            <w:tcW w:w="395" w:type="dxa"/>
            <w:tcBorders/>
            <w:vAlign w:val="center"/>
          </w:tcPr>
          <w:p>
            <w:pPr>
              <w:pStyle w:val="TableContents"/>
              <w:bidi w:val="0"/>
              <w:spacing w:before="0" w:after="283"/>
              <w:jc w:val="center"/>
              <w:rPr>
                <w:b w:val="false"/>
              </w:rPr>
            </w:pPr>
            <w:r>
              <w:rPr>
                <w:b w:val="false"/>
              </w:rPr>
              <w:t>75</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1, 2030</w:t>
            </w:r>
          </w:p>
        </w:tc>
      </w:tr>
      <w:tr>
        <w:trPr/>
        <w:tc>
          <w:tcPr>
            <w:tcW w:w="395" w:type="dxa"/>
            <w:tcBorders/>
            <w:vAlign w:val="center"/>
          </w:tcPr>
          <w:p>
            <w:pPr>
              <w:pStyle w:val="TableContents"/>
              <w:bidi w:val="0"/>
              <w:spacing w:before="0" w:after="283"/>
              <w:jc w:val="center"/>
              <w:rPr>
                <w:b w:val="false"/>
              </w:rPr>
            </w:pPr>
            <w:r>
              <w:rPr>
                <w:b w:val="false"/>
              </w:rPr>
              <w:t>76</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2, 2030</w:t>
            </w:r>
          </w:p>
        </w:tc>
      </w:tr>
      <w:tr>
        <w:trPr/>
        <w:tc>
          <w:tcPr>
            <w:tcW w:w="395" w:type="dxa"/>
            <w:tcBorders/>
            <w:vAlign w:val="center"/>
          </w:tcPr>
          <w:p>
            <w:pPr>
              <w:pStyle w:val="TableContents"/>
              <w:bidi w:val="0"/>
              <w:spacing w:before="0" w:after="283"/>
              <w:jc w:val="center"/>
              <w:rPr>
                <w:b w:val="false"/>
              </w:rPr>
            </w:pPr>
            <w:r>
              <w:rPr>
                <w:b w:val="false"/>
              </w:rPr>
              <w:t>77</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5, 2030</w:t>
            </w:r>
          </w:p>
        </w:tc>
      </w:tr>
      <w:tr>
        <w:trPr/>
        <w:tc>
          <w:tcPr>
            <w:tcW w:w="395" w:type="dxa"/>
            <w:tcBorders/>
            <w:vAlign w:val="center"/>
          </w:tcPr>
          <w:p>
            <w:pPr>
              <w:pStyle w:val="TableContents"/>
              <w:bidi w:val="0"/>
              <w:spacing w:before="0" w:after="283"/>
              <w:jc w:val="center"/>
              <w:rPr>
                <w:b w:val="false"/>
              </w:rPr>
            </w:pPr>
            <w:r>
              <w:rPr>
                <w:b w:val="false"/>
              </w:rPr>
              <w:t>78</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6, 2030</w:t>
            </w:r>
          </w:p>
        </w:tc>
      </w:tr>
      <w:tr>
        <w:trPr/>
        <w:tc>
          <w:tcPr>
            <w:tcW w:w="395" w:type="dxa"/>
            <w:tcBorders/>
            <w:vAlign w:val="center"/>
          </w:tcPr>
          <w:p>
            <w:pPr>
              <w:pStyle w:val="TableContents"/>
              <w:bidi w:val="0"/>
              <w:spacing w:before="0" w:after="283"/>
              <w:jc w:val="center"/>
              <w:rPr>
                <w:b w:val="false"/>
              </w:rPr>
            </w:pPr>
            <w:r>
              <w:rPr>
                <w:b w:val="false"/>
              </w:rPr>
              <w:t>79</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7, 2030</w:t>
            </w:r>
          </w:p>
        </w:tc>
      </w:tr>
      <w:tr>
        <w:trPr/>
        <w:tc>
          <w:tcPr>
            <w:tcW w:w="395" w:type="dxa"/>
            <w:tcBorders/>
            <w:vAlign w:val="center"/>
          </w:tcPr>
          <w:p>
            <w:pPr>
              <w:pStyle w:val="TableContents"/>
              <w:bidi w:val="0"/>
              <w:spacing w:before="0" w:after="283"/>
              <w:jc w:val="center"/>
              <w:rPr>
                <w:b w:val="false"/>
              </w:rPr>
            </w:pPr>
            <w:r>
              <w:rPr>
                <w:b w:val="false"/>
              </w:rPr>
              <w:t>80</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8, 2030</w:t>
            </w:r>
          </w:p>
        </w:tc>
      </w:tr>
      <w:tr>
        <w:trPr/>
        <w:tc>
          <w:tcPr>
            <w:tcW w:w="395" w:type="dxa"/>
            <w:tcBorders/>
            <w:vAlign w:val="center"/>
          </w:tcPr>
          <w:p>
            <w:pPr>
              <w:pStyle w:val="TableContents"/>
              <w:bidi w:val="0"/>
              <w:spacing w:before="0" w:after="283"/>
              <w:jc w:val="center"/>
              <w:rPr>
                <w:b w:val="false"/>
              </w:rPr>
            </w:pPr>
            <w:r>
              <w:rPr>
                <w:b w:val="false"/>
              </w:rPr>
              <w:t>81</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9, 2030</w:t>
            </w:r>
          </w:p>
        </w:tc>
      </w:tr>
      <w:tr>
        <w:trPr/>
        <w:tc>
          <w:tcPr>
            <w:tcW w:w="395" w:type="dxa"/>
            <w:tcBorders/>
            <w:vAlign w:val="center"/>
          </w:tcPr>
          <w:p>
            <w:pPr>
              <w:pStyle w:val="TableContents"/>
              <w:bidi w:val="0"/>
              <w:spacing w:before="0" w:after="283"/>
              <w:jc w:val="center"/>
              <w:rPr>
                <w:b w:val="false"/>
              </w:rPr>
            </w:pPr>
            <w:r>
              <w:rPr>
                <w:b w:val="false"/>
              </w:rPr>
              <w:t>82</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12, 2030</w:t>
            </w:r>
          </w:p>
        </w:tc>
      </w:tr>
      <w:tr>
        <w:trPr/>
        <w:tc>
          <w:tcPr>
            <w:tcW w:w="395" w:type="dxa"/>
            <w:tcBorders/>
            <w:vAlign w:val="center"/>
          </w:tcPr>
          <w:p>
            <w:pPr>
              <w:pStyle w:val="TableContents"/>
              <w:bidi w:val="0"/>
              <w:spacing w:before="0" w:after="283"/>
              <w:jc w:val="center"/>
              <w:rPr>
                <w:b w:val="false"/>
              </w:rPr>
            </w:pPr>
            <w:r>
              <w:rPr>
                <w:b w:val="false"/>
              </w:rPr>
              <w:t>83</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13, 2030</w:t>
            </w:r>
          </w:p>
        </w:tc>
      </w:tr>
      <w:tr>
        <w:trPr/>
        <w:tc>
          <w:tcPr>
            <w:tcW w:w="395" w:type="dxa"/>
            <w:tcBorders/>
            <w:vAlign w:val="center"/>
          </w:tcPr>
          <w:p>
            <w:pPr>
              <w:pStyle w:val="TableContents"/>
              <w:bidi w:val="0"/>
              <w:spacing w:before="0" w:after="283"/>
              <w:jc w:val="center"/>
              <w:rPr>
                <w:b w:val="false"/>
              </w:rPr>
            </w:pPr>
            <w:r>
              <w:rPr>
                <w:b w:val="false"/>
              </w:rPr>
              <w:t>84</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14, 2030</w:t>
            </w:r>
          </w:p>
        </w:tc>
      </w:tr>
      <w:tr>
        <w:trPr/>
        <w:tc>
          <w:tcPr>
            <w:tcW w:w="395" w:type="dxa"/>
            <w:tcBorders/>
            <w:vAlign w:val="center"/>
          </w:tcPr>
          <w:p>
            <w:pPr>
              <w:pStyle w:val="TableContents"/>
              <w:bidi w:val="0"/>
              <w:spacing w:before="0" w:after="283"/>
              <w:jc w:val="center"/>
              <w:rPr>
                <w:b w:val="false"/>
              </w:rPr>
            </w:pPr>
            <w:r>
              <w:rPr>
                <w:b w:val="false"/>
              </w:rPr>
              <w:t>85</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15, 2030</w:t>
            </w:r>
          </w:p>
        </w:tc>
      </w:tr>
      <w:tr>
        <w:trPr/>
        <w:tc>
          <w:tcPr>
            <w:tcW w:w="395" w:type="dxa"/>
            <w:tcBorders/>
            <w:vAlign w:val="center"/>
          </w:tcPr>
          <w:p>
            <w:pPr>
              <w:pStyle w:val="TableContents"/>
              <w:bidi w:val="0"/>
              <w:spacing w:before="0" w:after="283"/>
              <w:jc w:val="center"/>
              <w:rPr>
                <w:b w:val="false"/>
              </w:rPr>
            </w:pPr>
            <w:r>
              <w:rPr>
                <w:b w:val="false"/>
              </w:rPr>
              <w:t>86</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16, 2030</w:t>
            </w:r>
          </w:p>
        </w:tc>
      </w:tr>
      <w:tr>
        <w:trPr/>
        <w:tc>
          <w:tcPr>
            <w:tcW w:w="395" w:type="dxa"/>
            <w:tcBorders/>
            <w:vAlign w:val="center"/>
          </w:tcPr>
          <w:p>
            <w:pPr>
              <w:pStyle w:val="TableContents"/>
              <w:bidi w:val="0"/>
              <w:spacing w:before="0" w:after="283"/>
              <w:jc w:val="center"/>
              <w:rPr>
                <w:b w:val="false"/>
              </w:rPr>
            </w:pPr>
            <w:r>
              <w:rPr>
                <w:b w:val="false"/>
              </w:rPr>
              <w:t>87</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19, 2030</w:t>
            </w:r>
          </w:p>
        </w:tc>
      </w:tr>
      <w:tr>
        <w:trPr/>
        <w:tc>
          <w:tcPr>
            <w:tcW w:w="395" w:type="dxa"/>
            <w:tcBorders/>
            <w:vAlign w:val="center"/>
          </w:tcPr>
          <w:p>
            <w:pPr>
              <w:pStyle w:val="TableContents"/>
              <w:bidi w:val="0"/>
              <w:spacing w:before="0" w:after="283"/>
              <w:jc w:val="center"/>
              <w:rPr>
                <w:b w:val="false"/>
              </w:rPr>
            </w:pPr>
            <w:r>
              <w:rPr>
                <w:b w:val="false"/>
              </w:rPr>
              <w:t>88</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20, 2030</w:t>
            </w:r>
          </w:p>
        </w:tc>
      </w:tr>
      <w:tr>
        <w:trPr/>
        <w:tc>
          <w:tcPr>
            <w:tcW w:w="395" w:type="dxa"/>
            <w:tcBorders/>
            <w:vAlign w:val="center"/>
          </w:tcPr>
          <w:p>
            <w:pPr>
              <w:pStyle w:val="TableContents"/>
              <w:bidi w:val="0"/>
              <w:spacing w:before="0" w:after="283"/>
              <w:jc w:val="center"/>
              <w:rPr>
                <w:b w:val="false"/>
              </w:rPr>
            </w:pPr>
            <w:r>
              <w:rPr>
                <w:b w:val="false"/>
              </w:rPr>
              <w:t>89</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21, 2030</w:t>
            </w:r>
          </w:p>
        </w:tc>
      </w:tr>
      <w:tr>
        <w:trPr/>
        <w:tc>
          <w:tcPr>
            <w:tcW w:w="395" w:type="dxa"/>
            <w:tcBorders/>
            <w:vAlign w:val="center"/>
          </w:tcPr>
          <w:p>
            <w:pPr>
              <w:pStyle w:val="TableContents"/>
              <w:bidi w:val="0"/>
              <w:spacing w:before="0" w:after="283"/>
              <w:jc w:val="center"/>
              <w:rPr>
                <w:b w:val="false"/>
              </w:rPr>
            </w:pPr>
            <w:r>
              <w:rPr>
                <w:b w:val="false"/>
              </w:rPr>
              <w:t>90</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22, 2030</w:t>
            </w:r>
          </w:p>
        </w:tc>
      </w:tr>
      <w:tr>
        <w:trPr/>
        <w:tc>
          <w:tcPr>
            <w:tcW w:w="395" w:type="dxa"/>
            <w:tcBorders/>
            <w:vAlign w:val="center"/>
          </w:tcPr>
          <w:p>
            <w:pPr>
              <w:pStyle w:val="TableContents"/>
              <w:bidi w:val="0"/>
              <w:spacing w:before="0" w:after="283"/>
              <w:jc w:val="center"/>
              <w:rPr>
                <w:b w:val="false"/>
              </w:rPr>
            </w:pPr>
            <w:r>
              <w:rPr>
                <w:b w:val="false"/>
              </w:rPr>
              <w:t>91</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23, 2030</w:t>
            </w:r>
          </w:p>
        </w:tc>
      </w:tr>
      <w:tr>
        <w:trPr/>
        <w:tc>
          <w:tcPr>
            <w:tcW w:w="395" w:type="dxa"/>
            <w:tcBorders/>
            <w:vAlign w:val="center"/>
          </w:tcPr>
          <w:p>
            <w:pPr>
              <w:pStyle w:val="TableContents"/>
              <w:bidi w:val="0"/>
              <w:spacing w:before="0" w:after="283"/>
              <w:jc w:val="center"/>
              <w:rPr>
                <w:b w:val="false"/>
              </w:rPr>
            </w:pPr>
            <w:r>
              <w:rPr>
                <w:b w:val="false"/>
              </w:rPr>
              <w:t>92</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26, 2030</w:t>
            </w:r>
          </w:p>
        </w:tc>
      </w:tr>
      <w:tr>
        <w:trPr/>
        <w:tc>
          <w:tcPr>
            <w:tcW w:w="395" w:type="dxa"/>
            <w:tcBorders/>
            <w:vAlign w:val="center"/>
          </w:tcPr>
          <w:p>
            <w:pPr>
              <w:pStyle w:val="TableContents"/>
              <w:bidi w:val="0"/>
              <w:spacing w:before="0" w:after="283"/>
              <w:jc w:val="center"/>
              <w:rPr>
                <w:b w:val="false"/>
              </w:rPr>
            </w:pPr>
            <w:r>
              <w:rPr>
                <w:b w:val="false"/>
              </w:rPr>
              <w:t>93</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27, 2030</w:t>
            </w:r>
          </w:p>
        </w:tc>
      </w:tr>
      <w:tr>
        <w:trPr/>
        <w:tc>
          <w:tcPr>
            <w:tcW w:w="395" w:type="dxa"/>
            <w:tcBorders/>
            <w:vAlign w:val="center"/>
          </w:tcPr>
          <w:p>
            <w:pPr>
              <w:pStyle w:val="TableContents"/>
              <w:bidi w:val="0"/>
              <w:spacing w:before="0" w:after="283"/>
              <w:jc w:val="center"/>
              <w:rPr>
                <w:b w:val="false"/>
              </w:rPr>
            </w:pPr>
            <w:r>
              <w:rPr>
                <w:b w:val="false"/>
              </w:rPr>
              <w:t>94</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28, 2030</w:t>
            </w:r>
          </w:p>
        </w:tc>
      </w:tr>
      <w:tr>
        <w:trPr/>
        <w:tc>
          <w:tcPr>
            <w:tcW w:w="395" w:type="dxa"/>
            <w:tcBorders/>
            <w:vAlign w:val="center"/>
          </w:tcPr>
          <w:p>
            <w:pPr>
              <w:pStyle w:val="TableContents"/>
              <w:bidi w:val="0"/>
              <w:spacing w:before="0" w:after="283"/>
              <w:jc w:val="center"/>
              <w:rPr>
                <w:b w:val="false"/>
              </w:rPr>
            </w:pPr>
            <w:r>
              <w:rPr>
                <w:b w:val="false"/>
              </w:rPr>
              <w:t>95</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29, 2030</w:t>
            </w:r>
          </w:p>
        </w:tc>
      </w:tr>
      <w:tr>
        <w:trPr/>
        <w:tc>
          <w:tcPr>
            <w:tcW w:w="395" w:type="dxa"/>
            <w:tcBorders/>
            <w:vAlign w:val="center"/>
          </w:tcPr>
          <w:p>
            <w:pPr>
              <w:pStyle w:val="TableContents"/>
              <w:bidi w:val="0"/>
              <w:spacing w:before="0" w:after="283"/>
              <w:jc w:val="center"/>
              <w:rPr>
                <w:b w:val="false"/>
              </w:rPr>
            </w:pPr>
            <w:r>
              <w:rPr>
                <w:b w:val="false"/>
              </w:rPr>
              <w:t>96</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August 30, 2030</w:t>
            </w:r>
          </w:p>
        </w:tc>
      </w:tr>
      <w:tr>
        <w:trPr/>
        <w:tc>
          <w:tcPr>
            <w:tcW w:w="395" w:type="dxa"/>
            <w:tcBorders/>
            <w:vAlign w:val="center"/>
          </w:tcPr>
          <w:p>
            <w:pPr>
              <w:pStyle w:val="TableContents"/>
              <w:bidi w:val="0"/>
              <w:spacing w:before="0" w:after="283"/>
              <w:jc w:val="center"/>
              <w:rPr>
                <w:b w:val="false"/>
              </w:rPr>
            </w:pPr>
            <w:r>
              <w:rPr>
                <w:b w:val="false"/>
              </w:rPr>
              <w:t>97</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September 3, 2030</w:t>
            </w:r>
          </w:p>
        </w:tc>
      </w:tr>
      <w:tr>
        <w:trPr/>
        <w:tc>
          <w:tcPr>
            <w:tcW w:w="395" w:type="dxa"/>
            <w:tcBorders/>
            <w:vAlign w:val="center"/>
          </w:tcPr>
          <w:p>
            <w:pPr>
              <w:pStyle w:val="TableContents"/>
              <w:bidi w:val="0"/>
              <w:spacing w:before="0" w:after="283"/>
              <w:jc w:val="center"/>
              <w:rPr>
                <w:b w:val="false"/>
              </w:rPr>
            </w:pPr>
            <w:r>
              <w:rPr>
                <w:b w:val="false"/>
              </w:rPr>
              <w:t>98</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September 4, 2030</w:t>
            </w:r>
          </w:p>
        </w:tc>
      </w:tr>
      <w:tr>
        <w:trPr/>
        <w:tc>
          <w:tcPr>
            <w:tcW w:w="395" w:type="dxa"/>
            <w:tcBorders/>
            <w:vAlign w:val="center"/>
          </w:tcPr>
          <w:p>
            <w:pPr>
              <w:pStyle w:val="TableContents"/>
              <w:bidi w:val="0"/>
              <w:spacing w:before="0" w:after="283"/>
              <w:jc w:val="center"/>
              <w:rPr>
                <w:b w:val="false"/>
              </w:rPr>
            </w:pPr>
            <w:r>
              <w:rPr>
                <w:b w:val="false"/>
              </w:rPr>
              <w:t>99</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September 5, 2030</w:t>
            </w:r>
          </w:p>
        </w:tc>
      </w:tr>
      <w:tr>
        <w:trPr/>
        <w:tc>
          <w:tcPr>
            <w:tcW w:w="395" w:type="dxa"/>
            <w:tcBorders/>
            <w:vAlign w:val="center"/>
          </w:tcPr>
          <w:p>
            <w:pPr>
              <w:pStyle w:val="TableContents"/>
              <w:bidi w:val="0"/>
              <w:spacing w:before="0" w:after="283"/>
              <w:jc w:val="center"/>
              <w:rPr>
                <w:b w:val="false"/>
              </w:rPr>
            </w:pPr>
            <w:r>
              <w:rPr>
                <w:b w:val="false"/>
              </w:rPr>
              <w:t>100</w:t>
            </w:r>
          </w:p>
        </w:tc>
        <w:tc>
          <w:tcPr>
            <w:tcW w:w="680" w:type="dxa"/>
            <w:tcBorders/>
            <w:vAlign w:val="center"/>
          </w:tcPr>
          <w:p>
            <w:pPr>
              <w:pStyle w:val="TableContents"/>
              <w:bidi w:val="0"/>
              <w:spacing w:before="0" w:after="283"/>
              <w:jc w:val="center"/>
              <w:rPr>
                <w:b w:val="false"/>
              </w:rPr>
            </w:pPr>
            <w:r>
              <w:rPr>
                <w:b w:val="false"/>
              </w:rPr>
              <w:t>11,372</w:t>
            </w:r>
          </w:p>
        </w:tc>
        <w:tc>
          <w:tcPr>
            <w:tcW w:w="1880" w:type="dxa"/>
            <w:tcBorders/>
            <w:vAlign w:val="center"/>
          </w:tcPr>
          <w:p>
            <w:pPr>
              <w:pStyle w:val="TableContents"/>
              <w:bidi w:val="0"/>
              <w:spacing w:before="0" w:after="283"/>
              <w:jc w:val="left"/>
              <w:rPr>
                <w:b w:val="false"/>
              </w:rPr>
            </w:pPr>
            <w:r>
              <w:rPr>
                <w:b w:val="false"/>
              </w:rPr>
              <w:t xml:space="preserve">September 6, 2030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0" w:name="tm243871d1_ex10-9.htm"/>
      <w:bookmarkStart w:id="41" w:name="kstm243871d1_ex109"/>
      <w:bookmarkEnd w:id="40"/>
      <w:bookmarkEnd w:id="4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Montreal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Bloor Street West,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M4W 1A5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Transaction</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575"/>
        <w:gridCol w:w="2975"/>
      </w:tblGrid>
      <w:tr>
        <w:trPr/>
        <w:tc>
          <w:tcPr>
            <w:tcW w:w="575" w:type="dxa"/>
            <w:tcBorders/>
            <w:vAlign w:val="center"/>
          </w:tcPr>
          <w:p>
            <w:pPr>
              <w:pStyle w:val="TableContents"/>
              <w:bidi w:val="0"/>
              <w:spacing w:before="0" w:after="283"/>
              <w:jc w:val="left"/>
              <w:rPr>
                <w:b/>
                <w:sz w:val="20"/>
              </w:rPr>
            </w:pPr>
            <w:r>
              <w:rPr>
                <w:b/>
                <w:sz w:val="20"/>
              </w:rPr>
              <w:t>To:</w:t>
            </w:r>
          </w:p>
        </w:tc>
        <w:tc>
          <w:tcPr>
            <w:tcW w:w="2975" w:type="dxa"/>
            <w:tcBorders/>
            <w:vAlign w:val="center"/>
          </w:tcPr>
          <w:p>
            <w:pPr>
              <w:pStyle w:val="TableContents"/>
              <w:bidi w:val="0"/>
              <w:spacing w:before="0" w:after="283"/>
              <w:jc w:val="left"/>
              <w:rPr/>
            </w:pPr>
            <w:r>
              <w:rPr/>
              <w:t xml:space="preserve">Winnebago Industries, Inc. </w:t>
              <w:br/>
              <w:t xml:space="preserve">13200 Pioneer Trail </w:t>
              <w:br/>
              <w:t>Eden Prairie, Minnesota 55347</w:t>
            </w:r>
          </w:p>
        </w:tc>
      </w:tr>
      <w:tr>
        <w:trPr/>
        <w:tc>
          <w:tcPr>
            <w:tcW w:w="5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From:</w:t>
            </w:r>
          </w:p>
        </w:tc>
        <w:tc>
          <w:tcPr>
            <w:tcW w:w="2975" w:type="dxa"/>
            <w:tcBorders/>
            <w:vAlign w:val="center"/>
          </w:tcPr>
          <w:p>
            <w:pPr>
              <w:pStyle w:val="TableContents"/>
              <w:bidi w:val="0"/>
              <w:spacing w:before="0" w:after="283"/>
              <w:jc w:val="left"/>
              <w:rPr>
                <w:sz w:val="20"/>
              </w:rPr>
            </w:pPr>
            <w:r>
              <w:rPr>
                <w:sz w:val="20"/>
              </w:rPr>
              <w:t>Bank of Montreal</w:t>
            </w:r>
          </w:p>
        </w:tc>
      </w:tr>
      <w:tr>
        <w:trPr/>
        <w:tc>
          <w:tcPr>
            <w:tcW w:w="5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Re:</w:t>
            </w:r>
          </w:p>
        </w:tc>
        <w:tc>
          <w:tcPr>
            <w:tcW w:w="2975" w:type="dxa"/>
            <w:tcBorders/>
            <w:vAlign w:val="center"/>
          </w:tcPr>
          <w:p>
            <w:pPr>
              <w:pStyle w:val="TableContents"/>
              <w:bidi w:val="0"/>
              <w:spacing w:before="0" w:after="283"/>
              <w:jc w:val="left"/>
              <w:rPr>
                <w:sz w:val="20"/>
              </w:rPr>
            </w:pPr>
            <w:r>
              <w:rPr>
                <w:sz w:val="20"/>
              </w:rPr>
              <w:t>Base Issuer Warrant Transaction</w:t>
            </w:r>
          </w:p>
        </w:tc>
      </w:tr>
      <w:tr>
        <w:trPr/>
        <w:tc>
          <w:tcPr>
            <w:tcW w:w="575"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Date:</w:t>
            </w:r>
          </w:p>
        </w:tc>
        <w:tc>
          <w:tcPr>
            <w:tcW w:w="2975" w:type="dxa"/>
            <w:tcBorders/>
            <w:vAlign w:val="center"/>
          </w:tcPr>
          <w:p>
            <w:pPr>
              <w:pStyle w:val="TableContents"/>
              <w:bidi w:val="0"/>
              <w:spacing w:before="0" w:after="283"/>
              <w:jc w:val="left"/>
              <w:rPr>
                <w:sz w:val="20"/>
              </w:rPr>
            </w:pPr>
            <w:r>
              <w:rPr>
                <w:sz w:val="20"/>
              </w:rPr>
              <w:t>January 18, 2024</w:t>
            </w:r>
          </w:p>
        </w:tc>
      </w:tr>
      <w:tr>
        <w:trPr/>
        <w:tc>
          <w:tcPr>
            <w:tcW w:w="575" w:type="dxa"/>
            <w:tcBorders>
              <w:bottom w:val="single" w:sz="8" w:space="0" w:color="000000"/>
            </w:tcBorders>
            <w:tcMar>
              <w:bottom w:w="28" w:type="dxa"/>
            </w:tcMar>
            <w:vAlign w:val="center"/>
          </w:tcPr>
          <w:p>
            <w:pPr>
              <w:pStyle w:val="TableContents"/>
              <w:bidi w:val="0"/>
              <w:spacing w:before="0" w:after="283"/>
              <w:jc w:val="left"/>
              <w:rPr/>
            </w:pPr>
            <w:r>
              <w:rPr/>
              <w:t> </w:t>
            </w:r>
          </w:p>
        </w:tc>
        <w:tc>
          <w:tcPr>
            <w:tcW w:w="2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communication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set forth the terms and conditions of the above-referenced transaction entered into on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between Bank of Montreal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Winnebago Industries, Inc.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Dealer is acting as principal in this Transaction and BMO Capital Markets Corp.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its affiliate, is acting as agent for this Transaction solely in connection with Rule 15a-6 of the Exchange Act (as defined herein), as amended. This communication constitutes a “Confirmation” as referred to in the Agreement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Confirmation is subject to, and incorporates, the definitions and provisions of the 2006 ISDA Definitions (the “</w:t>
      </w:r>
      <w:r>
        <w:rPr>
          <w:rFonts w:ascii="Times New Roman;Times;Serif" w:hAnsi="Times New Roman;Times;Serif"/>
          <w:b/>
          <w:i w:val="false"/>
          <w:caps w:val="false"/>
          <w:smallCaps w:val="false"/>
          <w:sz w:val="20"/>
        </w:rPr>
        <w:t>2006 Definitions</w:t>
      </w:r>
      <w:r>
        <w:rPr>
          <w:rFonts w:ascii="Times New Roman;Times;Serif" w:hAnsi="Times New Roman;Times;Serif"/>
          <w:b w:val="false"/>
          <w:i w:val="false"/>
          <w:caps w:val="false"/>
          <w:smallCaps w:val="false"/>
          <w:sz w:val="20"/>
        </w:rPr>
        <w:t>”) and the definitions and provisions of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together with the 2006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For purposes of the Equity Definitions, each reference herein to a Warrant shall be deemed to be a reference to a Call Option or an Option, as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evidences a complete and binding agreement between Dealer and Counterparty as to the terms of the Transaction to which this Confirmation relates. This Confirmation shall be subject to an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as the Termination Currency, (ii) the replacement of the word “third” in the last line of Section 5(a)(i) of the Agreement with the word “first” and (iii) (a) the election that the “Cross Default” provisions of Section 5(a)(vi) of the Agreement shall apply to Counterparty with a “Threshold Amount” of USD35.0 million), (b)  (b) </w:t>
      </w:r>
      <w:r>
        <w:rPr>
          <w:rFonts w:ascii="Times New Roman;Times;Serif" w:hAnsi="Times New Roman;Times;Serif"/>
          <w:b w:val="false"/>
          <w:i w:val="false"/>
          <w:caps w:val="false"/>
          <w:smallCaps w:val="false"/>
          <w:sz w:val="20"/>
          <w:shd w:fill="FFFFFF" w:val="clear"/>
        </w:rPr>
        <w:t> the phrase “,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is a Warrant Transaction, which shall be considered a Share Option Transaction for purposes of the Equity Definitions. The terms of the particular Transaction to which this Confirmation relates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Terms: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6"/>
        <w:gridCol w:w="8869"/>
      </w:tblGrid>
      <w:tr>
        <w:trPr/>
        <w:tc>
          <w:tcPr>
            <w:tcW w:w="1336" w:type="dxa"/>
            <w:tcBorders/>
            <w:vAlign w:val="center"/>
          </w:tcPr>
          <w:p>
            <w:pPr>
              <w:pStyle w:val="TableContents"/>
              <w:bidi w:val="0"/>
              <w:spacing w:before="0" w:after="283"/>
              <w:jc w:val="left"/>
              <w:rPr/>
            </w:pPr>
            <w:r>
              <w:rPr/>
              <w:t>Trade Date:</w:t>
            </w:r>
          </w:p>
        </w:tc>
        <w:tc>
          <w:tcPr>
            <w:tcW w:w="8869" w:type="dxa"/>
            <w:tcBorders/>
            <w:vAlign w:val="center"/>
          </w:tcPr>
          <w:p>
            <w:pPr>
              <w:pStyle w:val="TableContents"/>
              <w:bidi w:val="0"/>
              <w:spacing w:before="0" w:after="283"/>
              <w:jc w:val="both"/>
              <w:rPr/>
            </w:pPr>
            <w:r>
              <w:rPr/>
              <w:t>January 18, 2023</w:t>
            </w:r>
          </w:p>
        </w:tc>
      </w:tr>
      <w:tr>
        <w:trPr/>
        <w:tc>
          <w:tcPr>
            <w:tcW w:w="1336"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both"/>
              <w:rPr/>
            </w:pPr>
            <w:r>
              <w:rPr/>
              <w:t> </w:t>
            </w:r>
          </w:p>
        </w:tc>
      </w:tr>
      <w:tr>
        <w:trPr/>
        <w:tc>
          <w:tcPr>
            <w:tcW w:w="1336" w:type="dxa"/>
            <w:tcBorders/>
            <w:vAlign w:val="center"/>
          </w:tcPr>
          <w:p>
            <w:pPr>
              <w:pStyle w:val="TableContents"/>
              <w:bidi w:val="0"/>
              <w:spacing w:before="0" w:after="283"/>
              <w:jc w:val="left"/>
              <w:rPr/>
            </w:pPr>
            <w:r>
              <w:rPr/>
              <w:t>Effective Date:</w:t>
            </w:r>
          </w:p>
        </w:tc>
        <w:tc>
          <w:tcPr>
            <w:tcW w:w="8869" w:type="dxa"/>
            <w:tcBorders/>
            <w:vAlign w:val="center"/>
          </w:tcPr>
          <w:p>
            <w:pPr>
              <w:pStyle w:val="TableContents"/>
              <w:bidi w:val="0"/>
              <w:spacing w:before="0" w:after="283"/>
              <w:jc w:val="both"/>
              <w:rPr/>
            </w:pPr>
            <w:r>
              <w:rPr/>
              <w:t>January 23, 2023, or such other date as agreed between the parties, subject to Section 8(l) below</w:t>
            </w:r>
          </w:p>
        </w:tc>
      </w:tr>
      <w:tr>
        <w:trPr/>
        <w:tc>
          <w:tcPr>
            <w:tcW w:w="1336"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both"/>
              <w:rPr/>
            </w:pPr>
            <w:r>
              <w:rPr/>
              <w:t> </w:t>
            </w:r>
          </w:p>
        </w:tc>
      </w:tr>
      <w:tr>
        <w:trPr/>
        <w:tc>
          <w:tcPr>
            <w:tcW w:w="1336" w:type="dxa"/>
            <w:tcBorders/>
            <w:vAlign w:val="center"/>
          </w:tcPr>
          <w:p>
            <w:pPr>
              <w:pStyle w:val="TableContents"/>
              <w:bidi w:val="0"/>
              <w:spacing w:before="0" w:after="283"/>
              <w:jc w:val="left"/>
              <w:rPr/>
            </w:pPr>
            <w:r>
              <w:rPr/>
              <w:t>Components:</w:t>
            </w:r>
          </w:p>
        </w:tc>
        <w:tc>
          <w:tcPr>
            <w:tcW w:w="8869" w:type="dxa"/>
            <w:tcBorders/>
            <w:vAlign w:val="center"/>
          </w:tcPr>
          <w:p>
            <w:pPr>
              <w:pStyle w:val="TableContents"/>
              <w:bidi w:val="0"/>
              <w:spacing w:before="0" w:after="283"/>
              <w:jc w:val="both"/>
              <w:rPr/>
            </w:pPr>
            <w:r>
              <w:rPr/>
              <w:t>The Transaction will be divided into individual Components, each with the terms set forth in this Confirmation, and, in particular, with the Number of Warrants and Expiration Date set forth in this Confirmation. The payments and deliveries to be made upon settlement of the Transaction will be determined separately for each Component as if each Component were a separate Transaction under the Agreement.</w:t>
            </w:r>
          </w:p>
        </w:tc>
      </w:tr>
      <w:tr>
        <w:trPr/>
        <w:tc>
          <w:tcPr>
            <w:tcW w:w="1336" w:type="dxa"/>
            <w:tcBorders/>
            <w:vAlign w:val="center"/>
          </w:tcPr>
          <w:p>
            <w:pPr>
              <w:pStyle w:val="TableContents"/>
              <w:bidi w:val="0"/>
              <w:spacing w:before="0" w:after="283"/>
              <w:jc w:val="left"/>
              <w:rPr>
                <w:sz w:val="20"/>
              </w:rPr>
            </w:pPr>
            <w:r>
              <w:rPr>
                <w:sz w:val="20"/>
              </w:rPr>
              <w:t>Warrant Style:</w:t>
            </w:r>
          </w:p>
        </w:tc>
        <w:tc>
          <w:tcPr>
            <w:tcW w:w="8869" w:type="dxa"/>
            <w:tcBorders/>
            <w:vAlign w:val="center"/>
          </w:tcPr>
          <w:p>
            <w:pPr>
              <w:pStyle w:val="TableContents"/>
              <w:bidi w:val="0"/>
              <w:spacing w:before="0" w:after="283"/>
              <w:jc w:val="left"/>
              <w:rPr>
                <w:sz w:val="20"/>
              </w:rPr>
            </w:pPr>
            <w:r>
              <w:rPr>
                <w:sz w:val="20"/>
              </w:rPr>
              <w:t>European</w:t>
            </w:r>
          </w:p>
        </w:tc>
      </w:tr>
      <w:tr>
        <w:trPr/>
        <w:tc>
          <w:tcPr>
            <w:tcW w:w="1336"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left"/>
              <w:rPr/>
            </w:pPr>
            <w:r>
              <w:rPr/>
              <w:t> </w:t>
            </w:r>
          </w:p>
        </w:tc>
      </w:tr>
      <w:tr>
        <w:trPr/>
        <w:tc>
          <w:tcPr>
            <w:tcW w:w="1336" w:type="dxa"/>
            <w:tcBorders/>
            <w:vAlign w:val="center"/>
          </w:tcPr>
          <w:p>
            <w:pPr>
              <w:pStyle w:val="TableContents"/>
              <w:bidi w:val="0"/>
              <w:spacing w:before="0" w:after="283"/>
              <w:jc w:val="left"/>
              <w:rPr>
                <w:sz w:val="20"/>
              </w:rPr>
            </w:pPr>
            <w:r>
              <w:rPr>
                <w:sz w:val="20"/>
              </w:rPr>
              <w:t>Warrant Type:</w:t>
            </w:r>
          </w:p>
        </w:tc>
        <w:tc>
          <w:tcPr>
            <w:tcW w:w="8869" w:type="dxa"/>
            <w:tcBorders/>
            <w:vAlign w:val="center"/>
          </w:tcPr>
          <w:p>
            <w:pPr>
              <w:pStyle w:val="TableContents"/>
              <w:bidi w:val="0"/>
              <w:spacing w:before="0" w:after="283"/>
              <w:jc w:val="left"/>
              <w:rPr>
                <w:sz w:val="20"/>
              </w:rPr>
            </w:pPr>
            <w:r>
              <w:rPr>
                <w:sz w:val="20"/>
              </w:rPr>
              <w:t>Call</w:t>
            </w:r>
          </w:p>
        </w:tc>
      </w:tr>
      <w:tr>
        <w:trPr/>
        <w:tc>
          <w:tcPr>
            <w:tcW w:w="1336"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both"/>
              <w:rPr/>
            </w:pPr>
            <w:r>
              <w:rPr/>
              <w:t> </w:t>
            </w:r>
          </w:p>
        </w:tc>
      </w:tr>
      <w:tr>
        <w:trPr/>
        <w:tc>
          <w:tcPr>
            <w:tcW w:w="1336" w:type="dxa"/>
            <w:tcBorders/>
            <w:vAlign w:val="center"/>
          </w:tcPr>
          <w:p>
            <w:pPr>
              <w:pStyle w:val="TableContents"/>
              <w:bidi w:val="0"/>
              <w:spacing w:before="0" w:after="283"/>
              <w:jc w:val="left"/>
              <w:rPr/>
            </w:pPr>
            <w:r>
              <w:rPr/>
              <w:t>Seller:</w:t>
            </w:r>
          </w:p>
        </w:tc>
        <w:tc>
          <w:tcPr>
            <w:tcW w:w="8869" w:type="dxa"/>
            <w:tcBorders/>
            <w:vAlign w:val="center"/>
          </w:tcPr>
          <w:p>
            <w:pPr>
              <w:pStyle w:val="TableContents"/>
              <w:bidi w:val="0"/>
              <w:spacing w:before="0" w:after="283"/>
              <w:jc w:val="both"/>
              <w:rPr/>
            </w:pPr>
            <w:r>
              <w:rPr/>
              <w:t>Counterparty</w:t>
            </w:r>
          </w:p>
        </w:tc>
      </w:tr>
      <w:tr>
        <w:trPr/>
        <w:tc>
          <w:tcPr>
            <w:tcW w:w="1336"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both"/>
              <w:rPr/>
            </w:pPr>
            <w:r>
              <w:rPr/>
              <w:t> </w:t>
            </w:r>
          </w:p>
        </w:tc>
      </w:tr>
      <w:tr>
        <w:trPr/>
        <w:tc>
          <w:tcPr>
            <w:tcW w:w="1336" w:type="dxa"/>
            <w:tcBorders/>
            <w:vAlign w:val="center"/>
          </w:tcPr>
          <w:p>
            <w:pPr>
              <w:pStyle w:val="TableContents"/>
              <w:bidi w:val="0"/>
              <w:spacing w:before="0" w:after="283"/>
              <w:jc w:val="left"/>
              <w:rPr/>
            </w:pPr>
            <w:r>
              <w:rPr/>
              <w:t>Buyer:</w:t>
            </w:r>
          </w:p>
        </w:tc>
        <w:tc>
          <w:tcPr>
            <w:tcW w:w="8869" w:type="dxa"/>
            <w:tcBorders/>
            <w:vAlign w:val="center"/>
          </w:tcPr>
          <w:p>
            <w:pPr>
              <w:pStyle w:val="TableContents"/>
              <w:bidi w:val="0"/>
              <w:spacing w:before="0" w:after="283"/>
              <w:jc w:val="both"/>
              <w:rPr/>
            </w:pPr>
            <w:r>
              <w:rPr/>
              <w:t>Dealer</w:t>
            </w:r>
          </w:p>
        </w:tc>
      </w:tr>
      <w:tr>
        <w:trPr/>
        <w:tc>
          <w:tcPr>
            <w:tcW w:w="1336"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both"/>
              <w:rPr/>
            </w:pPr>
            <w:r>
              <w:rPr/>
              <w:t> </w:t>
            </w:r>
          </w:p>
        </w:tc>
      </w:tr>
      <w:tr>
        <w:trPr/>
        <w:tc>
          <w:tcPr>
            <w:tcW w:w="1336" w:type="dxa"/>
            <w:tcBorders/>
            <w:vAlign w:val="center"/>
          </w:tcPr>
          <w:p>
            <w:pPr>
              <w:pStyle w:val="TableContents"/>
              <w:bidi w:val="0"/>
              <w:spacing w:before="0" w:after="283"/>
              <w:jc w:val="left"/>
              <w:rPr/>
            </w:pPr>
            <w:r>
              <w:rPr/>
              <w:t>Shares:</w:t>
            </w:r>
          </w:p>
        </w:tc>
        <w:tc>
          <w:tcPr>
            <w:tcW w:w="8869" w:type="dxa"/>
            <w:tcBorders/>
            <w:vAlign w:val="center"/>
          </w:tcPr>
          <w:p>
            <w:pPr>
              <w:pStyle w:val="TableContents"/>
              <w:bidi w:val="0"/>
              <w:spacing w:before="0" w:after="283"/>
              <w:jc w:val="both"/>
              <w:rPr/>
            </w:pPr>
            <w:r>
              <w:rPr/>
              <w:t>The Common Stock of Counterparty, par value USD0.50 (Ticker Symbol: “WGO”).</w:t>
            </w:r>
          </w:p>
        </w:tc>
      </w:tr>
      <w:tr>
        <w:trPr/>
        <w:tc>
          <w:tcPr>
            <w:tcW w:w="1336"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both"/>
              <w:rPr/>
            </w:pPr>
            <w:r>
              <w:rPr/>
              <w:t> </w:t>
            </w:r>
          </w:p>
        </w:tc>
      </w:tr>
      <w:tr>
        <w:trPr/>
        <w:tc>
          <w:tcPr>
            <w:tcW w:w="1336" w:type="dxa"/>
            <w:tcBorders/>
            <w:vAlign w:val="center"/>
          </w:tcPr>
          <w:p>
            <w:pPr>
              <w:pStyle w:val="TableContents"/>
              <w:bidi w:val="0"/>
              <w:spacing w:before="0" w:after="283"/>
              <w:jc w:val="left"/>
              <w:rPr>
                <w:sz w:val="20"/>
              </w:rPr>
            </w:pPr>
            <w:r>
              <w:rPr>
                <w:sz w:val="20"/>
              </w:rPr>
              <w:t>Number of Warrants:</w:t>
            </w:r>
          </w:p>
        </w:tc>
        <w:tc>
          <w:tcPr>
            <w:tcW w:w="8869" w:type="dxa"/>
            <w:tcBorders/>
            <w:vAlign w:val="center"/>
          </w:tcPr>
          <w:p>
            <w:pPr>
              <w:pStyle w:val="TableContents"/>
              <w:bidi w:val="0"/>
              <w:spacing w:before="0" w:after="283"/>
              <w:jc w:val="left"/>
              <w:rPr>
                <w:sz w:val="20"/>
              </w:rPr>
            </w:pPr>
            <w:r>
              <w:rPr>
                <w:sz w:val="20"/>
              </w:rPr>
              <w:t>For each Component, as provided in Annex A to this Confirmation.</w:t>
            </w:r>
          </w:p>
        </w:tc>
      </w:tr>
      <w:tr>
        <w:trPr/>
        <w:tc>
          <w:tcPr>
            <w:tcW w:w="1336"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left"/>
              <w:rPr/>
            </w:pPr>
            <w:r>
              <w:rPr/>
              <w:t> </w:t>
            </w:r>
          </w:p>
        </w:tc>
      </w:tr>
      <w:tr>
        <w:trPr/>
        <w:tc>
          <w:tcPr>
            <w:tcW w:w="1336" w:type="dxa"/>
            <w:tcBorders/>
            <w:vAlign w:val="center"/>
          </w:tcPr>
          <w:p>
            <w:pPr>
              <w:pStyle w:val="TableContents"/>
              <w:bidi w:val="0"/>
              <w:spacing w:before="0" w:after="283"/>
              <w:jc w:val="left"/>
              <w:rPr>
                <w:sz w:val="20"/>
              </w:rPr>
            </w:pPr>
            <w:r>
              <w:rPr>
                <w:sz w:val="20"/>
              </w:rPr>
              <w:t>Warrant Entitlement:</w:t>
            </w:r>
          </w:p>
        </w:tc>
        <w:tc>
          <w:tcPr>
            <w:tcW w:w="8869" w:type="dxa"/>
            <w:tcBorders/>
            <w:vAlign w:val="center"/>
          </w:tcPr>
          <w:p>
            <w:pPr>
              <w:pStyle w:val="TableContents"/>
              <w:bidi w:val="0"/>
              <w:spacing w:before="0" w:after="283"/>
              <w:jc w:val="left"/>
              <w:rPr>
                <w:sz w:val="20"/>
              </w:rPr>
            </w:pPr>
            <w:r>
              <w:rPr>
                <w:sz w:val="20"/>
              </w:rPr>
              <w:t>One Share per Warrant</w:t>
            </w:r>
          </w:p>
        </w:tc>
      </w:tr>
      <w:tr>
        <w:trPr/>
        <w:tc>
          <w:tcPr>
            <w:tcW w:w="1336"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left"/>
              <w:rPr/>
            </w:pPr>
            <w:r>
              <w:rPr/>
              <w:t> </w:t>
            </w:r>
          </w:p>
        </w:tc>
      </w:tr>
      <w:tr>
        <w:trPr/>
        <w:tc>
          <w:tcPr>
            <w:tcW w:w="1336" w:type="dxa"/>
            <w:tcBorders/>
            <w:vAlign w:val="center"/>
          </w:tcPr>
          <w:p>
            <w:pPr>
              <w:pStyle w:val="TableContents"/>
              <w:bidi w:val="0"/>
              <w:spacing w:before="0" w:after="283"/>
              <w:jc w:val="left"/>
              <w:rPr>
                <w:sz w:val="20"/>
              </w:rPr>
            </w:pPr>
            <w:r>
              <w:rPr>
                <w:sz w:val="20"/>
              </w:rPr>
              <w:t>Strike Price:</w:t>
            </w:r>
          </w:p>
        </w:tc>
        <w:tc>
          <w:tcPr>
            <w:tcW w:w="8869" w:type="dxa"/>
            <w:tcBorders/>
            <w:vAlign w:val="center"/>
          </w:tcPr>
          <w:p>
            <w:pPr>
              <w:pStyle w:val="TableContents"/>
              <w:bidi w:val="0"/>
              <w:spacing w:before="0" w:after="283"/>
              <w:jc w:val="left"/>
              <w:rPr>
                <w:sz w:val="20"/>
              </w:rPr>
            </w:pPr>
            <w:r>
              <w:rPr>
                <w:sz w:val="20"/>
              </w:rPr>
              <w:t>USD135.2800</w:t>
            </w:r>
          </w:p>
        </w:tc>
      </w:tr>
      <w:tr>
        <w:trPr/>
        <w:tc>
          <w:tcPr>
            <w:tcW w:w="1336"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left"/>
              <w:rPr/>
            </w:pPr>
            <w:r>
              <w:rPr/>
              <w:t> </w:t>
            </w:r>
          </w:p>
        </w:tc>
      </w:tr>
      <w:tr>
        <w:trPr/>
        <w:tc>
          <w:tcPr>
            <w:tcW w:w="1336" w:type="dxa"/>
            <w:tcBorders/>
            <w:vAlign w:val="center"/>
          </w:tcPr>
          <w:p>
            <w:pPr>
              <w:pStyle w:val="TableContents"/>
              <w:bidi w:val="0"/>
              <w:spacing w:before="0" w:after="283"/>
              <w:jc w:val="left"/>
              <w:rPr/>
            </w:pPr>
            <w:r>
              <w:rPr/>
              <w:t> </w:t>
            </w:r>
          </w:p>
        </w:tc>
        <w:tc>
          <w:tcPr>
            <w:tcW w:w="8869" w:type="dxa"/>
            <w:tcBorders/>
            <w:vAlign w:val="center"/>
          </w:tcPr>
          <w:p>
            <w:pPr>
              <w:pStyle w:val="TableContents"/>
              <w:bidi w:val="0"/>
              <w:spacing w:before="0" w:after="283"/>
              <w:jc w:val="both"/>
              <w:rPr>
                <w:sz w:val="20"/>
              </w:rPr>
            </w:pPr>
            <w:r>
              <w:rPr>
                <w:sz w:val="20"/>
              </w:rPr>
              <w:t>Notwithstanding anything to the contrary in the Agreement, this Confirmation or the Equity Definitions, in no event shall the Strike Price be subject to adjustment to the extent that, after giving effect to such adjustment, the Strike Price would be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43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9"/>
        <w:gridCol w:w="8976"/>
      </w:tblGrid>
      <w:tr>
        <w:trPr/>
        <w:tc>
          <w:tcPr>
            <w:tcW w:w="1229"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283"/>
              <w:jc w:val="both"/>
              <w:rPr/>
            </w:pPr>
            <w:r>
              <w:rPr/>
              <w:t>less than USD67.2580, except for any adjustment pursuant to the terms of this Confirmation and the Equity Definitions in connection with a stock split or similar change to Counterparty’s capitalization.</w:t>
            </w:r>
          </w:p>
        </w:tc>
      </w:tr>
      <w:tr>
        <w:trPr/>
        <w:tc>
          <w:tcPr>
            <w:tcW w:w="1229"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283"/>
              <w:jc w:val="both"/>
              <w:rPr/>
            </w:pPr>
            <w:r>
              <w:rPr/>
              <w:t> </w:t>
            </w:r>
          </w:p>
        </w:tc>
      </w:tr>
      <w:tr>
        <w:trPr/>
        <w:tc>
          <w:tcPr>
            <w:tcW w:w="1229" w:type="dxa"/>
            <w:tcBorders/>
            <w:vAlign w:val="center"/>
          </w:tcPr>
          <w:p>
            <w:pPr>
              <w:pStyle w:val="TableContents"/>
              <w:bidi w:val="0"/>
              <w:spacing w:before="0" w:after="283"/>
              <w:jc w:val="left"/>
              <w:rPr/>
            </w:pPr>
            <w:r>
              <w:rPr/>
              <w:t>Number of Shares:</w:t>
            </w:r>
          </w:p>
        </w:tc>
        <w:tc>
          <w:tcPr>
            <w:tcW w:w="8976" w:type="dxa"/>
            <w:tcBorders/>
            <w:vAlign w:val="center"/>
          </w:tcPr>
          <w:p>
            <w:pPr>
              <w:pStyle w:val="TableContents"/>
              <w:bidi w:val="0"/>
              <w:spacing w:before="0" w:after="283"/>
              <w:jc w:val="both"/>
              <w:rPr/>
            </w:pPr>
            <w:r>
              <w:rPr/>
              <w:t>As of any date, a number of Shares equal to the product of the Number of Warrants and the Warrant Entitlement.</w:t>
            </w:r>
          </w:p>
        </w:tc>
      </w:tr>
      <w:tr>
        <w:trPr/>
        <w:tc>
          <w:tcPr>
            <w:tcW w:w="1229"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283"/>
              <w:jc w:val="both"/>
              <w:rPr/>
            </w:pPr>
            <w:r>
              <w:rPr/>
              <w:t> </w:t>
            </w:r>
          </w:p>
        </w:tc>
      </w:tr>
      <w:tr>
        <w:trPr/>
        <w:tc>
          <w:tcPr>
            <w:tcW w:w="1229" w:type="dxa"/>
            <w:tcBorders/>
            <w:vAlign w:val="center"/>
          </w:tcPr>
          <w:p>
            <w:pPr>
              <w:pStyle w:val="TableContents"/>
              <w:bidi w:val="0"/>
              <w:spacing w:before="0" w:after="283"/>
              <w:jc w:val="left"/>
              <w:rPr/>
            </w:pPr>
            <w:r>
              <w:rPr/>
              <w:t>Premium:</w:t>
            </w:r>
          </w:p>
        </w:tc>
        <w:tc>
          <w:tcPr>
            <w:tcW w:w="8976" w:type="dxa"/>
            <w:tcBorders/>
            <w:vAlign w:val="center"/>
          </w:tcPr>
          <w:p>
            <w:pPr>
              <w:pStyle w:val="TableContents"/>
              <w:bidi w:val="0"/>
              <w:spacing w:before="0" w:after="283"/>
              <w:jc w:val="both"/>
              <w:rPr/>
            </w:pPr>
            <w:r>
              <w:rPr/>
              <w:t>USD8,940,000</w:t>
            </w:r>
          </w:p>
        </w:tc>
      </w:tr>
      <w:tr>
        <w:trPr/>
        <w:tc>
          <w:tcPr>
            <w:tcW w:w="1229"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283"/>
              <w:jc w:val="both"/>
              <w:rPr/>
            </w:pPr>
            <w:r>
              <w:rPr/>
              <w:t> </w:t>
            </w:r>
          </w:p>
        </w:tc>
      </w:tr>
      <w:tr>
        <w:trPr/>
        <w:tc>
          <w:tcPr>
            <w:tcW w:w="1229" w:type="dxa"/>
            <w:tcBorders/>
            <w:vAlign w:val="center"/>
          </w:tcPr>
          <w:p>
            <w:pPr>
              <w:pStyle w:val="TableContents"/>
              <w:bidi w:val="0"/>
              <w:spacing w:before="0" w:after="283"/>
              <w:jc w:val="left"/>
              <w:rPr/>
            </w:pPr>
            <w:r>
              <w:rPr/>
              <w:t>Premium Payment Date:</w:t>
            </w:r>
          </w:p>
        </w:tc>
        <w:tc>
          <w:tcPr>
            <w:tcW w:w="8976" w:type="dxa"/>
            <w:tcBorders/>
            <w:vAlign w:val="center"/>
          </w:tcPr>
          <w:p>
            <w:pPr>
              <w:pStyle w:val="TableContents"/>
              <w:bidi w:val="0"/>
              <w:spacing w:before="0" w:after="283"/>
              <w:jc w:val="both"/>
              <w:rPr/>
            </w:pPr>
            <w:r>
              <w:rPr/>
              <w:t>The Effective Date</w:t>
            </w:r>
          </w:p>
        </w:tc>
      </w:tr>
      <w:tr>
        <w:trPr/>
        <w:tc>
          <w:tcPr>
            <w:tcW w:w="1229"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283"/>
              <w:jc w:val="both"/>
              <w:rPr/>
            </w:pPr>
            <w:r>
              <w:rPr/>
              <w:t> </w:t>
            </w:r>
          </w:p>
        </w:tc>
      </w:tr>
      <w:tr>
        <w:trPr/>
        <w:tc>
          <w:tcPr>
            <w:tcW w:w="1229" w:type="dxa"/>
            <w:tcBorders/>
            <w:vAlign w:val="center"/>
          </w:tcPr>
          <w:p>
            <w:pPr>
              <w:pStyle w:val="TableContents"/>
              <w:bidi w:val="0"/>
              <w:spacing w:before="0" w:after="283"/>
              <w:jc w:val="left"/>
              <w:rPr/>
            </w:pPr>
            <w:r>
              <w:rPr/>
              <w:t>Exchange:</w:t>
            </w:r>
          </w:p>
        </w:tc>
        <w:tc>
          <w:tcPr>
            <w:tcW w:w="8976" w:type="dxa"/>
            <w:tcBorders/>
            <w:vAlign w:val="center"/>
          </w:tcPr>
          <w:p>
            <w:pPr>
              <w:pStyle w:val="TableContents"/>
              <w:bidi w:val="0"/>
              <w:spacing w:before="0" w:after="283"/>
              <w:jc w:val="both"/>
              <w:rPr/>
            </w:pPr>
            <w:r>
              <w:rPr/>
              <w:t>New York Stock Exchange</w:t>
            </w:r>
          </w:p>
        </w:tc>
      </w:tr>
      <w:tr>
        <w:trPr/>
        <w:tc>
          <w:tcPr>
            <w:tcW w:w="1229"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283"/>
              <w:jc w:val="both"/>
              <w:rPr/>
            </w:pPr>
            <w:r>
              <w:rPr/>
              <w:t> </w:t>
            </w:r>
          </w:p>
        </w:tc>
      </w:tr>
      <w:tr>
        <w:trPr/>
        <w:tc>
          <w:tcPr>
            <w:tcW w:w="1229" w:type="dxa"/>
            <w:tcBorders/>
            <w:vAlign w:val="center"/>
          </w:tcPr>
          <w:p>
            <w:pPr>
              <w:pStyle w:val="TableContents"/>
              <w:bidi w:val="0"/>
              <w:spacing w:before="0" w:after="283"/>
              <w:jc w:val="left"/>
              <w:rPr/>
            </w:pPr>
            <w:r>
              <w:rPr/>
              <w:t>Related Exchange:</w:t>
            </w:r>
          </w:p>
        </w:tc>
        <w:tc>
          <w:tcPr>
            <w:tcW w:w="8976" w:type="dxa"/>
            <w:tcBorders/>
            <w:vAlign w:val="center"/>
          </w:tcPr>
          <w:p>
            <w:pPr>
              <w:pStyle w:val="TableContents"/>
              <w:bidi w:val="0"/>
              <w:spacing w:before="0" w:after="283"/>
              <w:jc w:val="both"/>
              <w:rPr/>
            </w:pPr>
            <w:r>
              <w:rPr/>
              <w:t>All Exchanges</w:t>
            </w:r>
          </w:p>
        </w:tc>
      </w:tr>
      <w:tr>
        <w:trPr/>
        <w:tc>
          <w:tcPr>
            <w:tcW w:w="1229"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283"/>
              <w:jc w:val="both"/>
              <w:rPr/>
            </w:pPr>
            <w:r>
              <w:rPr/>
              <w:t> </w:t>
            </w:r>
          </w:p>
        </w:tc>
      </w:tr>
      <w:tr>
        <w:trPr/>
        <w:tc>
          <w:tcPr>
            <w:tcW w:w="1229" w:type="dxa"/>
            <w:tcBorders/>
            <w:vAlign w:val="center"/>
          </w:tcPr>
          <w:p>
            <w:pPr>
              <w:pStyle w:val="TableContents"/>
              <w:bidi w:val="0"/>
              <w:spacing w:before="0" w:after="283"/>
              <w:jc w:val="left"/>
              <w:rPr/>
            </w:pPr>
            <w:r>
              <w:rPr/>
              <w:t>Procedures for Exercise:</w:t>
            </w:r>
          </w:p>
        </w:tc>
        <w:tc>
          <w:tcPr>
            <w:tcW w:w="8976" w:type="dxa"/>
            <w:tcBorders/>
            <w:vAlign w:val="center"/>
          </w:tcPr>
          <w:p>
            <w:pPr>
              <w:pStyle w:val="TableContents"/>
              <w:bidi w:val="0"/>
              <w:spacing w:before="0" w:after="283"/>
              <w:jc w:val="both"/>
              <w:rPr/>
            </w:pPr>
            <w:r>
              <w:rPr/>
              <w:t> </w:t>
            </w:r>
          </w:p>
        </w:tc>
      </w:tr>
      <w:tr>
        <w:trPr/>
        <w:tc>
          <w:tcPr>
            <w:tcW w:w="1229"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283"/>
              <w:jc w:val="both"/>
              <w:rPr/>
            </w:pPr>
            <w:r>
              <w:rPr/>
              <w:t> </w:t>
            </w:r>
          </w:p>
        </w:tc>
      </w:tr>
      <w:tr>
        <w:trPr/>
        <w:tc>
          <w:tcPr>
            <w:tcW w:w="1229" w:type="dxa"/>
            <w:tcBorders/>
            <w:vAlign w:val="center"/>
          </w:tcPr>
          <w:p>
            <w:pPr>
              <w:pStyle w:val="TableContents"/>
              <w:bidi w:val="0"/>
              <w:spacing w:before="0" w:after="283"/>
              <w:jc w:val="left"/>
              <w:rPr>
                <w:i/>
              </w:rPr>
            </w:pPr>
            <w:r>
              <w:rPr>
                <w:i/>
              </w:rPr>
              <w:t>In respect of any Component:</w:t>
            </w:r>
          </w:p>
        </w:tc>
        <w:tc>
          <w:tcPr>
            <w:tcW w:w="8976" w:type="dxa"/>
            <w:tcBorders/>
            <w:vAlign w:val="center"/>
          </w:tcPr>
          <w:p>
            <w:pPr>
              <w:pStyle w:val="TableContents"/>
              <w:bidi w:val="0"/>
              <w:spacing w:before="0" w:after="283"/>
              <w:jc w:val="both"/>
              <w:rPr/>
            </w:pPr>
            <w:r>
              <w:rPr/>
              <w:t> </w:t>
            </w:r>
          </w:p>
        </w:tc>
      </w:tr>
      <w:tr>
        <w:trPr/>
        <w:tc>
          <w:tcPr>
            <w:tcW w:w="1229"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283"/>
              <w:jc w:val="both"/>
              <w:rPr/>
            </w:pPr>
            <w:r>
              <w:rPr/>
              <w:t> </w:t>
            </w:r>
          </w:p>
        </w:tc>
      </w:tr>
      <w:tr>
        <w:trPr/>
        <w:tc>
          <w:tcPr>
            <w:tcW w:w="1229" w:type="dxa"/>
            <w:tcBorders/>
            <w:vAlign w:val="center"/>
          </w:tcPr>
          <w:p>
            <w:pPr>
              <w:pStyle w:val="TableContents"/>
              <w:bidi w:val="0"/>
              <w:spacing w:before="0" w:after="283"/>
              <w:jc w:val="left"/>
              <w:rPr>
                <w:sz w:val="20"/>
              </w:rPr>
            </w:pPr>
            <w:r>
              <w:rPr>
                <w:sz w:val="20"/>
              </w:rPr>
              <w:t>Expiration Time:</w:t>
            </w:r>
          </w:p>
        </w:tc>
        <w:tc>
          <w:tcPr>
            <w:tcW w:w="8976" w:type="dxa"/>
            <w:tcBorders/>
            <w:vAlign w:val="center"/>
          </w:tcPr>
          <w:p>
            <w:pPr>
              <w:pStyle w:val="TableContents"/>
              <w:bidi w:val="0"/>
              <w:spacing w:before="0" w:after="283"/>
              <w:jc w:val="left"/>
              <w:rPr>
                <w:sz w:val="20"/>
              </w:rPr>
            </w:pPr>
            <w:r>
              <w:rPr>
                <w:sz w:val="20"/>
              </w:rPr>
              <w:t>Valuation Time</w:t>
            </w:r>
          </w:p>
        </w:tc>
      </w:tr>
      <w:tr>
        <w:trPr/>
        <w:tc>
          <w:tcPr>
            <w:tcW w:w="1229"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283"/>
              <w:jc w:val="left"/>
              <w:rPr/>
            </w:pPr>
            <w:r>
              <w:rPr/>
              <w:t> </w:t>
            </w:r>
          </w:p>
        </w:tc>
      </w:tr>
      <w:tr>
        <w:trPr/>
        <w:tc>
          <w:tcPr>
            <w:tcW w:w="1229" w:type="dxa"/>
            <w:tcBorders/>
            <w:vAlign w:val="center"/>
          </w:tcPr>
          <w:p>
            <w:pPr>
              <w:pStyle w:val="TableContents"/>
              <w:bidi w:val="0"/>
              <w:spacing w:before="0" w:after="283"/>
              <w:jc w:val="left"/>
              <w:rPr>
                <w:sz w:val="20"/>
              </w:rPr>
            </w:pPr>
            <w:r>
              <w:rPr>
                <w:sz w:val="20"/>
              </w:rPr>
              <w:t>Expiration Date:</w:t>
            </w:r>
          </w:p>
        </w:tc>
        <w:tc>
          <w:tcPr>
            <w:tcW w:w="8976" w:type="dxa"/>
            <w:tcBorders/>
            <w:vAlign w:val="center"/>
          </w:tcPr>
          <w:p>
            <w:pPr>
              <w:pStyle w:val="TableContents"/>
              <w:bidi w:val="0"/>
              <w:spacing w:before="0" w:after="283"/>
              <w:jc w:val="both"/>
              <w:rPr>
                <w:sz w:val="20"/>
              </w:rPr>
            </w:pPr>
            <w:r>
              <w:rPr>
                <w:sz w:val="20"/>
              </w:rPr>
              <w:t xml:space="preserve">As provided in </w:t>
            </w:r>
            <w:r>
              <w:rPr>
                <w:sz w:val="20"/>
                <w:u w:val="single"/>
              </w:rPr>
              <w:t>Annex A</w:t>
            </w:r>
            <w:r>
              <w:rPr>
                <w:sz w:val="20"/>
              </w:rPr>
              <w:t xml:space="preserve"> to this Confirmation (or, if such date is not a Scheduled Trading Day, the next following Scheduled Trading Day that is not already an Expiration Date for another Component); </w:t>
            </w:r>
            <w:r>
              <w:rPr>
                <w:i/>
                <w:sz w:val="20"/>
              </w:rPr>
              <w:t>provided</w:t>
            </w:r>
            <w:r>
              <w:rPr>
                <w:sz w:val="20"/>
              </w:rPr>
              <w:t xml:space="preserve"> that if that date is a Disrupted Day, the Expiration Date for such Component shall be the first succeeding Scheduled Trading Day that is not a Disrupted Day and is not and is not deemed to be an Expiration Date in respect of any other Component of the Transaction hereunder; and </w:t>
            </w:r>
            <w:r>
              <w:rPr>
                <w:i/>
                <w:sz w:val="20"/>
              </w:rPr>
              <w:t>provided further</w:t>
            </w:r>
            <w:r>
              <w:rPr>
                <w:sz w:val="20"/>
              </w:rPr>
              <w:t xml:space="preserve"> that if the Expiration Date has not occurred pursuant to the preceding proviso as of the Final Disruption Date, the Calculation Agent shall have the right to elect, in its sole discretion, that the Final Disruption Date shall be the Expiration Date (irrespective of whether such date is an Expiration Date in respect of any other Component for the Transaction). Notwithstanding the foregoing and anything to the contrary in the Equity Definitions, if a Market Disruption Event occurs on any Expiration Date, the Calculation Agent may determine that such Expiration Date is a Disrupted Day only in part, in which case the Calculation Agent shall make adjustments to the Number of Warrants for the relevant Component for which such day shall be the Expiration Date, shall designate the Scheduled Trading Day determined in the manner described in the immediately preceding sentence as the Expiration Date for the remaining Warrants for such Component and may determine the VWAP Price for such Expiration Date based on transactions in the Shares taking into account the nature and duration of such Market Disruption Event. Any Scheduled Trading Day on which, as of the date hereof, the Exchange is scheduled to close prior to its normal close of trading shall be deemed not to be a Scheduled Trading Day; if a closure of the Exchange prior to its normal close of trading on any Scheduled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9"/>
        <w:gridCol w:w="8036"/>
      </w:tblGrid>
      <w:tr>
        <w:trPr/>
        <w:tc>
          <w:tcPr>
            <w:tcW w:w="2169" w:type="dxa"/>
            <w:tcBorders/>
            <w:vAlign w:val="center"/>
          </w:tcPr>
          <w:p>
            <w:pPr>
              <w:pStyle w:val="TableContents"/>
              <w:bidi w:val="0"/>
              <w:spacing w:before="0" w:after="283"/>
              <w:jc w:val="left"/>
              <w:rPr>
                <w:sz w:val="4"/>
                <w:szCs w:val="4"/>
              </w:rPr>
            </w:pPr>
            <w:r>
              <w:rPr>
                <w:sz w:val="4"/>
                <w:szCs w:val="4"/>
              </w:rPr>
            </w:r>
          </w:p>
        </w:tc>
        <w:tc>
          <w:tcPr>
            <w:tcW w:w="8036" w:type="dxa"/>
            <w:tcBorders/>
            <w:vAlign w:val="center"/>
          </w:tcPr>
          <w:p>
            <w:pPr>
              <w:pStyle w:val="TableContents"/>
              <w:bidi w:val="0"/>
              <w:spacing w:before="0" w:after="283"/>
              <w:jc w:val="both"/>
              <w:rPr/>
            </w:pPr>
            <w:r>
              <w:rPr/>
              <w:t>Trading Day is scheduled following the date hereof, then such Scheduled Trading Day shall be deemed to be a Disrupted Day in full</w:t>
            </w:r>
            <w:r>
              <w:rPr>
                <w:b/>
              </w:rPr>
              <w:t xml:space="preserve">. </w:t>
            </w:r>
            <w:r>
              <w:rPr/>
              <w:t>Section 6.6 of the Equity Definitions shall not apply to any Valuation Date occurring on an Expiration Date. “</w:t>
            </w:r>
            <w:r>
              <w:rPr>
                <w:b/>
              </w:rPr>
              <w:t>Final Disruption Date</w:t>
            </w:r>
            <w:r>
              <w:rPr/>
              <w:t>” means September 20, 2030.</w:t>
            </w:r>
          </w:p>
        </w:tc>
      </w:tr>
      <w:tr>
        <w:trPr/>
        <w:tc>
          <w:tcPr>
            <w:tcW w:w="2169" w:type="dxa"/>
            <w:tcBorders/>
            <w:vAlign w:val="center"/>
          </w:tcPr>
          <w:p>
            <w:pPr>
              <w:pStyle w:val="TableContents"/>
              <w:bidi w:val="0"/>
              <w:spacing w:before="0" w:after="283"/>
              <w:jc w:val="left"/>
              <w:rPr/>
            </w:pPr>
            <w:r>
              <w:rPr/>
              <w:t> </w:t>
            </w:r>
          </w:p>
        </w:tc>
        <w:tc>
          <w:tcPr>
            <w:tcW w:w="8036" w:type="dxa"/>
            <w:tcBorders/>
            <w:vAlign w:val="center"/>
          </w:tcPr>
          <w:p>
            <w:pPr>
              <w:pStyle w:val="TableContents"/>
              <w:bidi w:val="0"/>
              <w:spacing w:before="0" w:after="283"/>
              <w:jc w:val="left"/>
              <w:rPr/>
            </w:pPr>
            <w:r>
              <w:rPr/>
              <w:t> </w:t>
            </w:r>
          </w:p>
        </w:tc>
      </w:tr>
      <w:tr>
        <w:trPr/>
        <w:tc>
          <w:tcPr>
            <w:tcW w:w="2169" w:type="dxa"/>
            <w:tcBorders/>
            <w:vAlign w:val="center"/>
          </w:tcPr>
          <w:p>
            <w:pPr>
              <w:pStyle w:val="TableContents"/>
              <w:bidi w:val="0"/>
              <w:spacing w:before="0" w:after="283"/>
              <w:jc w:val="left"/>
              <w:rPr>
                <w:sz w:val="20"/>
              </w:rPr>
            </w:pPr>
            <w:r>
              <w:rPr>
                <w:sz w:val="20"/>
              </w:rPr>
              <w:t>Market Disruption Event:</w:t>
            </w:r>
          </w:p>
        </w:tc>
        <w:tc>
          <w:tcPr>
            <w:tcW w:w="8036" w:type="dxa"/>
            <w:tcBorders/>
            <w:vAlign w:val="center"/>
          </w:tcPr>
          <w:p>
            <w:pPr>
              <w:pStyle w:val="TableContents"/>
              <w:bidi w:val="0"/>
              <w:spacing w:before="0" w:after="283"/>
              <w:jc w:val="both"/>
              <w:rPr>
                <w:sz w:val="20"/>
              </w:rPr>
            </w:pPr>
            <w:r>
              <w:rPr>
                <w:sz w:val="20"/>
              </w:rPr>
              <w:t>Section 6.3(a) of the Equity Definitions is hereby amended by (A) deleting the words “during the one hour period that ends at the relevant Valuation Time, Latest Exercise Time, Knock-in Valuation Time or Knock-out Valuation Time, as the case may be,” in clause (ii) thereof and (B) by replacing the words “or (iii) an Early Closure.” therein with “(iii) an Early Closure, or (iv) a Regulatory Disruption.”</w:t>
            </w:r>
          </w:p>
        </w:tc>
      </w:tr>
      <w:tr>
        <w:trPr/>
        <w:tc>
          <w:tcPr>
            <w:tcW w:w="2169" w:type="dxa"/>
            <w:tcBorders/>
            <w:vAlign w:val="center"/>
          </w:tcPr>
          <w:p>
            <w:pPr>
              <w:pStyle w:val="TableContents"/>
              <w:bidi w:val="0"/>
              <w:spacing w:before="0" w:after="283"/>
              <w:jc w:val="left"/>
              <w:rPr/>
            </w:pPr>
            <w:r>
              <w:rPr/>
              <w:t> </w:t>
            </w:r>
          </w:p>
        </w:tc>
        <w:tc>
          <w:tcPr>
            <w:tcW w:w="8036" w:type="dxa"/>
            <w:tcBorders/>
            <w:vAlign w:val="center"/>
          </w:tcPr>
          <w:p>
            <w:pPr>
              <w:pStyle w:val="TableContents"/>
              <w:bidi w:val="0"/>
              <w:spacing w:before="0" w:after="283"/>
              <w:jc w:val="left"/>
              <w:rPr/>
            </w:pPr>
            <w:r>
              <w:rPr/>
              <w:t> </w:t>
            </w:r>
          </w:p>
        </w:tc>
      </w:tr>
      <w:tr>
        <w:trPr/>
        <w:tc>
          <w:tcPr>
            <w:tcW w:w="2169" w:type="dxa"/>
            <w:tcBorders/>
            <w:vAlign w:val="center"/>
          </w:tcPr>
          <w:p>
            <w:pPr>
              <w:pStyle w:val="TableContents"/>
              <w:bidi w:val="0"/>
              <w:spacing w:before="0" w:after="283"/>
              <w:jc w:val="left"/>
              <w:rPr/>
            </w:pPr>
            <w:r>
              <w:rPr/>
              <w:t> </w:t>
            </w:r>
          </w:p>
        </w:tc>
        <w:tc>
          <w:tcPr>
            <w:tcW w:w="8036" w:type="dxa"/>
            <w:tcBorders/>
            <w:vAlign w:val="center"/>
          </w:tcPr>
          <w:p>
            <w:pPr>
              <w:pStyle w:val="TableContents"/>
              <w:bidi w:val="0"/>
              <w:spacing w:before="0" w:after="283"/>
              <w:jc w:val="both"/>
              <w:rPr>
                <w:sz w:val="20"/>
              </w:rPr>
            </w:pPr>
            <w:r>
              <w:rPr>
                <w:sz w:val="20"/>
              </w:rPr>
              <w:t>Section 6.3(d) of the Equity Definitions is hereby amended by deleting the remainder of the provision following the term “Scheduled Closing Time” in the fourth line thereof.</w:t>
            </w:r>
          </w:p>
        </w:tc>
      </w:tr>
      <w:tr>
        <w:trPr/>
        <w:tc>
          <w:tcPr>
            <w:tcW w:w="2169" w:type="dxa"/>
            <w:tcBorders/>
            <w:vAlign w:val="center"/>
          </w:tcPr>
          <w:p>
            <w:pPr>
              <w:pStyle w:val="TableContents"/>
              <w:bidi w:val="0"/>
              <w:spacing w:before="0" w:after="283"/>
              <w:jc w:val="left"/>
              <w:rPr/>
            </w:pPr>
            <w:r>
              <w:rPr/>
              <w:t> </w:t>
            </w:r>
          </w:p>
        </w:tc>
        <w:tc>
          <w:tcPr>
            <w:tcW w:w="8036" w:type="dxa"/>
            <w:tcBorders/>
            <w:vAlign w:val="center"/>
          </w:tcPr>
          <w:p>
            <w:pPr>
              <w:pStyle w:val="TableContents"/>
              <w:bidi w:val="0"/>
              <w:spacing w:before="0" w:after="283"/>
              <w:jc w:val="left"/>
              <w:rPr/>
            </w:pPr>
            <w:r>
              <w:rPr/>
              <w:t> </w:t>
            </w:r>
          </w:p>
        </w:tc>
      </w:tr>
      <w:tr>
        <w:trPr/>
        <w:tc>
          <w:tcPr>
            <w:tcW w:w="2169" w:type="dxa"/>
            <w:tcBorders/>
            <w:vAlign w:val="center"/>
          </w:tcPr>
          <w:p>
            <w:pPr>
              <w:pStyle w:val="TableContents"/>
              <w:bidi w:val="0"/>
              <w:spacing w:before="0" w:after="283"/>
              <w:jc w:val="left"/>
              <w:rPr>
                <w:sz w:val="20"/>
              </w:rPr>
            </w:pPr>
            <w:r>
              <w:rPr>
                <w:sz w:val="20"/>
              </w:rPr>
              <w:t>Regulatory Disruption:</w:t>
            </w:r>
          </w:p>
        </w:tc>
        <w:tc>
          <w:tcPr>
            <w:tcW w:w="8036" w:type="dxa"/>
            <w:tcBorders/>
            <w:vAlign w:val="center"/>
          </w:tcPr>
          <w:p>
            <w:pPr>
              <w:pStyle w:val="TableContents"/>
              <w:bidi w:val="0"/>
              <w:spacing w:before="0" w:after="283"/>
              <w:jc w:val="both"/>
              <w:rPr>
                <w:sz w:val="20"/>
              </w:rPr>
            </w:pPr>
            <w:r>
              <w:rPr>
                <w:sz w:val="20"/>
              </w:rPr>
              <w:t>Any event that Dealer, in its reasonable discretion, determines makes it appropriate, with regard to any legal, regulatory or self-regulatory requirements or related policies and procedures (whether or not such requirements or related policies and procedures are imposed by law or have been voluntarily adopted by Dealer and provided any such policies and procedures are related to legal, regulatory or self-regulatory issues generally applicable to the Transaction and are applied to the Transaction in a non-discriminatory manner), for Dealer to refrain from or decrease any market activity connected with the Transaction. Dealer shall notify Counterparty as soon as reasonably practicable that a Regulatory Disruption has occurred and the Expiration Dates affected by it.</w:t>
            </w:r>
          </w:p>
        </w:tc>
      </w:tr>
      <w:tr>
        <w:trPr/>
        <w:tc>
          <w:tcPr>
            <w:tcW w:w="2169" w:type="dxa"/>
            <w:tcBorders/>
            <w:vAlign w:val="center"/>
          </w:tcPr>
          <w:p>
            <w:pPr>
              <w:pStyle w:val="TableContents"/>
              <w:bidi w:val="0"/>
              <w:spacing w:before="0" w:after="283"/>
              <w:jc w:val="left"/>
              <w:rPr/>
            </w:pPr>
            <w:r>
              <w:rPr/>
              <w:t> </w:t>
            </w:r>
          </w:p>
        </w:tc>
        <w:tc>
          <w:tcPr>
            <w:tcW w:w="8036" w:type="dxa"/>
            <w:tcBorders/>
            <w:vAlign w:val="center"/>
          </w:tcPr>
          <w:p>
            <w:pPr>
              <w:pStyle w:val="TableContents"/>
              <w:bidi w:val="0"/>
              <w:spacing w:before="0" w:after="283"/>
              <w:jc w:val="left"/>
              <w:rPr/>
            </w:pPr>
            <w:r>
              <w:rPr/>
              <w:t> </w:t>
            </w:r>
          </w:p>
        </w:tc>
      </w:tr>
      <w:tr>
        <w:trPr/>
        <w:tc>
          <w:tcPr>
            <w:tcW w:w="2169" w:type="dxa"/>
            <w:tcBorders/>
            <w:vAlign w:val="center"/>
          </w:tcPr>
          <w:p>
            <w:pPr>
              <w:pStyle w:val="TableContents"/>
              <w:bidi w:val="0"/>
              <w:spacing w:before="0" w:after="283"/>
              <w:jc w:val="left"/>
              <w:rPr>
                <w:sz w:val="20"/>
              </w:rPr>
            </w:pPr>
            <w:r>
              <w:rPr>
                <w:sz w:val="20"/>
              </w:rPr>
              <w:t>Automatic Exercise:</w:t>
            </w:r>
          </w:p>
        </w:tc>
        <w:tc>
          <w:tcPr>
            <w:tcW w:w="8036" w:type="dxa"/>
            <w:tcBorders/>
            <w:vAlign w:val="center"/>
          </w:tcPr>
          <w:p>
            <w:pPr>
              <w:pStyle w:val="TableContents"/>
              <w:bidi w:val="0"/>
              <w:spacing w:before="0" w:after="283"/>
              <w:jc w:val="both"/>
              <w:rPr>
                <w:sz w:val="20"/>
              </w:rPr>
            </w:pPr>
            <w:r>
              <w:rPr>
                <w:sz w:val="20"/>
              </w:rPr>
              <w:t>Applicable; and means that the Number of Warrants for the corresponding Expiration Date will be deemed to be automatically exercised at the Expiration Time on such Expiration Date unless Dealer notifies Seller (by telephone or in writing) prior to the Expiration Time on such Expiration Date that it does not wish Automatic Exercise to occur, in which case Automatic Exercise will not apply to such Expiration Date.</w:t>
            </w:r>
          </w:p>
        </w:tc>
      </w:tr>
      <w:tr>
        <w:trPr/>
        <w:tc>
          <w:tcPr>
            <w:tcW w:w="2169" w:type="dxa"/>
            <w:tcBorders/>
            <w:vAlign w:val="center"/>
          </w:tcPr>
          <w:p>
            <w:pPr>
              <w:pStyle w:val="TableContents"/>
              <w:bidi w:val="0"/>
              <w:spacing w:before="0" w:after="283"/>
              <w:jc w:val="left"/>
              <w:rPr/>
            </w:pPr>
            <w:r>
              <w:rPr/>
              <w:t> </w:t>
            </w:r>
          </w:p>
        </w:tc>
        <w:tc>
          <w:tcPr>
            <w:tcW w:w="8036" w:type="dxa"/>
            <w:tcBorders/>
            <w:vAlign w:val="center"/>
          </w:tcPr>
          <w:p>
            <w:pPr>
              <w:pStyle w:val="TableContents"/>
              <w:bidi w:val="0"/>
              <w:spacing w:before="0" w:after="283"/>
              <w:jc w:val="left"/>
              <w:rPr/>
            </w:pPr>
            <w:r>
              <w:rPr/>
              <w:t> </w:t>
            </w:r>
          </w:p>
        </w:tc>
      </w:tr>
      <w:tr>
        <w:trPr/>
        <w:tc>
          <w:tcPr>
            <w:tcW w:w="2169" w:type="dxa"/>
            <w:tcBorders/>
            <w:vAlign w:val="center"/>
          </w:tcPr>
          <w:p>
            <w:pPr>
              <w:pStyle w:val="TableContents"/>
              <w:bidi w:val="0"/>
              <w:spacing w:before="0" w:after="283"/>
              <w:jc w:val="left"/>
              <w:rPr>
                <w:sz w:val="20"/>
              </w:rPr>
            </w:pPr>
            <w:r>
              <w:rPr>
                <w:sz w:val="20"/>
              </w:rPr>
              <w:t>Counterparty’s Telephone Number and Telex and/or Facsimile Number and Contact Details for purpose of Giving Notice:</w:t>
            </w:r>
          </w:p>
        </w:tc>
        <w:tc>
          <w:tcPr>
            <w:tcW w:w="8036" w:type="dxa"/>
            <w:tcBorders/>
            <w:vAlign w:val="center"/>
          </w:tcPr>
          <w:p>
            <w:pPr>
              <w:pStyle w:val="TableContents"/>
              <w:bidi w:val="0"/>
              <w:spacing w:before="0" w:after="283"/>
              <w:jc w:val="left"/>
              <w:rPr>
                <w:sz w:val="20"/>
              </w:rPr>
            </w:pPr>
            <w:r>
              <w:rPr>
                <w:sz w:val="20"/>
              </w:rPr>
              <w:t>As provided in Section 6(a) below.</w:t>
            </w:r>
          </w:p>
        </w:tc>
      </w:tr>
      <w:tr>
        <w:trPr/>
        <w:tc>
          <w:tcPr>
            <w:tcW w:w="2169" w:type="dxa"/>
            <w:tcBorders/>
            <w:vAlign w:val="center"/>
          </w:tcPr>
          <w:p>
            <w:pPr>
              <w:pStyle w:val="TableContents"/>
              <w:bidi w:val="0"/>
              <w:spacing w:before="0" w:after="283"/>
              <w:jc w:val="left"/>
              <w:rPr/>
            </w:pPr>
            <w:r>
              <w:rPr/>
              <w:t> </w:t>
            </w:r>
          </w:p>
        </w:tc>
        <w:tc>
          <w:tcPr>
            <w:tcW w:w="8036" w:type="dxa"/>
            <w:tcBorders/>
            <w:vAlign w:val="center"/>
          </w:tcPr>
          <w:p>
            <w:pPr>
              <w:pStyle w:val="TableContents"/>
              <w:bidi w:val="0"/>
              <w:spacing w:before="0" w:after="283"/>
              <w:jc w:val="left"/>
              <w:rPr/>
            </w:pPr>
            <w:r>
              <w:rPr/>
              <w:t> </w:t>
            </w:r>
          </w:p>
        </w:tc>
      </w:tr>
      <w:tr>
        <w:trPr/>
        <w:tc>
          <w:tcPr>
            <w:tcW w:w="2169" w:type="dxa"/>
            <w:tcBorders/>
            <w:vAlign w:val="center"/>
          </w:tcPr>
          <w:p>
            <w:pPr>
              <w:pStyle w:val="TableContents"/>
              <w:bidi w:val="0"/>
              <w:spacing w:before="0" w:after="283"/>
              <w:jc w:val="left"/>
              <w:rPr>
                <w:sz w:val="20"/>
              </w:rPr>
            </w:pPr>
            <w:r>
              <w:rPr>
                <w:sz w:val="20"/>
              </w:rPr>
              <w:t>Settlement Terms:</w:t>
            </w:r>
          </w:p>
        </w:tc>
        <w:tc>
          <w:tcPr>
            <w:tcW w:w="8036" w:type="dxa"/>
            <w:tcBorders/>
            <w:vAlign w:val="center"/>
          </w:tcPr>
          <w:p>
            <w:pPr>
              <w:pStyle w:val="TableContents"/>
              <w:bidi w:val="0"/>
              <w:spacing w:before="0" w:after="283"/>
              <w:jc w:val="left"/>
              <w:rPr/>
            </w:pPr>
            <w:r>
              <w:rPr/>
              <w:t> </w:t>
            </w:r>
          </w:p>
        </w:tc>
      </w:tr>
      <w:tr>
        <w:trPr/>
        <w:tc>
          <w:tcPr>
            <w:tcW w:w="2169" w:type="dxa"/>
            <w:tcBorders/>
            <w:vAlign w:val="center"/>
          </w:tcPr>
          <w:p>
            <w:pPr>
              <w:pStyle w:val="TableContents"/>
              <w:bidi w:val="0"/>
              <w:spacing w:before="0" w:after="283"/>
              <w:jc w:val="left"/>
              <w:rPr/>
            </w:pPr>
            <w:r>
              <w:rPr/>
              <w:t> </w:t>
            </w:r>
          </w:p>
        </w:tc>
        <w:tc>
          <w:tcPr>
            <w:tcW w:w="8036" w:type="dxa"/>
            <w:tcBorders/>
            <w:vAlign w:val="center"/>
          </w:tcPr>
          <w:p>
            <w:pPr>
              <w:pStyle w:val="TableContents"/>
              <w:bidi w:val="0"/>
              <w:spacing w:before="0" w:after="283"/>
              <w:jc w:val="left"/>
              <w:rPr/>
            </w:pPr>
            <w:r>
              <w:rPr/>
              <w:t> </w:t>
            </w:r>
          </w:p>
        </w:tc>
      </w:tr>
      <w:tr>
        <w:trPr/>
        <w:tc>
          <w:tcPr>
            <w:tcW w:w="2169" w:type="dxa"/>
            <w:tcBorders/>
            <w:vAlign w:val="center"/>
          </w:tcPr>
          <w:p>
            <w:pPr>
              <w:pStyle w:val="TableContents"/>
              <w:bidi w:val="0"/>
              <w:spacing w:before="0" w:after="283"/>
              <w:jc w:val="left"/>
              <w:rPr>
                <w:i/>
                <w:sz w:val="20"/>
              </w:rPr>
            </w:pPr>
            <w:r>
              <w:rPr>
                <w:i/>
                <w:sz w:val="20"/>
              </w:rPr>
              <w:t>In respect of any Component:</w:t>
            </w:r>
          </w:p>
        </w:tc>
        <w:tc>
          <w:tcPr>
            <w:tcW w:w="8036" w:type="dxa"/>
            <w:tcBorders/>
            <w:vAlign w:val="center"/>
          </w:tcPr>
          <w:p>
            <w:pPr>
              <w:pStyle w:val="TableContents"/>
              <w:bidi w:val="0"/>
              <w:spacing w:before="0" w:after="283"/>
              <w:jc w:val="left"/>
              <w:rPr/>
            </w:pPr>
            <w:r>
              <w:rPr/>
              <w:t> </w:t>
            </w:r>
          </w:p>
        </w:tc>
      </w:tr>
      <w:tr>
        <w:trPr/>
        <w:tc>
          <w:tcPr>
            <w:tcW w:w="2169" w:type="dxa"/>
            <w:tcBorders/>
            <w:vAlign w:val="center"/>
          </w:tcPr>
          <w:p>
            <w:pPr>
              <w:pStyle w:val="TableContents"/>
              <w:bidi w:val="0"/>
              <w:spacing w:before="0" w:after="283"/>
              <w:jc w:val="left"/>
              <w:rPr/>
            </w:pPr>
            <w:r>
              <w:rPr/>
              <w:t> </w:t>
            </w:r>
          </w:p>
        </w:tc>
        <w:tc>
          <w:tcPr>
            <w:tcW w:w="8036" w:type="dxa"/>
            <w:tcBorders/>
            <w:vAlign w:val="center"/>
          </w:tcPr>
          <w:p>
            <w:pPr>
              <w:pStyle w:val="TableContents"/>
              <w:bidi w:val="0"/>
              <w:spacing w:before="0" w:after="283"/>
              <w:jc w:val="left"/>
              <w:rPr/>
            </w:pPr>
            <w:r>
              <w:rPr/>
              <w:t> </w:t>
            </w:r>
          </w:p>
        </w:tc>
      </w:tr>
      <w:tr>
        <w:trPr/>
        <w:tc>
          <w:tcPr>
            <w:tcW w:w="2169" w:type="dxa"/>
            <w:tcBorders/>
            <w:vAlign w:val="center"/>
          </w:tcPr>
          <w:p>
            <w:pPr>
              <w:pStyle w:val="TableContents"/>
              <w:bidi w:val="0"/>
              <w:spacing w:before="0" w:after="283"/>
              <w:jc w:val="left"/>
              <w:rPr>
                <w:sz w:val="20"/>
              </w:rPr>
            </w:pPr>
            <w:r>
              <w:rPr>
                <w:sz w:val="20"/>
              </w:rPr>
              <w:t>Settlement Currency:</w:t>
            </w:r>
          </w:p>
        </w:tc>
        <w:tc>
          <w:tcPr>
            <w:tcW w:w="8036" w:type="dxa"/>
            <w:tcBorders/>
            <w:vAlign w:val="center"/>
          </w:tcPr>
          <w:p>
            <w:pPr>
              <w:pStyle w:val="TableContents"/>
              <w:bidi w:val="0"/>
              <w:spacing w:before="0" w:after="283"/>
              <w:jc w:val="left"/>
              <w:rPr>
                <w:sz w:val="20"/>
              </w:rPr>
            </w:pPr>
            <w:r>
              <w:rPr>
                <w:sz w:val="20"/>
              </w:rPr>
              <w:t>USD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0"/>
        <w:gridCol w:w="9055"/>
      </w:tblGrid>
      <w:tr>
        <w:trPr/>
        <w:tc>
          <w:tcPr>
            <w:tcW w:w="1150" w:type="dxa"/>
            <w:tcBorders/>
            <w:vAlign w:val="center"/>
          </w:tcPr>
          <w:p>
            <w:pPr>
              <w:pStyle w:val="TableContents"/>
              <w:bidi w:val="0"/>
              <w:spacing w:before="0" w:after="283"/>
              <w:jc w:val="left"/>
              <w:rPr>
                <w:sz w:val="20"/>
              </w:rPr>
            </w:pPr>
            <w:r>
              <w:rPr>
                <w:sz w:val="20"/>
              </w:rPr>
              <w:t>Net Share Settlement:</w:t>
            </w:r>
          </w:p>
        </w:tc>
        <w:tc>
          <w:tcPr>
            <w:tcW w:w="9055" w:type="dxa"/>
            <w:tcBorders/>
            <w:vAlign w:val="center"/>
          </w:tcPr>
          <w:p>
            <w:pPr>
              <w:pStyle w:val="TableContents"/>
              <w:bidi w:val="0"/>
              <w:spacing w:before="0" w:after="283"/>
              <w:jc w:val="both"/>
              <w:rPr>
                <w:sz w:val="20"/>
              </w:rPr>
            </w:pPr>
            <w:r>
              <w:rPr>
                <w:sz w:val="20"/>
              </w:rPr>
              <w:t>On each Settlement Date, Counterparty shall deliver to Dealer a number of Shares equal to the Number of Shares to be Delivered for such Settlement Date to the account specified by Dealer and cash in lieu of any fractional Share valued at the Relevant Price on the Valuation Date corresponding to such Settlement Date. If, in the reasonable opinion of Dealer, based on advice of counsel, for any reason, the Shares deliverable upon Net Share Settlement would not be immediately freely transferable by Dealer under Rule 144 under the Securities Act of 1933, as amended (the “</w:t>
            </w:r>
            <w:r>
              <w:rPr>
                <w:b/>
                <w:sz w:val="20"/>
              </w:rPr>
              <w:t>Securities Act</w:t>
            </w:r>
            <w:r>
              <w:rPr>
                <w:sz w:val="20"/>
              </w:rPr>
              <w:t>”), then Dealer may elect to either (x) accept delivery of such Shares notwithstanding any restriction on transfer or (y) have the provisions set forth in Section 8(c) below apply.</w:t>
            </w:r>
          </w:p>
        </w:tc>
      </w:tr>
      <w:tr>
        <w:trPr/>
        <w:tc>
          <w:tcPr>
            <w:tcW w:w="1150" w:type="dxa"/>
            <w:tcBorders/>
            <w:vAlign w:val="center"/>
          </w:tcPr>
          <w:p>
            <w:pPr>
              <w:pStyle w:val="TableContents"/>
              <w:bidi w:val="0"/>
              <w:spacing w:before="0" w:after="283"/>
              <w:jc w:val="left"/>
              <w:rPr/>
            </w:pPr>
            <w:r>
              <w:rPr/>
              <w:t> </w:t>
            </w:r>
          </w:p>
        </w:tc>
        <w:tc>
          <w:tcPr>
            <w:tcW w:w="9055" w:type="dxa"/>
            <w:tcBorders/>
            <w:vAlign w:val="center"/>
          </w:tcPr>
          <w:p>
            <w:pPr>
              <w:pStyle w:val="TableContents"/>
              <w:bidi w:val="0"/>
              <w:spacing w:before="0" w:after="283"/>
              <w:jc w:val="left"/>
              <w:rPr/>
            </w:pPr>
            <w:r>
              <w:rPr/>
              <w:t> </w:t>
            </w:r>
          </w:p>
        </w:tc>
      </w:tr>
      <w:tr>
        <w:trPr/>
        <w:tc>
          <w:tcPr>
            <w:tcW w:w="1150" w:type="dxa"/>
            <w:tcBorders/>
            <w:vAlign w:val="center"/>
          </w:tcPr>
          <w:p>
            <w:pPr>
              <w:pStyle w:val="TableContents"/>
              <w:bidi w:val="0"/>
              <w:spacing w:before="0" w:after="283"/>
              <w:jc w:val="left"/>
              <w:rPr/>
            </w:pPr>
            <w:r>
              <w:rPr/>
              <w:t> </w:t>
            </w:r>
          </w:p>
        </w:tc>
        <w:tc>
          <w:tcPr>
            <w:tcW w:w="9055" w:type="dxa"/>
            <w:tcBorders/>
            <w:vAlign w:val="center"/>
          </w:tcPr>
          <w:p>
            <w:pPr>
              <w:pStyle w:val="TableContents"/>
              <w:bidi w:val="0"/>
              <w:spacing w:before="0" w:after="283"/>
              <w:jc w:val="both"/>
              <w:rPr>
                <w:sz w:val="20"/>
              </w:rPr>
            </w:pPr>
            <w:r>
              <w:rPr>
                <w:sz w:val="20"/>
              </w:rPr>
              <w:t>The Number of Shares to be Delivered shall be delivered by Counterparty to Dealer no later than 12:00 noon (local time in New York City) on the relevant Settlement Date.</w:t>
            </w:r>
          </w:p>
        </w:tc>
      </w:tr>
      <w:tr>
        <w:trPr/>
        <w:tc>
          <w:tcPr>
            <w:tcW w:w="1150" w:type="dxa"/>
            <w:tcBorders/>
            <w:vAlign w:val="center"/>
          </w:tcPr>
          <w:p>
            <w:pPr>
              <w:pStyle w:val="TableContents"/>
              <w:bidi w:val="0"/>
              <w:spacing w:before="0" w:after="283"/>
              <w:jc w:val="left"/>
              <w:rPr/>
            </w:pPr>
            <w:r>
              <w:rPr/>
              <w:t> </w:t>
            </w:r>
          </w:p>
        </w:tc>
        <w:tc>
          <w:tcPr>
            <w:tcW w:w="9055" w:type="dxa"/>
            <w:tcBorders/>
            <w:vAlign w:val="center"/>
          </w:tcPr>
          <w:p>
            <w:pPr>
              <w:pStyle w:val="TableContents"/>
              <w:bidi w:val="0"/>
              <w:spacing w:before="0" w:after="283"/>
              <w:jc w:val="left"/>
              <w:rPr/>
            </w:pPr>
            <w:r>
              <w:rPr/>
              <w:t> </w:t>
            </w:r>
          </w:p>
        </w:tc>
      </w:tr>
      <w:tr>
        <w:trPr/>
        <w:tc>
          <w:tcPr>
            <w:tcW w:w="1150" w:type="dxa"/>
            <w:tcBorders/>
            <w:vAlign w:val="center"/>
          </w:tcPr>
          <w:p>
            <w:pPr>
              <w:pStyle w:val="TableContents"/>
              <w:bidi w:val="0"/>
              <w:spacing w:before="0" w:after="283"/>
              <w:jc w:val="left"/>
              <w:rPr>
                <w:sz w:val="20"/>
              </w:rPr>
            </w:pPr>
            <w:r>
              <w:rPr>
                <w:sz w:val="20"/>
              </w:rPr>
              <w:t>Number of Shares to be Delivered:</w:t>
            </w:r>
          </w:p>
        </w:tc>
        <w:tc>
          <w:tcPr>
            <w:tcW w:w="9055" w:type="dxa"/>
            <w:tcBorders/>
            <w:vAlign w:val="center"/>
          </w:tcPr>
          <w:p>
            <w:pPr>
              <w:pStyle w:val="TableContents"/>
              <w:bidi w:val="0"/>
              <w:spacing w:before="0" w:after="283"/>
              <w:jc w:val="both"/>
              <w:rPr>
                <w:sz w:val="20"/>
              </w:rPr>
            </w:pPr>
            <w:r>
              <w:rPr>
                <w:sz w:val="20"/>
              </w:rPr>
              <w:t xml:space="preserve">In respect of any Exercise Date, the product of (i) the number of Warrants exercised or deemed exercised on such Exercise Date, (ii) the Warrant Entitlement and (iii) (A) the excess of the VWAP Price on the Valuation Date occurring in respect of such Exercise Date over the Strike Price (or, if there is no such excess, zero) </w:t>
            </w:r>
            <w:r>
              <w:rPr>
                <w:i/>
                <w:sz w:val="20"/>
              </w:rPr>
              <w:t>divided by</w:t>
            </w:r>
            <w:r>
              <w:rPr>
                <w:sz w:val="20"/>
              </w:rPr>
              <w:t xml:space="preserve"> (B) such VWAP Price.</w:t>
            </w:r>
          </w:p>
        </w:tc>
      </w:tr>
      <w:tr>
        <w:trPr/>
        <w:tc>
          <w:tcPr>
            <w:tcW w:w="1150" w:type="dxa"/>
            <w:tcBorders/>
            <w:vAlign w:val="center"/>
          </w:tcPr>
          <w:p>
            <w:pPr>
              <w:pStyle w:val="TableContents"/>
              <w:bidi w:val="0"/>
              <w:spacing w:before="0" w:after="283"/>
              <w:jc w:val="left"/>
              <w:rPr/>
            </w:pPr>
            <w:r>
              <w:rPr/>
              <w:t> </w:t>
            </w:r>
          </w:p>
        </w:tc>
        <w:tc>
          <w:tcPr>
            <w:tcW w:w="9055" w:type="dxa"/>
            <w:tcBorders/>
            <w:vAlign w:val="center"/>
          </w:tcPr>
          <w:p>
            <w:pPr>
              <w:pStyle w:val="TableContents"/>
              <w:bidi w:val="0"/>
              <w:spacing w:before="0" w:after="283"/>
              <w:jc w:val="left"/>
              <w:rPr/>
            </w:pPr>
            <w:r>
              <w:rPr/>
              <w:t> </w:t>
            </w:r>
          </w:p>
        </w:tc>
      </w:tr>
      <w:tr>
        <w:trPr/>
        <w:tc>
          <w:tcPr>
            <w:tcW w:w="1150" w:type="dxa"/>
            <w:tcBorders/>
            <w:vAlign w:val="center"/>
          </w:tcPr>
          <w:p>
            <w:pPr>
              <w:pStyle w:val="TableContents"/>
              <w:bidi w:val="0"/>
              <w:spacing w:before="0" w:after="283"/>
              <w:jc w:val="left"/>
              <w:rPr>
                <w:sz w:val="20"/>
              </w:rPr>
            </w:pPr>
            <w:r>
              <w:rPr>
                <w:sz w:val="20"/>
              </w:rPr>
              <w:t>VWAP Price:</w:t>
            </w:r>
          </w:p>
        </w:tc>
        <w:tc>
          <w:tcPr>
            <w:tcW w:w="9055" w:type="dxa"/>
            <w:tcBorders/>
            <w:vAlign w:val="center"/>
          </w:tcPr>
          <w:p>
            <w:pPr>
              <w:pStyle w:val="TableContents"/>
              <w:bidi w:val="0"/>
              <w:spacing w:before="0" w:after="283"/>
              <w:jc w:val="both"/>
              <w:rPr>
                <w:sz w:val="20"/>
              </w:rPr>
            </w:pPr>
            <w:r>
              <w:rPr>
                <w:sz w:val="20"/>
              </w:rPr>
              <w:t>For any Exchange Business Day, as determined by the Calculation Agent based on the New York Volume Weighted Average Price per Share for the regular trading session (including any extensions thereof) of the Exchange on such Exchange Business Day (without regard to pre-open or after hours trading outside of such regular trading session), as published by Bloomberg at 4:15 P.M., New York City time (or 15 minutes following the end of any extension of the regular trading session), on such Exchange Business Day, on Bloomberg page “WGO.N &lt;Equity&gt; AQR” (or any successor thereto) (or if such published volume weighted average price is unavailable or is manifestly incorrect, the market value of one Share on such Exchange Business Day, as determined by the Calculation Agent using, if practicable, a volume weighted method).</w:t>
            </w:r>
          </w:p>
        </w:tc>
      </w:tr>
      <w:tr>
        <w:trPr/>
        <w:tc>
          <w:tcPr>
            <w:tcW w:w="1150" w:type="dxa"/>
            <w:tcBorders/>
            <w:vAlign w:val="center"/>
          </w:tcPr>
          <w:p>
            <w:pPr>
              <w:pStyle w:val="TableContents"/>
              <w:bidi w:val="0"/>
              <w:spacing w:before="0" w:after="283"/>
              <w:jc w:val="left"/>
              <w:rPr/>
            </w:pPr>
            <w:r>
              <w:rPr/>
              <w:t> </w:t>
            </w:r>
          </w:p>
        </w:tc>
        <w:tc>
          <w:tcPr>
            <w:tcW w:w="9055" w:type="dxa"/>
            <w:tcBorders/>
            <w:vAlign w:val="center"/>
          </w:tcPr>
          <w:p>
            <w:pPr>
              <w:pStyle w:val="TableContents"/>
              <w:bidi w:val="0"/>
              <w:spacing w:before="0" w:after="283"/>
              <w:jc w:val="left"/>
              <w:rPr/>
            </w:pPr>
            <w:r>
              <w:rPr/>
              <w:t> </w:t>
            </w:r>
          </w:p>
        </w:tc>
      </w:tr>
      <w:tr>
        <w:trPr/>
        <w:tc>
          <w:tcPr>
            <w:tcW w:w="1150" w:type="dxa"/>
            <w:tcBorders/>
            <w:vAlign w:val="center"/>
          </w:tcPr>
          <w:p>
            <w:pPr>
              <w:pStyle w:val="TableContents"/>
              <w:bidi w:val="0"/>
              <w:spacing w:before="0" w:after="283"/>
              <w:jc w:val="left"/>
              <w:rPr>
                <w:sz w:val="20"/>
              </w:rPr>
            </w:pPr>
            <w:r>
              <w:rPr>
                <w:sz w:val="20"/>
              </w:rPr>
              <w:t>Other Applicable Provisions:</w:t>
            </w:r>
          </w:p>
        </w:tc>
        <w:tc>
          <w:tcPr>
            <w:tcW w:w="9055" w:type="dxa"/>
            <w:tcBorders/>
            <w:vAlign w:val="center"/>
          </w:tcPr>
          <w:p>
            <w:pPr>
              <w:pStyle w:val="TableContents"/>
              <w:bidi w:val="0"/>
              <w:spacing w:before="0" w:after="283"/>
              <w:jc w:val="both"/>
              <w:rPr>
                <w:sz w:val="20"/>
              </w:rPr>
            </w:pPr>
            <w:r>
              <w:rPr>
                <w:sz w:val="20"/>
              </w:rPr>
              <w:t xml:space="preserve">The provisions of Sections 9.1(c), 9.4, 9.8, 9.9, 9.10, 9.11 and 9.12 of the Equity Definitions will be applicable as if “Physical Settlement” applied to the Transaction; </w:t>
            </w:r>
            <w:r>
              <w:rPr>
                <w:i/>
                <w:sz w:val="20"/>
              </w:rPr>
              <w:t>provided</w:t>
            </w:r>
            <w:r>
              <w:rPr>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of the Shares.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1"/>
        <w:gridCol w:w="8774"/>
      </w:tblGrid>
      <w:tr>
        <w:trPr/>
        <w:tc>
          <w:tcPr>
            <w:tcW w:w="1431" w:type="dxa"/>
            <w:tcBorders/>
            <w:vAlign w:val="center"/>
          </w:tcPr>
          <w:p>
            <w:pPr>
              <w:pStyle w:val="TableContents"/>
              <w:bidi w:val="0"/>
              <w:spacing w:before="0" w:after="283"/>
              <w:jc w:val="left"/>
              <w:rPr>
                <w:sz w:val="20"/>
              </w:rPr>
            </w:pPr>
            <w:r>
              <w:rPr>
                <w:sz w:val="20"/>
              </w:rPr>
              <w:t>Adjustments:</w:t>
            </w:r>
          </w:p>
        </w:tc>
        <w:tc>
          <w:tcPr>
            <w:tcW w:w="8774" w:type="dxa"/>
            <w:tcBorders/>
            <w:vAlign w:val="center"/>
          </w:tcPr>
          <w:p>
            <w:pPr>
              <w:pStyle w:val="TableContents"/>
              <w:bidi w:val="0"/>
              <w:spacing w:before="0" w:after="283"/>
              <w:jc w:val="left"/>
              <w:rPr/>
            </w:pPr>
            <w:r>
              <w:rPr/>
              <w:t> </w:t>
            </w:r>
          </w:p>
        </w:tc>
      </w:tr>
      <w:tr>
        <w:trPr/>
        <w:tc>
          <w:tcPr>
            <w:tcW w:w="1431" w:type="dxa"/>
            <w:tcBorders/>
            <w:vAlign w:val="center"/>
          </w:tcPr>
          <w:p>
            <w:pPr>
              <w:pStyle w:val="TableContents"/>
              <w:bidi w:val="0"/>
              <w:spacing w:before="0" w:after="283"/>
              <w:jc w:val="left"/>
              <w:rPr/>
            </w:pPr>
            <w:r>
              <w:rPr/>
              <w:t> </w:t>
            </w:r>
          </w:p>
        </w:tc>
        <w:tc>
          <w:tcPr>
            <w:tcW w:w="8774" w:type="dxa"/>
            <w:tcBorders/>
            <w:vAlign w:val="center"/>
          </w:tcPr>
          <w:p>
            <w:pPr>
              <w:pStyle w:val="TableContents"/>
              <w:bidi w:val="0"/>
              <w:spacing w:before="0" w:after="283"/>
              <w:jc w:val="left"/>
              <w:rPr/>
            </w:pPr>
            <w:r>
              <w:rPr/>
              <w:t> </w:t>
            </w:r>
          </w:p>
        </w:tc>
      </w:tr>
      <w:tr>
        <w:trPr/>
        <w:tc>
          <w:tcPr>
            <w:tcW w:w="1431" w:type="dxa"/>
            <w:tcBorders/>
            <w:vAlign w:val="center"/>
          </w:tcPr>
          <w:p>
            <w:pPr>
              <w:pStyle w:val="TableContents"/>
              <w:bidi w:val="0"/>
              <w:spacing w:before="0" w:after="283"/>
              <w:jc w:val="left"/>
              <w:rPr>
                <w:i/>
                <w:sz w:val="20"/>
              </w:rPr>
            </w:pPr>
            <w:r>
              <w:rPr>
                <w:i/>
                <w:sz w:val="20"/>
              </w:rPr>
              <w:t>In respect of any Component:</w:t>
            </w:r>
          </w:p>
        </w:tc>
        <w:tc>
          <w:tcPr>
            <w:tcW w:w="8774" w:type="dxa"/>
            <w:tcBorders/>
            <w:vAlign w:val="center"/>
          </w:tcPr>
          <w:p>
            <w:pPr>
              <w:pStyle w:val="TableContents"/>
              <w:bidi w:val="0"/>
              <w:spacing w:before="0" w:after="283"/>
              <w:jc w:val="left"/>
              <w:rPr/>
            </w:pPr>
            <w:r>
              <w:rPr/>
              <w:t> </w:t>
            </w:r>
          </w:p>
        </w:tc>
      </w:tr>
      <w:tr>
        <w:trPr/>
        <w:tc>
          <w:tcPr>
            <w:tcW w:w="1431" w:type="dxa"/>
            <w:tcBorders/>
            <w:vAlign w:val="center"/>
          </w:tcPr>
          <w:p>
            <w:pPr>
              <w:pStyle w:val="TableContents"/>
              <w:bidi w:val="0"/>
              <w:spacing w:before="0" w:after="283"/>
              <w:jc w:val="left"/>
              <w:rPr/>
            </w:pPr>
            <w:r>
              <w:rPr/>
              <w:t> </w:t>
            </w:r>
          </w:p>
        </w:tc>
        <w:tc>
          <w:tcPr>
            <w:tcW w:w="8774" w:type="dxa"/>
            <w:tcBorders/>
            <w:vAlign w:val="center"/>
          </w:tcPr>
          <w:p>
            <w:pPr>
              <w:pStyle w:val="TableContents"/>
              <w:bidi w:val="0"/>
              <w:spacing w:before="0" w:after="283"/>
              <w:jc w:val="left"/>
              <w:rPr/>
            </w:pPr>
            <w:r>
              <w:rPr/>
              <w:t> </w:t>
            </w:r>
          </w:p>
        </w:tc>
      </w:tr>
      <w:tr>
        <w:trPr/>
        <w:tc>
          <w:tcPr>
            <w:tcW w:w="1431" w:type="dxa"/>
            <w:tcBorders/>
            <w:vAlign w:val="center"/>
          </w:tcPr>
          <w:p>
            <w:pPr>
              <w:pStyle w:val="TableContents"/>
              <w:bidi w:val="0"/>
              <w:spacing w:before="0" w:after="283"/>
              <w:jc w:val="left"/>
              <w:rPr>
                <w:sz w:val="20"/>
              </w:rPr>
            </w:pPr>
            <w:r>
              <w:rPr>
                <w:sz w:val="20"/>
              </w:rPr>
              <w:t>Method of Adjustment:</w:t>
            </w:r>
          </w:p>
        </w:tc>
        <w:tc>
          <w:tcPr>
            <w:tcW w:w="8774" w:type="dxa"/>
            <w:tcBorders/>
            <w:vAlign w:val="center"/>
          </w:tcPr>
          <w:p>
            <w:pPr>
              <w:pStyle w:val="TableContents"/>
              <w:bidi w:val="0"/>
              <w:spacing w:before="0" w:after="283"/>
              <w:jc w:val="both"/>
              <w:rPr>
                <w:sz w:val="20"/>
              </w:rPr>
            </w:pPr>
            <w:r>
              <w:rPr>
                <w:sz w:val="20"/>
              </w:rPr>
              <w:t>Calculation Agent Adjustment. For the avoidance of doubt, Calculation Agent Adjustment shall continue to apply until the obligations of the parties (including any obligations of Counterparty pursuant to Section 8(f) below) under the Transaction have been satisfied in full.</w:t>
            </w:r>
          </w:p>
        </w:tc>
      </w:tr>
      <w:tr>
        <w:trPr/>
        <w:tc>
          <w:tcPr>
            <w:tcW w:w="1431" w:type="dxa"/>
            <w:tcBorders/>
            <w:vAlign w:val="center"/>
          </w:tcPr>
          <w:p>
            <w:pPr>
              <w:pStyle w:val="TableContents"/>
              <w:bidi w:val="0"/>
              <w:spacing w:before="0" w:after="283"/>
              <w:jc w:val="left"/>
              <w:rPr/>
            </w:pPr>
            <w:r>
              <w:rPr/>
              <w:t> </w:t>
            </w:r>
          </w:p>
        </w:tc>
        <w:tc>
          <w:tcPr>
            <w:tcW w:w="8774" w:type="dxa"/>
            <w:tcBorders/>
            <w:vAlign w:val="center"/>
          </w:tcPr>
          <w:p>
            <w:pPr>
              <w:pStyle w:val="TableContents"/>
              <w:bidi w:val="0"/>
              <w:spacing w:before="0" w:after="283"/>
              <w:jc w:val="left"/>
              <w:rPr/>
            </w:pPr>
            <w:r>
              <w:rPr/>
              <w:t> </w:t>
            </w:r>
          </w:p>
        </w:tc>
      </w:tr>
      <w:tr>
        <w:trPr/>
        <w:tc>
          <w:tcPr>
            <w:tcW w:w="1431" w:type="dxa"/>
            <w:tcBorders/>
            <w:vAlign w:val="center"/>
          </w:tcPr>
          <w:p>
            <w:pPr>
              <w:pStyle w:val="TableContents"/>
              <w:bidi w:val="0"/>
              <w:spacing w:before="0" w:after="283"/>
              <w:jc w:val="left"/>
              <w:rPr>
                <w:sz w:val="20"/>
              </w:rPr>
            </w:pPr>
            <w:r>
              <w:rPr>
                <w:sz w:val="20"/>
              </w:rPr>
              <w:t>Extraordinary Dividend:</w:t>
            </w:r>
          </w:p>
        </w:tc>
        <w:tc>
          <w:tcPr>
            <w:tcW w:w="8774" w:type="dxa"/>
            <w:tcBorders/>
            <w:vAlign w:val="center"/>
          </w:tcPr>
          <w:p>
            <w:pPr>
              <w:pStyle w:val="TableContents"/>
              <w:bidi w:val="0"/>
              <w:spacing w:before="0" w:after="283"/>
              <w:jc w:val="both"/>
              <w:rPr>
                <w:sz w:val="20"/>
              </w:rPr>
            </w:pPr>
            <w:r>
              <w:rPr>
                <w:sz w:val="20"/>
              </w:rPr>
              <w:t>For any regular dividend period of Counterparty, any dividend or distribution on the Shares with an ex-dividend date occurring during such regular dividend period (other than any dividend or distribution of the type described in Section 11.2(e)(i) or Section 11.2(e)(ii)(A) of the Equity Definitions) (a “</w:t>
            </w:r>
            <w:r>
              <w:rPr>
                <w:b/>
                <w:sz w:val="20"/>
              </w:rPr>
              <w:t>Dividend</w:t>
            </w:r>
            <w:r>
              <w:rPr>
                <w:sz w:val="20"/>
              </w:rPr>
              <w:t>”) the amount or value of which (as determined by the Calculation Agent), when aggregated with the amount or value (as determined by the Calculation Agent) of any and all previous Dividends with ex-dividend dates occurring in the same regular dividend period, exceeds the Ordinary Dividend Amount.</w:t>
            </w:r>
          </w:p>
        </w:tc>
      </w:tr>
      <w:tr>
        <w:trPr/>
        <w:tc>
          <w:tcPr>
            <w:tcW w:w="1431" w:type="dxa"/>
            <w:tcBorders/>
            <w:vAlign w:val="center"/>
          </w:tcPr>
          <w:p>
            <w:pPr>
              <w:pStyle w:val="TableContents"/>
              <w:bidi w:val="0"/>
              <w:spacing w:before="0" w:after="283"/>
              <w:jc w:val="left"/>
              <w:rPr/>
            </w:pPr>
            <w:r>
              <w:rPr/>
              <w:t> </w:t>
            </w:r>
          </w:p>
        </w:tc>
        <w:tc>
          <w:tcPr>
            <w:tcW w:w="8774" w:type="dxa"/>
            <w:tcBorders/>
            <w:vAlign w:val="center"/>
          </w:tcPr>
          <w:p>
            <w:pPr>
              <w:pStyle w:val="TableContents"/>
              <w:bidi w:val="0"/>
              <w:spacing w:before="0" w:after="283"/>
              <w:jc w:val="left"/>
              <w:rPr/>
            </w:pPr>
            <w:r>
              <w:rPr/>
              <w:t> </w:t>
            </w:r>
          </w:p>
        </w:tc>
      </w:tr>
      <w:tr>
        <w:trPr/>
        <w:tc>
          <w:tcPr>
            <w:tcW w:w="1431" w:type="dxa"/>
            <w:tcBorders/>
            <w:vAlign w:val="center"/>
          </w:tcPr>
          <w:p>
            <w:pPr>
              <w:pStyle w:val="TableContents"/>
              <w:bidi w:val="0"/>
              <w:spacing w:before="0" w:after="283"/>
              <w:jc w:val="left"/>
              <w:rPr>
                <w:sz w:val="20"/>
              </w:rPr>
            </w:pPr>
            <w:r>
              <w:rPr>
                <w:sz w:val="20"/>
              </w:rPr>
              <w:t>Ordinary Dividend Amount:</w:t>
            </w:r>
          </w:p>
        </w:tc>
        <w:tc>
          <w:tcPr>
            <w:tcW w:w="8774" w:type="dxa"/>
            <w:tcBorders/>
            <w:vAlign w:val="center"/>
          </w:tcPr>
          <w:p>
            <w:pPr>
              <w:pStyle w:val="TableContents"/>
              <w:bidi w:val="0"/>
              <w:spacing w:before="0" w:after="283"/>
              <w:jc w:val="both"/>
              <w:rPr>
                <w:sz w:val="20"/>
              </w:rPr>
            </w:pPr>
            <w:r>
              <w:rPr>
                <w:sz w:val="20"/>
              </w:rPr>
              <w:t>For the first Dividend on the Shares for which the ex-dividend date occurs during any regular quarterly dividend period of Counterparty, USD 0.31, and for any other Dividend on the Shares for which the ex-dividend date occurs during the same regular quarterly dividend period, USD 0.00.</w:t>
            </w:r>
          </w:p>
        </w:tc>
      </w:tr>
      <w:tr>
        <w:trPr/>
        <w:tc>
          <w:tcPr>
            <w:tcW w:w="1431" w:type="dxa"/>
            <w:tcBorders/>
            <w:vAlign w:val="center"/>
          </w:tcPr>
          <w:p>
            <w:pPr>
              <w:pStyle w:val="TableContents"/>
              <w:bidi w:val="0"/>
              <w:spacing w:before="0" w:after="283"/>
              <w:jc w:val="left"/>
              <w:rPr/>
            </w:pPr>
            <w:r>
              <w:rPr/>
              <w:t> </w:t>
            </w:r>
          </w:p>
        </w:tc>
        <w:tc>
          <w:tcPr>
            <w:tcW w:w="8774" w:type="dxa"/>
            <w:tcBorders/>
            <w:vAlign w:val="center"/>
          </w:tcPr>
          <w:p>
            <w:pPr>
              <w:pStyle w:val="TableContents"/>
              <w:bidi w:val="0"/>
              <w:spacing w:before="0" w:after="283"/>
              <w:jc w:val="left"/>
              <w:rPr/>
            </w:pPr>
            <w:r>
              <w:rPr/>
              <w:t> </w:t>
            </w:r>
          </w:p>
        </w:tc>
      </w:tr>
      <w:tr>
        <w:trPr/>
        <w:tc>
          <w:tcPr>
            <w:tcW w:w="1431" w:type="dxa"/>
            <w:tcBorders/>
            <w:vAlign w:val="center"/>
          </w:tcPr>
          <w:p>
            <w:pPr>
              <w:pStyle w:val="TableContents"/>
              <w:bidi w:val="0"/>
              <w:spacing w:before="0" w:after="283"/>
              <w:jc w:val="left"/>
              <w:rPr>
                <w:sz w:val="20"/>
              </w:rPr>
            </w:pPr>
            <w:r>
              <w:rPr>
                <w:sz w:val="20"/>
              </w:rPr>
              <w:t>Extraordinary Events:</w:t>
            </w:r>
          </w:p>
        </w:tc>
        <w:tc>
          <w:tcPr>
            <w:tcW w:w="8774" w:type="dxa"/>
            <w:tcBorders/>
            <w:vAlign w:val="center"/>
          </w:tcPr>
          <w:p>
            <w:pPr>
              <w:pStyle w:val="TableContents"/>
              <w:bidi w:val="0"/>
              <w:spacing w:before="0" w:after="283"/>
              <w:jc w:val="left"/>
              <w:rPr/>
            </w:pPr>
            <w:r>
              <w:rPr/>
              <w:t> </w:t>
            </w:r>
          </w:p>
        </w:tc>
      </w:tr>
      <w:tr>
        <w:trPr/>
        <w:tc>
          <w:tcPr>
            <w:tcW w:w="1431" w:type="dxa"/>
            <w:tcBorders/>
            <w:vAlign w:val="center"/>
          </w:tcPr>
          <w:p>
            <w:pPr>
              <w:pStyle w:val="TableContents"/>
              <w:bidi w:val="0"/>
              <w:spacing w:before="0" w:after="283"/>
              <w:jc w:val="left"/>
              <w:rPr/>
            </w:pPr>
            <w:r>
              <w:rPr/>
              <w:t> </w:t>
            </w:r>
          </w:p>
        </w:tc>
        <w:tc>
          <w:tcPr>
            <w:tcW w:w="8774" w:type="dxa"/>
            <w:tcBorders/>
            <w:vAlign w:val="center"/>
          </w:tcPr>
          <w:p>
            <w:pPr>
              <w:pStyle w:val="TableContents"/>
              <w:bidi w:val="0"/>
              <w:spacing w:before="0" w:after="283"/>
              <w:jc w:val="left"/>
              <w:rPr/>
            </w:pPr>
            <w:r>
              <w:rPr/>
              <w:t> </w:t>
            </w:r>
          </w:p>
        </w:tc>
      </w:tr>
      <w:tr>
        <w:trPr/>
        <w:tc>
          <w:tcPr>
            <w:tcW w:w="1431" w:type="dxa"/>
            <w:tcBorders/>
            <w:vAlign w:val="center"/>
          </w:tcPr>
          <w:p>
            <w:pPr>
              <w:pStyle w:val="TableContents"/>
              <w:bidi w:val="0"/>
              <w:spacing w:before="0" w:after="283"/>
              <w:jc w:val="left"/>
              <w:rPr>
                <w:sz w:val="20"/>
              </w:rPr>
            </w:pPr>
            <w:r>
              <w:rPr>
                <w:sz w:val="20"/>
              </w:rPr>
              <w:t>New Shares:</w:t>
            </w:r>
          </w:p>
        </w:tc>
        <w:tc>
          <w:tcPr>
            <w:tcW w:w="8774" w:type="dxa"/>
            <w:tcBorders/>
            <w:vAlign w:val="center"/>
          </w:tcPr>
          <w:p>
            <w:pPr>
              <w:pStyle w:val="TableContents"/>
              <w:bidi w:val="0"/>
              <w:spacing w:before="0" w:after="283"/>
              <w:jc w:val="both"/>
              <w:rPr>
                <w:sz w:val="20"/>
              </w:rPr>
            </w:pPr>
            <w:r>
              <w:rPr>
                <w:sz w:val="20"/>
              </w:rPr>
              <w:t>In the definition of New Shares in Section 12.1(i) of the Equity Definitions, the text in clause (i) thereof shall be deleted in its entirety and replaced with “publicly quoted, traded or listed on any of The New York Stock Exchange, The NASDAQ Global Market or The NASDAQ Global Select Market (or their respective successors) and of an entity or person that is a corporation organized under the laws of the United States, any State thereof or the District of Columbia”.</w:t>
            </w:r>
          </w:p>
        </w:tc>
      </w:tr>
      <w:tr>
        <w:trPr/>
        <w:tc>
          <w:tcPr>
            <w:tcW w:w="1431" w:type="dxa"/>
            <w:tcBorders/>
            <w:vAlign w:val="center"/>
          </w:tcPr>
          <w:p>
            <w:pPr>
              <w:pStyle w:val="TableContents"/>
              <w:bidi w:val="0"/>
              <w:spacing w:before="0" w:after="283"/>
              <w:jc w:val="left"/>
              <w:rPr/>
            </w:pPr>
            <w:r>
              <w:rPr/>
              <w:t> </w:t>
            </w:r>
          </w:p>
        </w:tc>
        <w:tc>
          <w:tcPr>
            <w:tcW w:w="8774" w:type="dxa"/>
            <w:tcBorders/>
            <w:vAlign w:val="center"/>
          </w:tcPr>
          <w:p>
            <w:pPr>
              <w:pStyle w:val="TableContents"/>
              <w:bidi w:val="0"/>
              <w:spacing w:before="0" w:after="283"/>
              <w:jc w:val="left"/>
              <w:rPr/>
            </w:pPr>
            <w:r>
              <w:rPr/>
              <w:t> </w:t>
            </w:r>
          </w:p>
        </w:tc>
      </w:tr>
      <w:tr>
        <w:trPr/>
        <w:tc>
          <w:tcPr>
            <w:tcW w:w="1431" w:type="dxa"/>
            <w:tcBorders/>
            <w:vAlign w:val="center"/>
          </w:tcPr>
          <w:p>
            <w:pPr>
              <w:pStyle w:val="TableContents"/>
              <w:bidi w:val="0"/>
              <w:spacing w:before="0" w:after="283"/>
              <w:jc w:val="left"/>
              <w:rPr>
                <w:sz w:val="20"/>
              </w:rPr>
            </w:pPr>
            <w:r>
              <w:rPr>
                <w:sz w:val="20"/>
              </w:rPr>
              <w:t>Merger Event:</w:t>
            </w:r>
          </w:p>
        </w:tc>
        <w:tc>
          <w:tcPr>
            <w:tcW w:w="8774" w:type="dxa"/>
            <w:tcBorders/>
            <w:vAlign w:val="center"/>
          </w:tcPr>
          <w:p>
            <w:pPr>
              <w:pStyle w:val="TableContents"/>
              <w:bidi w:val="0"/>
              <w:spacing w:before="0" w:after="283"/>
              <w:jc w:val="both"/>
              <w:rPr>
                <w:sz w:val="20"/>
              </w:rPr>
            </w:pPr>
            <w:r>
              <w:rPr>
                <w:sz w:val="20"/>
              </w:rPr>
              <w:t xml:space="preserve">Applicable; </w:t>
            </w:r>
            <w:r>
              <w:rPr>
                <w:i/>
                <w:sz w:val="20"/>
              </w:rPr>
              <w:t>provided</w:t>
            </w:r>
            <w:r>
              <w:rPr>
                <w:sz w:val="20"/>
              </w:rPr>
              <w:t xml:space="preserve"> that if an event occurs that constitutes both a Merger Event under Section 12.1(b) of the Equity Definitions and an Additional Termination Event under Section 8(k)(iv) of this Confirmation, Dealer may elect, in its sole discretion, whether the provisions of Section 12.2 of the Equity Definitions or Section 8(k)(iv) will apply.</w:t>
            </w:r>
          </w:p>
        </w:tc>
      </w:tr>
      <w:tr>
        <w:trPr/>
        <w:tc>
          <w:tcPr>
            <w:tcW w:w="1431" w:type="dxa"/>
            <w:tcBorders/>
            <w:vAlign w:val="center"/>
          </w:tcPr>
          <w:p>
            <w:pPr>
              <w:pStyle w:val="TableContents"/>
              <w:bidi w:val="0"/>
              <w:spacing w:before="0" w:after="283"/>
              <w:jc w:val="left"/>
              <w:rPr/>
            </w:pPr>
            <w:r>
              <w:rPr/>
              <w:t> </w:t>
            </w:r>
          </w:p>
        </w:tc>
        <w:tc>
          <w:tcPr>
            <w:tcW w:w="8774" w:type="dxa"/>
            <w:tcBorders/>
            <w:vAlign w:val="center"/>
          </w:tcPr>
          <w:p>
            <w:pPr>
              <w:pStyle w:val="TableContents"/>
              <w:bidi w:val="0"/>
              <w:spacing w:before="0" w:after="283"/>
              <w:jc w:val="left"/>
              <w:rPr/>
            </w:pPr>
            <w:r>
              <w:rPr/>
              <w:t> </w:t>
            </w:r>
          </w:p>
        </w:tc>
      </w:tr>
      <w:tr>
        <w:trPr/>
        <w:tc>
          <w:tcPr>
            <w:tcW w:w="1431" w:type="dxa"/>
            <w:tcBorders/>
            <w:vAlign w:val="center"/>
          </w:tcPr>
          <w:p>
            <w:pPr>
              <w:pStyle w:val="TableContents"/>
              <w:bidi w:val="0"/>
              <w:spacing w:before="0" w:after="283"/>
              <w:jc w:val="left"/>
              <w:rPr>
                <w:sz w:val="20"/>
              </w:rPr>
            </w:pPr>
            <w:r>
              <w:rPr>
                <w:sz w:val="20"/>
              </w:rPr>
              <w:t>Consequences of Merger Events:</w:t>
            </w:r>
          </w:p>
        </w:tc>
        <w:tc>
          <w:tcPr>
            <w:tcW w:w="8774" w:type="dxa"/>
            <w:tcBorders/>
            <w:vAlign w:val="center"/>
          </w:tcPr>
          <w:p>
            <w:pPr>
              <w:pStyle w:val="TableContents"/>
              <w:bidi w:val="0"/>
              <w:spacing w:before="0" w:after="283"/>
              <w:jc w:val="left"/>
              <w:rPr/>
            </w:pPr>
            <w:r>
              <w:rPr/>
              <w:t> </w:t>
            </w:r>
          </w:p>
        </w:tc>
      </w:tr>
      <w:tr>
        <w:trPr/>
        <w:tc>
          <w:tcPr>
            <w:tcW w:w="1431" w:type="dxa"/>
            <w:tcBorders/>
            <w:vAlign w:val="center"/>
          </w:tcPr>
          <w:p>
            <w:pPr>
              <w:pStyle w:val="TableContents"/>
              <w:bidi w:val="0"/>
              <w:spacing w:before="0" w:after="283"/>
              <w:jc w:val="left"/>
              <w:rPr/>
            </w:pPr>
            <w:r>
              <w:rPr/>
              <w:t> </w:t>
            </w:r>
          </w:p>
        </w:tc>
        <w:tc>
          <w:tcPr>
            <w:tcW w:w="8774" w:type="dxa"/>
            <w:tcBorders/>
            <w:vAlign w:val="center"/>
          </w:tcPr>
          <w:p>
            <w:pPr>
              <w:pStyle w:val="TableContents"/>
              <w:bidi w:val="0"/>
              <w:spacing w:before="0" w:after="283"/>
              <w:jc w:val="left"/>
              <w:rPr/>
            </w:pPr>
            <w:r>
              <w:rPr/>
              <w:t> </w:t>
            </w:r>
          </w:p>
        </w:tc>
      </w:tr>
      <w:tr>
        <w:trPr/>
        <w:tc>
          <w:tcPr>
            <w:tcW w:w="1431" w:type="dxa"/>
            <w:tcBorders/>
            <w:vAlign w:val="center"/>
          </w:tcPr>
          <w:p>
            <w:pPr>
              <w:pStyle w:val="TableContents"/>
              <w:bidi w:val="0"/>
              <w:spacing w:before="0" w:after="283"/>
              <w:jc w:val="left"/>
              <w:rPr/>
            </w:pPr>
            <w:r>
              <w:rPr/>
              <w:t>(a)     Share-for-Share:</w:t>
            </w:r>
          </w:p>
        </w:tc>
        <w:tc>
          <w:tcPr>
            <w:tcW w:w="8774" w:type="dxa"/>
            <w:tcBorders/>
            <w:vAlign w:val="center"/>
          </w:tcPr>
          <w:p>
            <w:pPr>
              <w:pStyle w:val="TableContents"/>
              <w:bidi w:val="0"/>
              <w:spacing w:before="0" w:after="283"/>
              <w:jc w:val="both"/>
              <w:rPr/>
            </w:pPr>
            <w:r>
              <w:rPr/>
              <w:t>Modified Calculation Agent Adjustment</w:t>
            </w:r>
          </w:p>
        </w:tc>
      </w:tr>
      <w:tr>
        <w:trPr/>
        <w:tc>
          <w:tcPr>
            <w:tcW w:w="1431" w:type="dxa"/>
            <w:tcBorders/>
            <w:vAlign w:val="center"/>
          </w:tcPr>
          <w:p>
            <w:pPr>
              <w:pStyle w:val="TableContents"/>
              <w:bidi w:val="0"/>
              <w:spacing w:before="0" w:after="283"/>
              <w:jc w:val="left"/>
              <w:rPr/>
            </w:pPr>
            <w:r>
              <w:rPr/>
              <w:t> </w:t>
            </w:r>
          </w:p>
        </w:tc>
        <w:tc>
          <w:tcPr>
            <w:tcW w:w="8774" w:type="dxa"/>
            <w:tcBorders/>
            <w:vAlign w:val="center"/>
          </w:tcPr>
          <w:p>
            <w:pPr>
              <w:pStyle w:val="TableContents"/>
              <w:bidi w:val="0"/>
              <w:spacing w:before="0" w:after="283"/>
              <w:jc w:val="both"/>
              <w:rPr/>
            </w:pPr>
            <w:r>
              <w:rPr/>
              <w:t> </w:t>
            </w:r>
          </w:p>
        </w:tc>
      </w:tr>
      <w:tr>
        <w:trPr/>
        <w:tc>
          <w:tcPr>
            <w:tcW w:w="1431" w:type="dxa"/>
            <w:tcBorders/>
            <w:vAlign w:val="center"/>
          </w:tcPr>
          <w:p>
            <w:pPr>
              <w:pStyle w:val="TableContents"/>
              <w:bidi w:val="0"/>
              <w:spacing w:before="0" w:after="283"/>
              <w:jc w:val="left"/>
              <w:rPr/>
            </w:pPr>
            <w:r>
              <w:rPr/>
              <w:t>(b)     Share-for-Other:</w:t>
            </w:r>
          </w:p>
        </w:tc>
        <w:tc>
          <w:tcPr>
            <w:tcW w:w="8774" w:type="dxa"/>
            <w:tcBorders/>
            <w:vAlign w:val="center"/>
          </w:tcPr>
          <w:p>
            <w:pPr>
              <w:pStyle w:val="TableContents"/>
              <w:bidi w:val="0"/>
              <w:spacing w:before="0" w:after="283"/>
              <w:jc w:val="both"/>
              <w:rPr/>
            </w:pPr>
            <w:r>
              <w:rPr/>
              <w:t xml:space="preserve">Cancellation and Payment (Calculation Agent Determination); </w:t>
            </w:r>
            <w:r>
              <w:rPr>
                <w:i/>
              </w:rPr>
              <w:t xml:space="preserve">provided </w:t>
            </w:r>
            <w:r>
              <w:rPr/>
              <w:t>that Dealer may elect, in its sole discretion, that Modified Calculation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6"/>
        <w:gridCol w:w="8559"/>
      </w:tblGrid>
      <w:tr>
        <w:trPr/>
        <w:tc>
          <w:tcPr>
            <w:tcW w:w="1646" w:type="dxa"/>
            <w:tcBorders/>
            <w:vAlign w:val="center"/>
          </w:tcPr>
          <w:p>
            <w:pPr>
              <w:pStyle w:val="TableContents"/>
              <w:bidi w:val="0"/>
              <w:spacing w:before="0" w:after="283"/>
              <w:jc w:val="left"/>
              <w:rPr/>
            </w:pPr>
            <w:r>
              <w:rPr/>
              <w:t> </w:t>
            </w:r>
          </w:p>
        </w:tc>
        <w:tc>
          <w:tcPr>
            <w:tcW w:w="8559" w:type="dxa"/>
            <w:tcBorders/>
            <w:vAlign w:val="center"/>
          </w:tcPr>
          <w:p>
            <w:pPr>
              <w:pStyle w:val="TableContents"/>
              <w:bidi w:val="0"/>
              <w:spacing w:before="0" w:after="283"/>
              <w:jc w:val="both"/>
              <w:rPr/>
            </w:pPr>
            <w:r>
              <w:rPr/>
              <w:t>Adjustment shall apply for all or part of the Transaction.</w:t>
            </w:r>
          </w:p>
        </w:tc>
      </w:tr>
      <w:tr>
        <w:trPr/>
        <w:tc>
          <w:tcPr>
            <w:tcW w:w="1646" w:type="dxa"/>
            <w:tcBorders/>
            <w:vAlign w:val="center"/>
          </w:tcPr>
          <w:p>
            <w:pPr>
              <w:pStyle w:val="TableContents"/>
              <w:bidi w:val="0"/>
              <w:spacing w:before="0" w:after="283"/>
              <w:jc w:val="left"/>
              <w:rPr/>
            </w:pPr>
            <w:r>
              <w:rPr/>
              <w:t> </w:t>
            </w:r>
          </w:p>
        </w:tc>
        <w:tc>
          <w:tcPr>
            <w:tcW w:w="8559" w:type="dxa"/>
            <w:tcBorders/>
            <w:vAlign w:val="center"/>
          </w:tcPr>
          <w:p>
            <w:pPr>
              <w:pStyle w:val="TableContents"/>
              <w:bidi w:val="0"/>
              <w:spacing w:before="0" w:after="283"/>
              <w:jc w:val="both"/>
              <w:rPr/>
            </w:pPr>
            <w:r>
              <w:rPr/>
              <w:t> </w:t>
            </w:r>
          </w:p>
        </w:tc>
      </w:tr>
      <w:tr>
        <w:trPr/>
        <w:tc>
          <w:tcPr>
            <w:tcW w:w="1646" w:type="dxa"/>
            <w:tcBorders/>
            <w:vAlign w:val="center"/>
          </w:tcPr>
          <w:p>
            <w:pPr>
              <w:pStyle w:val="TableContents"/>
              <w:bidi w:val="0"/>
              <w:spacing w:before="0" w:after="283"/>
              <w:jc w:val="left"/>
              <w:rPr/>
            </w:pPr>
            <w:r>
              <w:rPr/>
              <w:t>(c)     Share-for-Combined:</w:t>
            </w:r>
          </w:p>
        </w:tc>
        <w:tc>
          <w:tcPr>
            <w:tcW w:w="8559" w:type="dxa"/>
            <w:tcBorders/>
            <w:vAlign w:val="center"/>
          </w:tcPr>
          <w:p>
            <w:pPr>
              <w:pStyle w:val="TableContents"/>
              <w:bidi w:val="0"/>
              <w:spacing w:before="0" w:after="283"/>
              <w:jc w:val="both"/>
              <w:rPr/>
            </w:pPr>
            <w:r>
              <w:rPr/>
              <w:t xml:space="preserve">Cancellation and Payment (Calculation Agent Determination); </w:t>
            </w:r>
            <w:r>
              <w:rPr>
                <w:i/>
              </w:rPr>
              <w:t>provided</w:t>
            </w:r>
            <w:r>
              <w:rPr/>
              <w:t xml:space="preserve"> that Dealer may elect, in its sole discretion, that Modified Calculation Agent Adjustment or Component Adjustment shall apply for all or part of the Transaction.</w:t>
            </w:r>
          </w:p>
        </w:tc>
      </w:tr>
      <w:tr>
        <w:trPr/>
        <w:tc>
          <w:tcPr>
            <w:tcW w:w="1646" w:type="dxa"/>
            <w:tcBorders/>
            <w:vAlign w:val="center"/>
          </w:tcPr>
          <w:p>
            <w:pPr>
              <w:pStyle w:val="TableContents"/>
              <w:bidi w:val="0"/>
              <w:spacing w:before="0" w:after="283"/>
              <w:jc w:val="left"/>
              <w:rPr/>
            </w:pPr>
            <w:r>
              <w:rPr/>
              <w:t> </w:t>
            </w:r>
          </w:p>
        </w:tc>
        <w:tc>
          <w:tcPr>
            <w:tcW w:w="8559" w:type="dxa"/>
            <w:tcBorders/>
            <w:vAlign w:val="center"/>
          </w:tcPr>
          <w:p>
            <w:pPr>
              <w:pStyle w:val="TableContents"/>
              <w:bidi w:val="0"/>
              <w:spacing w:before="0" w:after="283"/>
              <w:jc w:val="both"/>
              <w:rPr/>
            </w:pPr>
            <w:r>
              <w:rPr/>
              <w:t> </w:t>
            </w:r>
          </w:p>
        </w:tc>
      </w:tr>
      <w:tr>
        <w:trPr/>
        <w:tc>
          <w:tcPr>
            <w:tcW w:w="1646" w:type="dxa"/>
            <w:tcBorders/>
            <w:vAlign w:val="center"/>
          </w:tcPr>
          <w:p>
            <w:pPr>
              <w:pStyle w:val="TableContents"/>
              <w:bidi w:val="0"/>
              <w:spacing w:before="0" w:after="283"/>
              <w:jc w:val="left"/>
              <w:rPr/>
            </w:pPr>
            <w:r>
              <w:rPr/>
              <w:t>Tender Offer:</w:t>
            </w:r>
          </w:p>
        </w:tc>
        <w:tc>
          <w:tcPr>
            <w:tcW w:w="8559" w:type="dxa"/>
            <w:tcBorders/>
            <w:vAlign w:val="center"/>
          </w:tcPr>
          <w:p>
            <w:pPr>
              <w:pStyle w:val="TableContents"/>
              <w:bidi w:val="0"/>
              <w:spacing w:before="0" w:after="283"/>
              <w:jc w:val="both"/>
              <w:rPr/>
            </w:pPr>
            <w:r>
              <w:rPr/>
              <w:t xml:space="preserve">Applicable; </w:t>
            </w:r>
            <w:r>
              <w:rPr>
                <w:i/>
              </w:rPr>
              <w:t>provided</w:t>
            </w:r>
            <w:r>
              <w:rPr/>
              <w:t xml:space="preserve"> that if an event occurs that constitutes both a Tender Offer under Section 12.1(d) of the Equity Definitions and an Additional Termination Event under Section 8(k)(iii) of this Confirmation, Dealer may elect, in its sole discretion, whether the provisions of Section 12.3 of the Equity Definitions or Section 8(k)(iii) will apply.</w:t>
            </w:r>
          </w:p>
        </w:tc>
      </w:tr>
      <w:tr>
        <w:trPr/>
        <w:tc>
          <w:tcPr>
            <w:tcW w:w="1646" w:type="dxa"/>
            <w:tcBorders/>
            <w:vAlign w:val="center"/>
          </w:tcPr>
          <w:p>
            <w:pPr>
              <w:pStyle w:val="TableContents"/>
              <w:bidi w:val="0"/>
              <w:spacing w:before="0" w:after="283"/>
              <w:jc w:val="left"/>
              <w:rPr/>
            </w:pPr>
            <w:r>
              <w:rPr/>
              <w:t> </w:t>
            </w:r>
          </w:p>
        </w:tc>
        <w:tc>
          <w:tcPr>
            <w:tcW w:w="8559" w:type="dxa"/>
            <w:tcBorders/>
            <w:vAlign w:val="center"/>
          </w:tcPr>
          <w:p>
            <w:pPr>
              <w:pStyle w:val="TableContents"/>
              <w:bidi w:val="0"/>
              <w:spacing w:before="0" w:after="283"/>
              <w:jc w:val="both"/>
              <w:rPr/>
            </w:pPr>
            <w:r>
              <w:rPr/>
              <w:t> </w:t>
            </w:r>
          </w:p>
        </w:tc>
      </w:tr>
      <w:tr>
        <w:trPr/>
        <w:tc>
          <w:tcPr>
            <w:tcW w:w="1646" w:type="dxa"/>
            <w:tcBorders/>
            <w:vAlign w:val="center"/>
          </w:tcPr>
          <w:p>
            <w:pPr>
              <w:pStyle w:val="TableContents"/>
              <w:bidi w:val="0"/>
              <w:spacing w:before="0" w:after="283"/>
              <w:jc w:val="left"/>
              <w:rPr/>
            </w:pPr>
            <w:r>
              <w:rPr/>
              <w:t>Consequences of Tender Offers:</w:t>
            </w:r>
          </w:p>
        </w:tc>
        <w:tc>
          <w:tcPr>
            <w:tcW w:w="8559" w:type="dxa"/>
            <w:tcBorders/>
            <w:vAlign w:val="center"/>
          </w:tcPr>
          <w:p>
            <w:pPr>
              <w:pStyle w:val="TableContents"/>
              <w:bidi w:val="0"/>
              <w:spacing w:before="0" w:after="283"/>
              <w:jc w:val="both"/>
              <w:rPr/>
            </w:pPr>
            <w:r>
              <w:rPr/>
              <w:t> </w:t>
            </w:r>
          </w:p>
        </w:tc>
      </w:tr>
      <w:tr>
        <w:trPr/>
        <w:tc>
          <w:tcPr>
            <w:tcW w:w="1646" w:type="dxa"/>
            <w:tcBorders/>
            <w:vAlign w:val="center"/>
          </w:tcPr>
          <w:p>
            <w:pPr>
              <w:pStyle w:val="TableContents"/>
              <w:bidi w:val="0"/>
              <w:spacing w:before="0" w:after="283"/>
              <w:jc w:val="left"/>
              <w:rPr/>
            </w:pPr>
            <w:r>
              <w:rPr/>
              <w:t> </w:t>
            </w:r>
          </w:p>
        </w:tc>
        <w:tc>
          <w:tcPr>
            <w:tcW w:w="8559" w:type="dxa"/>
            <w:tcBorders/>
            <w:vAlign w:val="center"/>
          </w:tcPr>
          <w:p>
            <w:pPr>
              <w:pStyle w:val="TableContents"/>
              <w:bidi w:val="0"/>
              <w:spacing w:before="0" w:after="283"/>
              <w:jc w:val="both"/>
              <w:rPr/>
            </w:pPr>
            <w:r>
              <w:rPr/>
              <w:t> </w:t>
            </w:r>
          </w:p>
        </w:tc>
      </w:tr>
      <w:tr>
        <w:trPr/>
        <w:tc>
          <w:tcPr>
            <w:tcW w:w="1646" w:type="dxa"/>
            <w:tcBorders/>
            <w:vAlign w:val="center"/>
          </w:tcPr>
          <w:p>
            <w:pPr>
              <w:pStyle w:val="TableContents"/>
              <w:bidi w:val="0"/>
              <w:spacing w:before="0" w:after="283"/>
              <w:jc w:val="left"/>
              <w:rPr/>
            </w:pPr>
            <w:r>
              <w:rPr/>
              <w:t>(a)     Share-for-Share:</w:t>
            </w:r>
          </w:p>
        </w:tc>
        <w:tc>
          <w:tcPr>
            <w:tcW w:w="8559" w:type="dxa"/>
            <w:tcBorders/>
            <w:vAlign w:val="center"/>
          </w:tcPr>
          <w:p>
            <w:pPr>
              <w:pStyle w:val="TableContents"/>
              <w:bidi w:val="0"/>
              <w:spacing w:before="0" w:after="283"/>
              <w:jc w:val="both"/>
              <w:rPr/>
            </w:pPr>
            <w:r>
              <w:rPr/>
              <w:t>Modified Calculation Agent Adjustment</w:t>
            </w:r>
          </w:p>
        </w:tc>
      </w:tr>
      <w:tr>
        <w:trPr/>
        <w:tc>
          <w:tcPr>
            <w:tcW w:w="1646" w:type="dxa"/>
            <w:tcBorders/>
            <w:vAlign w:val="center"/>
          </w:tcPr>
          <w:p>
            <w:pPr>
              <w:pStyle w:val="TableContents"/>
              <w:bidi w:val="0"/>
              <w:spacing w:before="0" w:after="283"/>
              <w:jc w:val="left"/>
              <w:rPr/>
            </w:pPr>
            <w:r>
              <w:rPr/>
              <w:t> </w:t>
            </w:r>
          </w:p>
        </w:tc>
        <w:tc>
          <w:tcPr>
            <w:tcW w:w="8559" w:type="dxa"/>
            <w:tcBorders/>
            <w:vAlign w:val="center"/>
          </w:tcPr>
          <w:p>
            <w:pPr>
              <w:pStyle w:val="TableContents"/>
              <w:bidi w:val="0"/>
              <w:spacing w:before="0" w:after="283"/>
              <w:jc w:val="both"/>
              <w:rPr/>
            </w:pPr>
            <w:r>
              <w:rPr/>
              <w:t> </w:t>
            </w:r>
          </w:p>
        </w:tc>
      </w:tr>
      <w:tr>
        <w:trPr/>
        <w:tc>
          <w:tcPr>
            <w:tcW w:w="1646" w:type="dxa"/>
            <w:tcBorders/>
            <w:vAlign w:val="center"/>
          </w:tcPr>
          <w:p>
            <w:pPr>
              <w:pStyle w:val="TableContents"/>
              <w:bidi w:val="0"/>
              <w:spacing w:before="0" w:after="283"/>
              <w:jc w:val="left"/>
              <w:rPr/>
            </w:pPr>
            <w:r>
              <w:rPr/>
              <w:t>(b)     Share-for-Other:</w:t>
            </w:r>
          </w:p>
        </w:tc>
        <w:tc>
          <w:tcPr>
            <w:tcW w:w="8559" w:type="dxa"/>
            <w:tcBorders/>
            <w:vAlign w:val="center"/>
          </w:tcPr>
          <w:p>
            <w:pPr>
              <w:pStyle w:val="TableContents"/>
              <w:bidi w:val="0"/>
              <w:spacing w:before="0" w:after="283"/>
              <w:jc w:val="both"/>
              <w:rPr/>
            </w:pPr>
            <w:r>
              <w:rPr/>
              <w:t>Modified Calculation Agent Adjustment</w:t>
            </w:r>
          </w:p>
        </w:tc>
      </w:tr>
      <w:tr>
        <w:trPr/>
        <w:tc>
          <w:tcPr>
            <w:tcW w:w="1646" w:type="dxa"/>
            <w:tcBorders/>
            <w:vAlign w:val="center"/>
          </w:tcPr>
          <w:p>
            <w:pPr>
              <w:pStyle w:val="TableContents"/>
              <w:bidi w:val="0"/>
              <w:spacing w:before="0" w:after="283"/>
              <w:jc w:val="left"/>
              <w:rPr/>
            </w:pPr>
            <w:r>
              <w:rPr/>
              <w:t> </w:t>
            </w:r>
          </w:p>
        </w:tc>
        <w:tc>
          <w:tcPr>
            <w:tcW w:w="8559" w:type="dxa"/>
            <w:tcBorders/>
            <w:vAlign w:val="center"/>
          </w:tcPr>
          <w:p>
            <w:pPr>
              <w:pStyle w:val="TableContents"/>
              <w:bidi w:val="0"/>
              <w:spacing w:before="0" w:after="283"/>
              <w:jc w:val="both"/>
              <w:rPr/>
            </w:pPr>
            <w:r>
              <w:rPr/>
              <w:t> </w:t>
            </w:r>
          </w:p>
        </w:tc>
      </w:tr>
      <w:tr>
        <w:trPr/>
        <w:tc>
          <w:tcPr>
            <w:tcW w:w="1646" w:type="dxa"/>
            <w:tcBorders/>
            <w:vAlign w:val="center"/>
          </w:tcPr>
          <w:p>
            <w:pPr>
              <w:pStyle w:val="TableContents"/>
              <w:bidi w:val="0"/>
              <w:spacing w:before="0" w:after="283"/>
              <w:jc w:val="left"/>
              <w:rPr/>
            </w:pPr>
            <w:r>
              <w:rPr/>
              <w:t>(c)     Share-for-Combined:</w:t>
            </w:r>
          </w:p>
        </w:tc>
        <w:tc>
          <w:tcPr>
            <w:tcW w:w="8559" w:type="dxa"/>
            <w:tcBorders/>
            <w:vAlign w:val="center"/>
          </w:tcPr>
          <w:p>
            <w:pPr>
              <w:pStyle w:val="TableContents"/>
              <w:bidi w:val="0"/>
              <w:spacing w:before="0" w:after="283"/>
              <w:jc w:val="both"/>
              <w:rPr/>
            </w:pPr>
            <w:r>
              <w:rPr/>
              <w:t>Modified Calculation Agent Adjustment</w:t>
            </w:r>
          </w:p>
        </w:tc>
      </w:tr>
      <w:tr>
        <w:trPr/>
        <w:tc>
          <w:tcPr>
            <w:tcW w:w="1646" w:type="dxa"/>
            <w:tcBorders/>
            <w:vAlign w:val="center"/>
          </w:tcPr>
          <w:p>
            <w:pPr>
              <w:pStyle w:val="TableContents"/>
              <w:bidi w:val="0"/>
              <w:spacing w:before="0" w:after="283"/>
              <w:jc w:val="left"/>
              <w:rPr/>
            </w:pPr>
            <w:r>
              <w:rPr/>
              <w:t> </w:t>
            </w:r>
          </w:p>
        </w:tc>
        <w:tc>
          <w:tcPr>
            <w:tcW w:w="8559" w:type="dxa"/>
            <w:tcBorders/>
            <w:vAlign w:val="center"/>
          </w:tcPr>
          <w:p>
            <w:pPr>
              <w:pStyle w:val="TableContents"/>
              <w:bidi w:val="0"/>
              <w:spacing w:before="0" w:after="283"/>
              <w:jc w:val="both"/>
              <w:rPr/>
            </w:pPr>
            <w:r>
              <w:rPr/>
              <w:t> </w:t>
            </w:r>
          </w:p>
        </w:tc>
      </w:tr>
      <w:tr>
        <w:trPr/>
        <w:tc>
          <w:tcPr>
            <w:tcW w:w="1646" w:type="dxa"/>
            <w:tcBorders/>
            <w:vAlign w:val="center"/>
          </w:tcPr>
          <w:p>
            <w:pPr>
              <w:pStyle w:val="TableContents"/>
              <w:bidi w:val="0"/>
              <w:spacing w:before="0" w:after="283"/>
              <w:jc w:val="left"/>
              <w:rPr/>
            </w:pPr>
            <w:r>
              <w:rPr/>
              <w:t>Consequences of Announcement Events:</w:t>
            </w:r>
          </w:p>
        </w:tc>
        <w:tc>
          <w:tcPr>
            <w:tcW w:w="8559" w:type="dxa"/>
            <w:tcBorders/>
            <w:vAlign w:val="center"/>
          </w:tcPr>
          <w:p>
            <w:pPr>
              <w:pStyle w:val="TableContents"/>
              <w:bidi w:val="0"/>
              <w:spacing w:before="0" w:after="283"/>
              <w:jc w:val="both"/>
              <w:rPr/>
            </w:pPr>
            <w:r>
              <w:rPr/>
              <w:t xml:space="preserve">Modified Calculation Agent Adjustment as set forth in Section 12.3(d) of the Equity Definitions; </w:t>
            </w:r>
            <w:r>
              <w:rPr>
                <w:i/>
              </w:rPr>
              <w:t>provided</w:t>
            </w:r>
            <w:r>
              <w:rPr/>
              <w:t xml:space="preserve"> that, in respect of an Announcement Event, (x) references to “Tender Offer” shall be replaced by references to “Announcement Event” and references to “Tender Offer Date” shall be replaced by references to “date of such Announcement Event”, (y) the word “shall” in the second line shall be replaced with “may”, and (z) for the avoidance of doubt, the Calculation Agent may determine whether the relevant Announcement Event has had an economic effect on any Component (and, if so, adjust the terms of such Component accordingly) on one or more occasions on or after the date of the Announcement Event up to, and including, the Expiration Date, any Early Termination Date and/or any other date of cancellation thereof, it being understood that any adjustment in respect of an Announcement Event shall take into account any earlier adjustment relating to the same Announcement Event. An Announcement Event shall be an “Extraordinary Event” for purposes of the Equity Definitions, to which Article 12 of the Equity Definitions is applicable.</w:t>
            </w:r>
          </w:p>
        </w:tc>
      </w:tr>
      <w:tr>
        <w:trPr/>
        <w:tc>
          <w:tcPr>
            <w:tcW w:w="1646" w:type="dxa"/>
            <w:tcBorders/>
            <w:vAlign w:val="center"/>
          </w:tcPr>
          <w:p>
            <w:pPr>
              <w:pStyle w:val="TableContents"/>
              <w:bidi w:val="0"/>
              <w:spacing w:before="0" w:after="283"/>
              <w:jc w:val="left"/>
              <w:rPr/>
            </w:pPr>
            <w:r>
              <w:rPr/>
              <w:t> </w:t>
            </w:r>
          </w:p>
        </w:tc>
        <w:tc>
          <w:tcPr>
            <w:tcW w:w="8559" w:type="dxa"/>
            <w:tcBorders/>
            <w:vAlign w:val="center"/>
          </w:tcPr>
          <w:p>
            <w:pPr>
              <w:pStyle w:val="TableContents"/>
              <w:bidi w:val="0"/>
              <w:spacing w:before="0" w:after="283"/>
              <w:jc w:val="both"/>
              <w:rPr/>
            </w:pPr>
            <w:r>
              <w:rPr/>
              <w:t> </w:t>
            </w:r>
          </w:p>
        </w:tc>
      </w:tr>
      <w:tr>
        <w:trPr/>
        <w:tc>
          <w:tcPr>
            <w:tcW w:w="1646" w:type="dxa"/>
            <w:tcBorders/>
            <w:vAlign w:val="center"/>
          </w:tcPr>
          <w:p>
            <w:pPr>
              <w:pStyle w:val="TableContents"/>
              <w:bidi w:val="0"/>
              <w:spacing w:before="0" w:after="283"/>
              <w:jc w:val="left"/>
              <w:rPr/>
            </w:pPr>
            <w:r>
              <w:rPr/>
              <w:t>Announcement Event:</w:t>
            </w:r>
          </w:p>
        </w:tc>
        <w:tc>
          <w:tcPr>
            <w:tcW w:w="8559" w:type="dxa"/>
            <w:tcBorders/>
            <w:vAlign w:val="center"/>
          </w:tcPr>
          <w:p>
            <w:pPr>
              <w:pStyle w:val="TableContents"/>
              <w:bidi w:val="0"/>
              <w:spacing w:before="0" w:after="283"/>
              <w:jc w:val="both"/>
              <w:rPr/>
            </w:pPr>
            <w:r>
              <w:rPr/>
              <w:t>(i) The public announcement by any entity of (x) any transaction or event that, if completed, would constitute a Merger Event or Tender Offer, (y) any potential acquisition or disposition by Issuer and/or its subsidiaries where the aggregate consideration paid and/or delivered exceeds 15% of the market capitalization of Issuer as of the date of such announcement (an “</w:t>
            </w:r>
            <w:r>
              <w:rPr>
                <w:b/>
              </w:rPr>
              <w:t>Transformative Transaction</w:t>
            </w:r>
            <w:r>
              <w:rPr/>
              <w:t>”) or (z) the intention to enter into a Merger Event or Tender Offer or an Transformative Transaction, (ii)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5"/>
        <w:gridCol w:w="9060"/>
      </w:tblGrid>
      <w:tr>
        <w:trPr/>
        <w:tc>
          <w:tcPr>
            <w:tcW w:w="1145"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283"/>
              <w:jc w:val="both"/>
              <w:rPr>
                <w:sz w:val="20"/>
              </w:rPr>
            </w:pPr>
            <w:r>
              <w:rPr>
                <w:sz w:val="20"/>
              </w:rPr>
              <w:t>the public announcement by Issuer of an intention to solicit or enter into, or to explore strategic alternatives or other similar undertaking that may include, a Merger Event or Tender Offer or an Transformative Transaction or (iii) any subsequent public announcement by any entity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the remainder of the definition of “Merger Event” in Section 12.1(b) of the Equity Definitions following the definition of “Reverse Merger” therein shall be disregarded.</w:t>
            </w:r>
          </w:p>
        </w:tc>
      </w:tr>
      <w:tr>
        <w:trPr/>
        <w:tc>
          <w:tcPr>
            <w:tcW w:w="1145"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sz w:val="20"/>
              </w:rPr>
            </w:pPr>
            <w:r>
              <w:rPr>
                <w:sz w:val="20"/>
              </w:rPr>
              <w:t>Modified Calculation Agent Adjustment:</w:t>
            </w:r>
          </w:p>
        </w:tc>
        <w:tc>
          <w:tcPr>
            <w:tcW w:w="9060" w:type="dxa"/>
            <w:tcBorders/>
            <w:vAlign w:val="center"/>
          </w:tcPr>
          <w:p>
            <w:pPr>
              <w:pStyle w:val="TableContents"/>
              <w:bidi w:val="0"/>
              <w:spacing w:before="0" w:after="283"/>
              <w:jc w:val="both"/>
              <w:rPr>
                <w:sz w:val="20"/>
              </w:rPr>
            </w:pPr>
            <w:r>
              <w:rPr>
                <w:sz w:val="20"/>
              </w:rPr>
              <w:t>If, in respect of a Merger Event, the Counterparty under the Transaction following such Merger Event will not be the issuer of the New Shares, the Dealer may elect (in its sole discretion) for Cancellation and Payment (Calculation Agent Determination) to apply. In addition, if, in respect of any Merger Event to which Modified Calculation Agent Adjustment applies, the adjustments to be made in accordance with Section 12.2(e)(i) of the Equity Definitions would result in Counterparty being different from the issuer of the Shares, then with respect to such Merger Event, as a condition precedent to the adjustments contemplated in Section 12.2(e)(i) of the Equity Definitions, Counterparty and the issuer of the Shares shall, prior to the Merger Date, have entered into such documentation containing representations, warranties and agreements relating to securities law and other issues as requested by Dealer that Dealer has determined, in its reasonable discretion, to be reasonably necessary or appropriate to allow Dealer to continue as a party to the Transaction, as adjusted under Section 12.2(e)(i) of the Equity Definitions, and to preserve its hedging or hedge unwind activities in connection with the Transaction in a manner compliant with applicable legal, regulatory or self-regulatory requirements, or with related policies and procedures applicable to Dealer (whether or not such requirements or related policies and procedures are imposed by law or have been voluntarily adopted by Dealer), and if such conditions are not met or if</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1"/>
        <w:gridCol w:w="8624"/>
      </w:tblGrid>
      <w:tr>
        <w:trPr/>
        <w:tc>
          <w:tcPr>
            <w:tcW w:w="1581" w:type="dxa"/>
            <w:tcBorders/>
            <w:vAlign w:val="center"/>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both"/>
              <w:rPr>
                <w:sz w:val="20"/>
              </w:rPr>
            </w:pPr>
            <w:r>
              <w:rPr>
                <w:sz w:val="20"/>
              </w:rPr>
              <w:t>the Calculation Agent determines that no adjustment that it could make under Section 12.2(e)(i) of the Equity Definitions will produce a commercially reasonable result, then the consequences set forth in Section 12.2(e)(ii) of the Equity Definitions shall apply.</w:t>
            </w:r>
          </w:p>
        </w:tc>
      </w:tr>
      <w:tr>
        <w:trPr/>
        <w:tc>
          <w:tcPr>
            <w:tcW w:w="1581" w:type="dxa"/>
            <w:tcBorders/>
            <w:vAlign w:val="center"/>
          </w:tcPr>
          <w:p>
            <w:pPr>
              <w:pStyle w:val="TableContents"/>
              <w:bidi w:val="0"/>
              <w:spacing w:before="0" w:after="283"/>
              <w:jc w:val="left"/>
              <w:rPr/>
            </w:pPr>
            <w:r>
              <w:rPr/>
              <w:t> </w:t>
            </w:r>
          </w:p>
        </w:tc>
        <w:tc>
          <w:tcPr>
            <w:tcW w:w="8624" w:type="dxa"/>
            <w:tcBorders/>
            <w:vAlign w:val="center"/>
          </w:tcPr>
          <w:p>
            <w:pPr>
              <w:pStyle w:val="TableContents"/>
              <w:bidi w:val="0"/>
              <w:spacing w:before="0" w:after="283"/>
              <w:jc w:val="left"/>
              <w:rPr/>
            </w:pPr>
            <w:r>
              <w:rPr/>
              <w:t> </w:t>
            </w:r>
          </w:p>
        </w:tc>
      </w:tr>
      <w:tr>
        <w:trPr/>
        <w:tc>
          <w:tcPr>
            <w:tcW w:w="1581" w:type="dxa"/>
            <w:tcBorders/>
            <w:vAlign w:val="center"/>
          </w:tcPr>
          <w:p>
            <w:pPr>
              <w:pStyle w:val="TableContents"/>
              <w:bidi w:val="0"/>
              <w:spacing w:before="0" w:after="283"/>
              <w:jc w:val="left"/>
              <w:rPr>
                <w:sz w:val="20"/>
              </w:rPr>
            </w:pPr>
            <w:r>
              <w:rPr>
                <w:sz w:val="20"/>
              </w:rPr>
              <w:t>Composition of Combined Consideration:</w:t>
            </w:r>
          </w:p>
        </w:tc>
        <w:tc>
          <w:tcPr>
            <w:tcW w:w="8624" w:type="dxa"/>
            <w:tcBorders/>
            <w:vAlign w:val="center"/>
          </w:tcPr>
          <w:p>
            <w:pPr>
              <w:pStyle w:val="TableContents"/>
              <w:bidi w:val="0"/>
              <w:spacing w:before="0" w:after="283"/>
              <w:jc w:val="both"/>
              <w:rPr>
                <w:sz w:val="20"/>
              </w:rPr>
            </w:pPr>
            <w:r>
              <w:rPr>
                <w:sz w:val="20"/>
              </w:rPr>
              <w:t>Notwithstanding anything to the contrary in the Equity Definitions, if the composition of Combined Consideration in respect of any Share-for-Combined Merger Event could be determined by a holder of Shares, Dealer shall determine the composition of such Combined Consideration assumed for purposes of adjustments and deliveries hereunder in its sole discretion.</w:t>
            </w:r>
          </w:p>
        </w:tc>
      </w:tr>
      <w:tr>
        <w:trPr/>
        <w:tc>
          <w:tcPr>
            <w:tcW w:w="1581" w:type="dxa"/>
            <w:tcBorders/>
            <w:vAlign w:val="center"/>
          </w:tcPr>
          <w:p>
            <w:pPr>
              <w:pStyle w:val="TableContents"/>
              <w:bidi w:val="0"/>
              <w:spacing w:before="0" w:after="283"/>
              <w:jc w:val="left"/>
              <w:rPr/>
            </w:pPr>
            <w:r>
              <w:rPr/>
              <w:t> </w:t>
            </w:r>
          </w:p>
        </w:tc>
        <w:tc>
          <w:tcPr>
            <w:tcW w:w="8624" w:type="dxa"/>
            <w:tcBorders/>
            <w:vAlign w:val="center"/>
          </w:tcPr>
          <w:p>
            <w:pPr>
              <w:pStyle w:val="TableContents"/>
              <w:bidi w:val="0"/>
              <w:spacing w:before="0" w:after="283"/>
              <w:jc w:val="left"/>
              <w:rPr/>
            </w:pPr>
            <w:r>
              <w:rPr/>
              <w:t> </w:t>
            </w:r>
          </w:p>
        </w:tc>
      </w:tr>
      <w:tr>
        <w:trPr/>
        <w:tc>
          <w:tcPr>
            <w:tcW w:w="1581" w:type="dxa"/>
            <w:tcBorders/>
            <w:vAlign w:val="center"/>
          </w:tcPr>
          <w:p>
            <w:pPr>
              <w:pStyle w:val="TableContents"/>
              <w:bidi w:val="0"/>
              <w:spacing w:before="0" w:after="283"/>
              <w:jc w:val="left"/>
              <w:rPr>
                <w:sz w:val="20"/>
              </w:rPr>
            </w:pPr>
            <w:r>
              <w:rPr>
                <w:sz w:val="20"/>
              </w:rPr>
              <w:t>Nationalization, Insolvency or Delisting:</w:t>
            </w:r>
          </w:p>
        </w:tc>
        <w:tc>
          <w:tcPr>
            <w:tcW w:w="8624" w:type="dxa"/>
            <w:tcBorders/>
            <w:vAlign w:val="center"/>
          </w:tcPr>
          <w:p>
            <w:pPr>
              <w:pStyle w:val="TableContents"/>
              <w:bidi w:val="0"/>
              <w:spacing w:before="0" w:after="283"/>
              <w:jc w:val="both"/>
              <w:rPr>
                <w:sz w:val="20"/>
              </w:rPr>
            </w:pPr>
            <w:r>
              <w:rPr>
                <w:sz w:val="20"/>
              </w:rPr>
              <w:t xml:space="preserve">Cancellation and Payment (Calculation Agent Determination); </w:t>
            </w:r>
            <w:r>
              <w:rPr>
                <w:i/>
                <w:sz w:val="20"/>
              </w:rPr>
              <w:t xml:space="preserve">provided </w:t>
            </w:r>
            <w:r>
              <w:rPr>
                <w:sz w:val="20"/>
              </w:rPr>
              <w:t>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r>
        <w:trPr/>
        <w:tc>
          <w:tcPr>
            <w:tcW w:w="1581" w:type="dxa"/>
            <w:tcBorders/>
            <w:vAlign w:val="center"/>
          </w:tcPr>
          <w:p>
            <w:pPr>
              <w:pStyle w:val="TableContents"/>
              <w:bidi w:val="0"/>
              <w:spacing w:before="0" w:after="283"/>
              <w:jc w:val="left"/>
              <w:rPr/>
            </w:pPr>
            <w:r>
              <w:rPr/>
              <w:t> </w:t>
            </w:r>
          </w:p>
        </w:tc>
        <w:tc>
          <w:tcPr>
            <w:tcW w:w="8624" w:type="dxa"/>
            <w:tcBorders/>
            <w:vAlign w:val="center"/>
          </w:tcPr>
          <w:p>
            <w:pPr>
              <w:pStyle w:val="TableContents"/>
              <w:bidi w:val="0"/>
              <w:spacing w:before="0" w:after="283"/>
              <w:jc w:val="left"/>
              <w:rPr/>
            </w:pPr>
            <w:r>
              <w:rPr/>
              <w:t> </w:t>
            </w:r>
          </w:p>
        </w:tc>
      </w:tr>
      <w:tr>
        <w:trPr/>
        <w:tc>
          <w:tcPr>
            <w:tcW w:w="1581" w:type="dxa"/>
            <w:tcBorders/>
            <w:vAlign w:val="center"/>
          </w:tcPr>
          <w:p>
            <w:pPr>
              <w:pStyle w:val="TableContents"/>
              <w:bidi w:val="0"/>
              <w:spacing w:before="0" w:after="283"/>
              <w:jc w:val="left"/>
              <w:rPr>
                <w:sz w:val="20"/>
              </w:rPr>
            </w:pPr>
            <w:r>
              <w:rPr>
                <w:sz w:val="20"/>
              </w:rPr>
              <w:t>Additional Termination Event(s):</w:t>
            </w:r>
          </w:p>
        </w:tc>
        <w:tc>
          <w:tcPr>
            <w:tcW w:w="8624" w:type="dxa"/>
            <w:tcBorders/>
            <w:vAlign w:val="center"/>
          </w:tcPr>
          <w:p>
            <w:pPr>
              <w:pStyle w:val="TableContents"/>
              <w:bidi w:val="0"/>
              <w:spacing w:before="0" w:after="283"/>
              <w:jc w:val="both"/>
              <w:rPr>
                <w:sz w:val="20"/>
              </w:rPr>
            </w:pPr>
            <w:r>
              <w:rPr>
                <w:sz w:val="20"/>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tc>
      </w:tr>
      <w:tr>
        <w:trPr/>
        <w:tc>
          <w:tcPr>
            <w:tcW w:w="1581" w:type="dxa"/>
            <w:tcBorders/>
            <w:vAlign w:val="center"/>
          </w:tcPr>
          <w:p>
            <w:pPr>
              <w:pStyle w:val="TableContents"/>
              <w:bidi w:val="0"/>
              <w:spacing w:before="0" w:after="283"/>
              <w:jc w:val="left"/>
              <w:rPr/>
            </w:pPr>
            <w:r>
              <w:rPr/>
              <w:t> </w:t>
            </w:r>
          </w:p>
        </w:tc>
        <w:tc>
          <w:tcPr>
            <w:tcW w:w="8624" w:type="dxa"/>
            <w:tcBorders/>
            <w:vAlign w:val="center"/>
          </w:tcPr>
          <w:p>
            <w:pPr>
              <w:pStyle w:val="TableContents"/>
              <w:bidi w:val="0"/>
              <w:spacing w:before="0" w:after="283"/>
              <w:jc w:val="left"/>
              <w:rPr/>
            </w:pPr>
            <w:r>
              <w:rPr/>
              <w:t> </w:t>
            </w:r>
          </w:p>
        </w:tc>
      </w:tr>
      <w:tr>
        <w:trPr/>
        <w:tc>
          <w:tcPr>
            <w:tcW w:w="1581" w:type="dxa"/>
            <w:tcBorders/>
            <w:vAlign w:val="center"/>
          </w:tcPr>
          <w:p>
            <w:pPr>
              <w:pStyle w:val="TableContents"/>
              <w:bidi w:val="0"/>
              <w:spacing w:before="0" w:after="283"/>
              <w:jc w:val="left"/>
              <w:rPr>
                <w:sz w:val="20"/>
              </w:rPr>
            </w:pPr>
            <w:r>
              <w:rPr>
                <w:sz w:val="20"/>
              </w:rPr>
              <w:t>Additional Disruption Events:</w:t>
            </w:r>
          </w:p>
        </w:tc>
        <w:tc>
          <w:tcPr>
            <w:tcW w:w="8624" w:type="dxa"/>
            <w:tcBorders/>
            <w:vAlign w:val="center"/>
          </w:tcPr>
          <w:p>
            <w:pPr>
              <w:pStyle w:val="TableContents"/>
              <w:bidi w:val="0"/>
              <w:spacing w:before="0" w:after="283"/>
              <w:jc w:val="left"/>
              <w:rPr/>
            </w:pPr>
            <w:r>
              <w:rPr/>
              <w:t> </w:t>
            </w:r>
          </w:p>
        </w:tc>
      </w:tr>
      <w:tr>
        <w:trPr/>
        <w:tc>
          <w:tcPr>
            <w:tcW w:w="1581" w:type="dxa"/>
            <w:tcBorders/>
            <w:vAlign w:val="center"/>
          </w:tcPr>
          <w:p>
            <w:pPr>
              <w:pStyle w:val="TableContents"/>
              <w:bidi w:val="0"/>
              <w:spacing w:before="0" w:after="283"/>
              <w:jc w:val="left"/>
              <w:rPr/>
            </w:pPr>
            <w:r>
              <w:rPr/>
              <w:t> </w:t>
            </w:r>
          </w:p>
        </w:tc>
        <w:tc>
          <w:tcPr>
            <w:tcW w:w="8624" w:type="dxa"/>
            <w:tcBorders/>
            <w:vAlign w:val="center"/>
          </w:tcPr>
          <w:p>
            <w:pPr>
              <w:pStyle w:val="TableContents"/>
              <w:bidi w:val="0"/>
              <w:spacing w:before="0" w:after="283"/>
              <w:jc w:val="left"/>
              <w:rPr/>
            </w:pPr>
            <w:r>
              <w:rPr/>
              <w:t> </w:t>
            </w:r>
          </w:p>
        </w:tc>
      </w:tr>
      <w:tr>
        <w:trPr/>
        <w:tc>
          <w:tcPr>
            <w:tcW w:w="1581" w:type="dxa"/>
            <w:tcBorders/>
            <w:vAlign w:val="center"/>
          </w:tcPr>
          <w:p>
            <w:pPr>
              <w:pStyle w:val="TableContents"/>
              <w:bidi w:val="0"/>
              <w:spacing w:before="0" w:after="283"/>
              <w:jc w:val="left"/>
              <w:rPr/>
            </w:pPr>
            <w:r>
              <w:rPr/>
              <w:t>(a)     Change in Law:</w:t>
            </w:r>
          </w:p>
        </w:tc>
        <w:tc>
          <w:tcPr>
            <w:tcW w:w="8624" w:type="dxa"/>
            <w:tcBorders/>
            <w:vAlign w:val="center"/>
          </w:tcPr>
          <w:p>
            <w:pPr>
              <w:pStyle w:val="TableContents"/>
              <w:bidi w:val="0"/>
              <w:spacing w:before="0" w:after="283"/>
              <w:jc w:val="both"/>
              <w:rPr/>
            </w:pPr>
            <w:r>
              <w:rPr/>
              <w:t>Applicable; provided 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 and provided further that Section 12.9(a)(ii) of the Equity Definitions is hereby amended by (i) replacing the parenthetical beginning after the word “regulation” in the second line thereof with the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25"/>
        <w:gridCol w:w="262"/>
        <w:gridCol w:w="262"/>
        <w:gridCol w:w="8356"/>
      </w:tblGrid>
      <w:tr>
        <w:trPr/>
        <w:tc>
          <w:tcPr>
            <w:tcW w:w="1325" w:type="dxa"/>
            <w:tcBorders/>
            <w:vAlign w:val="center"/>
          </w:tcPr>
          <w:p>
            <w:pPr>
              <w:pStyle w:val="TableContents"/>
              <w:bidi w:val="0"/>
              <w:spacing w:before="0" w:after="283"/>
              <w:jc w:val="left"/>
              <w:rPr/>
            </w:pPr>
            <w:r>
              <w:rPr/>
              <w:t> </w:t>
            </w:r>
          </w:p>
        </w:tc>
        <w:tc>
          <w:tcPr>
            <w:tcW w:w="8880" w:type="dxa"/>
            <w:gridSpan w:val="3"/>
            <w:tcBorders/>
            <w:vAlign w:val="center"/>
          </w:tcPr>
          <w:p>
            <w:pPr>
              <w:pStyle w:val="TableContents"/>
              <w:bidi w:val="0"/>
              <w:spacing w:before="0" w:after="283"/>
              <w:jc w:val="both"/>
              <w:rPr/>
            </w:pPr>
            <w:r>
              <w:rPr/>
              <w:t>phrase “(including, for the avoidance of doubt and without limitation, (x) any tax law or (y) adoption or promulgation of new regulations authorized or mandated by existing statute)” and (ii) adding the words “, or holding, acquiring or disposing of Shares or any Hedge Positions relating to,” after the words “obligations under” in clause (Y) thereof.</w:t>
            </w:r>
          </w:p>
        </w:tc>
      </w:tr>
      <w:tr>
        <w:trPr/>
        <w:tc>
          <w:tcPr>
            <w:tcW w:w="1325" w:type="dxa"/>
            <w:tcBorders/>
            <w:vAlign w:val="center"/>
          </w:tcPr>
          <w:p>
            <w:pPr>
              <w:pStyle w:val="TableContents"/>
              <w:bidi w:val="0"/>
              <w:spacing w:before="0" w:after="283"/>
              <w:jc w:val="left"/>
              <w:rPr/>
            </w:pPr>
            <w:r>
              <w:rPr/>
              <w:t> </w:t>
            </w:r>
          </w:p>
        </w:tc>
        <w:tc>
          <w:tcPr>
            <w:tcW w:w="8880" w:type="dxa"/>
            <w:gridSpan w:val="3"/>
            <w:tcBorders/>
            <w:vAlign w:val="center"/>
          </w:tcPr>
          <w:p>
            <w:pPr>
              <w:pStyle w:val="TableContents"/>
              <w:bidi w:val="0"/>
              <w:spacing w:before="0" w:after="283"/>
              <w:jc w:val="both"/>
              <w:rPr/>
            </w:pPr>
            <w:r>
              <w:rPr/>
              <w:t> </w:t>
            </w:r>
          </w:p>
        </w:tc>
      </w:tr>
      <w:tr>
        <w:trPr/>
        <w:tc>
          <w:tcPr>
            <w:tcW w:w="1325" w:type="dxa"/>
            <w:tcBorders/>
            <w:vAlign w:val="center"/>
          </w:tcPr>
          <w:p>
            <w:pPr>
              <w:pStyle w:val="TableContents"/>
              <w:bidi w:val="0"/>
              <w:spacing w:before="0" w:after="283"/>
              <w:jc w:val="left"/>
              <w:rPr/>
            </w:pPr>
            <w:r>
              <w:rPr/>
              <w:t>(b)     Failure to Deliver:</w:t>
            </w:r>
          </w:p>
        </w:tc>
        <w:tc>
          <w:tcPr>
            <w:tcW w:w="8880" w:type="dxa"/>
            <w:gridSpan w:val="3"/>
            <w:tcBorders/>
            <w:vAlign w:val="center"/>
          </w:tcPr>
          <w:p>
            <w:pPr>
              <w:pStyle w:val="TableContents"/>
              <w:bidi w:val="0"/>
              <w:spacing w:before="0" w:after="283"/>
              <w:jc w:val="both"/>
              <w:rPr/>
            </w:pPr>
            <w:r>
              <w:rPr/>
              <w:t>Not Applicable</w:t>
            </w:r>
          </w:p>
        </w:tc>
      </w:tr>
      <w:tr>
        <w:trPr/>
        <w:tc>
          <w:tcPr>
            <w:tcW w:w="1325" w:type="dxa"/>
            <w:tcBorders/>
            <w:vAlign w:val="center"/>
          </w:tcPr>
          <w:p>
            <w:pPr>
              <w:pStyle w:val="TableContents"/>
              <w:bidi w:val="0"/>
              <w:spacing w:before="0" w:after="283"/>
              <w:jc w:val="left"/>
              <w:rPr/>
            </w:pPr>
            <w:r>
              <w:rPr/>
              <w:t> </w:t>
            </w:r>
          </w:p>
        </w:tc>
        <w:tc>
          <w:tcPr>
            <w:tcW w:w="8880" w:type="dxa"/>
            <w:gridSpan w:val="3"/>
            <w:tcBorders/>
            <w:vAlign w:val="center"/>
          </w:tcPr>
          <w:p>
            <w:pPr>
              <w:pStyle w:val="TableContents"/>
              <w:bidi w:val="0"/>
              <w:spacing w:before="0" w:after="283"/>
              <w:jc w:val="both"/>
              <w:rPr/>
            </w:pPr>
            <w:r>
              <w:rPr/>
              <w:t> </w:t>
            </w:r>
          </w:p>
        </w:tc>
      </w:tr>
      <w:tr>
        <w:trPr/>
        <w:tc>
          <w:tcPr>
            <w:tcW w:w="1325" w:type="dxa"/>
            <w:tcBorders/>
            <w:vAlign w:val="center"/>
          </w:tcPr>
          <w:p>
            <w:pPr>
              <w:pStyle w:val="TableContents"/>
              <w:bidi w:val="0"/>
              <w:spacing w:before="0" w:after="283"/>
              <w:jc w:val="left"/>
              <w:rPr/>
            </w:pPr>
            <w:r>
              <w:rPr/>
              <w:t>(c)     Insolvency Filing:</w:t>
            </w:r>
          </w:p>
        </w:tc>
        <w:tc>
          <w:tcPr>
            <w:tcW w:w="8880" w:type="dxa"/>
            <w:gridSpan w:val="3"/>
            <w:tcBorders/>
            <w:vAlign w:val="center"/>
          </w:tcPr>
          <w:p>
            <w:pPr>
              <w:pStyle w:val="TableContents"/>
              <w:bidi w:val="0"/>
              <w:spacing w:before="0" w:after="283"/>
              <w:jc w:val="both"/>
              <w:rPr/>
            </w:pPr>
            <w:r>
              <w:rPr/>
              <w:t>Applicable</w:t>
            </w:r>
          </w:p>
        </w:tc>
      </w:tr>
      <w:tr>
        <w:trPr/>
        <w:tc>
          <w:tcPr>
            <w:tcW w:w="1325" w:type="dxa"/>
            <w:tcBorders/>
            <w:vAlign w:val="center"/>
          </w:tcPr>
          <w:p>
            <w:pPr>
              <w:pStyle w:val="TableContents"/>
              <w:bidi w:val="0"/>
              <w:spacing w:before="0" w:after="283"/>
              <w:jc w:val="left"/>
              <w:rPr/>
            </w:pPr>
            <w:r>
              <w:rPr/>
              <w:t> </w:t>
            </w:r>
          </w:p>
        </w:tc>
        <w:tc>
          <w:tcPr>
            <w:tcW w:w="8880" w:type="dxa"/>
            <w:gridSpan w:val="3"/>
            <w:tcBorders/>
            <w:vAlign w:val="center"/>
          </w:tcPr>
          <w:p>
            <w:pPr>
              <w:pStyle w:val="TableContents"/>
              <w:bidi w:val="0"/>
              <w:spacing w:before="0" w:after="283"/>
              <w:jc w:val="both"/>
              <w:rPr/>
            </w:pPr>
            <w:r>
              <w:rPr/>
              <w:t> </w:t>
            </w:r>
          </w:p>
        </w:tc>
      </w:tr>
      <w:tr>
        <w:trPr/>
        <w:tc>
          <w:tcPr>
            <w:tcW w:w="1325" w:type="dxa"/>
            <w:tcBorders/>
            <w:vAlign w:val="center"/>
          </w:tcPr>
          <w:p>
            <w:pPr>
              <w:pStyle w:val="TableContents"/>
              <w:bidi w:val="0"/>
              <w:spacing w:before="0" w:after="283"/>
              <w:jc w:val="left"/>
              <w:rPr/>
            </w:pPr>
            <w:r>
              <w:rPr/>
              <w:t>(d)     Hedging Disruption:</w:t>
            </w:r>
          </w:p>
        </w:tc>
        <w:tc>
          <w:tcPr>
            <w:tcW w:w="8880" w:type="dxa"/>
            <w:gridSpan w:val="3"/>
            <w:tcBorders/>
            <w:vAlign w:val="center"/>
          </w:tcPr>
          <w:p>
            <w:pPr>
              <w:pStyle w:val="TableContents"/>
              <w:bidi w:val="0"/>
              <w:spacing w:before="0" w:after="283"/>
              <w:jc w:val="both"/>
              <w:rPr/>
            </w:pPr>
            <w:r>
              <w:rPr/>
              <w:t xml:space="preserve">Applicable; </w:t>
            </w:r>
            <w:r>
              <w:rPr>
                <w:i/>
              </w:rPr>
              <w:t>provided</w:t>
            </w:r>
            <w:r>
              <w:rPr/>
              <w:t xml:space="preserve"> that:</w:t>
            </w:r>
          </w:p>
        </w:tc>
      </w:tr>
      <w:tr>
        <w:trPr/>
        <w:tc>
          <w:tcPr>
            <w:tcW w:w="1325" w:type="dxa"/>
            <w:tcBorders/>
            <w:vAlign w:val="center"/>
          </w:tcPr>
          <w:p>
            <w:pPr>
              <w:pStyle w:val="TableContents"/>
              <w:bidi w:val="0"/>
              <w:spacing w:before="0" w:after="283"/>
              <w:jc w:val="left"/>
              <w:rPr/>
            </w:pPr>
            <w:r>
              <w:rPr/>
              <w:t> </w:t>
            </w:r>
          </w:p>
        </w:tc>
        <w:tc>
          <w:tcPr>
            <w:tcW w:w="8880" w:type="dxa"/>
            <w:gridSpan w:val="3"/>
            <w:tcBorders/>
            <w:vAlign w:val="center"/>
          </w:tcPr>
          <w:p>
            <w:pPr>
              <w:pStyle w:val="TableContents"/>
              <w:bidi w:val="0"/>
              <w:spacing w:before="0" w:after="283"/>
              <w:jc w:val="both"/>
              <w:rPr/>
            </w:pP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both"/>
              <w:rPr/>
            </w:pPr>
            <w:r>
              <w:rPr/>
              <w:t>(i)</w:t>
            </w:r>
          </w:p>
        </w:tc>
        <w:tc>
          <w:tcPr>
            <w:tcW w:w="8618" w:type="dxa"/>
            <w:gridSpan w:val="2"/>
            <w:tcBorders/>
            <w:vAlign w:val="center"/>
          </w:tcPr>
          <w:p>
            <w:pPr>
              <w:pStyle w:val="TableContents"/>
              <w:bidi w:val="0"/>
              <w:spacing w:before="0" w:after="283"/>
              <w:jc w:val="both"/>
              <w:rPr/>
            </w:pPr>
            <w:r>
              <w:rPr/>
              <w:t>Section 12.9(a)(v) of the Equity Definitions is hereby amended by</w:t>
            </w:r>
          </w:p>
        </w:tc>
      </w:tr>
      <w:tr>
        <w:trPr/>
        <w:tc>
          <w:tcPr>
            <w:tcW w:w="1325" w:type="dxa"/>
            <w:tcBorders/>
            <w:vAlign w:val="center"/>
          </w:tcPr>
          <w:p>
            <w:pPr>
              <w:pStyle w:val="TableContents"/>
              <w:bidi w:val="0"/>
              <w:spacing w:before="0" w:after="283"/>
              <w:jc w:val="left"/>
              <w:rPr/>
            </w:pPr>
            <w:r>
              <w:rPr/>
              <w:t> </w:t>
            </w:r>
          </w:p>
        </w:tc>
        <w:tc>
          <w:tcPr>
            <w:tcW w:w="8880" w:type="dxa"/>
            <w:gridSpan w:val="3"/>
            <w:tcBorders/>
            <w:vAlign w:val="center"/>
          </w:tcPr>
          <w:p>
            <w:pPr>
              <w:pStyle w:val="TableContents"/>
              <w:bidi w:val="0"/>
              <w:spacing w:before="0" w:after="283"/>
              <w:jc w:val="both"/>
              <w:rPr/>
            </w:pP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both"/>
              <w:rPr/>
            </w:pPr>
            <w:r>
              <w:rPr/>
              <w:t> </w:t>
            </w:r>
          </w:p>
        </w:tc>
        <w:tc>
          <w:tcPr>
            <w:tcW w:w="262" w:type="dxa"/>
            <w:tcBorders/>
            <w:vAlign w:val="center"/>
          </w:tcPr>
          <w:p>
            <w:pPr>
              <w:pStyle w:val="TableContents"/>
              <w:bidi w:val="0"/>
              <w:spacing w:before="0" w:after="283"/>
              <w:jc w:val="both"/>
              <w:rPr/>
            </w:pPr>
            <w:r>
              <w:rPr/>
              <w:t>(a)</w:t>
            </w:r>
          </w:p>
        </w:tc>
        <w:tc>
          <w:tcPr>
            <w:tcW w:w="8356" w:type="dxa"/>
            <w:tcBorders/>
            <w:vAlign w:val="center"/>
          </w:tcPr>
          <w:p>
            <w:pPr>
              <w:pStyle w:val="TableContents"/>
              <w:bidi w:val="0"/>
              <w:spacing w:before="0" w:after="283"/>
              <w:jc w:val="both"/>
              <w:rPr/>
            </w:pPr>
            <w:r>
              <w:rPr/>
              <w:t>inserting the following words at the end of clause (A) thereof: “in the manner contemplated by the Hedging Party on the Trade Date” and</w:t>
            </w:r>
          </w:p>
        </w:tc>
      </w:tr>
      <w:tr>
        <w:trPr/>
        <w:tc>
          <w:tcPr>
            <w:tcW w:w="1325" w:type="dxa"/>
            <w:tcBorders/>
            <w:vAlign w:val="center"/>
          </w:tcPr>
          <w:p>
            <w:pPr>
              <w:pStyle w:val="TableContents"/>
              <w:bidi w:val="0"/>
              <w:spacing w:before="0" w:after="283"/>
              <w:jc w:val="left"/>
              <w:rPr/>
            </w:pPr>
            <w:r>
              <w:rPr/>
              <w:t> </w:t>
            </w:r>
          </w:p>
        </w:tc>
        <w:tc>
          <w:tcPr>
            <w:tcW w:w="8880" w:type="dxa"/>
            <w:gridSpan w:val="3"/>
            <w:tcBorders/>
            <w:vAlign w:val="center"/>
          </w:tcPr>
          <w:p>
            <w:pPr>
              <w:pStyle w:val="TableContents"/>
              <w:bidi w:val="0"/>
              <w:spacing w:before="0" w:after="283"/>
              <w:jc w:val="both"/>
              <w:rPr/>
            </w:pP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both"/>
              <w:rPr/>
            </w:pPr>
            <w:r>
              <w:rPr/>
              <w:t> </w:t>
            </w:r>
          </w:p>
        </w:tc>
        <w:tc>
          <w:tcPr>
            <w:tcW w:w="262" w:type="dxa"/>
            <w:tcBorders/>
            <w:vAlign w:val="center"/>
          </w:tcPr>
          <w:p>
            <w:pPr>
              <w:pStyle w:val="TableContents"/>
              <w:bidi w:val="0"/>
              <w:spacing w:before="0" w:after="283"/>
              <w:jc w:val="both"/>
              <w:rPr/>
            </w:pPr>
            <w:r>
              <w:rPr/>
              <w:t>(b)</w:t>
            </w:r>
          </w:p>
        </w:tc>
        <w:tc>
          <w:tcPr>
            <w:tcW w:w="8356" w:type="dxa"/>
            <w:tcBorders/>
            <w:vAlign w:val="center"/>
          </w:tcPr>
          <w:p>
            <w:pPr>
              <w:pStyle w:val="TableContents"/>
              <w:bidi w:val="0"/>
              <w:spacing w:before="0" w:after="283"/>
              <w:jc w:val="both"/>
              <w:rPr/>
            </w:pPr>
            <w:r>
              <w:rPr/>
              <w:t>inserting the following paragraphs at the end of such Section:</w:t>
            </w:r>
          </w:p>
        </w:tc>
      </w:tr>
      <w:tr>
        <w:trPr/>
        <w:tc>
          <w:tcPr>
            <w:tcW w:w="1325" w:type="dxa"/>
            <w:tcBorders/>
            <w:vAlign w:val="center"/>
          </w:tcPr>
          <w:p>
            <w:pPr>
              <w:pStyle w:val="TableContents"/>
              <w:bidi w:val="0"/>
              <w:spacing w:before="0" w:after="283"/>
              <w:jc w:val="left"/>
              <w:rPr/>
            </w:pPr>
            <w:r>
              <w:rPr/>
              <w:t> </w:t>
            </w:r>
          </w:p>
        </w:tc>
        <w:tc>
          <w:tcPr>
            <w:tcW w:w="8880" w:type="dxa"/>
            <w:gridSpan w:val="3"/>
            <w:tcBorders/>
            <w:vAlign w:val="center"/>
          </w:tcPr>
          <w:p>
            <w:pPr>
              <w:pStyle w:val="TableContents"/>
              <w:bidi w:val="0"/>
              <w:spacing w:before="0" w:after="283"/>
              <w:jc w:val="both"/>
              <w:rPr/>
            </w:pPr>
            <w:r>
              <w:rPr/>
              <w:t> </w:t>
            </w:r>
          </w:p>
        </w:tc>
      </w:tr>
      <w:tr>
        <w:trPr/>
        <w:tc>
          <w:tcPr>
            <w:tcW w:w="132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both"/>
              <w:rPr/>
            </w:pPr>
            <w:r>
              <w:rPr/>
              <w:t> </w:t>
            </w:r>
          </w:p>
        </w:tc>
        <w:tc>
          <w:tcPr>
            <w:tcW w:w="262" w:type="dxa"/>
            <w:tcBorders/>
            <w:vAlign w:val="center"/>
          </w:tcPr>
          <w:p>
            <w:pPr>
              <w:pStyle w:val="TableContents"/>
              <w:bidi w:val="0"/>
              <w:spacing w:before="0" w:after="283"/>
              <w:jc w:val="both"/>
              <w:rPr/>
            </w:pPr>
            <w:r>
              <w:rPr/>
              <w:t> </w:t>
            </w:r>
          </w:p>
        </w:tc>
        <w:tc>
          <w:tcPr>
            <w:tcW w:w="8356" w:type="dxa"/>
            <w:tcBorders/>
            <w:vAlign w:val="center"/>
          </w:tcPr>
          <w:p>
            <w:pPr>
              <w:pStyle w:val="TableContents"/>
              <w:bidi w:val="0"/>
              <w:spacing w:before="0" w:after="283"/>
              <w:jc w:val="both"/>
              <w:rPr/>
            </w:pPr>
            <w:r>
              <w:rPr/>
              <w:t>“</w:t>
            </w:r>
            <w:r>
              <w:rPr/>
              <w:t>Such inability described in clauses (A) or (B) above shall not constitute a “Hedging Disruption” if such inability results from Hedging Party’s creditworthiness.</w:t>
            </w:r>
          </w:p>
        </w:tc>
      </w:tr>
      <w:tr>
        <w:trPr/>
        <w:tc>
          <w:tcPr>
            <w:tcW w:w="1325" w:type="dxa"/>
            <w:tcBorders/>
            <w:vAlign w:val="center"/>
          </w:tcPr>
          <w:p>
            <w:pPr>
              <w:pStyle w:val="TableContents"/>
              <w:bidi w:val="0"/>
              <w:spacing w:before="0" w:after="283"/>
              <w:jc w:val="left"/>
              <w:rPr/>
            </w:pPr>
            <w:r>
              <w:rPr/>
              <w:t> </w:t>
            </w:r>
          </w:p>
        </w:tc>
        <w:tc>
          <w:tcPr>
            <w:tcW w:w="8880" w:type="dxa"/>
            <w:gridSpan w:val="3"/>
            <w:tcBorders/>
            <w:vAlign w:val="center"/>
          </w:tcPr>
          <w:p>
            <w:pPr>
              <w:pStyle w:val="TableContents"/>
              <w:bidi w:val="0"/>
              <w:spacing w:before="0" w:after="283"/>
              <w:jc w:val="both"/>
              <w:rPr/>
            </w:pPr>
            <w:r>
              <w:rPr/>
              <w:t> </w:t>
            </w:r>
          </w:p>
        </w:tc>
      </w:tr>
      <w:tr>
        <w:trPr/>
        <w:tc>
          <w:tcPr>
            <w:tcW w:w="132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both"/>
              <w:rPr/>
            </w:pPr>
            <w:r>
              <w:rPr/>
              <w:t> </w:t>
            </w:r>
          </w:p>
        </w:tc>
        <w:tc>
          <w:tcPr>
            <w:tcW w:w="262" w:type="dxa"/>
            <w:tcBorders/>
            <w:vAlign w:val="center"/>
          </w:tcPr>
          <w:p>
            <w:pPr>
              <w:pStyle w:val="TableContents"/>
              <w:bidi w:val="0"/>
              <w:spacing w:before="0" w:after="283"/>
              <w:jc w:val="both"/>
              <w:rPr/>
            </w:pPr>
            <w:r>
              <w:rPr/>
              <w:t> </w:t>
            </w:r>
          </w:p>
        </w:tc>
        <w:tc>
          <w:tcPr>
            <w:tcW w:w="8356" w:type="dxa"/>
            <w:tcBorders/>
            <w:vAlign w:val="center"/>
          </w:tcPr>
          <w:p>
            <w:pPr>
              <w:pStyle w:val="TableContents"/>
              <w:bidi w:val="0"/>
              <w:spacing w:before="0" w:after="283"/>
              <w:jc w:val="both"/>
              <w:rPr/>
            </w:pPr>
            <w:r>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tc>
      </w:tr>
      <w:tr>
        <w:trPr/>
        <w:tc>
          <w:tcPr>
            <w:tcW w:w="1325" w:type="dxa"/>
            <w:tcBorders/>
            <w:vAlign w:val="center"/>
          </w:tcPr>
          <w:p>
            <w:pPr>
              <w:pStyle w:val="TableContents"/>
              <w:bidi w:val="0"/>
              <w:spacing w:before="0" w:after="283"/>
              <w:jc w:val="left"/>
              <w:rPr/>
            </w:pPr>
            <w:r>
              <w:rPr/>
              <w:t> </w:t>
            </w:r>
          </w:p>
        </w:tc>
        <w:tc>
          <w:tcPr>
            <w:tcW w:w="8880" w:type="dxa"/>
            <w:gridSpan w:val="3"/>
            <w:tcBorders/>
            <w:vAlign w:val="center"/>
          </w:tcPr>
          <w:p>
            <w:pPr>
              <w:pStyle w:val="TableContents"/>
              <w:bidi w:val="0"/>
              <w:spacing w:before="0" w:after="283"/>
              <w:jc w:val="both"/>
              <w:rPr/>
            </w:pPr>
            <w:r>
              <w:rPr/>
              <w:t> </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both"/>
              <w:rPr/>
            </w:pPr>
            <w:r>
              <w:rPr/>
              <w:t>(ii)</w:t>
            </w:r>
          </w:p>
        </w:tc>
        <w:tc>
          <w:tcPr>
            <w:tcW w:w="8618" w:type="dxa"/>
            <w:gridSpan w:val="2"/>
            <w:tcBorders/>
            <w:vAlign w:val="center"/>
          </w:tcPr>
          <w:p>
            <w:pPr>
              <w:pStyle w:val="TableContents"/>
              <w:bidi w:val="0"/>
              <w:spacing w:before="0" w:after="283"/>
              <w:jc w:val="both"/>
              <w:rPr/>
            </w:pPr>
            <w:r>
              <w:rPr/>
              <w:t>Section 12.9(b)(iii) of the Equity Definitions is hereby amended by inserting in the third line thereof, after the words “to terminate the Transaction”, the words “or a portion of the Transaction affected by such Hedging Disruption”.</w:t>
            </w:r>
          </w:p>
        </w:tc>
      </w:tr>
      <w:tr>
        <w:trPr/>
        <w:tc>
          <w:tcPr>
            <w:tcW w:w="1325" w:type="dxa"/>
            <w:tcBorders/>
            <w:vAlign w:val="center"/>
          </w:tcPr>
          <w:p>
            <w:pPr>
              <w:pStyle w:val="TableContents"/>
              <w:bidi w:val="0"/>
              <w:spacing w:before="0" w:after="283"/>
              <w:jc w:val="left"/>
              <w:rPr/>
            </w:pPr>
            <w:r>
              <w:rPr/>
              <w:t> </w:t>
            </w:r>
          </w:p>
        </w:tc>
        <w:tc>
          <w:tcPr>
            <w:tcW w:w="8880" w:type="dxa"/>
            <w:gridSpan w:val="3"/>
            <w:tcBorders/>
            <w:vAlign w:val="center"/>
          </w:tcPr>
          <w:p>
            <w:pPr>
              <w:pStyle w:val="TableContents"/>
              <w:bidi w:val="0"/>
              <w:spacing w:before="0" w:after="283"/>
              <w:jc w:val="both"/>
              <w:rPr/>
            </w:pPr>
            <w:r>
              <w:rPr/>
              <w:t> </w:t>
            </w:r>
          </w:p>
        </w:tc>
      </w:tr>
      <w:tr>
        <w:trPr/>
        <w:tc>
          <w:tcPr>
            <w:tcW w:w="1325" w:type="dxa"/>
            <w:tcBorders/>
            <w:vAlign w:val="center"/>
          </w:tcPr>
          <w:p>
            <w:pPr>
              <w:pStyle w:val="TableContents"/>
              <w:bidi w:val="0"/>
              <w:spacing w:before="0" w:after="283"/>
              <w:jc w:val="left"/>
              <w:rPr/>
            </w:pPr>
            <w:r>
              <w:rPr/>
              <w:t>(e)     Increased Cost of Hedging:</w:t>
            </w:r>
          </w:p>
        </w:tc>
        <w:tc>
          <w:tcPr>
            <w:tcW w:w="8880" w:type="dxa"/>
            <w:gridSpan w:val="3"/>
            <w:tcBorders/>
            <w:vAlign w:val="center"/>
          </w:tcPr>
          <w:p>
            <w:pPr>
              <w:pStyle w:val="TableContents"/>
              <w:bidi w:val="0"/>
              <w:spacing w:before="0" w:after="283"/>
              <w:jc w:val="both"/>
              <w:rPr/>
            </w:pPr>
            <w:r>
              <w:rPr/>
              <w:t xml:space="preserve">Applicable; </w:t>
            </w:r>
            <w:r>
              <w:rPr>
                <w:i/>
              </w:rPr>
              <w:t>provided</w:t>
            </w:r>
            <w:r>
              <w:rPr/>
              <w:t xml:space="preserve"> that (i) that such increased cost described in Section 12.9(vi) of the Equity Definitions shall not constitute an “Increased Cost of Hedging” if such increased cost results from Hedging Party’s creditworthiness or financial position, and (ii) the following parenthetical shall be inserted immediately following the word “expense” in the third line of Section 12.9(a)(vi) of the Equity Definitions: “(including, for the avoidance of doubt, the incurrence of any stock borrow expense in excess of Hedging Party’s expectation as of the Trade Date, other than to the extent resulting from an Increased Cost of Stock Borrow)”.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6"/>
        <w:gridCol w:w="8089"/>
      </w:tblGrid>
      <w:tr>
        <w:trPr/>
        <w:tc>
          <w:tcPr>
            <w:tcW w:w="2116" w:type="dxa"/>
            <w:tcBorders/>
            <w:vAlign w:val="center"/>
          </w:tcPr>
          <w:p>
            <w:pPr>
              <w:pStyle w:val="TableContents"/>
              <w:bidi w:val="0"/>
              <w:spacing w:before="0" w:after="283"/>
              <w:jc w:val="left"/>
              <w:rPr/>
            </w:pPr>
            <w:r>
              <w:rPr/>
              <w:t>(f)      Loss of Stock Borrow:</w:t>
            </w:r>
          </w:p>
        </w:tc>
        <w:tc>
          <w:tcPr>
            <w:tcW w:w="8089" w:type="dxa"/>
            <w:tcBorders/>
            <w:vAlign w:val="center"/>
          </w:tcPr>
          <w:p>
            <w:pPr>
              <w:pStyle w:val="TableContents"/>
              <w:bidi w:val="0"/>
              <w:spacing w:before="0" w:after="283"/>
              <w:jc w:val="both"/>
              <w:rPr/>
            </w:pPr>
            <w:r>
              <w:rPr/>
              <w:t>Applicable</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pPr>
            <w:r>
              <w:rPr/>
              <w:t> </w:t>
            </w:r>
          </w:p>
        </w:tc>
      </w:tr>
      <w:tr>
        <w:trPr/>
        <w:tc>
          <w:tcPr>
            <w:tcW w:w="2116" w:type="dxa"/>
            <w:tcBorders/>
            <w:vAlign w:val="center"/>
          </w:tcPr>
          <w:p>
            <w:pPr>
              <w:pStyle w:val="TableContents"/>
              <w:bidi w:val="0"/>
              <w:spacing w:before="0" w:after="283"/>
              <w:jc w:val="left"/>
              <w:rPr/>
            </w:pPr>
            <w:r>
              <w:rPr/>
              <w:t>          </w:t>
            </w:r>
            <w:r>
              <w:rPr/>
              <w:t>Maximum Stock Loan Rate:</w:t>
            </w:r>
          </w:p>
        </w:tc>
        <w:tc>
          <w:tcPr>
            <w:tcW w:w="8089" w:type="dxa"/>
            <w:tcBorders/>
            <w:vAlign w:val="center"/>
          </w:tcPr>
          <w:p>
            <w:pPr>
              <w:pStyle w:val="TableContents"/>
              <w:bidi w:val="0"/>
              <w:spacing w:before="0" w:after="283"/>
              <w:jc w:val="both"/>
              <w:rPr/>
            </w:pPr>
            <w:r>
              <w:rPr/>
              <w:t>2.00 % per annum</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pPr>
            <w:r>
              <w:rPr/>
              <w:t> </w:t>
            </w:r>
          </w:p>
        </w:tc>
      </w:tr>
      <w:tr>
        <w:trPr/>
        <w:tc>
          <w:tcPr>
            <w:tcW w:w="2116" w:type="dxa"/>
            <w:tcBorders/>
            <w:vAlign w:val="center"/>
          </w:tcPr>
          <w:p>
            <w:pPr>
              <w:pStyle w:val="TableContents"/>
              <w:bidi w:val="0"/>
              <w:spacing w:before="0" w:after="283"/>
              <w:jc w:val="left"/>
              <w:rPr/>
            </w:pPr>
            <w:r>
              <w:rPr/>
              <w:t>(g)     Increased Cost of Stock Borrow:</w:t>
            </w:r>
          </w:p>
        </w:tc>
        <w:tc>
          <w:tcPr>
            <w:tcW w:w="8089" w:type="dxa"/>
            <w:tcBorders/>
            <w:vAlign w:val="center"/>
          </w:tcPr>
          <w:p>
            <w:pPr>
              <w:pStyle w:val="TableContents"/>
              <w:bidi w:val="0"/>
              <w:spacing w:before="0" w:after="283"/>
              <w:jc w:val="both"/>
              <w:rPr/>
            </w:pPr>
            <w:r>
              <w:rPr/>
              <w:t>Applicable</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pPr>
            <w:r>
              <w:rPr/>
              <w:t> </w:t>
            </w:r>
          </w:p>
        </w:tc>
      </w:tr>
      <w:tr>
        <w:trPr/>
        <w:tc>
          <w:tcPr>
            <w:tcW w:w="2116" w:type="dxa"/>
            <w:tcBorders/>
            <w:vAlign w:val="center"/>
          </w:tcPr>
          <w:p>
            <w:pPr>
              <w:pStyle w:val="TableContents"/>
              <w:bidi w:val="0"/>
              <w:spacing w:before="0" w:after="283"/>
              <w:jc w:val="left"/>
              <w:rPr/>
            </w:pPr>
            <w:r>
              <w:rPr/>
              <w:t>          </w:t>
            </w:r>
            <w:r>
              <w:rPr/>
              <w:t>Initial Stock Loan Rate:</w:t>
            </w:r>
          </w:p>
        </w:tc>
        <w:tc>
          <w:tcPr>
            <w:tcW w:w="8089" w:type="dxa"/>
            <w:tcBorders/>
            <w:vAlign w:val="center"/>
          </w:tcPr>
          <w:p>
            <w:pPr>
              <w:pStyle w:val="TableContents"/>
              <w:bidi w:val="0"/>
              <w:spacing w:before="0" w:after="283"/>
              <w:jc w:val="both"/>
              <w:rPr/>
            </w:pPr>
            <w:r>
              <w:rPr/>
              <w:t>Prior to January 16, 2030, 0% per annum, and thereafter, 0.25 % per annum.</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pPr>
            <w:r>
              <w:rPr/>
              <w:t> </w:t>
            </w:r>
          </w:p>
        </w:tc>
      </w:tr>
      <w:tr>
        <w:trPr/>
        <w:tc>
          <w:tcPr>
            <w:tcW w:w="2116" w:type="dxa"/>
            <w:tcBorders/>
            <w:vAlign w:val="center"/>
          </w:tcPr>
          <w:p>
            <w:pPr>
              <w:pStyle w:val="TableContents"/>
              <w:bidi w:val="0"/>
              <w:spacing w:before="0" w:after="283"/>
              <w:jc w:val="left"/>
              <w:rPr/>
            </w:pPr>
            <w:r>
              <w:rPr/>
              <w:t>Hedging Party:</w:t>
            </w:r>
          </w:p>
        </w:tc>
        <w:tc>
          <w:tcPr>
            <w:tcW w:w="8089" w:type="dxa"/>
            <w:tcBorders/>
            <w:vAlign w:val="center"/>
          </w:tcPr>
          <w:p>
            <w:pPr>
              <w:pStyle w:val="TableContents"/>
              <w:bidi w:val="0"/>
              <w:spacing w:before="0" w:after="283"/>
              <w:jc w:val="both"/>
              <w:rPr/>
            </w:pPr>
            <w:r>
              <w:rPr/>
              <w:t>Dealer for all applicable Additional Disruption Events.</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pPr>
            <w:r>
              <w:rPr/>
              <w:t> </w:t>
            </w:r>
          </w:p>
        </w:tc>
      </w:tr>
      <w:tr>
        <w:trPr/>
        <w:tc>
          <w:tcPr>
            <w:tcW w:w="2116" w:type="dxa"/>
            <w:tcBorders/>
            <w:vAlign w:val="center"/>
          </w:tcPr>
          <w:p>
            <w:pPr>
              <w:pStyle w:val="TableContents"/>
              <w:bidi w:val="0"/>
              <w:spacing w:before="0" w:after="283"/>
              <w:jc w:val="left"/>
              <w:rPr/>
            </w:pPr>
            <w:r>
              <w:rPr/>
              <w:t>Determining Party:</w:t>
            </w:r>
          </w:p>
        </w:tc>
        <w:tc>
          <w:tcPr>
            <w:tcW w:w="8089" w:type="dxa"/>
            <w:tcBorders/>
            <w:vAlign w:val="center"/>
          </w:tcPr>
          <w:p>
            <w:pPr>
              <w:pStyle w:val="TableContents"/>
              <w:bidi w:val="0"/>
              <w:spacing w:before="0" w:after="283"/>
              <w:jc w:val="both"/>
              <w:rPr/>
            </w:pPr>
            <w:r>
              <w:rPr/>
              <w:t xml:space="preserve">Dealer for all applicable Additional Disruption Events. </w:t>
            </w:r>
            <w:r>
              <w:rPr>
                <w:shd w:fill="FFFFFF" w:val="clear"/>
              </w:rPr>
              <w:t xml:space="preserve">All calculations and determinations by the Determining Party shall be made in good faith and in a commercially reasonable manner. Following any calculation by the Determining Party hereunder, upon written request by Counterparty, the Determining Party will, within five Exchange Business Days immediately following such request, provide to Counterparty a report </w:t>
            </w:r>
            <w:r>
              <w:rPr/>
              <w:t xml:space="preserve">(in a commonly used file format for the storage and manipulation of financial data) </w:t>
            </w:r>
            <w:r>
              <w:rPr>
                <w:shd w:fill="FFFFFF" w:val="clear"/>
              </w:rPr>
              <w:t xml:space="preserve">displaying in reasonable detail the basis for such calculation; </w:t>
            </w:r>
            <w:r>
              <w:rPr>
                <w:i/>
                <w:shd w:fill="FFFFFF" w:val="clear"/>
              </w:rPr>
              <w:t>provided, however</w:t>
            </w:r>
            <w:r>
              <w:rPr>
                <w:shd w:fill="FFFFFF" w:val="clear"/>
              </w:rPr>
              <w:t>, that in no event will the Determining Party be obligated to share with Counterparty any proprietary or confidential data or information or any proprietary or confidential models used by it.</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pPr>
            <w:r>
              <w:rPr/>
              <w:t> </w:t>
            </w:r>
          </w:p>
        </w:tc>
      </w:tr>
      <w:tr>
        <w:trPr/>
        <w:tc>
          <w:tcPr>
            <w:tcW w:w="2116" w:type="dxa"/>
            <w:tcBorders/>
            <w:vAlign w:val="center"/>
          </w:tcPr>
          <w:p>
            <w:pPr>
              <w:pStyle w:val="TableContents"/>
              <w:bidi w:val="0"/>
              <w:spacing w:before="0" w:after="283"/>
              <w:jc w:val="left"/>
              <w:rPr/>
            </w:pPr>
            <w:r>
              <w:rPr/>
              <w:t>Non-Reliance:</w:t>
            </w:r>
          </w:p>
        </w:tc>
        <w:tc>
          <w:tcPr>
            <w:tcW w:w="8089" w:type="dxa"/>
            <w:tcBorders/>
            <w:vAlign w:val="center"/>
          </w:tcPr>
          <w:p>
            <w:pPr>
              <w:pStyle w:val="TableContents"/>
              <w:bidi w:val="0"/>
              <w:spacing w:before="0" w:after="283"/>
              <w:jc w:val="both"/>
              <w:rPr/>
            </w:pPr>
            <w:r>
              <w:rPr/>
              <w:t>Applicable</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pPr>
            <w:r>
              <w:rPr/>
              <w:t> </w:t>
            </w:r>
          </w:p>
        </w:tc>
      </w:tr>
      <w:tr>
        <w:trPr/>
        <w:tc>
          <w:tcPr>
            <w:tcW w:w="2116" w:type="dxa"/>
            <w:tcBorders/>
            <w:vAlign w:val="center"/>
          </w:tcPr>
          <w:p>
            <w:pPr>
              <w:pStyle w:val="TableContents"/>
              <w:bidi w:val="0"/>
              <w:spacing w:before="0" w:after="283"/>
              <w:jc w:val="left"/>
              <w:rPr/>
            </w:pPr>
            <w:r>
              <w:rPr/>
              <w:t>Agreements and Acknowledgments Regarding Hedging Activities:</w:t>
            </w:r>
          </w:p>
        </w:tc>
        <w:tc>
          <w:tcPr>
            <w:tcW w:w="8089" w:type="dxa"/>
            <w:tcBorders/>
            <w:vAlign w:val="center"/>
          </w:tcPr>
          <w:p>
            <w:pPr>
              <w:pStyle w:val="TableContents"/>
              <w:bidi w:val="0"/>
              <w:spacing w:before="0" w:after="283"/>
              <w:jc w:val="both"/>
              <w:rPr/>
            </w:pPr>
            <w:r>
              <w:rPr/>
              <w:t>Applicable</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pPr>
            <w:r>
              <w:rPr/>
              <w:t> </w:t>
            </w:r>
          </w:p>
        </w:tc>
      </w:tr>
      <w:tr>
        <w:trPr/>
        <w:tc>
          <w:tcPr>
            <w:tcW w:w="2116" w:type="dxa"/>
            <w:tcBorders/>
            <w:vAlign w:val="center"/>
          </w:tcPr>
          <w:p>
            <w:pPr>
              <w:pStyle w:val="TableContents"/>
              <w:bidi w:val="0"/>
              <w:spacing w:before="0" w:after="283"/>
              <w:jc w:val="left"/>
              <w:rPr/>
            </w:pPr>
            <w:r>
              <w:rPr/>
              <w:t>Additional Acknowledgments:</w:t>
            </w:r>
          </w:p>
        </w:tc>
        <w:tc>
          <w:tcPr>
            <w:tcW w:w="8089" w:type="dxa"/>
            <w:tcBorders/>
            <w:vAlign w:val="center"/>
          </w:tcPr>
          <w:p>
            <w:pPr>
              <w:pStyle w:val="TableContents"/>
              <w:bidi w:val="0"/>
              <w:spacing w:before="0" w:after="283"/>
              <w:jc w:val="both"/>
              <w:rPr/>
            </w:pPr>
            <w:r>
              <w:rPr/>
              <w:t>Applicable</w:t>
            </w:r>
          </w:p>
        </w:tc>
      </w:tr>
      <w:tr>
        <w:trPr/>
        <w:tc>
          <w:tcPr>
            <w:tcW w:w="2116" w:type="dxa"/>
            <w:tcBorders/>
            <w:vAlign w:val="center"/>
          </w:tcPr>
          <w:p>
            <w:pPr>
              <w:pStyle w:val="TableContents"/>
              <w:bidi w:val="0"/>
              <w:spacing w:before="0" w:after="283"/>
              <w:jc w:val="left"/>
              <w:rPr/>
            </w:pPr>
            <w:r>
              <w:rPr/>
              <w:t> </w:t>
            </w:r>
          </w:p>
        </w:tc>
        <w:tc>
          <w:tcPr>
            <w:tcW w:w="8089" w:type="dxa"/>
            <w:tcBorders/>
            <w:vAlign w:val="center"/>
          </w:tcPr>
          <w:p>
            <w:pPr>
              <w:pStyle w:val="TableContents"/>
              <w:bidi w:val="0"/>
              <w:spacing w:before="0" w:after="283"/>
              <w:jc w:val="both"/>
              <w:rPr/>
            </w:pPr>
            <w:r>
              <w:rPr/>
              <w:t> </w:t>
            </w:r>
          </w:p>
        </w:tc>
      </w:tr>
      <w:tr>
        <w:trPr/>
        <w:tc>
          <w:tcPr>
            <w:tcW w:w="2116" w:type="dxa"/>
            <w:tcBorders/>
            <w:vAlign w:val="center"/>
          </w:tcPr>
          <w:p>
            <w:pPr>
              <w:pStyle w:val="TableContents"/>
              <w:bidi w:val="0"/>
              <w:spacing w:before="0" w:after="283"/>
              <w:jc w:val="left"/>
              <w:rPr/>
            </w:pPr>
            <w:r>
              <w:rPr/>
              <w:t>3.              </w:t>
            </w:r>
            <w:r>
              <w:rPr>
                <w:u w:val="single"/>
              </w:rPr>
              <w:t>Calculation Agent</w:t>
            </w:r>
            <w:r>
              <w:rPr/>
              <w:t>:</w:t>
            </w:r>
          </w:p>
        </w:tc>
        <w:tc>
          <w:tcPr>
            <w:tcW w:w="8089" w:type="dxa"/>
            <w:tcBorders/>
            <w:vAlign w:val="center"/>
          </w:tcPr>
          <w:p>
            <w:pPr>
              <w:pStyle w:val="TableContents"/>
              <w:bidi w:val="0"/>
              <w:spacing w:before="0" w:after="283"/>
              <w:jc w:val="both"/>
              <w:rPr/>
            </w:pPr>
            <w:r>
              <w:rPr/>
              <w:t xml:space="preserve">Dealer; </w:t>
            </w:r>
            <w:r>
              <w:rPr>
                <w:i/>
              </w:rPr>
              <w:t>provided that</w:t>
            </w:r>
            <w:r>
              <w:rPr/>
              <w: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obligations of the Calculation Agent hereunder and such failure continues for five Exchange Business Days following notice to the Calculation Agent by Counterparty of such failure, Counterparty shall have the right to designate a nationally recognize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Calculation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both"/>
              <w:rPr>
                <w:sz w:val="20"/>
              </w:rPr>
            </w:pPr>
            <w:r>
              <w:rPr>
                <w:sz w:val="20"/>
              </w:rPr>
              <w:t xml:space="preserve">Following any calculation by the Calculation Agent hereunder, upon written request by Counterparty, the Calculation Agent will, within five Exchange Business Days immediately following such request, provide to Counterparty by email to the email address provided by Counterparty in such written request a report (in a commonly used file format for the storage and manipulation of financial data) displaying in reasonable detail the basis for such calculation; </w:t>
            </w:r>
            <w:r>
              <w:rPr>
                <w:i/>
                <w:sz w:val="20"/>
              </w:rPr>
              <w:t>provided that</w:t>
            </w:r>
            <w:r>
              <w:rPr>
                <w:sz w:val="20"/>
              </w:rPr>
              <w:t xml:space="preserve"> in no event will Dealer be obligated to share with Counterparty any proprietary or confidential data or information or any proprietary or confidential models used by it or any information that is subject to an obligation not to disclose such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Account Details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Payment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Bank of New York</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 021000018</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8661062712</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Acct Name – BMO Nesbitt Burns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for delivery of Shares to Dealer: To be provided by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Payment Instructions: To be provided by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is a Multibranch Party and for purposes of this Confirmation and each Transaction, may act through its London and Toronto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Counterparty for the Transaction is: Inapplicable, Counterparty is not a Multibranch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For purposes of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Address for notices or communications to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 Suite 150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MN 55347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Kathy Hiebert,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Address for notices or communications to Dealer:</w:t>
      </w:r>
    </w:p>
    <w:p>
      <w:pPr>
        <w:pStyle w:val="TextBody"/>
        <w:bidi w:val="0"/>
        <w:spacing w:before="0" w:after="0"/>
        <w:ind w:left="1440" w:right="0" w:firstLine="144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475"/>
        <w:gridCol w:w="3170"/>
      </w:tblGrid>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To:</w:t>
            </w:r>
          </w:p>
        </w:tc>
        <w:tc>
          <w:tcPr>
            <w:tcW w:w="3170" w:type="dxa"/>
            <w:tcBorders/>
            <w:vAlign w:val="center"/>
          </w:tcPr>
          <w:p>
            <w:pPr>
              <w:pStyle w:val="TableContents"/>
              <w:bidi w:val="0"/>
              <w:spacing w:before="0" w:after="283"/>
              <w:jc w:val="both"/>
              <w:rPr/>
            </w:pPr>
            <w:r>
              <w:rPr/>
              <w:t>Bank of Montreal</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both"/>
              <w:rPr/>
            </w:pPr>
            <w:r>
              <w:rPr/>
              <w:t>55 Bloor Street West, 18</w:t>
            </w:r>
            <w:r>
              <w:rPr>
                <w:position w:val="8"/>
                <w:sz w:val="19"/>
              </w:rPr>
              <w:t>th</w:t>
            </w:r>
            <w:r>
              <w:rPr/>
              <w:t xml:space="preserve"> Floor</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both"/>
              <w:rPr/>
            </w:pPr>
            <w:r>
              <w:rPr/>
              <w:t>Toronto, Ontario M4W 1A5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both"/>
              <w:rPr/>
            </w:pPr>
            <w:r>
              <w:rPr/>
              <w:t>Canada</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pPr>
            <w:r>
              <w:rPr/>
              <w:t>Attn:</w:t>
            </w:r>
          </w:p>
        </w:tc>
        <w:tc>
          <w:tcPr>
            <w:tcW w:w="3170" w:type="dxa"/>
            <w:tcBorders/>
            <w:vAlign w:val="center"/>
          </w:tcPr>
          <w:p>
            <w:pPr>
              <w:pStyle w:val="TableContents"/>
              <w:bidi w:val="0"/>
              <w:spacing w:before="0" w:after="283"/>
              <w:jc w:val="both"/>
              <w:rPr/>
            </w:pPr>
            <w:r>
              <w:rPr/>
              <w:t>Manager, Derivatives Operations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pPr>
            <w:r>
              <w:rPr/>
              <w:t>Telephone:</w:t>
            </w:r>
          </w:p>
        </w:tc>
        <w:tc>
          <w:tcPr>
            <w:tcW w:w="3170" w:type="dxa"/>
            <w:tcBorders/>
            <w:vAlign w:val="center"/>
          </w:tcPr>
          <w:p>
            <w:pPr>
              <w:pStyle w:val="TableContents"/>
              <w:bidi w:val="0"/>
              <w:spacing w:before="0" w:after="283"/>
              <w:jc w:val="left"/>
              <w:rPr/>
            </w:pPr>
            <w:r>
              <w:rPr/>
              <w:t>(416) 552-4177</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Email:</w:t>
            </w:r>
          </w:p>
        </w:tc>
        <w:tc>
          <w:tcPr>
            <w:tcW w:w="3170" w:type="dxa"/>
            <w:tcBorders/>
            <w:vAlign w:val="center"/>
          </w:tcPr>
          <w:p>
            <w:pPr>
              <w:pStyle w:val="TableContents"/>
              <w:bidi w:val="0"/>
              <w:spacing w:before="0" w:after="283"/>
              <w:jc w:val="left"/>
              <w:rPr/>
            </w:pPr>
            <w:r>
              <w:rPr/>
              <w:t>BMOEquityLinked@bmo.com</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With a copy to:</w:t>
            </w:r>
          </w:p>
        </w:tc>
        <w:tc>
          <w:tcPr>
            <w:tcW w:w="31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To:</w:t>
            </w:r>
          </w:p>
        </w:tc>
        <w:tc>
          <w:tcPr>
            <w:tcW w:w="3170" w:type="dxa"/>
            <w:tcBorders/>
            <w:vAlign w:val="center"/>
          </w:tcPr>
          <w:p>
            <w:pPr>
              <w:pStyle w:val="TableContents"/>
              <w:bidi w:val="0"/>
              <w:spacing w:before="0" w:after="283"/>
              <w:jc w:val="left"/>
              <w:rPr/>
            </w:pPr>
            <w:r>
              <w:rPr/>
              <w:t>Bank of Montreal</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100 King Street West, 20</w:t>
            </w:r>
            <w:r>
              <w:rPr>
                <w:position w:val="8"/>
                <w:sz w:val="19"/>
              </w:rPr>
              <w:t>th</w:t>
            </w:r>
            <w:r>
              <w:rPr/>
              <w:t xml:space="preserve"> Floor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75"/>
        <w:gridCol w:w="1430"/>
        <w:gridCol w:w="7175"/>
      </w:tblGrid>
      <w:tr>
        <w:trPr/>
        <w:tc>
          <w:tcPr>
            <w:tcW w:w="75"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7175" w:type="dxa"/>
            <w:tcBorders/>
            <w:vAlign w:val="center"/>
          </w:tcPr>
          <w:p>
            <w:pPr>
              <w:pStyle w:val="TableContents"/>
              <w:bidi w:val="0"/>
              <w:spacing w:before="0" w:after="283"/>
              <w:jc w:val="both"/>
              <w:rPr/>
            </w:pPr>
            <w:r>
              <w:rPr/>
              <w:t>Toronto, Ontario M5X 1A1</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both"/>
              <w:rPr/>
            </w:pPr>
            <w:r>
              <w:rPr/>
              <w:t>Canada</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Attn:</w:t>
            </w:r>
          </w:p>
        </w:tc>
        <w:tc>
          <w:tcPr>
            <w:tcW w:w="7175" w:type="dxa"/>
            <w:tcBorders/>
            <w:vAlign w:val="center"/>
          </w:tcPr>
          <w:p>
            <w:pPr>
              <w:pStyle w:val="TableContents"/>
              <w:bidi w:val="0"/>
              <w:spacing w:before="0" w:after="283"/>
              <w:jc w:val="both"/>
              <w:rPr/>
            </w:pPr>
            <w:r>
              <w:rPr/>
              <w:t>Associate General Counsel &amp; Managing Director, Derivatives Legal Group</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Facsimile:</w:t>
            </w:r>
          </w:p>
        </w:tc>
        <w:tc>
          <w:tcPr>
            <w:tcW w:w="7175" w:type="dxa"/>
            <w:tcBorders/>
            <w:vAlign w:val="center"/>
          </w:tcPr>
          <w:p>
            <w:pPr>
              <w:pStyle w:val="TableContents"/>
              <w:bidi w:val="0"/>
              <w:spacing w:before="0" w:after="283"/>
              <w:jc w:val="both"/>
              <w:rPr/>
            </w:pPr>
            <w:r>
              <w:rPr/>
              <w:t>(416) 956-2318</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71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pPr>
            <w:r>
              <w:rPr/>
              <w:t>And a copy to:</w:t>
            </w:r>
          </w:p>
        </w:tc>
        <w:tc>
          <w:tcPr>
            <w:tcW w:w="71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To:</w:t>
            </w:r>
          </w:p>
        </w:tc>
        <w:tc>
          <w:tcPr>
            <w:tcW w:w="7175" w:type="dxa"/>
            <w:tcBorders/>
            <w:vAlign w:val="center"/>
          </w:tcPr>
          <w:p>
            <w:pPr>
              <w:pStyle w:val="TableContents"/>
              <w:bidi w:val="0"/>
              <w:spacing w:before="0" w:after="283"/>
              <w:jc w:val="left"/>
              <w:rPr/>
            </w:pPr>
            <w:r>
              <w:rPr/>
              <w:t>BMO Capital Markets Corp.</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283"/>
              <w:jc w:val="left"/>
              <w:rPr/>
            </w:pPr>
            <w:r>
              <w:rPr/>
              <w:t>151 West 42</w:t>
            </w:r>
            <w:r>
              <w:rPr>
                <w:position w:val="8"/>
                <w:sz w:val="19"/>
              </w:rPr>
              <w:t>nd</w:t>
            </w:r>
            <w:r>
              <w:rPr/>
              <w:t xml:space="preserve"> Street 32</w:t>
            </w:r>
            <w:r>
              <w:rPr>
                <w:position w:val="8"/>
                <w:sz w:val="19"/>
              </w:rPr>
              <w:t>nd</w:t>
            </w:r>
            <w:r>
              <w:rPr/>
              <w:t xml:space="preserve"> Floor</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c>
          <w:tcPr>
            <w:tcW w:w="7175" w:type="dxa"/>
            <w:tcBorders/>
            <w:vAlign w:val="center"/>
          </w:tcPr>
          <w:p>
            <w:pPr>
              <w:pStyle w:val="TableContents"/>
              <w:bidi w:val="0"/>
              <w:spacing w:before="0" w:after="283"/>
              <w:jc w:val="left"/>
              <w:rPr/>
            </w:pPr>
            <w:r>
              <w:rPr/>
              <w:t>New York, New York 10036</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Attn:</w:t>
            </w:r>
          </w:p>
        </w:tc>
        <w:tc>
          <w:tcPr>
            <w:tcW w:w="7175" w:type="dxa"/>
            <w:tcBorders/>
            <w:vAlign w:val="center"/>
          </w:tcPr>
          <w:p>
            <w:pPr>
              <w:pStyle w:val="TableContents"/>
              <w:bidi w:val="0"/>
              <w:spacing w:before="0" w:after="283"/>
              <w:jc w:val="left"/>
              <w:rPr/>
            </w:pPr>
            <w:r>
              <w:rPr/>
              <w:t>Brian Riley</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Telephone:</w:t>
            </w:r>
          </w:p>
        </w:tc>
        <w:tc>
          <w:tcPr>
            <w:tcW w:w="7175" w:type="dxa"/>
            <w:tcBorders/>
            <w:vAlign w:val="center"/>
          </w:tcPr>
          <w:p>
            <w:pPr>
              <w:pStyle w:val="TableContents"/>
              <w:bidi w:val="0"/>
              <w:spacing w:before="0" w:after="283"/>
              <w:jc w:val="left"/>
              <w:rPr/>
            </w:pPr>
            <w:r>
              <w:rPr/>
              <w:t>(212) 605-1414</w:t>
            </w:r>
          </w:p>
        </w:tc>
      </w:tr>
      <w:tr>
        <w:trPr/>
        <w:tc>
          <w:tcPr>
            <w:tcW w:w="75"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Email:</w:t>
            </w:r>
          </w:p>
        </w:tc>
        <w:tc>
          <w:tcPr>
            <w:tcW w:w="7175" w:type="dxa"/>
            <w:tcBorders/>
            <w:vAlign w:val="center"/>
          </w:tcPr>
          <w:p>
            <w:pPr>
              <w:pStyle w:val="TableContents"/>
              <w:bidi w:val="0"/>
              <w:spacing w:before="0" w:after="283"/>
              <w:jc w:val="left"/>
              <w:rPr/>
            </w:pPr>
            <w:r>
              <w:rPr/>
              <w:t>BMOEquityLinked@bmo.com</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Warranties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Trade Date and as of the date of any Notice of Share Termination under (and as defined in) Section 8(b)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or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(or any successor issue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302A.673 of the Minnesota Business Corporations Act as an “interested shareholder”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On the Trade Date and the Premium Payment Date (A) the assets of Counterparty at their fair valuation exceed the liabilities of Counterparty, including contingent liabilities, (B) the capital of Counterparty is adequate to conduct the business of Counterparty and (C) Counterparty has the ability to pay its debts and obligations as such debts mature and does not intend to, or does not believe that it will, incur debt beyond its ability to pay as such debts mature.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Counterparty shall not take any action to decrease the number of Available Shares below the Capped Number (each as defined below, but without giving effect to the limitation on adjustments to the Capped Number set forth in the proviso in the first sentence of Section ‎8(f)).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representations and warranties of Counterparty set forth in Section 3 of the Agreement and Section 1 of the Purchase Agreement dated as of the Trade Date between Goldman Sachs &amp; Co. LLC and BMO Capital Markets Corp. as the representatives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of the Initial Purchasers and Counterparty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are true and correct as of the Trade Date and the Effective Date and are hereby deemed to be repeated to Dealer as if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(x) (A) On the Trade Date, the Shares or securities that are convertible into, or exchangeable or exercisable for Shares, are not, and shall not be, subject to a “restricted period,” as such term is defined in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 and (y)(A) during the period starting on the first Expiration Date and ending on the last Expiration Date (the “</w:t>
      </w:r>
      <w:r>
        <w:rPr>
          <w:rFonts w:ascii="Times New Roman;Times;Serif" w:hAnsi="Times New Roman;Times;Serif"/>
          <w:b/>
          <w:i w:val="false"/>
          <w:caps w:val="false"/>
          <w:smallCaps w:val="false"/>
          <w:sz w:val="20"/>
        </w:rPr>
        <w:t>Settlement Period</w:t>
      </w:r>
      <w:r>
        <w:rPr>
          <w:rFonts w:ascii="Times New Roman;Times;Serif" w:hAnsi="Times New Roman;Times;Serif"/>
          <w:b w:val="false"/>
          <w:i w:val="false"/>
          <w:caps w:val="false"/>
          <w:smallCaps w:val="false"/>
          <w:sz w:val="20"/>
        </w:rPr>
        <w:t>”), the Shares or securities that are convertible into, or exchangeable or exercisable for Shares, are not, and shall not be, subject to a “restricted period,” as defined in Regulation M and (B) Counterparty shall not engage in any “distribution,” as such term is defined in Regulation M until the second Exchange Business Day immediately following the Settlement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(x) On the Trade Date, (y) during the Settlement Period and (z) on any other Exercise Date, neither Counterparty nor any “affiliate” or “affiliated purchaser” (each as defined in Rule 10b-18 of the Exchange Act (“</w:t>
      </w:r>
      <w:r>
        <w:rPr>
          <w:rFonts w:ascii="Times New Roman;Times;Serif" w:hAnsi="Times New Roman;Times;Serif"/>
          <w:b/>
          <w:i w:val="false"/>
          <w:caps w:val="false"/>
          <w:smallCaps w:val="false"/>
          <w:sz w:val="20"/>
        </w:rPr>
        <w:t>Rule 10b-18</w:t>
      </w:r>
      <w:r>
        <w:rPr>
          <w:rFonts w:ascii="Times New Roman;Times;Serif" w:hAnsi="Times New Roman;Times;Serif"/>
          <w:b w:val="false"/>
          <w:i w:val="false"/>
          <w:caps w:val="false"/>
          <w:smallCaps w:val="false"/>
          <w:sz w:val="20"/>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Counterparty agrees that it (A) will not during the Settlement Period make, or permit to be made, any public announcement (as defined in Rule 165(f) under the Securities Act) of any Merger Transaction or potential Merger Transaction unless such public announcement is made prior to the opening or after the close of the regular trading session on the Exchange for the Shares; (B) shall promptly (but in any event prior to the next opening of the regular trading session on the Exchange) notify Dealer following any such announcement that such announcement has been made; and (C) shall promptly (but in any event prior to the next opening of the regular trading session on the Exchange) provide Dealer with written notice specifying (i) Counterparty’s average daily Rule 10b-18 Purchases (as defined in Rule 10b-18) during the three full calendar months immediately preceding the announcement date that were not effected through Dealer or its affiliates and (ii) the number of Shares purchased pursuant to the proviso in Rule 10b-18(b)(4) under the Exchange Act for the three full calendar months preceding the announcement date. Such written notice shall be deemed to be a certification by Counterparty to Dealer that such information is true and correct. In addition, Counterparty shall promptly notify Dealer of the earlier to occur of the completion of such transaction and the completion of the vote by target shareholders. “</w:t>
      </w:r>
      <w:r>
        <w:rPr>
          <w:rFonts w:ascii="Times New Roman;Times;Serif" w:hAnsi="Times New Roman;Times;Serif"/>
          <w:b/>
          <w:i w:val="false"/>
          <w:caps w:val="false"/>
          <w:smallCaps w:val="false"/>
          <w:sz w:val="20"/>
        </w:rPr>
        <w:t>Merger Transaction</w:t>
      </w:r>
      <w:r>
        <w:rPr>
          <w:rFonts w:ascii="Times New Roman;Times;Serif" w:hAnsi="Times New Roman;Times;Serif"/>
          <w:b w:val="false"/>
          <w:i w:val="false"/>
          <w:caps w:val="false"/>
          <w:smallCaps w:val="false"/>
          <w:sz w:val="20"/>
        </w:rPr>
        <w:t>” means any merger, acquisition or similar transaction involving a recapitalization as contemplated by Rule 10b-18(a)(13)(iv) under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Any issuance of Shares upon exercise or termination of the Transaction has been, and throughout the Transaction will continue to be, duly authorized and, upon issuance, such Shares will be validly issued, fully paid and non-assessable, and the issuance or delivery thereof shall not be subject to any preemptive or similar rights and such Shares shall, upon issuance, be accepted for listing or quotation on the Exchange; (B) a number of Shares of Counterparty equal to the Capped Number have been reserved for issuance upon exercise or termination of the Warrants by all required corporate action of the Counterparty and (C) the Shares issuable upon exercise of the Warrants shall upon issuance be accepted for listing or quotation on the Exchange, subject to notice that the listing of the Shares issuable upon exercise or termination of the Warrants on the Exchange has been approved by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holding (however defined) or having a right to acquire Shares; provided however, that Counterparty makes no representation or warranty regarding any such requirement that is applicable generally to the ownership of equity securities by Dealer or any of its affiliates as a result of it or any such affiliates being financial institutions or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 (C) has total assets of at least $50 million. Counterparty will notify Dealer if the immediately preceding statement contained in this Section 7(a)(xiv) ceases to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26, 2023,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Dealer and Counterparty acknowledges that the offer and sale of the Transaction to it is intended to be exempt from registration under the Securities Act, by virtue of Section 4(a)(2) thereof. Accordingly, Dealer represents and warrants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Dealer and Counterparty agrees and acknowledges that Dealer is a “financial institution” and “financial participant” within the meaning of Sections 101(22) and 101(22A) of Title 11 of the United States Code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Counterparty shall deliver to Dealer (i) an incumbency certificate, dated as of the Trade Date, of Counterparty in customary form and (ii) an opinion of counsel, dated as of the Trade Date and reasonably acceptable to Dealer in form and substance, with respect to the matters set forth in Section 3(a) of the Agreement and Sections 7(a)(v), 7(a)(xii) and 7(a)(xv) of this Confirmation and such other matters as Dealer may reasonably request and (iii) evidence that the listing of the Shares issuable upon exercise or termination of the Warrants on the Exchange has been approved by the Exchange, subject only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 is acting as principal and is not a fiduciary or advisor in respect of any such transaction, including any entry, exercise, amendment, unwind or termination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Counterparty represents and warrants that it has received, read and understands the </w:t>
      </w:r>
      <w:r>
        <w:rPr>
          <w:rFonts w:ascii="Times New Roman;Times;Serif" w:hAnsi="Times New Roman;Times;Serif"/>
          <w:b/>
          <w:i w:val="false"/>
          <w:caps w:val="false"/>
          <w:smallCaps w:val="false"/>
          <w:sz w:val="20"/>
        </w:rPr>
        <w:t>OTC Options Risk Disclosure Statement</w:t>
      </w:r>
      <w:r>
        <w:rPr>
          <w:rFonts w:ascii="Times New Roman;Times;Serif" w:hAnsi="Times New Roman;Times;Serif"/>
          <w:b w:val="false"/>
          <w:i w:val="false"/>
          <w:caps w:val="false"/>
          <w:smallCaps w:val="false"/>
          <w:sz w:val="20"/>
        </w:rPr>
        <w:t xml:space="preserve"> and a copy of the most recent disclosure pamphlet prepared by The Options Clearing Corporation entitled “</w:t>
      </w:r>
      <w:r>
        <w:rPr>
          <w:rFonts w:ascii="Times New Roman;Times;Serif" w:hAnsi="Times New Roman;Times;Serif"/>
          <w:b/>
          <w:i w:val="false"/>
          <w:caps w:val="false"/>
          <w:smallCaps w:val="false"/>
          <w:sz w:val="20"/>
        </w:rPr>
        <w:t>Characteristics and Risks of Standardized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 acknowledges and agrees to be bound by the Conduct Rules of the Financial Industry Regulatory Authority, Inc. applicable to transactions in options, and further agrees not to violate the position and exercise limits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Right to Extend</w:t>
      </w:r>
      <w:r>
        <w:rPr>
          <w:rFonts w:ascii="Times New Roman;Times;Serif" w:hAnsi="Times New Roman;Times;Serif"/>
          <w:b w:val="false"/>
          <w:i w:val="false"/>
          <w:caps w:val="false"/>
          <w:smallCaps w:val="false"/>
          <w:sz w:val="20"/>
        </w:rPr>
        <w:t>. Dealer may postpone or add, in whole or in part, any Expiration Date or Settlement Date or any other date of valuation or delivery by Counterparty, with respect to some or all of the relevant Warrants (in which event the Calculation Agent shall make appropriate adjustments to the relevant delivery obligation), if Dealer determines, in its commercially reasonable discretion, that such extension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 and in the case of policies or procedures, so long as such policies and procedures are consistently applied to transactions similar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Alternative Calculations and Payment on Early Termination and on Certain Extraordinary Events</w:t>
      </w:r>
      <w:r>
        <w:rPr>
          <w:rFonts w:ascii="Times New Roman;Times;Serif" w:hAnsi="Times New Roman;Times;Serif"/>
          <w:b w:val="false"/>
          <w:i w:val="false"/>
          <w:caps w:val="false"/>
          <w:smallCaps w:val="false"/>
          <w:sz w:val="20"/>
        </w:rPr>
        <w:t>. If Counterparty shall owe Dealer any amount pursuant to Section 6(d)(ii) of the Agreement (a “</w:t>
      </w:r>
      <w:r>
        <w:rPr>
          <w:rFonts w:ascii="Times New Roman;Times;Serif" w:hAnsi="Times New Roman;Times;Serif"/>
          <w:b/>
          <w:i w:val="false"/>
          <w:caps w:val="false"/>
          <w:smallCaps w:val="false"/>
          <w:sz w:val="20"/>
        </w:rPr>
        <w:t>Payment Obligation</w:t>
      </w:r>
      <w:r>
        <w:rPr>
          <w:rFonts w:ascii="Times New Roman;Times;Serif" w:hAnsi="Times New Roman;Times;Serif"/>
          <w:b w:val="false"/>
          <w:i w:val="false"/>
          <w:caps w:val="false"/>
          <w:smallCaps w:val="false"/>
          <w:sz w:val="20"/>
        </w:rPr>
        <w:t>”), Counterparty shall have the right, in its sole discretion,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 A.M., New York City time, on the Merger Date, Tender Offer Date, Announcement Date, Early Termination Date or date of cancellation or termination in respect of an Extraordinary Event, as applicable (“</w:t>
      </w:r>
      <w:r>
        <w:rPr>
          <w:rFonts w:ascii="Times New Roman;Times;Serif" w:hAnsi="Times New Roman;Times;Serif"/>
          <w:b/>
          <w:i w:val="false"/>
          <w:caps w:val="false"/>
          <w:smallCaps w:val="false"/>
          <w:sz w:val="20"/>
        </w:rPr>
        <w:t>Notice of Share Termination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does not elect to satisfy its Payment Obligation by the Share Termination Alternative, Dealer shall have the right, in its sole discretion, to elect to require Counterparty to satisfy its Payment Obligation by the Share Termination Alternative, notwithstanding Counterparty’s failure to elect or election to the contrary;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Merger Date, the Tender Offer Date, Announcement Date, Early Termination Date or date of cancellation or termination in respect of an Extraordinary Event, as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1"/>
        <w:gridCol w:w="8764"/>
      </w:tblGrid>
      <w:tr>
        <w:trPr/>
        <w:tc>
          <w:tcPr>
            <w:tcW w:w="1441" w:type="dxa"/>
            <w:tcBorders/>
            <w:vAlign w:val="center"/>
          </w:tcPr>
          <w:p>
            <w:pPr>
              <w:pStyle w:val="TableContents"/>
              <w:bidi w:val="0"/>
              <w:spacing w:before="0" w:after="283"/>
              <w:jc w:val="left"/>
              <w:rPr/>
            </w:pPr>
            <w:r>
              <w:rPr/>
              <w:t>Share Termination Alternative:</w:t>
            </w:r>
          </w:p>
        </w:tc>
        <w:tc>
          <w:tcPr>
            <w:tcW w:w="8764" w:type="dxa"/>
            <w:tcBorders/>
            <w:vAlign w:val="center"/>
          </w:tcPr>
          <w:p>
            <w:pPr>
              <w:pStyle w:val="TableContents"/>
              <w:bidi w:val="0"/>
              <w:spacing w:before="0" w:after="283"/>
              <w:jc w:val="both"/>
              <w:rPr/>
            </w:pPr>
            <w:r>
              <w:rPr/>
              <w:t>If applicable, means that Counterparty shall deliver to Dealer the Share Termination Delivery Property on the date on which the Payment Obligation would otherwise be due pursuant to Section 6(d)(ii) of the Agreement, or such later date or dates as the Calculation Agent may reasonably determine (the “</w:t>
            </w:r>
            <w:r>
              <w:rPr>
                <w:b/>
              </w:rPr>
              <w:t>Share Termination Payment Date</w:t>
            </w:r>
            <w:r>
              <w:rPr/>
              <w:t>”), in satisfaction of the Payment Obligation.</w:t>
            </w:r>
          </w:p>
        </w:tc>
      </w:tr>
      <w:tr>
        <w:trPr/>
        <w:tc>
          <w:tcPr>
            <w:tcW w:w="1441" w:type="dxa"/>
            <w:tcBorders/>
            <w:vAlign w:val="center"/>
          </w:tcPr>
          <w:p>
            <w:pPr>
              <w:pStyle w:val="TableContents"/>
              <w:bidi w:val="0"/>
              <w:spacing w:before="0" w:after="283"/>
              <w:jc w:val="left"/>
              <w:rPr/>
            </w:pPr>
            <w:r>
              <w:rPr/>
              <w:t> </w:t>
            </w:r>
          </w:p>
        </w:tc>
        <w:tc>
          <w:tcPr>
            <w:tcW w:w="8764" w:type="dxa"/>
            <w:tcBorders/>
            <w:vAlign w:val="center"/>
          </w:tcPr>
          <w:p>
            <w:pPr>
              <w:pStyle w:val="TableContents"/>
              <w:bidi w:val="0"/>
              <w:spacing w:before="0" w:after="283"/>
              <w:jc w:val="both"/>
              <w:rPr/>
            </w:pPr>
            <w:r>
              <w:rPr/>
              <w:t> </w:t>
            </w:r>
          </w:p>
        </w:tc>
      </w:tr>
      <w:tr>
        <w:trPr/>
        <w:tc>
          <w:tcPr>
            <w:tcW w:w="1441" w:type="dxa"/>
            <w:tcBorders/>
            <w:vAlign w:val="center"/>
          </w:tcPr>
          <w:p>
            <w:pPr>
              <w:pStyle w:val="TableContents"/>
              <w:bidi w:val="0"/>
              <w:spacing w:before="0" w:after="283"/>
              <w:jc w:val="left"/>
              <w:rPr/>
            </w:pPr>
            <w:r>
              <w:rPr/>
              <w:t>Share Termination Delivery Property:</w:t>
            </w:r>
          </w:p>
        </w:tc>
        <w:tc>
          <w:tcPr>
            <w:tcW w:w="8764" w:type="dxa"/>
            <w:tcBorders/>
            <w:vAlign w:val="center"/>
          </w:tcPr>
          <w:p>
            <w:pPr>
              <w:pStyle w:val="TableContents"/>
              <w:bidi w:val="0"/>
              <w:spacing w:before="0" w:after="283"/>
              <w:jc w:val="both"/>
              <w:rPr/>
            </w:pPr>
            <w:r>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in the Settlement Currency equal to the value of such fractional security based on the values used to calculate the Share Termination Unit Price.</w:t>
            </w:r>
          </w:p>
        </w:tc>
      </w:tr>
      <w:tr>
        <w:trPr/>
        <w:tc>
          <w:tcPr>
            <w:tcW w:w="1441" w:type="dxa"/>
            <w:tcBorders/>
            <w:vAlign w:val="center"/>
          </w:tcPr>
          <w:p>
            <w:pPr>
              <w:pStyle w:val="TableContents"/>
              <w:bidi w:val="0"/>
              <w:spacing w:before="0" w:after="283"/>
              <w:jc w:val="left"/>
              <w:rPr/>
            </w:pPr>
            <w:r>
              <w:rPr/>
              <w:t> </w:t>
            </w:r>
          </w:p>
        </w:tc>
        <w:tc>
          <w:tcPr>
            <w:tcW w:w="8764" w:type="dxa"/>
            <w:tcBorders/>
            <w:vAlign w:val="center"/>
          </w:tcPr>
          <w:p>
            <w:pPr>
              <w:pStyle w:val="TableContents"/>
              <w:bidi w:val="0"/>
              <w:spacing w:before="0" w:after="283"/>
              <w:jc w:val="both"/>
              <w:rPr/>
            </w:pPr>
            <w:r>
              <w:rPr/>
              <w:t> </w:t>
            </w:r>
          </w:p>
        </w:tc>
      </w:tr>
      <w:tr>
        <w:trPr/>
        <w:tc>
          <w:tcPr>
            <w:tcW w:w="1441" w:type="dxa"/>
            <w:tcBorders/>
            <w:vAlign w:val="center"/>
          </w:tcPr>
          <w:p>
            <w:pPr>
              <w:pStyle w:val="TableContents"/>
              <w:bidi w:val="0"/>
              <w:spacing w:before="0" w:after="283"/>
              <w:jc w:val="left"/>
              <w:rPr/>
            </w:pPr>
            <w:r>
              <w:rPr/>
              <w:t>Share Termination Unit Price:</w:t>
            </w:r>
          </w:p>
        </w:tc>
        <w:tc>
          <w:tcPr>
            <w:tcW w:w="8764" w:type="dxa"/>
            <w:tcBorders/>
            <w:vAlign w:val="center"/>
          </w:tcPr>
          <w:p>
            <w:pPr>
              <w:pStyle w:val="TableContents"/>
              <w:bidi w:val="0"/>
              <w:spacing w:before="0" w:after="283"/>
              <w:jc w:val="both"/>
              <w:rPr/>
            </w:pPr>
            <w:r>
              <w:rPr/>
              <w:t>The value of property contained in one Share Termination Delivery Unit on the date such Share Termination Delivery Units are to be delivered as Share Termination Delivery Property, as determined by the Calculation Agent and notified by the Calculation Agent to Counterparty at the time of notification of the Payment Obligation.</w:t>
            </w:r>
          </w:p>
        </w:tc>
      </w:tr>
      <w:tr>
        <w:trPr/>
        <w:tc>
          <w:tcPr>
            <w:tcW w:w="1441" w:type="dxa"/>
            <w:tcBorders/>
            <w:vAlign w:val="center"/>
          </w:tcPr>
          <w:p>
            <w:pPr>
              <w:pStyle w:val="TableContents"/>
              <w:bidi w:val="0"/>
              <w:spacing w:before="0" w:after="283"/>
              <w:jc w:val="left"/>
              <w:rPr/>
            </w:pPr>
            <w:r>
              <w:rPr/>
              <w:t> </w:t>
            </w:r>
          </w:p>
        </w:tc>
        <w:tc>
          <w:tcPr>
            <w:tcW w:w="8764" w:type="dxa"/>
            <w:tcBorders/>
            <w:vAlign w:val="center"/>
          </w:tcPr>
          <w:p>
            <w:pPr>
              <w:pStyle w:val="TableContents"/>
              <w:bidi w:val="0"/>
              <w:spacing w:before="0" w:after="283"/>
              <w:jc w:val="both"/>
              <w:rPr/>
            </w:pPr>
            <w:r>
              <w:rPr/>
              <w:t> </w:t>
            </w:r>
          </w:p>
        </w:tc>
      </w:tr>
      <w:tr>
        <w:trPr/>
        <w:tc>
          <w:tcPr>
            <w:tcW w:w="1441" w:type="dxa"/>
            <w:tcBorders/>
            <w:vAlign w:val="center"/>
          </w:tcPr>
          <w:p>
            <w:pPr>
              <w:pStyle w:val="TableContents"/>
              <w:bidi w:val="0"/>
              <w:spacing w:before="0" w:after="283"/>
              <w:jc w:val="left"/>
              <w:rPr/>
            </w:pPr>
            <w:r>
              <w:rPr/>
              <w:t>Share Termination Delivery Unit:</w:t>
            </w:r>
          </w:p>
        </w:tc>
        <w:tc>
          <w:tcPr>
            <w:tcW w:w="8764" w:type="dxa"/>
            <w:tcBorders/>
            <w:vAlign w:val="center"/>
          </w:tcPr>
          <w:p>
            <w:pPr>
              <w:pStyle w:val="TableContents"/>
              <w:bidi w:val="0"/>
              <w:spacing w:before="0" w:after="283"/>
              <w:jc w:val="both"/>
              <w:rPr/>
            </w:pPr>
            <w:r>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tc>
      </w:tr>
      <w:tr>
        <w:trPr/>
        <w:tc>
          <w:tcPr>
            <w:tcW w:w="1441" w:type="dxa"/>
            <w:tcBorders/>
            <w:vAlign w:val="center"/>
          </w:tcPr>
          <w:p>
            <w:pPr>
              <w:pStyle w:val="TableContents"/>
              <w:bidi w:val="0"/>
              <w:spacing w:before="0" w:after="283"/>
              <w:jc w:val="left"/>
              <w:rPr/>
            </w:pPr>
            <w:r>
              <w:rPr/>
              <w:t> </w:t>
            </w:r>
          </w:p>
        </w:tc>
        <w:tc>
          <w:tcPr>
            <w:tcW w:w="8764" w:type="dxa"/>
            <w:tcBorders/>
            <w:vAlign w:val="center"/>
          </w:tcPr>
          <w:p>
            <w:pPr>
              <w:pStyle w:val="TableContents"/>
              <w:bidi w:val="0"/>
              <w:spacing w:before="0" w:after="283"/>
              <w:jc w:val="both"/>
              <w:rPr/>
            </w:pPr>
            <w:r>
              <w:rPr/>
              <w:t> </w:t>
            </w:r>
          </w:p>
        </w:tc>
      </w:tr>
      <w:tr>
        <w:trPr/>
        <w:tc>
          <w:tcPr>
            <w:tcW w:w="1441" w:type="dxa"/>
            <w:tcBorders/>
            <w:vAlign w:val="center"/>
          </w:tcPr>
          <w:p>
            <w:pPr>
              <w:pStyle w:val="TableContents"/>
              <w:bidi w:val="0"/>
              <w:spacing w:before="0" w:after="283"/>
              <w:jc w:val="left"/>
              <w:rPr/>
            </w:pPr>
            <w:r>
              <w:rPr/>
              <w:t>Failure to Deliver:</w:t>
            </w:r>
          </w:p>
        </w:tc>
        <w:tc>
          <w:tcPr>
            <w:tcW w:w="8764" w:type="dxa"/>
            <w:tcBorders/>
            <w:vAlign w:val="center"/>
          </w:tcPr>
          <w:p>
            <w:pPr>
              <w:pStyle w:val="TableContents"/>
              <w:bidi w:val="0"/>
              <w:spacing w:before="0" w:after="283"/>
              <w:jc w:val="both"/>
              <w:rPr/>
            </w:pPr>
            <w:r>
              <w:rPr/>
              <w:t>Not Applicable</w:t>
            </w:r>
          </w:p>
        </w:tc>
      </w:tr>
      <w:tr>
        <w:trPr/>
        <w:tc>
          <w:tcPr>
            <w:tcW w:w="1441" w:type="dxa"/>
            <w:tcBorders/>
            <w:vAlign w:val="center"/>
          </w:tcPr>
          <w:p>
            <w:pPr>
              <w:pStyle w:val="TableContents"/>
              <w:bidi w:val="0"/>
              <w:spacing w:before="0" w:after="283"/>
              <w:jc w:val="left"/>
              <w:rPr/>
            </w:pPr>
            <w:r>
              <w:rPr/>
              <w:t> </w:t>
            </w:r>
          </w:p>
        </w:tc>
        <w:tc>
          <w:tcPr>
            <w:tcW w:w="8764" w:type="dxa"/>
            <w:tcBorders/>
            <w:vAlign w:val="center"/>
          </w:tcPr>
          <w:p>
            <w:pPr>
              <w:pStyle w:val="TableContents"/>
              <w:bidi w:val="0"/>
              <w:spacing w:before="0" w:after="283"/>
              <w:jc w:val="both"/>
              <w:rPr/>
            </w:pPr>
            <w:r>
              <w:rPr/>
              <w:t> </w:t>
            </w:r>
          </w:p>
        </w:tc>
      </w:tr>
      <w:tr>
        <w:trPr/>
        <w:tc>
          <w:tcPr>
            <w:tcW w:w="1441" w:type="dxa"/>
            <w:tcBorders/>
            <w:vAlign w:val="center"/>
          </w:tcPr>
          <w:p>
            <w:pPr>
              <w:pStyle w:val="TableContents"/>
              <w:bidi w:val="0"/>
              <w:spacing w:before="0" w:after="283"/>
              <w:jc w:val="left"/>
              <w:rPr/>
            </w:pPr>
            <w:r>
              <w:rPr/>
              <w:t>Other Applicable Provisions:</w:t>
            </w:r>
          </w:p>
        </w:tc>
        <w:tc>
          <w:tcPr>
            <w:tcW w:w="8764" w:type="dxa"/>
            <w:tcBorders/>
            <w:vAlign w:val="center"/>
          </w:tcPr>
          <w:p>
            <w:pPr>
              <w:pStyle w:val="TableContents"/>
              <w:bidi w:val="0"/>
              <w:spacing w:before="0" w:after="283"/>
              <w:jc w:val="both"/>
              <w:rPr/>
            </w:pPr>
            <w:r>
              <w:rPr/>
              <w:t xml:space="preserve">If Share Termination Alternative is applicable, the provisions of Sections 9.1(c), 9.8, 9.9, 9.11 and 9.12 of the Equity Definitions will be applicable as if “Physical Settlement” applied to the Transaction, except that all references to “Shares” shall be read as references to “Share Termination Delivery Units”; </w:t>
            </w:r>
            <w:r>
              <w:rPr>
                <w:i/>
              </w:rPr>
              <w:t>provided</w:t>
            </w:r>
            <w:r>
              <w:rPr/>
              <w:t xml:space="preserve"> that the Representation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
        <w:gridCol w:w="10162"/>
      </w:tblGrid>
      <w:tr>
        <w:trPr/>
        <w:tc>
          <w:tcPr>
            <w:tcW w:w="43" w:type="dxa"/>
            <w:tcBorders/>
            <w:vAlign w:val="center"/>
          </w:tcPr>
          <w:p>
            <w:pPr>
              <w:pStyle w:val="TableContents"/>
              <w:bidi w:val="0"/>
              <w:spacing w:before="0" w:after="283"/>
              <w:ind w:left="0" w:right="0" w:hanging="144"/>
              <w:jc w:val="left"/>
              <w:rPr/>
            </w:pPr>
            <w:r>
              <w:rPr/>
              <w:t> </w:t>
            </w:r>
          </w:p>
        </w:tc>
        <w:tc>
          <w:tcPr>
            <w:tcW w:w="10162" w:type="dxa"/>
            <w:tcBorders/>
            <w:vAlign w:val="center"/>
          </w:tcPr>
          <w:p>
            <w:pPr>
              <w:pStyle w:val="TableContents"/>
              <w:bidi w:val="0"/>
              <w:spacing w:before="0" w:after="283"/>
              <w:jc w:val="both"/>
              <w:rPr>
                <w:sz w:val="20"/>
              </w:rPr>
            </w:pPr>
            <w:r>
              <w:rPr>
                <w:sz w:val="20"/>
              </w:rPr>
              <w:t>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security forming a part thereof). If, in the reasonable opinion of Dealer, based on advice of counsel, for any reason, any securities comprising the Share Termination Delivery Units deliverable pursuant to this Section 8(b) would not be immediately freely transferable by Dealer under Rule 144 under the Securities Act, then Dealer may elect to either (x) permit delivery of such securities notwithstanding any restriction on transfer or (y) have the provisions set forth in Section 8(c) below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Registration/Private Placement Procedures</w:t>
      </w:r>
      <w:r>
        <w:rPr>
          <w:rFonts w:ascii="Times New Roman;Times;Serif" w:hAnsi="Times New Roman;Times;Serif"/>
          <w:b w:val="false"/>
          <w:i w:val="false"/>
          <w:caps w:val="false"/>
          <w:smallCaps w:val="false"/>
          <w:sz w:val="20"/>
        </w:rPr>
        <w:t>. (i) With respect to the Transaction, the following provisions shall apply to the extent provided for above opposite the caption “Net Share Settlement” in Section 2 or in paragraph (b) of this Section 8. If so applicable, then, at the election of Counterparty by notice to Dealer within one Exchange Business Day after the relevant delivery obligation arises, but in any event at least one Exchange Business Day prior to the date on which such delivery obligation is due, either (A) all Shares or Share Termination Delivery Units, as the case may be, delivered by Counterparty to Dealer shall be, at the time of such delivery, covered by an effective registration statement of Counterparty for immediate resale by Dealer (such registration statement and the corresponding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(including, without limitation, any sections describing the plan of distribution) in form and content commercially reasonably satisfactory to Dealer) or (B) Counterparty shall deliver additional Shares or Share Termination Delivery Units, as the case may be, so that the value of such Shares or Share Termination Delivery Units, as determined by the Calculation Agent to reflect a commercially reasonable liquidity discount, equals the value of the number of Shares or Share Termination Delivery Units that would otherwise be deliverable if such Shares or Share Termination Delivery Units were freely tradeable (without prospectus delivery) upon receipt by Dealer (such value, the “</w:t>
      </w:r>
      <w:r>
        <w:rPr>
          <w:rFonts w:ascii="Times New Roman;Times;Serif" w:hAnsi="Times New Roman;Times;Serif"/>
          <w:b/>
          <w:i w:val="false"/>
          <w:caps w:val="false"/>
          <w:smallCaps w:val="false"/>
          <w:sz w:val="20"/>
        </w:rPr>
        <w:t>Freely Tradeable Value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requested by Dealer, Counterparty shall make the election described in this clause (B) with respect to Shares delivered on all Settlement Dates no later than one Exchange Business Day prior to the first Exercise Date, and the applicable procedures described below shall apply to all Shares delivered on the Settlement Dates on an aggregate basis. (For the avoidance of doubt, as used in this paragraph (c) only, the term “Counterparty” shall mean the issuer of the relevant securities, as the context shall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shall be a condition to Counterparty’s right to make the election described in clause (c)(i)(A)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an affiliate of Dealer designated by Dealer) shall be afforded a reasonable opportunity to conduct a due diligence investigation with respect to Counterparty that is customary in scope for underwritten offerings of equity securities and that yields results that are satisfactory to Dealer or such affiliate, as the case may be, in its discretion;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Dealer (or an affiliate of Dealer designated by Dealer) and Counterparty shall enter into an agreement (a “</w:t>
      </w:r>
      <w:r>
        <w:rPr>
          <w:rFonts w:ascii="Times New Roman;Times;Serif" w:hAnsi="Times New Roman;Times;Serif"/>
          <w:b/>
          <w:i w:val="false"/>
          <w:caps w:val="false"/>
          <w:smallCaps w:val="false"/>
          <w:sz w:val="20"/>
        </w:rPr>
        <w:t>Registration Agreement</w:t>
      </w:r>
      <w:r>
        <w:rPr>
          <w:rFonts w:ascii="Times New Roman;Times;Serif" w:hAnsi="Times New Roman;Times;Serif"/>
          <w:b w:val="false"/>
          <w:i w:val="false"/>
          <w:caps w:val="false"/>
          <w:smallCaps w:val="false"/>
          <w:sz w:val="20"/>
        </w:rPr>
        <w:t>”) on commercially reasonable terms in connection with the public resale of such Shares or Share Termination Delivery Units, as the case may be, by Dealer or such affiliate substantially similar to underwriting agreements customary for underwritten offerings of equity securities, in form and substance commercially reasonably satisfactory to Dealer or such affiliate and Counterparty, which Registration Agreement shall include, without limitation, provisions substantially similar to those contained in such underwriting agreements relating to the indemnification of, and contribution in connection with the liability of, Dealer and its affiliates and Counterparty, shall provide for the payment by Counterparty of all expenses in connection with such resale, including all registration costs and all fees and expenses of counsel for Dealer, and shall provide for the delivery of accountants’ “comfort letters” to Dealer or such affiliate with respect to the financial statements and certain financial information contained in or incorporated by reference into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Counterparty makes the election described in clause (c)(i)(B)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an affiliate of Dealer designated by Dealer) and any potential institutional purchaser of any such Shares or Share Termination Delivery Units, as the case may be, from Dealer or such affiliate identified by Dealer shall be afforded a commercially reasonable opportunity to conduct a due diligence investigation in compliance with applicable law with respect to Counterparty customary in scope for private placements of equity securities (including, without limitation, the right to have made available to them for inspection all financial and other records, pertinent corporate documents and other information reasonably requested by them), subject to execution by such recipients of customary confidentiality agreements reasonably acceptable to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Dealer (or an affiliate of Dealer designated by Dealer) and Counterparty shall enter into an agreement (a “</w:t>
      </w:r>
      <w:r>
        <w:rPr>
          <w:rFonts w:ascii="Times New Roman;Times;Serif" w:hAnsi="Times New Roman;Times;Serif"/>
          <w:b/>
          <w:i w:val="false"/>
          <w:caps w:val="false"/>
          <w:smallCaps w:val="false"/>
          <w:sz w:val="20"/>
        </w:rPr>
        <w:t>Private Placement Agreement</w:t>
      </w:r>
      <w:r>
        <w:rPr>
          <w:rFonts w:ascii="Times New Roman;Times;Serif" w:hAnsi="Times New Roman;Times;Serif"/>
          <w:b w:val="false"/>
          <w:i w:val="false"/>
          <w:caps w:val="false"/>
          <w:smallCaps w:val="false"/>
          <w:sz w:val="20"/>
        </w:rPr>
        <w:t>”) on commercially reasonable terms in connection with the private placement of such Shares or Share Termination Delivery Units, as the case may be, by Counterparty to Dealer or such affiliate and the private resale of such shares by Dealer or such affiliate, substantially similar to private placement purchase agreements customary for private placements of equity securities, in form and substance commercially reasonably satisfactory to Dealer and Counterparty,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Counterparty, shall provide for the payment by Counterparty of all expenses in connection with such resale, including all fees and expenses of counsel for Dealer, shall contain representations, warranties and agreements of Counterparty reasonably necessary or advisable to establish and maintain the availability of an exemption from the registration requirements of the Securities Act for such resales, and shall use best efforts to provide for the delivery of accountants’ “comfort letters” to Dealer or such affiliate with respect to the financial statements and certain financial information contained in or incorporated by reference into the offering memorandum prepared for the resale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Counterparty agrees that (i) any Shares or Share Termination Delivery Units so delivered to Dealer may be transferred by and among Dealer and its affiliates, and Counterparty shall effect such transfer without any further action by Dealer and (ii) after the minimum “holding period” within the meaning of Rule 144(d) under the Securities Act has elapsed with respect to such Shares or any securities issued by Counterparty comprising such Share Termination Delivery Units, Counterparty shall promptly remove, or cause the transfer agent for such Shares or securities to remove, any legends referring to any such restrictions or requirements from such Shares or securities, without any further requirement for the delivery of any certificate, consent, agreement, opinion of counsel, notice or any other document, any transfer tax stamps or payment of any other amount or any other action by Dealer (or such affiliate of Dealer);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Counterparty shall not take, or cause to be taken, any action that would make unavailable either the exemption pursuant to Section 4(a)(2) of the Securities Act for the sale by Counterparty to Dealer (or any affiliate designated by Dealer) of the Shares or Share Termination Delivery Units, as the case may be, or the exemption pursuant to Section 4(a)(1) or Section 4(a)(3) of the Securities Act for resales of the Shares or Share Termination Delivery Units, as the case may be, by Dealer (or any such affiliate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If Counterparty makes the election described in clause (i)(B) of paragraph (c) of this Section 8, then Dealer or its affiliates may sell (which sale shall be made in a commercially reasonable manner) such Shares or Share Termination Delivery Units, as the case may be, during a period (the “</w:t>
      </w:r>
      <w:r>
        <w:rPr>
          <w:rFonts w:ascii="Times New Roman;Times;Serif" w:hAnsi="Times New Roman;Times;Serif"/>
          <w:b/>
          <w:i w:val="false"/>
          <w:caps w:val="false"/>
          <w:smallCaps w:val="false"/>
          <w:sz w:val="20"/>
        </w:rPr>
        <w:t>Resale Period</w:t>
      </w:r>
      <w:r>
        <w:rPr>
          <w:rFonts w:ascii="Times New Roman;Times;Serif" w:hAnsi="Times New Roman;Times;Serif"/>
          <w:b w:val="false"/>
          <w:i w:val="false"/>
          <w:caps w:val="false"/>
          <w:smallCaps w:val="false"/>
          <w:sz w:val="20"/>
        </w:rPr>
        <w:t>”) commencing on the Exchange Business Day following delivery of such Shares or Share Termination Delivery Units, as the case may be, and ending on the Exchange Business Day on which Dealer or its affiliates completes the sale of a sufficient number of Shares or Share Termination Delivery Units, as the case may be, so that the realized net proceeds of such sales exceed the Freely Tradeable Value. If any of such delivered Shares or Share Termination Delivery Units remain after such realized net proceeds exceed the Freely Tradeable Value, Dealer shall return such remaining Shares or Share Termination Delivery Units to Counterparty. If the Freely Tradeable Value exceeds the realized net proceeds from such resale, Counterparty shall transfer to Dealer by the open of the regular trading session on the Exchange on the Exchange Trading Day immediately following the final day of the Resale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giving effect to any extension thereof pursuant to the immediately succeeding sentence), the amount of such excess (the “</w:t>
      </w:r>
      <w:r>
        <w:rPr>
          <w:rFonts w:ascii="Times New Roman;Times;Serif" w:hAnsi="Times New Roman;Times;Serif"/>
          <w:b/>
          <w:i w:val="false"/>
          <w:caps w:val="false"/>
          <w:smallCaps w:val="false"/>
          <w:sz w:val="20"/>
        </w:rPr>
        <w:t>Additional Amount</w:t>
      </w:r>
      <w:r>
        <w:rPr>
          <w:rFonts w:ascii="Times New Roman;Times;Serif" w:hAnsi="Times New Roman;Times;Serif"/>
          <w:b w:val="false"/>
          <w:i w:val="false"/>
          <w:caps w:val="false"/>
          <w:smallCaps w:val="false"/>
          <w:sz w:val="20"/>
        </w:rPr>
        <w:t>”) in cash or in a number of additional Shares or Share Termination Delivery Units, as the case may be, (“</w:t>
      </w:r>
      <w:r>
        <w:rPr>
          <w:rFonts w:ascii="Times New Roman;Times;Serif" w:hAnsi="Times New Roman;Times;Serif"/>
          <w:b/>
          <w:i w:val="false"/>
          <w:caps w:val="false"/>
          <w:smallCaps w:val="false"/>
          <w:sz w:val="20"/>
        </w:rPr>
        <w:t>Make-whole Shares</w:t>
      </w:r>
      <w:r>
        <w:rPr>
          <w:rFonts w:ascii="Times New Roman;Times;Serif" w:hAnsi="Times New Roman;Times;Serif"/>
          <w:b w:val="false"/>
          <w:i w:val="false"/>
          <w:caps w:val="false"/>
          <w:smallCaps w:val="false"/>
          <w:sz w:val="20"/>
        </w:rPr>
        <w:t>”) in an amount that, based on the Relevant Price on such final day of the Resale Period (as if such day was the “Valuation Date” for purposes of computing such Relevant Price), has a dollar value equal to the Additional Amount. The Resale Period shall continue to enable the sale of the Make-whole Shares in the manner contemplated by this Section 8(d). This provision shall be applied successively until the Additional Amount is equal to zero, subject to Section 8(f).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Beneficial Ownership</w:t>
      </w:r>
      <w:r>
        <w:rPr>
          <w:rFonts w:ascii="Times New Roman;Times;Serif" w:hAnsi="Times New Roman;Times;Serif"/>
          <w:b w:val="false"/>
          <w:i w:val="false"/>
          <w:caps w:val="false"/>
          <w:smallCaps w:val="false"/>
          <w:sz w:val="20"/>
        </w:rPr>
        <w:t>. Notwithstanding anything to the contrary in the Agreement or this Confirmation, in no event shall Dealer be entitled to receive, or shall be deemed to receive, any Shares if, immediately upon giving effect to such receipt of such Shares (and after taking into account any Shares deliverable by Counterparty to Dealer at such time under any transaction or security other than the Transaction), (i) the “beneficial ownership” (within the meaning of Section 13 of the Exchange Act and the rules promulgated thereunder) of Shares by Dealer, any of its affiliates subject to aggregation with Dealer for purposes of the “beneficial ownership” test under Section 13 of the Exchange Act and all persons who may form a “group” (within the meaning of Rule 13d-5(b)(1) under the Exchange Act) with Dealer with respect to “beneficial ownership” of any Shares (collectively, “</w:t>
      </w:r>
      <w:r>
        <w:rPr>
          <w:rFonts w:ascii="Times New Roman;Times;Serif" w:hAnsi="Times New Roman;Times;Serif"/>
          <w:b/>
          <w:i w:val="false"/>
          <w:caps w:val="false"/>
          <w:smallCaps w:val="false"/>
          <w:sz w:val="20"/>
        </w:rPr>
        <w:t>Dealer Group</w:t>
      </w:r>
      <w:r>
        <w:rPr>
          <w:rFonts w:ascii="Times New Roman;Times;Serif" w:hAnsi="Times New Roman;Times;Serif"/>
          <w:b w:val="false"/>
          <w:i w:val="false"/>
          <w:caps w:val="false"/>
          <w:smallCaps w:val="false"/>
          <w:sz w:val="20"/>
        </w:rPr>
        <w:t>”) (or, to the extent that for any reason the equivalent calculation under Section 16 of the Exchange Act and the rules and regulations thereunder results in a higher number, such higher number) would be equal to or greater than 8.0% or more of the outstanding Shares on the date of determination or (ii) Dealer, Dealer Group or any person whose ownership position would be aggregated with that of Dealer or Dealer Group (Dealer, Dealer Group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the Minnesota Business Corporations or other federal, state or local law, rule, regulation or regulatory order or organizational documents or contracts of Counterparty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xml:space="preserve">”), would own, beneficially own, constructively own, control, hold the power to vote or otherwise meet a relevant definition of ownership in excess of a number of Shares equal to (x) the number of Shares that would give rise to reporting or registration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1.0% of the number of Shares outstanding on the date of determination (either such condition described in clause (i) or (ii), an “</w:t>
      </w:r>
      <w:r>
        <w:rPr>
          <w:rFonts w:ascii="Times New Roman;Times;Serif" w:hAnsi="Times New Roman;Times;Serif"/>
          <w:b/>
          <w:i w:val="false"/>
          <w:caps w:val="false"/>
          <w:smallCaps w:val="false"/>
          <w:sz w:val="20"/>
        </w:rPr>
        <w:t>Excess Ownership Position</w:t>
      </w:r>
      <w:r>
        <w:rPr>
          <w:rFonts w:ascii="Times New Roman;Times;Serif" w:hAnsi="Times New Roman;Times;Serif"/>
          <w:b w:val="false"/>
          <w:i w:val="false"/>
          <w:caps w:val="false"/>
          <w:smallCaps w:val="false"/>
          <w:sz w:val="20"/>
        </w:rPr>
        <w:t>”). If any delivery owed to Dealer hereunder is not made, in whole or in part, as a result of this provision, Counterparty’s obligation to make such delivery shall not be extinguished and Counterparty shall make such delivery as promptly as practicable after, but in no event later than one Exchange Business Day after, Dealer gives notice to Counterparty that such delivery would not result in the existence of an Excess Ownership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Limitations on Settlement by Counterparty</w:t>
      </w:r>
      <w:r>
        <w:rPr>
          <w:rFonts w:ascii="Times New Roman;Times;Serif" w:hAnsi="Times New Roman;Times;Serif"/>
          <w:b w:val="false"/>
          <w:i w:val="false"/>
          <w:caps w:val="false"/>
          <w:smallCaps w:val="false"/>
          <w:sz w:val="20"/>
        </w:rPr>
        <w:t xml:space="preserve">. Notwithstanding anything herein or in the Agreement to the contrary (except as set forth in this Section 8(f)), in no event shall Counterparty be required to deliver Shares in connection with the Transaction in excess of 3,411,720 Shares, as such number may be adjusted from time to time in accordance with the provisions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adjustment shall cause the Capped Number to exceed the Available Shares (as in effect from time to time), other than as a result of actions of Counterparty or events within Counterparty’s control (the “</w:t>
      </w:r>
      <w:r>
        <w:rPr>
          <w:rFonts w:ascii="Times New Roman;Times;Serif" w:hAnsi="Times New Roman;Times;Serif"/>
          <w:b/>
          <w:i w:val="false"/>
          <w:caps w:val="false"/>
          <w:smallCaps w:val="false"/>
          <w:sz w:val="20"/>
        </w:rPr>
        <w:t>Capped Number</w:t>
      </w:r>
      <w:r>
        <w:rPr>
          <w:rFonts w:ascii="Times New Roman;Times;Serif" w:hAnsi="Times New Roman;Times;Serif"/>
          <w:b w:val="false"/>
          <w:i w:val="false"/>
          <w:caps w:val="false"/>
          <w:smallCaps w:val="false"/>
          <w:sz w:val="20"/>
        </w:rPr>
        <w:t>”). Notwithstanding anything to the contrary in the Agreement or the Equity Definitions, such limitation shall not affect the calculation of any Payment Obligation (as defined in Section ‎8(b)), it being understood that if the Share Termination Alternative applies pursuant to Section 8(b), the number of Shares deliverable pursuant to such Section shall not exceed the Capped Number. Counterparty represents and warrants to Dealer (which representation and warranty shall be deemed to be repeated on each day that the Transaction is outstanding) that the Capped Number is equal to or less than the number of authorized but unissued Shares of the Counterparty that are not reserved for future issuance in connection with transactions in the Shares (other than the Transaction) on the date of the determination of the Capped Number (such Shares, the “</w:t>
      </w:r>
      <w:r>
        <w:rPr>
          <w:rFonts w:ascii="Times New Roman;Times;Serif" w:hAnsi="Times New Roman;Times;Serif"/>
          <w:b/>
          <w:i w:val="false"/>
          <w:caps w:val="false"/>
          <w:smallCaps w:val="false"/>
          <w:sz w:val="20"/>
        </w:rPr>
        <w:t>Available Shares</w:t>
      </w:r>
      <w:r>
        <w:rPr>
          <w:rFonts w:ascii="Times New Roman;Times;Serif" w:hAnsi="Times New Roman;Times;Serif"/>
          <w:b w:val="false"/>
          <w:i w:val="false"/>
          <w:caps w:val="false"/>
          <w:smallCaps w:val="false"/>
          <w:sz w:val="20"/>
        </w:rPr>
        <w:t>”). In the event Counterparty shall not have delivered the full number of Shares otherwise deliverable as a result of this Section 8(f) (the resulting deficit, the “</w:t>
      </w:r>
      <w:r>
        <w:rPr>
          <w:rFonts w:ascii="Times New Roman;Times;Serif" w:hAnsi="Times New Roman;Times;Serif"/>
          <w:b/>
          <w:i w:val="false"/>
          <w:caps w:val="false"/>
          <w:smallCaps w:val="false"/>
          <w:sz w:val="20"/>
        </w:rPr>
        <w:t>Deficit Shares</w:t>
      </w:r>
      <w:r>
        <w:rPr>
          <w:rFonts w:ascii="Times New Roman;Times;Serif" w:hAnsi="Times New Roman;Times;Serif"/>
          <w:b w:val="false"/>
          <w:i w:val="false"/>
          <w:caps w:val="false"/>
          <w:smallCaps w:val="false"/>
          <w:sz w:val="20"/>
        </w:rPr>
        <w:t>”), Counterparty shall be continually obligated to deliver Shares, from time to time until the full number of Deficit Shares have been delivered pursuant to this paragraph,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to the extent, that (A) Shares are repurchased, acquired or otherwise received by Counterparty or any of its subsidiaries after the Trade Date (whether or not in exchange for cash, fair value or any other consideration), (B) authorized and unissued Shares previously reserved for issuance in respect of other transactions become no longer so reserved or (C) Counterparty additionally authorizes any unissued Shares that are not reserved for other transactions (such events as set forth in clauses (A), (B) and (C) above, collectively, the “</w:t>
      </w:r>
      <w:r>
        <w:rPr>
          <w:rFonts w:ascii="Times New Roman;Times;Serif" w:hAnsi="Times New Roman;Times;Serif"/>
          <w:b/>
          <w:i w:val="false"/>
          <w:caps w:val="false"/>
          <w:smallCaps w:val="false"/>
          <w:sz w:val="20"/>
        </w:rPr>
        <w:t>Share Issuance Events</w:t>
      </w:r>
      <w:r>
        <w:rPr>
          <w:rFonts w:ascii="Times New Roman;Times;Serif" w:hAnsi="Times New Roman;Times;Serif"/>
          <w:b w:val="false"/>
          <w:i w:val="false"/>
          <w:caps w:val="false"/>
          <w:smallCaps w:val="false"/>
          <w:sz w:val="20"/>
        </w:rPr>
        <w:t xml:space="preserve">”). In the event that there are any Deficit Shares or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in the first sentence of this Section 8(f) has prevented any adjustment to the Capped Number, (i) Counterparty shall promptly notify Dealer of the occurrence of any of the Share Issuance Events (including the number of Shares subject to clause (A), (B) or (C) and the corresponding number of Shares to be delivered) and, as promptly as reasonably practicable, deliver such Shares thereafter, (ii) Counterparty shall use its best efforts to cause Share Issuance Events to the extent necessary to deliver the full number of Deficit Shares or cause the Capped Number to equal the Capped Number that would be in effect but for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set forth in the first sentence of this Section 8(f), as the case may be, and (iii) Counterparty shall not, until Counterparty’s obligations under the Transaction have been satisfied in full, use any Shares that become available for potential delivery to Dealer as a result of any Share Issuance Event for the settlement or satisfaction of any transaction or obligation other than the Transaction or any other warrant transaction between Counterparty and Dealer or reserve any such Shares for future issuance for any purpose other than to satisfy Counterparty’s obligations to Dealer under the Transaction or any other warrant transaction between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Equity Rights</w:t>
      </w:r>
      <w:r>
        <w:rPr>
          <w:rFonts w:ascii="Times New Roman;Times;Serif" w:hAnsi="Times New Roman;Times;Serif"/>
          <w:b w:val="false"/>
          <w:i w:val="false"/>
          <w:caps w:val="false"/>
          <w:smallCaps w:val="false"/>
          <w:sz w:val="20"/>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Amendments to Equity Definitions</w:t>
      </w:r>
      <w:r>
        <w:rPr>
          <w:rFonts w:ascii="Times New Roman;Times;Serif" w:hAnsi="Times New Roman;Times;Serif"/>
          <w:b w:val="false"/>
          <w:i w:val="false"/>
          <w:caps w:val="false"/>
          <w:smallCaps w:val="false"/>
          <w:sz w:val="20"/>
        </w:rPr>
        <w:t>. The following amendments shall be made to the Equity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first sentence of Section 11.2(c) of the Equity Definitions, prior to clause (A) thereof, is hereby amended to read as follows: ‘(c)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an effect on the theoretical value of the relevant Shares or options on the Shares and, if so, will (i) make appropriate adjustment(s), if any, to any one or more of:’ and, the portion of such sentence immediately preceding clause (ii) thereof is hereby amended by deleting the words “diluting or concentrative” and the words “(provided that no adjustments will be made to account solely for changes in volatility, expected dividends, stock loan rate or liquidity relative to the relevant Shares)” and replacing such latter phrase with the words “(and, for the avoidance of doubt, adjustments may be made to account solely for changes in volatility, expected dividends, stock loan rate or liquidity relative to the relevant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Sections 11.2(a) and 11.2(e)(vii) of the Equity Definitions are hereby amended by deleting the words “a diluting or concentrative” and, in the case of Section 11.2(e)(vii), replacing them with “an economic” and, in each case, adding the phrase “or options on the Shares” at the end of the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Section 12.7(b) of the Equity Definitions is hereby amended by deleting the words “(and in any event within five Exchange Business Days) by the parties after” appearing after the words “agreed promptly” and replacing with the words “by the parties on or prior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Section 12.9(b)(iv) of the Equity Definitions is hereby amended by (A) deleting (1) subsection (A) in its entirety, (2) the phrase “or (B)” following subsection (A) and (3) the phrase “in each case” in subsection (B); (B) replacing “will lend” with “lends” in subsection (B); and (C) deleting the phrase “neither the Non-Hedging Party nor the Lending Party lends Shares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Hedging Shares or” in the penultimate sentence; “</w:t>
      </w:r>
      <w:r>
        <w:rPr>
          <w:rFonts w:ascii="Times New Roman;Times;Serif" w:hAnsi="Times New Roman;Times;Serif"/>
          <w:b/>
          <w:i w:val="false"/>
          <w:caps w:val="false"/>
          <w:smallCaps w:val="false"/>
          <w:sz w:val="20"/>
        </w:rPr>
        <w:t>Lending Party</w:t>
      </w:r>
      <w:r>
        <w:rPr>
          <w:rFonts w:ascii="Times New Roman;Times;Serif" w:hAnsi="Times New Roman;Times;Serif"/>
          <w:b w:val="false"/>
          <w:i w:val="false"/>
          <w:caps w:val="false"/>
          <w:smallCaps w:val="false"/>
          <w:sz w:val="20"/>
        </w:rPr>
        <w:t>” means a third party that is not the Counterparty or an affiliate of the Counterparty that Dealer considers to be an acceptable counterparty (acting in good faith and in a reasonable manner in light of (x) other transactions that Dealer (or its agent or affiliate) may have entered into with such party and (y) any legal, regulatory or self-regulatory requirements or related policies and procedures (whether or not such requirements or related policies and procedures are imposed by law or have been voluntarily adopted by Dealer) that apply generally to transactions of a nature and kind similar to the transactions contemplated with such party);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Section 12.9(b)(v) of the Equity Definitions is hereby amended by (A) adding the word “or” immediately before subsection “(B)” and deleting the comma at the end of subsection (A); and (B)(1) deleting subsection (C) in its entirety, (2) deleting the word “or” immediately preceding subsection (C), (3) replacing in the penultimate sentence the words “either party” with “the Hedging Party” and (4) deleting clause (X) in the final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Transfer and Assignment</w:t>
      </w:r>
      <w:r>
        <w:rPr>
          <w:rFonts w:ascii="Times New Roman;Times;Serif" w:hAnsi="Times New Roman;Times;Serif"/>
          <w:b w:val="false"/>
          <w:i w:val="false"/>
          <w:caps w:val="false"/>
          <w:smallCaps w:val="false"/>
          <w:sz w:val="20"/>
        </w:rPr>
        <w:t>. Dealer may transfer or assign its rights and obligations hereunder and under the Agreement, in whole or in part, at any time without the consent of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Additional Termination Events</w:t>
      </w:r>
      <w:r>
        <w:rPr>
          <w:rFonts w:ascii="Times New Roman;Times;Serif" w:hAnsi="Times New Roman;Times;Serif"/>
          <w:b w:val="false"/>
          <w:i w:val="false"/>
          <w:caps w:val="false"/>
          <w:smallCaps w:val="false"/>
          <w:sz w:val="20"/>
        </w:rPr>
        <w:t xml:space="preserve">. The occurrence of any of the following shall constitute an Additional Termination Event with respect to which the Transaction shall be the sole Affected Transaction and Counterparty shall be the sole Affected Party and Dealer shall be the party entitled to designate an Early Termination Date pursuant to Section 6(b) of the Agreement and to determine the amount payable pursuant to Section 6(e) of the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Additional Termination Event, Dealer may choose to treat part of the Transaction as the sole Affected Transaction, and, upon the termination of the Affected Transaction, a Transaction with terms identical to those set forth herein except with a Number of Warrants equal to the unaffected number of Warrants shall be treated for all purposes as the Transaction, which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Dealer reasonably determines that it is advisable to terminate a portion of the Transaction so that Dealer’s related commercially reasonable hedging activities will comply with applicable securities laws, rules or regulations or related policies and procedures of Dealer (whether or not such requirements, policies or procedures are imposed by law or have been voluntarily adopted by Dealer), or Dealer, despite using commercially reasonable efforts, is unable or reasonably determines that it is impractical or illegal to hedge its obligations pursuant to this Transaction in the public market without registration under the Securities Act or as a result of any legal, regulatory or self-regulatory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any time at which any Excess Ownership Position occurs, Dealer, in its discretion, is unable to effect a transfer or assignment to a third party of the Transaction or any other transaction between the parties after using its commercially reasonable efforts on pricing and terms and within a time period reasonably acceptable to Dealer such that an Excess Ownership Position no longer exists;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Dealer shall treat only that portion of the Transaction as the Affected Transaction as necessary so that such Excess Ownership Position would no longer exist following the resulting partial termination of the Transaction (after taking into account commercially reasonable adjustments to Dealer’s commercially reasonable Hedge Positions from such partial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“person” or “group” (within the meaning of Section 13(d) of the Exchange Act), other than Counterparty or its wholly-owned subsidiaries, becomes the direct or indirect ultimate “beneficial owner,” as defined in Rule 13d-3 under the Exchange Act, of the common equity of Counterparty representing more than 50.0% of the voting power of such common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(1) any sale, lease or other transfer, in one transaction or a series of transactions, of all or substantially all of the assets of Counterparty and its subsidiaries, taken as a whole, to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or (2) any transaction or series of related transactions in connection with which (whether by means of merger, consolidation, share exchange, combination, reclassification, recapitalization, acquisition, liquidation or otherwise) all of the Shares are exchanged for, converted into, acquired for, or constitutes solely the right to receive, other securities, cash or other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any transaction or event set forth in the immediately preceding clause (iv) shall not constitute an Additional Termination Event if at least 90% of the consideration received or to be received by holders of the Shares (excluding cash payments for fractional Shares or pursuant to dissenters rights) in connection with the transaction or transactions that would otherwise constitute an Additional Termination Event pursuant to clause (iv) of this Section 8(k) consists of shares of common stock listed on any of The New York Stock Exchange, The NASDAQ Global Select Market or The NASDAQ Global Market (or any of their respective successors) or that will be so listed when issued or exchanged in connection with such transaction or transactions, and following such transaction or transactions, the Shares will consist of such consideration, excluding cash payments for fractional shares. For the avoidance of doubt, an event that is not considered an Additional Termination Event pursuant to the immediately preceding sentence shall not be an Additional Termination Event solely because such event could also be described by clause (iii)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holders of Shares approve any plan or proposal for Counterparty’s liquidation or dissolution (other than in a transaction described in (iv)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Early Unwind</w:t>
      </w:r>
      <w:r>
        <w:rPr>
          <w:rFonts w:ascii="Times New Roman;Times;Serif" w:hAnsi="Times New Roman;Times;Serif"/>
          <w:b w:val="false"/>
          <w:i w:val="false"/>
          <w:caps w:val="false"/>
          <w:smallCaps w:val="false"/>
          <w:sz w:val="20"/>
        </w:rPr>
        <w:t>. In the event the sale by Counterparty of the Firm Securities (defined under the Purchase Agreement) is not consummated pursuant to the Purchase Agreement for any reason by the close of business in New York on January 23, 2023 (or such later date as agreed upon by the parties (January 23, 2023 or such later date being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on the Early Unwind Date and (i) the Transaction and all of the respective rights and obligations of Dealer and Counterparty thereunder shall be cancelled and terminated and (ii) Counterparty shall pay to Dealer an amount in cash equal to the aggregate amount of actual costs and expenses relating to the unwinding of Dealer’s commercially reasonable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No Netting and Set-off</w:t>
      </w:r>
      <w:r>
        <w:rPr>
          <w:rFonts w:ascii="Times New Roman;Times;Serif" w:hAnsi="Times New Roman;Times;Serif"/>
          <w:b w:val="false"/>
          <w:i w:val="false"/>
          <w:caps w:val="false"/>
          <w:smallCaps w:val="false"/>
          <w:sz w:val="20"/>
        </w:rPr>
        <w:t>. 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Delivery of Cash</w:t>
      </w:r>
      <w:r>
        <w:rPr>
          <w:rFonts w:ascii="Times New Roman;Times;Serif" w:hAnsi="Times New Roman;Times;Serif"/>
          <w:b w:val="false"/>
          <w:i w:val="false"/>
          <w:caps w:val="false"/>
          <w:smallCaps w:val="false"/>
          <w:sz w:val="20"/>
        </w:rPr>
        <w:t>. For the avoidance of doubt, nothing in this Confirmation shall be interpreted as requiring the Counterparty to deliver cash in respect of the settlement of the Transaction, except in circumstances where the required cash settlement thereof is permitted for classification of the contract as equity by ASC 815-40, Derivatives and Hedging – Contracts in Entity’s Own Equity, as in effect on the relevant Trade Date (including, without limitation, where the Counterparty so elects to deliver cash or fails timely to elect to deliver Shares or Share Termination Delivery Property in respect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Agreements and Acknowledgements Regarding Hedging</w:t>
      </w:r>
      <w:r>
        <w:rPr>
          <w:rFonts w:ascii="Times New Roman;Times;Serif" w:hAnsi="Times New Roman;Times;Serif"/>
          <w:b w:val="false"/>
          <w:i w:val="false"/>
          <w:caps w:val="false"/>
          <w:smallCaps w:val="false"/>
          <w:sz w:val="20"/>
        </w:rPr>
        <w:t>. Counterparty understands, acknowledges and agrees that: (A) at any time on and 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what manner any hedging or market activities in securities of Counterparty shall be conducted and shall do so in a manner that it deems appropriate to hedge its price and market risk with respect to the VWAP Prices; (D) any market activities of Dealer and its affiliates with respect to Shares may affect the market price and volatility of Shares, as well as the VWAP Prices,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Wall Street Transparency and Accountability Act</w:t>
      </w:r>
      <w:r>
        <w:rPr>
          <w:rFonts w:ascii="Times New Roman;Times;Serif" w:hAnsi="Times New Roman;Times;Serif"/>
          <w:b w:val="false"/>
          <w:i w:val="false"/>
          <w:caps w:val="false"/>
          <w:smallCaps w:val="false"/>
          <w:sz w:val="20"/>
        </w:rPr>
        <w:t>. In connection with Section 739 of the Wall Street Transparency and Accountability Act of 2010 (the “WSTAA”),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This Confirmation and the Agreement may not be modified, amended or supplemented, except in a written instrument signed by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Confirmation may be executed in several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Withholding Tax imposed on payments to non-US counterparties under the United States Foreign Account Tax Compliance Act.</w:t>
      </w:r>
      <w:r>
        <w:rPr>
          <w:rFonts w:ascii="Times New Roman;Times;Serif" w:hAnsi="Times New Roman;Times;Serif"/>
          <w:b w:val="false"/>
          <w:i w:val="false"/>
          <w:caps w:val="false"/>
          <w:smallCaps w:val="false"/>
          <w:sz w:val="20"/>
        </w:rPr>
        <w:t xml:space="preserve"> “Indemnifiable Tax” as defined in Section 14 of the Agreement, 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Times;Serif" w:hAnsi="Times New Roman;Times;Serif"/>
          <w:b/>
          <w:i w:val="false"/>
          <w:caps w:val="false"/>
          <w:smallCaps w:val="false"/>
          <w:sz w:val="20"/>
        </w:rPr>
        <w:t>FATCA Withholding Tax</w:t>
      </w:r>
      <w:r>
        <w:rPr>
          <w:rFonts w:ascii="Times New Roman;Times;Serif" w:hAnsi="Times New Roman;Times;Serif"/>
          <w:b w:val="false"/>
          <w:i w:val="false"/>
          <w:caps w:val="false"/>
          <w:smallCaps w:val="false"/>
          <w:sz w:val="20"/>
        </w:rPr>
        <w:t>”). For the avoidance of doubt, a FATCA Withholding Tax is a Tax the deduction or withholding of which is required by applicable law for the purposes of Section 2(d)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HIRE Act.</w:t>
      </w:r>
      <w:r>
        <w:rPr>
          <w:rFonts w:ascii="Times New Roman;Times;Serif" w:hAnsi="Times New Roman;Times;Serif"/>
          <w:b w:val="false"/>
          <w:i w:val="false"/>
          <w:caps w:val="false"/>
          <w:smallCaps w:val="false"/>
          <w:sz w:val="20"/>
        </w:rPr>
        <w:t xml:space="preserve">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Times;Serif" w:hAnsi="Times New Roman;Times;Serif"/>
          <w:b/>
          <w:i w:val="false"/>
          <w:caps w:val="false"/>
          <w:smallCaps w:val="false"/>
          <w:sz w:val="20"/>
        </w:rPr>
        <w:t>871(m) Protocol</w:t>
      </w:r>
      <w:r>
        <w:rPr>
          <w:rFonts w:ascii="Times New Roman;Times;Serif" w:hAnsi="Times New Roman;Times;Serif"/>
          <w:b w:val="false"/>
          <w:i w:val="false"/>
          <w:caps w:val="false"/>
          <w:smallCaps w:val="false"/>
          <w:sz w:val="20"/>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Agreement” in the 871(m) Protocol will be deemed to be references to the Master Agreement with respect to this Transaction, and references to the “Implementation Date” in the 871(m) Protocol will be deemed to be references to the Trade Date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Tax documentation</w:t>
      </w:r>
      <w:r>
        <w:rPr>
          <w:rFonts w:ascii="Times New Roman;Times;Serif" w:hAnsi="Times New Roman;Times;Serif"/>
          <w:b w:val="false"/>
          <w:i w:val="false"/>
          <w:caps w:val="false"/>
          <w:smallCaps w:val="false"/>
          <w:sz w:val="20"/>
        </w:rPr>
        <w:t>.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W-8ECI “Certificate of Foreign Person’s Claim That Income Is Effectively Connected With the Conduct of a Trade or Business in the United States”, or any successor thereto, (i) on or before the date of execution of this Confirmation, (ii) upon reasonable request of Counterparty and (iii) promptly upon learning that any such tax form previously provided by Dealer has become obsolete or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 Representations. For the purpose of Section 3(f) of the Agreement, Counterparty is a corporation for U.S. federal income tax purposes and is organized under the laws of the State of Minnesota.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For the purpose of Section 3(f) of the Agreement, Dealer represents to Counterparty that (A)  it is a “foreign person” (as that term is used in section 1.6041-4(a)(4) of the United States Treasury Regulations) for U.S. federal income tax purposes and (B)ach payment received or to be received by it under the Agreement will be effectively connected with its conduct of a trade or business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Role of Agent</w:t>
      </w:r>
      <w:r>
        <w:rPr>
          <w:rFonts w:ascii="Times New Roman;Times;Serif" w:hAnsi="Times New Roman;Times;Serif"/>
          <w:b w:val="false"/>
          <w:i w:val="false"/>
          <w:caps w:val="false"/>
          <w:smallCaps w:val="false"/>
          <w:sz w:val="20"/>
        </w:rPr>
        <w:t>. Each of Dealer and Counterparty acknowledges to and agrees with the other party hereto and to and with the Agent that (i) the Agent is acting as agent for Dealer under the Transactions pursuant to instructions from such party, (ii) the Agent is not a principal or party to the Transactions, and may transfer its rights and obligations with respect to the Transactions, (iii) the Agent shall have no responsibility, obligation or liability, by way of issuance, guaranty, endorsement or otherwise in any manner with respect to the performance of either party under the Transactions, (iv) Dealer and the Agent have not given, and Counterparty is not relying (for purposes of making any investment decision or otherwise) upon, any statements, opinions or representations (whether written or oral) of Dealer or the Agent, other than the representations expressly set forth in this Confirmation or the Agreement, and (v) each party agrees to proceed solely against the other party, and not the Agent, to collect or recover any money or securities owed to it in connection with the Transactions. Each party hereto acknowledges and agrees that the Agent is an intended third party beneficiary hereunder. Counterparty acknowledges that the Agent is an affiliate of Dealer. Dealer will be acting for its own account in respect of this Confirmation and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val="false"/>
          <w:smallCaps w:val="false"/>
          <w:sz w:val="20"/>
          <w:u w:val="single"/>
        </w:rPr>
        <w:t>Arbitration</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All parties to this Confirmation are giving up the right to sue each other in court, including the right to a trial by jury, except as provided by the rules of the arbitration forum in which a claim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Arbitration awards are generally final and binding; a party’s ability to have a court reverse or modify an arbitration award is very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The ability of the parties to obtain documents, witness statements and other discovery is generally more limited in arbitration than in court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The arbitrators do not have to explain the reason(s) for their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The panel of arbitrators will typically include a minority of arbitrators who were or are affiliated with the securities industry, unless Counterparty is a member of the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sponsoring the arbitration facility, in which case all arbitrators may be affiliated with the securities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The rules of some arbitration forums may impose time limits for bringing a claim in arbitration. In some cases, a claim that is ineligible for arbitration may be brought in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The rules of the arbitration forum in which the claim is filed, and any amendments thereto, shall be incorporated into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 (iii) Counterparty is excluded from the class by the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Such forbearance to enforce an agreement to arbitrate shall not constitute a waiver of any rights under this Confirmation except to the extent stated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Bank of Montreal, Associate General Counsel &amp; Managing Director, Derivatives Legal Group, Facsimile No. (416) 956-2318.</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545"/>
        <w:gridCol w:w="3350"/>
      </w:tblGrid>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Yours faithfully,</w:t>
            </w:r>
          </w:p>
        </w:tc>
      </w:tr>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BMO CAPITAL MARKETS CORP.</w:t>
            </w:r>
          </w:p>
        </w:tc>
      </w:tr>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as agent for </w:t>
            </w:r>
            <w:r>
              <w:rPr>
                <w:rFonts w:ascii="Times New Roman;Times;Serif" w:hAnsi="Times New Roman;Times;Serif"/>
                <w:b/>
                <w:sz w:val="20"/>
              </w:rPr>
              <w:t>BANK OF MONTREAL</w:t>
            </w:r>
          </w:p>
        </w:tc>
      </w:tr>
      <w:tr>
        <w:trPr/>
        <w:tc>
          <w:tcPr>
            <w:tcW w:w="75" w:type="dxa"/>
            <w:tcBorders/>
            <w:vAlign w:val="center"/>
          </w:tcPr>
          <w:p>
            <w:pPr>
              <w:pStyle w:val="TableContents"/>
              <w:bidi w:val="0"/>
              <w:spacing w:before="0" w:after="283"/>
              <w:jc w:val="left"/>
              <w:rPr/>
            </w:pPr>
            <w:r>
              <w:rPr/>
              <w:t> </w:t>
            </w:r>
          </w:p>
        </w:tc>
        <w:tc>
          <w:tcPr>
            <w:tcW w:w="38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Eric Benedict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Eric Benedict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Co-Head, Global Equity Capital Markets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BANK OF MONTREAL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Brian Riley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Riley</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Global Markets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Base Warrant Confirmation]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335"/>
        <w:gridCol w:w="2720"/>
        <w:gridCol w:w="75"/>
      </w:tblGrid>
      <w:tr>
        <w:trPr/>
        <w:tc>
          <w:tcPr>
            <w:tcW w:w="30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Agreed and Accepted By: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WINNEBAGO INDUSTRIES, INC.</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Bryan L. Hughes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Bryan L. Hughes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 and</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BMO Warrant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Component of the Transaction, the Number of Warrants and Expiration Date is set forth below.</w:t>
      </w:r>
    </w:p>
    <w:p>
      <w:pPr>
        <w:pStyle w:val="TextBody"/>
        <w:bidi w:val="0"/>
        <w:spacing w:before="0" w:after="0"/>
        <w:ind w:left="0" w:right="0" w:hanging="0"/>
        <w:jc w:val="left"/>
        <w:rPr>
          <w:caps w:val="false"/>
          <w:smallCaps w:val="false"/>
        </w:rPr>
      </w:pPr>
      <w:r>
        <w:rPr>
          <w:caps w:val="false"/>
          <w:smallCaps w:val="false"/>
        </w:rPr>
        <w:t> </w:t>
      </w:r>
    </w:p>
    <w:tbl>
      <w:tblPr>
        <w:tblW w:w="4770" w:type="dxa"/>
        <w:jc w:val="center"/>
        <w:tblInd w:w="0" w:type="dxa"/>
        <w:tblLayout w:type="fixed"/>
        <w:tblCellMar>
          <w:top w:w="0" w:type="dxa"/>
          <w:left w:w="0" w:type="dxa"/>
          <w:bottom w:w="0" w:type="dxa"/>
          <w:right w:w="0" w:type="dxa"/>
        </w:tblCellMar>
      </w:tblPr>
      <w:tblGrid>
        <w:gridCol w:w="1685"/>
        <w:gridCol w:w="60"/>
        <w:gridCol w:w="1640"/>
        <w:gridCol w:w="60"/>
        <w:gridCol w:w="1325"/>
      </w:tblGrid>
      <w:tr>
        <w:trPr/>
        <w:tc>
          <w:tcPr>
            <w:tcW w:w="1685" w:type="dxa"/>
            <w:tcBorders/>
            <w:vAlign w:val="center"/>
          </w:tcPr>
          <w:p>
            <w:pPr>
              <w:pStyle w:val="TableContents"/>
              <w:bidi w:val="0"/>
              <w:spacing w:before="0" w:after="283"/>
              <w:jc w:val="center"/>
              <w:rPr>
                <w:sz w:val="20"/>
                <w:u w:val="single"/>
              </w:rPr>
            </w:pPr>
            <w:r>
              <w:rPr>
                <w:sz w:val="20"/>
                <w:u w:val="single"/>
              </w:rPr>
              <w:t>Component Number</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u w:val="single"/>
              </w:rPr>
            </w:pPr>
            <w:r>
              <w:rPr>
                <w:sz w:val="20"/>
                <w:u w:val="single"/>
              </w:rPr>
              <w:t>Number of Warrants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sz w:val="20"/>
                <w:u w:val="single"/>
              </w:rPr>
            </w:pPr>
            <w:r>
              <w:rPr>
                <w:sz w:val="20"/>
                <w:u w:val="single"/>
              </w:rPr>
              <w:t>Expiration Date</w:t>
            </w:r>
          </w:p>
        </w:tc>
      </w:tr>
      <w:tr>
        <w:trPr/>
        <w:tc>
          <w:tcPr>
            <w:tcW w:w="1685"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April 15, 2030</w:t>
            </w:r>
          </w:p>
        </w:tc>
      </w:tr>
      <w:tr>
        <w:trPr/>
        <w:tc>
          <w:tcPr>
            <w:tcW w:w="1685" w:type="dxa"/>
            <w:tcBorders/>
            <w:vAlign w:val="center"/>
          </w:tcPr>
          <w:p>
            <w:pPr>
              <w:pStyle w:val="TableContents"/>
              <w:bidi w:val="0"/>
              <w:spacing w:before="0" w:after="283"/>
              <w:jc w:val="center"/>
              <w:rPr>
                <w:sz w:val="20"/>
              </w:rPr>
            </w:pPr>
            <w:r>
              <w:rPr>
                <w:sz w:val="20"/>
              </w:rPr>
              <w:t>2</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April 16, 2030</w:t>
            </w:r>
          </w:p>
        </w:tc>
      </w:tr>
      <w:tr>
        <w:trPr/>
        <w:tc>
          <w:tcPr>
            <w:tcW w:w="1685" w:type="dxa"/>
            <w:tcBorders/>
            <w:vAlign w:val="center"/>
          </w:tcPr>
          <w:p>
            <w:pPr>
              <w:pStyle w:val="TableContents"/>
              <w:bidi w:val="0"/>
              <w:spacing w:before="0" w:after="283"/>
              <w:jc w:val="center"/>
              <w:rPr>
                <w:sz w:val="20"/>
              </w:rPr>
            </w:pPr>
            <w:r>
              <w:rPr>
                <w:sz w:val="20"/>
              </w:rPr>
              <w:t>3</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April 17, 2030</w:t>
            </w:r>
          </w:p>
        </w:tc>
      </w:tr>
      <w:tr>
        <w:trPr/>
        <w:tc>
          <w:tcPr>
            <w:tcW w:w="1685" w:type="dxa"/>
            <w:tcBorders/>
            <w:vAlign w:val="center"/>
          </w:tcPr>
          <w:p>
            <w:pPr>
              <w:pStyle w:val="TableContents"/>
              <w:bidi w:val="0"/>
              <w:spacing w:before="0" w:after="283"/>
              <w:jc w:val="center"/>
              <w:rPr>
                <w:sz w:val="20"/>
              </w:rPr>
            </w:pPr>
            <w:r>
              <w:rPr>
                <w:sz w:val="20"/>
              </w:rPr>
              <w:t>4</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April 18, 2030</w:t>
            </w:r>
          </w:p>
        </w:tc>
      </w:tr>
      <w:tr>
        <w:trPr/>
        <w:tc>
          <w:tcPr>
            <w:tcW w:w="1685" w:type="dxa"/>
            <w:tcBorders/>
            <w:vAlign w:val="center"/>
          </w:tcPr>
          <w:p>
            <w:pPr>
              <w:pStyle w:val="TableContents"/>
              <w:bidi w:val="0"/>
              <w:spacing w:before="0" w:after="283"/>
              <w:jc w:val="center"/>
              <w:rPr>
                <w:sz w:val="20"/>
              </w:rPr>
            </w:pPr>
            <w:r>
              <w:rPr>
                <w:sz w:val="20"/>
              </w:rPr>
              <w:t>5</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April 22, 2030</w:t>
            </w:r>
          </w:p>
        </w:tc>
      </w:tr>
      <w:tr>
        <w:trPr/>
        <w:tc>
          <w:tcPr>
            <w:tcW w:w="1685" w:type="dxa"/>
            <w:tcBorders/>
            <w:vAlign w:val="center"/>
          </w:tcPr>
          <w:p>
            <w:pPr>
              <w:pStyle w:val="TableContents"/>
              <w:bidi w:val="0"/>
              <w:spacing w:before="0" w:after="283"/>
              <w:jc w:val="center"/>
              <w:rPr>
                <w:sz w:val="20"/>
              </w:rPr>
            </w:pPr>
            <w:r>
              <w:rPr>
                <w:sz w:val="20"/>
              </w:rPr>
              <w:t>6</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April 23, 2030</w:t>
            </w:r>
          </w:p>
        </w:tc>
      </w:tr>
      <w:tr>
        <w:trPr/>
        <w:tc>
          <w:tcPr>
            <w:tcW w:w="1685" w:type="dxa"/>
            <w:tcBorders/>
            <w:vAlign w:val="center"/>
          </w:tcPr>
          <w:p>
            <w:pPr>
              <w:pStyle w:val="TableContents"/>
              <w:bidi w:val="0"/>
              <w:spacing w:before="0" w:after="283"/>
              <w:jc w:val="center"/>
              <w:rPr>
                <w:sz w:val="20"/>
              </w:rPr>
            </w:pPr>
            <w:r>
              <w:rPr>
                <w:sz w:val="20"/>
              </w:rPr>
              <w:t>7</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April 24, 2030</w:t>
            </w:r>
          </w:p>
        </w:tc>
      </w:tr>
      <w:tr>
        <w:trPr/>
        <w:tc>
          <w:tcPr>
            <w:tcW w:w="1685" w:type="dxa"/>
            <w:tcBorders/>
            <w:vAlign w:val="center"/>
          </w:tcPr>
          <w:p>
            <w:pPr>
              <w:pStyle w:val="TableContents"/>
              <w:bidi w:val="0"/>
              <w:spacing w:before="0" w:after="283"/>
              <w:jc w:val="center"/>
              <w:rPr>
                <w:sz w:val="20"/>
              </w:rPr>
            </w:pPr>
            <w:r>
              <w:rPr>
                <w:sz w:val="20"/>
              </w:rPr>
              <w:t>8</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April 25, 2030</w:t>
            </w:r>
          </w:p>
        </w:tc>
      </w:tr>
      <w:tr>
        <w:trPr/>
        <w:tc>
          <w:tcPr>
            <w:tcW w:w="1685" w:type="dxa"/>
            <w:tcBorders/>
            <w:vAlign w:val="center"/>
          </w:tcPr>
          <w:p>
            <w:pPr>
              <w:pStyle w:val="TableContents"/>
              <w:bidi w:val="0"/>
              <w:spacing w:before="0" w:after="283"/>
              <w:jc w:val="center"/>
              <w:rPr>
                <w:sz w:val="20"/>
              </w:rPr>
            </w:pPr>
            <w:r>
              <w:rPr>
                <w:sz w:val="20"/>
              </w:rPr>
              <w:t>9</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April 26, 2030</w:t>
            </w:r>
          </w:p>
        </w:tc>
      </w:tr>
      <w:tr>
        <w:trPr/>
        <w:tc>
          <w:tcPr>
            <w:tcW w:w="1685" w:type="dxa"/>
            <w:tcBorders/>
            <w:vAlign w:val="center"/>
          </w:tcPr>
          <w:p>
            <w:pPr>
              <w:pStyle w:val="TableContents"/>
              <w:bidi w:val="0"/>
              <w:spacing w:before="0" w:after="283"/>
              <w:jc w:val="center"/>
              <w:rPr>
                <w:sz w:val="20"/>
              </w:rPr>
            </w:pPr>
            <w:r>
              <w:rPr>
                <w:sz w:val="20"/>
              </w:rPr>
              <w:t>10</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April 29, 2030</w:t>
            </w:r>
          </w:p>
        </w:tc>
      </w:tr>
      <w:tr>
        <w:trPr/>
        <w:tc>
          <w:tcPr>
            <w:tcW w:w="1685" w:type="dxa"/>
            <w:tcBorders/>
            <w:vAlign w:val="center"/>
          </w:tcPr>
          <w:p>
            <w:pPr>
              <w:pStyle w:val="TableContents"/>
              <w:bidi w:val="0"/>
              <w:spacing w:before="0" w:after="283"/>
              <w:jc w:val="center"/>
              <w:rPr>
                <w:sz w:val="20"/>
              </w:rPr>
            </w:pPr>
            <w:r>
              <w:rPr>
                <w:sz w:val="20"/>
              </w:rPr>
              <w:t>11</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April 30, 2030</w:t>
            </w:r>
          </w:p>
        </w:tc>
      </w:tr>
      <w:tr>
        <w:trPr/>
        <w:tc>
          <w:tcPr>
            <w:tcW w:w="1685" w:type="dxa"/>
            <w:tcBorders/>
            <w:vAlign w:val="center"/>
          </w:tcPr>
          <w:p>
            <w:pPr>
              <w:pStyle w:val="TableContents"/>
              <w:bidi w:val="0"/>
              <w:spacing w:before="0" w:after="283"/>
              <w:jc w:val="center"/>
              <w:rPr>
                <w:sz w:val="20"/>
              </w:rPr>
            </w:pPr>
            <w:r>
              <w:rPr>
                <w:sz w:val="20"/>
              </w:rPr>
              <w:t>12</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1, 2030</w:t>
            </w:r>
          </w:p>
        </w:tc>
      </w:tr>
      <w:tr>
        <w:trPr/>
        <w:tc>
          <w:tcPr>
            <w:tcW w:w="1685" w:type="dxa"/>
            <w:tcBorders/>
            <w:vAlign w:val="center"/>
          </w:tcPr>
          <w:p>
            <w:pPr>
              <w:pStyle w:val="TableContents"/>
              <w:bidi w:val="0"/>
              <w:spacing w:before="0" w:after="283"/>
              <w:jc w:val="center"/>
              <w:rPr>
                <w:sz w:val="20"/>
              </w:rPr>
            </w:pPr>
            <w:r>
              <w:rPr>
                <w:sz w:val="20"/>
              </w:rPr>
              <w:t>13</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2, 2030</w:t>
            </w:r>
          </w:p>
        </w:tc>
      </w:tr>
      <w:tr>
        <w:trPr/>
        <w:tc>
          <w:tcPr>
            <w:tcW w:w="1685" w:type="dxa"/>
            <w:tcBorders/>
            <w:vAlign w:val="center"/>
          </w:tcPr>
          <w:p>
            <w:pPr>
              <w:pStyle w:val="TableContents"/>
              <w:bidi w:val="0"/>
              <w:spacing w:before="0" w:after="283"/>
              <w:jc w:val="center"/>
              <w:rPr>
                <w:sz w:val="20"/>
              </w:rPr>
            </w:pPr>
            <w:r>
              <w:rPr>
                <w:sz w:val="20"/>
              </w:rPr>
              <w:t>14</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3, 2030</w:t>
            </w:r>
          </w:p>
        </w:tc>
      </w:tr>
      <w:tr>
        <w:trPr/>
        <w:tc>
          <w:tcPr>
            <w:tcW w:w="1685" w:type="dxa"/>
            <w:tcBorders/>
            <w:vAlign w:val="center"/>
          </w:tcPr>
          <w:p>
            <w:pPr>
              <w:pStyle w:val="TableContents"/>
              <w:bidi w:val="0"/>
              <w:spacing w:before="0" w:after="283"/>
              <w:jc w:val="center"/>
              <w:rPr>
                <w:sz w:val="20"/>
              </w:rPr>
            </w:pPr>
            <w:r>
              <w:rPr>
                <w:sz w:val="20"/>
              </w:rPr>
              <w:t>15</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6, 2030</w:t>
            </w:r>
          </w:p>
        </w:tc>
      </w:tr>
      <w:tr>
        <w:trPr/>
        <w:tc>
          <w:tcPr>
            <w:tcW w:w="1685" w:type="dxa"/>
            <w:tcBorders/>
            <w:vAlign w:val="center"/>
          </w:tcPr>
          <w:p>
            <w:pPr>
              <w:pStyle w:val="TableContents"/>
              <w:bidi w:val="0"/>
              <w:spacing w:before="0" w:after="283"/>
              <w:jc w:val="center"/>
              <w:rPr>
                <w:sz w:val="20"/>
              </w:rPr>
            </w:pPr>
            <w:r>
              <w:rPr>
                <w:sz w:val="20"/>
              </w:rPr>
              <w:t>16</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7, 2030</w:t>
            </w:r>
          </w:p>
        </w:tc>
      </w:tr>
      <w:tr>
        <w:trPr/>
        <w:tc>
          <w:tcPr>
            <w:tcW w:w="1685" w:type="dxa"/>
            <w:tcBorders/>
            <w:vAlign w:val="center"/>
          </w:tcPr>
          <w:p>
            <w:pPr>
              <w:pStyle w:val="TableContents"/>
              <w:bidi w:val="0"/>
              <w:spacing w:before="0" w:after="283"/>
              <w:jc w:val="center"/>
              <w:rPr>
                <w:sz w:val="20"/>
              </w:rPr>
            </w:pPr>
            <w:r>
              <w:rPr>
                <w:sz w:val="20"/>
              </w:rPr>
              <w:t>17</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8, 2030</w:t>
            </w:r>
          </w:p>
        </w:tc>
      </w:tr>
      <w:tr>
        <w:trPr/>
        <w:tc>
          <w:tcPr>
            <w:tcW w:w="1685" w:type="dxa"/>
            <w:tcBorders/>
            <w:vAlign w:val="center"/>
          </w:tcPr>
          <w:p>
            <w:pPr>
              <w:pStyle w:val="TableContents"/>
              <w:bidi w:val="0"/>
              <w:spacing w:before="0" w:after="283"/>
              <w:jc w:val="center"/>
              <w:rPr>
                <w:sz w:val="20"/>
              </w:rPr>
            </w:pPr>
            <w:r>
              <w:rPr>
                <w:sz w:val="20"/>
              </w:rPr>
              <w:t>18</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9, 2030</w:t>
            </w:r>
          </w:p>
        </w:tc>
      </w:tr>
      <w:tr>
        <w:trPr/>
        <w:tc>
          <w:tcPr>
            <w:tcW w:w="1685" w:type="dxa"/>
            <w:tcBorders/>
            <w:vAlign w:val="center"/>
          </w:tcPr>
          <w:p>
            <w:pPr>
              <w:pStyle w:val="TableContents"/>
              <w:bidi w:val="0"/>
              <w:spacing w:before="0" w:after="283"/>
              <w:jc w:val="center"/>
              <w:rPr>
                <w:sz w:val="20"/>
              </w:rPr>
            </w:pPr>
            <w:r>
              <w:rPr>
                <w:sz w:val="20"/>
              </w:rPr>
              <w:t>19</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10, 2030</w:t>
            </w:r>
          </w:p>
        </w:tc>
      </w:tr>
      <w:tr>
        <w:trPr/>
        <w:tc>
          <w:tcPr>
            <w:tcW w:w="1685" w:type="dxa"/>
            <w:tcBorders/>
            <w:vAlign w:val="center"/>
          </w:tcPr>
          <w:p>
            <w:pPr>
              <w:pStyle w:val="TableContents"/>
              <w:bidi w:val="0"/>
              <w:spacing w:before="0" w:after="283"/>
              <w:jc w:val="center"/>
              <w:rPr>
                <w:sz w:val="20"/>
              </w:rPr>
            </w:pPr>
            <w:r>
              <w:rPr>
                <w:sz w:val="20"/>
              </w:rPr>
              <w:t>20</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13, 2030</w:t>
            </w:r>
          </w:p>
        </w:tc>
      </w:tr>
      <w:tr>
        <w:trPr/>
        <w:tc>
          <w:tcPr>
            <w:tcW w:w="1685" w:type="dxa"/>
            <w:tcBorders/>
            <w:vAlign w:val="center"/>
          </w:tcPr>
          <w:p>
            <w:pPr>
              <w:pStyle w:val="TableContents"/>
              <w:bidi w:val="0"/>
              <w:spacing w:before="0" w:after="283"/>
              <w:jc w:val="center"/>
              <w:rPr>
                <w:sz w:val="20"/>
              </w:rPr>
            </w:pPr>
            <w:r>
              <w:rPr>
                <w:sz w:val="20"/>
              </w:rPr>
              <w:t>21</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14, 2030</w:t>
            </w:r>
          </w:p>
        </w:tc>
      </w:tr>
      <w:tr>
        <w:trPr/>
        <w:tc>
          <w:tcPr>
            <w:tcW w:w="1685" w:type="dxa"/>
            <w:tcBorders/>
            <w:vAlign w:val="center"/>
          </w:tcPr>
          <w:p>
            <w:pPr>
              <w:pStyle w:val="TableContents"/>
              <w:bidi w:val="0"/>
              <w:spacing w:before="0" w:after="283"/>
              <w:jc w:val="center"/>
              <w:rPr>
                <w:sz w:val="20"/>
              </w:rPr>
            </w:pPr>
            <w:r>
              <w:rPr>
                <w:sz w:val="20"/>
              </w:rPr>
              <w:t>22</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15, 2030</w:t>
            </w:r>
          </w:p>
        </w:tc>
      </w:tr>
      <w:tr>
        <w:trPr/>
        <w:tc>
          <w:tcPr>
            <w:tcW w:w="1685" w:type="dxa"/>
            <w:tcBorders/>
            <w:vAlign w:val="center"/>
          </w:tcPr>
          <w:p>
            <w:pPr>
              <w:pStyle w:val="TableContents"/>
              <w:bidi w:val="0"/>
              <w:spacing w:before="0" w:after="283"/>
              <w:jc w:val="center"/>
              <w:rPr>
                <w:sz w:val="20"/>
              </w:rPr>
            </w:pPr>
            <w:r>
              <w:rPr>
                <w:sz w:val="20"/>
              </w:rPr>
              <w:t>23</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16, 2030</w:t>
            </w:r>
          </w:p>
        </w:tc>
      </w:tr>
      <w:tr>
        <w:trPr/>
        <w:tc>
          <w:tcPr>
            <w:tcW w:w="1685" w:type="dxa"/>
            <w:tcBorders/>
            <w:vAlign w:val="center"/>
          </w:tcPr>
          <w:p>
            <w:pPr>
              <w:pStyle w:val="TableContents"/>
              <w:bidi w:val="0"/>
              <w:spacing w:before="0" w:after="283"/>
              <w:jc w:val="center"/>
              <w:rPr>
                <w:sz w:val="20"/>
              </w:rPr>
            </w:pPr>
            <w:r>
              <w:rPr>
                <w:sz w:val="20"/>
              </w:rPr>
              <w:t>24</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17, 2030</w:t>
            </w:r>
          </w:p>
        </w:tc>
      </w:tr>
      <w:tr>
        <w:trPr/>
        <w:tc>
          <w:tcPr>
            <w:tcW w:w="1685" w:type="dxa"/>
            <w:tcBorders/>
            <w:vAlign w:val="center"/>
          </w:tcPr>
          <w:p>
            <w:pPr>
              <w:pStyle w:val="TableContents"/>
              <w:bidi w:val="0"/>
              <w:spacing w:before="0" w:after="283"/>
              <w:jc w:val="center"/>
              <w:rPr>
                <w:sz w:val="20"/>
              </w:rPr>
            </w:pPr>
            <w:r>
              <w:rPr>
                <w:sz w:val="20"/>
              </w:rPr>
              <w:t>25</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20, 2030</w:t>
            </w:r>
          </w:p>
        </w:tc>
      </w:tr>
      <w:tr>
        <w:trPr/>
        <w:tc>
          <w:tcPr>
            <w:tcW w:w="1685" w:type="dxa"/>
            <w:tcBorders/>
            <w:vAlign w:val="center"/>
          </w:tcPr>
          <w:p>
            <w:pPr>
              <w:pStyle w:val="TableContents"/>
              <w:bidi w:val="0"/>
              <w:spacing w:before="0" w:after="283"/>
              <w:jc w:val="center"/>
              <w:rPr>
                <w:sz w:val="20"/>
              </w:rPr>
            </w:pPr>
            <w:r>
              <w:rPr>
                <w:sz w:val="20"/>
              </w:rPr>
              <w:t>26</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21, 2030</w:t>
            </w:r>
          </w:p>
        </w:tc>
      </w:tr>
      <w:tr>
        <w:trPr/>
        <w:tc>
          <w:tcPr>
            <w:tcW w:w="1685" w:type="dxa"/>
            <w:tcBorders/>
            <w:vAlign w:val="center"/>
          </w:tcPr>
          <w:p>
            <w:pPr>
              <w:pStyle w:val="TableContents"/>
              <w:bidi w:val="0"/>
              <w:spacing w:before="0" w:after="283"/>
              <w:jc w:val="center"/>
              <w:rPr>
                <w:sz w:val="20"/>
              </w:rPr>
            </w:pPr>
            <w:r>
              <w:rPr>
                <w:sz w:val="20"/>
              </w:rPr>
              <w:t>27</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22, 2030</w:t>
            </w:r>
          </w:p>
        </w:tc>
      </w:tr>
      <w:tr>
        <w:trPr/>
        <w:tc>
          <w:tcPr>
            <w:tcW w:w="1685" w:type="dxa"/>
            <w:tcBorders/>
            <w:vAlign w:val="center"/>
          </w:tcPr>
          <w:p>
            <w:pPr>
              <w:pStyle w:val="TableContents"/>
              <w:bidi w:val="0"/>
              <w:spacing w:before="0" w:after="283"/>
              <w:jc w:val="center"/>
              <w:rPr>
                <w:sz w:val="20"/>
              </w:rPr>
            </w:pPr>
            <w:r>
              <w:rPr>
                <w:sz w:val="20"/>
              </w:rPr>
              <w:t>28</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23, 2030</w:t>
            </w:r>
          </w:p>
        </w:tc>
      </w:tr>
      <w:tr>
        <w:trPr/>
        <w:tc>
          <w:tcPr>
            <w:tcW w:w="1685" w:type="dxa"/>
            <w:tcBorders/>
            <w:vAlign w:val="center"/>
          </w:tcPr>
          <w:p>
            <w:pPr>
              <w:pStyle w:val="TableContents"/>
              <w:bidi w:val="0"/>
              <w:spacing w:before="0" w:after="283"/>
              <w:jc w:val="center"/>
              <w:rPr>
                <w:sz w:val="20"/>
              </w:rPr>
            </w:pPr>
            <w:r>
              <w:rPr>
                <w:sz w:val="20"/>
              </w:rPr>
              <w:t>29</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24, 2030</w:t>
            </w:r>
          </w:p>
        </w:tc>
      </w:tr>
      <w:tr>
        <w:trPr/>
        <w:tc>
          <w:tcPr>
            <w:tcW w:w="1685" w:type="dxa"/>
            <w:tcBorders/>
            <w:vAlign w:val="center"/>
          </w:tcPr>
          <w:p>
            <w:pPr>
              <w:pStyle w:val="TableContents"/>
              <w:bidi w:val="0"/>
              <w:spacing w:before="0" w:after="283"/>
              <w:jc w:val="center"/>
              <w:rPr>
                <w:sz w:val="20"/>
              </w:rPr>
            </w:pPr>
            <w:r>
              <w:rPr>
                <w:sz w:val="20"/>
              </w:rPr>
              <w:t>30</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28, 2030</w:t>
            </w:r>
          </w:p>
        </w:tc>
      </w:tr>
      <w:tr>
        <w:trPr/>
        <w:tc>
          <w:tcPr>
            <w:tcW w:w="1685" w:type="dxa"/>
            <w:tcBorders/>
            <w:vAlign w:val="center"/>
          </w:tcPr>
          <w:p>
            <w:pPr>
              <w:pStyle w:val="TableContents"/>
              <w:bidi w:val="0"/>
              <w:spacing w:before="0" w:after="283"/>
              <w:jc w:val="center"/>
              <w:rPr>
                <w:sz w:val="20"/>
              </w:rPr>
            </w:pPr>
            <w:r>
              <w:rPr>
                <w:sz w:val="20"/>
              </w:rPr>
              <w:t>31</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29, 2030</w:t>
            </w:r>
          </w:p>
        </w:tc>
      </w:tr>
      <w:tr>
        <w:trPr/>
        <w:tc>
          <w:tcPr>
            <w:tcW w:w="1685" w:type="dxa"/>
            <w:tcBorders/>
            <w:vAlign w:val="center"/>
          </w:tcPr>
          <w:p>
            <w:pPr>
              <w:pStyle w:val="TableContents"/>
              <w:bidi w:val="0"/>
              <w:spacing w:before="0" w:after="283"/>
              <w:jc w:val="center"/>
              <w:rPr>
                <w:sz w:val="20"/>
              </w:rPr>
            </w:pPr>
            <w:r>
              <w:rPr>
                <w:sz w:val="20"/>
              </w:rPr>
              <w:t>32</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30, 2030</w:t>
            </w:r>
          </w:p>
        </w:tc>
      </w:tr>
      <w:tr>
        <w:trPr/>
        <w:tc>
          <w:tcPr>
            <w:tcW w:w="1685" w:type="dxa"/>
            <w:tcBorders/>
            <w:vAlign w:val="center"/>
          </w:tcPr>
          <w:p>
            <w:pPr>
              <w:pStyle w:val="TableContents"/>
              <w:bidi w:val="0"/>
              <w:spacing w:before="0" w:after="283"/>
              <w:jc w:val="center"/>
              <w:rPr>
                <w:sz w:val="20"/>
              </w:rPr>
            </w:pPr>
            <w:r>
              <w:rPr>
                <w:sz w:val="20"/>
              </w:rPr>
              <w:t>33</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May 31, 2030</w:t>
            </w:r>
          </w:p>
        </w:tc>
      </w:tr>
      <w:tr>
        <w:trPr/>
        <w:tc>
          <w:tcPr>
            <w:tcW w:w="1685" w:type="dxa"/>
            <w:tcBorders/>
            <w:vAlign w:val="center"/>
          </w:tcPr>
          <w:p>
            <w:pPr>
              <w:pStyle w:val="TableContents"/>
              <w:bidi w:val="0"/>
              <w:spacing w:before="0" w:after="283"/>
              <w:jc w:val="center"/>
              <w:rPr>
                <w:sz w:val="20"/>
              </w:rPr>
            </w:pPr>
            <w:r>
              <w:rPr>
                <w:sz w:val="20"/>
              </w:rPr>
              <w:t>34</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3, 2030</w:t>
            </w:r>
          </w:p>
        </w:tc>
      </w:tr>
      <w:tr>
        <w:trPr/>
        <w:tc>
          <w:tcPr>
            <w:tcW w:w="1685" w:type="dxa"/>
            <w:tcBorders/>
            <w:vAlign w:val="center"/>
          </w:tcPr>
          <w:p>
            <w:pPr>
              <w:pStyle w:val="TableContents"/>
              <w:bidi w:val="0"/>
              <w:spacing w:before="0" w:after="283"/>
              <w:jc w:val="center"/>
              <w:rPr>
                <w:sz w:val="20"/>
              </w:rPr>
            </w:pPr>
            <w:r>
              <w:rPr>
                <w:sz w:val="20"/>
              </w:rPr>
              <w:t>35</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4, 2030</w:t>
            </w:r>
          </w:p>
        </w:tc>
      </w:tr>
      <w:tr>
        <w:trPr/>
        <w:tc>
          <w:tcPr>
            <w:tcW w:w="1685" w:type="dxa"/>
            <w:tcBorders/>
            <w:vAlign w:val="center"/>
          </w:tcPr>
          <w:p>
            <w:pPr>
              <w:pStyle w:val="TableContents"/>
              <w:bidi w:val="0"/>
              <w:spacing w:before="0" w:after="283"/>
              <w:jc w:val="center"/>
              <w:rPr>
                <w:sz w:val="20"/>
              </w:rPr>
            </w:pPr>
            <w:r>
              <w:rPr>
                <w:sz w:val="20"/>
              </w:rPr>
              <w:t>36</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5, 2030</w:t>
            </w:r>
          </w:p>
        </w:tc>
      </w:tr>
      <w:tr>
        <w:trPr/>
        <w:tc>
          <w:tcPr>
            <w:tcW w:w="1685" w:type="dxa"/>
            <w:tcBorders/>
            <w:vAlign w:val="center"/>
          </w:tcPr>
          <w:p>
            <w:pPr>
              <w:pStyle w:val="TableContents"/>
              <w:bidi w:val="0"/>
              <w:spacing w:before="0" w:after="283"/>
              <w:jc w:val="center"/>
              <w:rPr>
                <w:sz w:val="20"/>
              </w:rPr>
            </w:pPr>
            <w:r>
              <w:rPr>
                <w:sz w:val="20"/>
              </w:rPr>
              <w:t>37</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6, 2030</w:t>
            </w:r>
          </w:p>
        </w:tc>
      </w:tr>
      <w:tr>
        <w:trPr/>
        <w:tc>
          <w:tcPr>
            <w:tcW w:w="1685" w:type="dxa"/>
            <w:tcBorders/>
            <w:vAlign w:val="center"/>
          </w:tcPr>
          <w:p>
            <w:pPr>
              <w:pStyle w:val="TableContents"/>
              <w:bidi w:val="0"/>
              <w:spacing w:before="0" w:after="283"/>
              <w:jc w:val="center"/>
              <w:rPr>
                <w:sz w:val="20"/>
              </w:rPr>
            </w:pPr>
            <w:r>
              <w:rPr>
                <w:sz w:val="20"/>
              </w:rPr>
              <w:t>38</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7, 2030</w:t>
            </w:r>
          </w:p>
        </w:tc>
      </w:tr>
      <w:tr>
        <w:trPr/>
        <w:tc>
          <w:tcPr>
            <w:tcW w:w="1685" w:type="dxa"/>
            <w:tcBorders/>
            <w:vAlign w:val="center"/>
          </w:tcPr>
          <w:p>
            <w:pPr>
              <w:pStyle w:val="TableContents"/>
              <w:bidi w:val="0"/>
              <w:spacing w:before="0" w:after="283"/>
              <w:jc w:val="center"/>
              <w:rPr>
                <w:sz w:val="20"/>
              </w:rPr>
            </w:pPr>
            <w:r>
              <w:rPr>
                <w:sz w:val="20"/>
              </w:rPr>
              <w:t>39</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10, 2030</w:t>
            </w:r>
          </w:p>
        </w:tc>
      </w:tr>
      <w:tr>
        <w:trPr/>
        <w:tc>
          <w:tcPr>
            <w:tcW w:w="1685" w:type="dxa"/>
            <w:tcBorders/>
            <w:vAlign w:val="center"/>
          </w:tcPr>
          <w:p>
            <w:pPr>
              <w:pStyle w:val="TableContents"/>
              <w:bidi w:val="0"/>
              <w:spacing w:before="0" w:after="283"/>
              <w:jc w:val="center"/>
              <w:rPr>
                <w:sz w:val="20"/>
              </w:rPr>
            </w:pPr>
            <w:r>
              <w:rPr>
                <w:sz w:val="20"/>
              </w:rPr>
              <w:t>40</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11,373</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11, 2030</w:t>
            </w:r>
          </w:p>
        </w:tc>
      </w:tr>
      <w:tr>
        <w:trPr/>
        <w:tc>
          <w:tcPr>
            <w:tcW w:w="1685" w:type="dxa"/>
            <w:tcBorders/>
            <w:vAlign w:val="center"/>
          </w:tcPr>
          <w:p>
            <w:pPr>
              <w:pStyle w:val="TableContents"/>
              <w:bidi w:val="0"/>
              <w:spacing w:before="0" w:after="283"/>
              <w:jc w:val="center"/>
              <w:rPr>
                <w:sz w:val="20"/>
              </w:rPr>
            </w:pPr>
            <w:r>
              <w:rPr>
                <w:sz w:val="20"/>
              </w:rPr>
              <w:t>41</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12, 2030</w:t>
            </w:r>
          </w:p>
        </w:tc>
      </w:tr>
      <w:tr>
        <w:trPr/>
        <w:tc>
          <w:tcPr>
            <w:tcW w:w="1685" w:type="dxa"/>
            <w:tcBorders/>
            <w:vAlign w:val="center"/>
          </w:tcPr>
          <w:p>
            <w:pPr>
              <w:pStyle w:val="TableContents"/>
              <w:bidi w:val="0"/>
              <w:spacing w:before="0" w:after="283"/>
              <w:jc w:val="center"/>
              <w:rPr>
                <w:sz w:val="20"/>
              </w:rPr>
            </w:pPr>
            <w:r>
              <w:rPr>
                <w:sz w:val="20"/>
              </w:rPr>
              <w:t>42</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13, 2030</w:t>
            </w:r>
          </w:p>
        </w:tc>
      </w:tr>
      <w:tr>
        <w:trPr/>
        <w:tc>
          <w:tcPr>
            <w:tcW w:w="1685" w:type="dxa"/>
            <w:tcBorders/>
            <w:vAlign w:val="center"/>
          </w:tcPr>
          <w:p>
            <w:pPr>
              <w:pStyle w:val="TableContents"/>
              <w:bidi w:val="0"/>
              <w:spacing w:before="0" w:after="283"/>
              <w:jc w:val="center"/>
              <w:rPr>
                <w:sz w:val="20"/>
              </w:rPr>
            </w:pPr>
            <w:r>
              <w:rPr>
                <w:sz w:val="20"/>
              </w:rPr>
              <w:t>43</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14, 2030</w:t>
            </w:r>
          </w:p>
        </w:tc>
      </w:tr>
      <w:tr>
        <w:trPr/>
        <w:tc>
          <w:tcPr>
            <w:tcW w:w="1685" w:type="dxa"/>
            <w:tcBorders/>
            <w:vAlign w:val="center"/>
          </w:tcPr>
          <w:p>
            <w:pPr>
              <w:pStyle w:val="TableContents"/>
              <w:bidi w:val="0"/>
              <w:spacing w:before="0" w:after="283"/>
              <w:jc w:val="center"/>
              <w:rPr>
                <w:sz w:val="20"/>
              </w:rPr>
            </w:pPr>
            <w:r>
              <w:rPr>
                <w:sz w:val="20"/>
              </w:rPr>
              <w:t>44</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17, 2030</w:t>
            </w:r>
          </w:p>
        </w:tc>
      </w:tr>
      <w:tr>
        <w:trPr/>
        <w:tc>
          <w:tcPr>
            <w:tcW w:w="1685" w:type="dxa"/>
            <w:tcBorders/>
            <w:vAlign w:val="center"/>
          </w:tcPr>
          <w:p>
            <w:pPr>
              <w:pStyle w:val="TableContents"/>
              <w:bidi w:val="0"/>
              <w:spacing w:before="0" w:after="283"/>
              <w:jc w:val="center"/>
              <w:rPr>
                <w:sz w:val="20"/>
              </w:rPr>
            </w:pPr>
            <w:r>
              <w:rPr>
                <w:sz w:val="20"/>
              </w:rPr>
              <w:t>45</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18, 2030</w:t>
            </w:r>
          </w:p>
        </w:tc>
      </w:tr>
      <w:tr>
        <w:trPr/>
        <w:tc>
          <w:tcPr>
            <w:tcW w:w="1685" w:type="dxa"/>
            <w:tcBorders/>
            <w:vAlign w:val="center"/>
          </w:tcPr>
          <w:p>
            <w:pPr>
              <w:pStyle w:val="TableContents"/>
              <w:bidi w:val="0"/>
              <w:spacing w:before="0" w:after="283"/>
              <w:jc w:val="center"/>
              <w:rPr>
                <w:sz w:val="20"/>
              </w:rPr>
            </w:pPr>
            <w:r>
              <w:rPr>
                <w:sz w:val="20"/>
              </w:rPr>
              <w:t>46</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20, 2030</w:t>
            </w:r>
          </w:p>
        </w:tc>
      </w:tr>
      <w:tr>
        <w:trPr/>
        <w:tc>
          <w:tcPr>
            <w:tcW w:w="1685" w:type="dxa"/>
            <w:tcBorders/>
            <w:vAlign w:val="center"/>
          </w:tcPr>
          <w:p>
            <w:pPr>
              <w:pStyle w:val="TableContents"/>
              <w:bidi w:val="0"/>
              <w:spacing w:before="0" w:after="283"/>
              <w:jc w:val="center"/>
              <w:rPr>
                <w:sz w:val="20"/>
              </w:rPr>
            </w:pPr>
            <w:r>
              <w:rPr>
                <w:sz w:val="20"/>
              </w:rPr>
              <w:t>47</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21, 2030</w:t>
            </w:r>
          </w:p>
        </w:tc>
      </w:tr>
      <w:tr>
        <w:trPr/>
        <w:tc>
          <w:tcPr>
            <w:tcW w:w="1685" w:type="dxa"/>
            <w:tcBorders/>
            <w:vAlign w:val="center"/>
          </w:tcPr>
          <w:p>
            <w:pPr>
              <w:pStyle w:val="TableContents"/>
              <w:bidi w:val="0"/>
              <w:spacing w:before="0" w:after="283"/>
              <w:jc w:val="center"/>
              <w:rPr>
                <w:sz w:val="20"/>
              </w:rPr>
            </w:pPr>
            <w:r>
              <w:rPr>
                <w:sz w:val="20"/>
              </w:rPr>
              <w:t>48</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24, 2030</w:t>
            </w:r>
          </w:p>
        </w:tc>
      </w:tr>
      <w:tr>
        <w:trPr/>
        <w:tc>
          <w:tcPr>
            <w:tcW w:w="1685" w:type="dxa"/>
            <w:tcBorders/>
            <w:vAlign w:val="center"/>
          </w:tcPr>
          <w:p>
            <w:pPr>
              <w:pStyle w:val="TableContents"/>
              <w:bidi w:val="0"/>
              <w:spacing w:before="0" w:after="283"/>
              <w:jc w:val="center"/>
              <w:rPr>
                <w:sz w:val="20"/>
              </w:rPr>
            </w:pPr>
            <w:r>
              <w:rPr>
                <w:sz w:val="20"/>
              </w:rPr>
              <w:t>49</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25, 2030</w:t>
            </w:r>
          </w:p>
        </w:tc>
      </w:tr>
      <w:tr>
        <w:trPr/>
        <w:tc>
          <w:tcPr>
            <w:tcW w:w="1685" w:type="dxa"/>
            <w:tcBorders/>
            <w:vAlign w:val="center"/>
          </w:tcPr>
          <w:p>
            <w:pPr>
              <w:pStyle w:val="TableContents"/>
              <w:bidi w:val="0"/>
              <w:spacing w:before="0" w:after="283"/>
              <w:jc w:val="center"/>
              <w:rPr>
                <w:sz w:val="20"/>
              </w:rPr>
            </w:pPr>
            <w:r>
              <w:rPr>
                <w:sz w:val="20"/>
              </w:rPr>
              <w:t>50</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sz w:val="20"/>
              </w:rPr>
            </w:pPr>
            <w:r>
              <w:rPr>
                <w:sz w:val="20"/>
              </w:rPr>
              <w:t>June 26, 2030</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610" w:type="dxa"/>
        <w:jc w:val="center"/>
        <w:tblInd w:w="0" w:type="dxa"/>
        <w:tblLayout w:type="fixed"/>
        <w:tblCellMar>
          <w:top w:w="0" w:type="dxa"/>
          <w:left w:w="0" w:type="dxa"/>
          <w:bottom w:w="0" w:type="dxa"/>
          <w:right w:w="0" w:type="dxa"/>
        </w:tblCellMar>
      </w:tblPr>
      <w:tblGrid>
        <w:gridCol w:w="350"/>
        <w:gridCol w:w="60"/>
        <w:gridCol w:w="590"/>
        <w:gridCol w:w="60"/>
        <w:gridCol w:w="1550"/>
      </w:tblGrid>
      <w:tr>
        <w:trPr/>
        <w:tc>
          <w:tcPr>
            <w:tcW w:w="350" w:type="dxa"/>
            <w:tcBorders/>
            <w:vAlign w:val="center"/>
          </w:tcPr>
          <w:p>
            <w:pPr>
              <w:pStyle w:val="TableContents"/>
              <w:bidi w:val="0"/>
              <w:spacing w:before="0" w:after="283"/>
              <w:jc w:val="center"/>
              <w:rPr>
                <w:sz w:val="20"/>
              </w:rPr>
            </w:pPr>
            <w:r>
              <w:rPr>
                <w:sz w:val="20"/>
              </w:rPr>
              <w:t>51</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June 27, 2030</w:t>
            </w:r>
          </w:p>
        </w:tc>
      </w:tr>
      <w:tr>
        <w:trPr/>
        <w:tc>
          <w:tcPr>
            <w:tcW w:w="350" w:type="dxa"/>
            <w:tcBorders/>
            <w:vAlign w:val="center"/>
          </w:tcPr>
          <w:p>
            <w:pPr>
              <w:pStyle w:val="TableContents"/>
              <w:bidi w:val="0"/>
              <w:spacing w:before="0" w:after="283"/>
              <w:jc w:val="center"/>
              <w:rPr>
                <w:sz w:val="20"/>
              </w:rPr>
            </w:pPr>
            <w:r>
              <w:rPr>
                <w:sz w:val="20"/>
              </w:rPr>
              <w:t>52</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June 28, 2030</w:t>
            </w:r>
          </w:p>
        </w:tc>
      </w:tr>
      <w:tr>
        <w:trPr/>
        <w:tc>
          <w:tcPr>
            <w:tcW w:w="350" w:type="dxa"/>
            <w:tcBorders/>
            <w:vAlign w:val="center"/>
          </w:tcPr>
          <w:p>
            <w:pPr>
              <w:pStyle w:val="TableContents"/>
              <w:bidi w:val="0"/>
              <w:spacing w:before="0" w:after="283"/>
              <w:jc w:val="center"/>
              <w:rPr>
                <w:sz w:val="20"/>
              </w:rPr>
            </w:pPr>
            <w:r>
              <w:rPr>
                <w:sz w:val="20"/>
              </w:rPr>
              <w:t>53</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1, 2030</w:t>
            </w:r>
          </w:p>
        </w:tc>
      </w:tr>
      <w:tr>
        <w:trPr/>
        <w:tc>
          <w:tcPr>
            <w:tcW w:w="350" w:type="dxa"/>
            <w:tcBorders/>
            <w:vAlign w:val="center"/>
          </w:tcPr>
          <w:p>
            <w:pPr>
              <w:pStyle w:val="TableContents"/>
              <w:bidi w:val="0"/>
              <w:spacing w:before="0" w:after="283"/>
              <w:jc w:val="center"/>
              <w:rPr>
                <w:sz w:val="20"/>
              </w:rPr>
            </w:pPr>
            <w:r>
              <w:rPr>
                <w:sz w:val="20"/>
              </w:rPr>
              <w:t>54</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2, 2030</w:t>
            </w:r>
          </w:p>
        </w:tc>
      </w:tr>
      <w:tr>
        <w:trPr/>
        <w:tc>
          <w:tcPr>
            <w:tcW w:w="350" w:type="dxa"/>
            <w:tcBorders/>
            <w:vAlign w:val="center"/>
          </w:tcPr>
          <w:p>
            <w:pPr>
              <w:pStyle w:val="TableContents"/>
              <w:bidi w:val="0"/>
              <w:spacing w:before="0" w:after="283"/>
              <w:jc w:val="center"/>
              <w:rPr>
                <w:sz w:val="20"/>
              </w:rPr>
            </w:pPr>
            <w:r>
              <w:rPr>
                <w:sz w:val="20"/>
              </w:rPr>
              <w:t>55</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3, 2030</w:t>
            </w:r>
          </w:p>
        </w:tc>
      </w:tr>
      <w:tr>
        <w:trPr/>
        <w:tc>
          <w:tcPr>
            <w:tcW w:w="350" w:type="dxa"/>
            <w:tcBorders/>
            <w:vAlign w:val="center"/>
          </w:tcPr>
          <w:p>
            <w:pPr>
              <w:pStyle w:val="TableContents"/>
              <w:bidi w:val="0"/>
              <w:spacing w:before="0" w:after="283"/>
              <w:jc w:val="center"/>
              <w:rPr>
                <w:sz w:val="20"/>
              </w:rPr>
            </w:pPr>
            <w:r>
              <w:rPr>
                <w:sz w:val="20"/>
              </w:rPr>
              <w:t>56</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5, 2030</w:t>
            </w:r>
          </w:p>
        </w:tc>
      </w:tr>
      <w:tr>
        <w:trPr/>
        <w:tc>
          <w:tcPr>
            <w:tcW w:w="350" w:type="dxa"/>
            <w:tcBorders/>
            <w:vAlign w:val="center"/>
          </w:tcPr>
          <w:p>
            <w:pPr>
              <w:pStyle w:val="TableContents"/>
              <w:bidi w:val="0"/>
              <w:spacing w:before="0" w:after="283"/>
              <w:jc w:val="center"/>
              <w:rPr>
                <w:sz w:val="20"/>
              </w:rPr>
            </w:pPr>
            <w:r>
              <w:rPr>
                <w:sz w:val="20"/>
              </w:rPr>
              <w:t>57</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8, 2030</w:t>
            </w:r>
          </w:p>
        </w:tc>
      </w:tr>
      <w:tr>
        <w:trPr/>
        <w:tc>
          <w:tcPr>
            <w:tcW w:w="350" w:type="dxa"/>
            <w:tcBorders/>
            <w:vAlign w:val="center"/>
          </w:tcPr>
          <w:p>
            <w:pPr>
              <w:pStyle w:val="TableContents"/>
              <w:bidi w:val="0"/>
              <w:spacing w:before="0" w:after="283"/>
              <w:jc w:val="center"/>
              <w:rPr>
                <w:sz w:val="20"/>
              </w:rPr>
            </w:pPr>
            <w:r>
              <w:rPr>
                <w:sz w:val="20"/>
              </w:rPr>
              <w:t>58</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9, 2030</w:t>
            </w:r>
          </w:p>
        </w:tc>
      </w:tr>
      <w:tr>
        <w:trPr/>
        <w:tc>
          <w:tcPr>
            <w:tcW w:w="350" w:type="dxa"/>
            <w:tcBorders/>
            <w:vAlign w:val="center"/>
          </w:tcPr>
          <w:p>
            <w:pPr>
              <w:pStyle w:val="TableContents"/>
              <w:bidi w:val="0"/>
              <w:spacing w:before="0" w:after="283"/>
              <w:jc w:val="center"/>
              <w:rPr>
                <w:sz w:val="20"/>
              </w:rPr>
            </w:pPr>
            <w:r>
              <w:rPr>
                <w:sz w:val="20"/>
              </w:rPr>
              <w:t>59</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10, 2030</w:t>
            </w:r>
          </w:p>
        </w:tc>
      </w:tr>
      <w:tr>
        <w:trPr/>
        <w:tc>
          <w:tcPr>
            <w:tcW w:w="350" w:type="dxa"/>
            <w:tcBorders/>
            <w:vAlign w:val="center"/>
          </w:tcPr>
          <w:p>
            <w:pPr>
              <w:pStyle w:val="TableContents"/>
              <w:bidi w:val="0"/>
              <w:spacing w:before="0" w:after="283"/>
              <w:jc w:val="center"/>
              <w:rPr>
                <w:sz w:val="20"/>
              </w:rPr>
            </w:pPr>
            <w:r>
              <w:rPr>
                <w:sz w:val="20"/>
              </w:rPr>
              <w:t>60</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11, 2030</w:t>
            </w:r>
          </w:p>
        </w:tc>
      </w:tr>
      <w:tr>
        <w:trPr/>
        <w:tc>
          <w:tcPr>
            <w:tcW w:w="350" w:type="dxa"/>
            <w:tcBorders/>
            <w:vAlign w:val="center"/>
          </w:tcPr>
          <w:p>
            <w:pPr>
              <w:pStyle w:val="TableContents"/>
              <w:bidi w:val="0"/>
              <w:spacing w:before="0" w:after="283"/>
              <w:jc w:val="center"/>
              <w:rPr>
                <w:sz w:val="20"/>
              </w:rPr>
            </w:pPr>
            <w:r>
              <w:rPr>
                <w:sz w:val="20"/>
              </w:rPr>
              <w:t>61</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12, 2030</w:t>
            </w:r>
          </w:p>
        </w:tc>
      </w:tr>
      <w:tr>
        <w:trPr/>
        <w:tc>
          <w:tcPr>
            <w:tcW w:w="350" w:type="dxa"/>
            <w:tcBorders/>
            <w:vAlign w:val="center"/>
          </w:tcPr>
          <w:p>
            <w:pPr>
              <w:pStyle w:val="TableContents"/>
              <w:bidi w:val="0"/>
              <w:spacing w:before="0" w:after="283"/>
              <w:jc w:val="center"/>
              <w:rPr>
                <w:sz w:val="20"/>
              </w:rPr>
            </w:pPr>
            <w:r>
              <w:rPr>
                <w:sz w:val="20"/>
              </w:rPr>
              <w:t>62</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15, 2030</w:t>
            </w:r>
          </w:p>
        </w:tc>
      </w:tr>
      <w:tr>
        <w:trPr/>
        <w:tc>
          <w:tcPr>
            <w:tcW w:w="350" w:type="dxa"/>
            <w:tcBorders/>
            <w:vAlign w:val="center"/>
          </w:tcPr>
          <w:p>
            <w:pPr>
              <w:pStyle w:val="TableContents"/>
              <w:bidi w:val="0"/>
              <w:spacing w:before="0" w:after="283"/>
              <w:jc w:val="center"/>
              <w:rPr>
                <w:sz w:val="20"/>
              </w:rPr>
            </w:pPr>
            <w:r>
              <w:rPr>
                <w:sz w:val="20"/>
              </w:rPr>
              <w:t>63</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16, 2030</w:t>
            </w:r>
          </w:p>
        </w:tc>
      </w:tr>
      <w:tr>
        <w:trPr/>
        <w:tc>
          <w:tcPr>
            <w:tcW w:w="350" w:type="dxa"/>
            <w:tcBorders/>
            <w:vAlign w:val="center"/>
          </w:tcPr>
          <w:p>
            <w:pPr>
              <w:pStyle w:val="TableContents"/>
              <w:bidi w:val="0"/>
              <w:spacing w:before="0" w:after="283"/>
              <w:jc w:val="center"/>
              <w:rPr>
                <w:sz w:val="20"/>
              </w:rPr>
            </w:pPr>
            <w:r>
              <w:rPr>
                <w:sz w:val="20"/>
              </w:rPr>
              <w:t>64</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17, 2030</w:t>
            </w:r>
          </w:p>
        </w:tc>
      </w:tr>
      <w:tr>
        <w:trPr/>
        <w:tc>
          <w:tcPr>
            <w:tcW w:w="350" w:type="dxa"/>
            <w:tcBorders/>
            <w:vAlign w:val="center"/>
          </w:tcPr>
          <w:p>
            <w:pPr>
              <w:pStyle w:val="TableContents"/>
              <w:bidi w:val="0"/>
              <w:spacing w:before="0" w:after="283"/>
              <w:jc w:val="center"/>
              <w:rPr>
                <w:sz w:val="20"/>
              </w:rPr>
            </w:pPr>
            <w:r>
              <w:rPr>
                <w:sz w:val="20"/>
              </w:rPr>
              <w:t>65</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18, 2030</w:t>
            </w:r>
          </w:p>
        </w:tc>
      </w:tr>
      <w:tr>
        <w:trPr/>
        <w:tc>
          <w:tcPr>
            <w:tcW w:w="350" w:type="dxa"/>
            <w:tcBorders/>
            <w:vAlign w:val="center"/>
          </w:tcPr>
          <w:p>
            <w:pPr>
              <w:pStyle w:val="TableContents"/>
              <w:bidi w:val="0"/>
              <w:spacing w:before="0" w:after="283"/>
              <w:jc w:val="center"/>
              <w:rPr>
                <w:sz w:val="20"/>
              </w:rPr>
            </w:pPr>
            <w:r>
              <w:rPr>
                <w:sz w:val="20"/>
              </w:rPr>
              <w:t>66</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19, 2030</w:t>
            </w:r>
          </w:p>
        </w:tc>
      </w:tr>
      <w:tr>
        <w:trPr/>
        <w:tc>
          <w:tcPr>
            <w:tcW w:w="350" w:type="dxa"/>
            <w:tcBorders/>
            <w:vAlign w:val="center"/>
          </w:tcPr>
          <w:p>
            <w:pPr>
              <w:pStyle w:val="TableContents"/>
              <w:bidi w:val="0"/>
              <w:spacing w:before="0" w:after="283"/>
              <w:jc w:val="center"/>
              <w:rPr>
                <w:sz w:val="20"/>
              </w:rPr>
            </w:pPr>
            <w:r>
              <w:rPr>
                <w:sz w:val="20"/>
              </w:rPr>
              <w:t>67</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22, 2030</w:t>
            </w:r>
          </w:p>
        </w:tc>
      </w:tr>
      <w:tr>
        <w:trPr/>
        <w:tc>
          <w:tcPr>
            <w:tcW w:w="350" w:type="dxa"/>
            <w:tcBorders/>
            <w:vAlign w:val="center"/>
          </w:tcPr>
          <w:p>
            <w:pPr>
              <w:pStyle w:val="TableContents"/>
              <w:bidi w:val="0"/>
              <w:spacing w:before="0" w:after="283"/>
              <w:jc w:val="center"/>
              <w:rPr>
                <w:sz w:val="20"/>
              </w:rPr>
            </w:pPr>
            <w:r>
              <w:rPr>
                <w:sz w:val="20"/>
              </w:rPr>
              <w:t>68</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23, 2030</w:t>
            </w:r>
          </w:p>
        </w:tc>
      </w:tr>
      <w:tr>
        <w:trPr/>
        <w:tc>
          <w:tcPr>
            <w:tcW w:w="350" w:type="dxa"/>
            <w:tcBorders/>
            <w:vAlign w:val="center"/>
          </w:tcPr>
          <w:p>
            <w:pPr>
              <w:pStyle w:val="TableContents"/>
              <w:bidi w:val="0"/>
              <w:spacing w:before="0" w:after="283"/>
              <w:jc w:val="center"/>
              <w:rPr>
                <w:sz w:val="20"/>
              </w:rPr>
            </w:pPr>
            <w:r>
              <w:rPr>
                <w:sz w:val="20"/>
              </w:rPr>
              <w:t>69</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24, 2030</w:t>
            </w:r>
          </w:p>
        </w:tc>
      </w:tr>
      <w:tr>
        <w:trPr/>
        <w:tc>
          <w:tcPr>
            <w:tcW w:w="350" w:type="dxa"/>
            <w:tcBorders/>
            <w:vAlign w:val="center"/>
          </w:tcPr>
          <w:p>
            <w:pPr>
              <w:pStyle w:val="TableContents"/>
              <w:bidi w:val="0"/>
              <w:spacing w:before="0" w:after="283"/>
              <w:jc w:val="center"/>
              <w:rPr>
                <w:sz w:val="20"/>
              </w:rPr>
            </w:pPr>
            <w:r>
              <w:rPr>
                <w:sz w:val="20"/>
              </w:rPr>
              <w:t>70</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25, 2030</w:t>
            </w:r>
          </w:p>
        </w:tc>
      </w:tr>
      <w:tr>
        <w:trPr/>
        <w:tc>
          <w:tcPr>
            <w:tcW w:w="350" w:type="dxa"/>
            <w:tcBorders/>
            <w:vAlign w:val="center"/>
          </w:tcPr>
          <w:p>
            <w:pPr>
              <w:pStyle w:val="TableContents"/>
              <w:bidi w:val="0"/>
              <w:spacing w:before="0" w:after="283"/>
              <w:jc w:val="center"/>
              <w:rPr>
                <w:sz w:val="20"/>
              </w:rPr>
            </w:pPr>
            <w:r>
              <w:rPr>
                <w:sz w:val="20"/>
              </w:rPr>
              <w:t>71</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26, 2030</w:t>
            </w:r>
          </w:p>
        </w:tc>
      </w:tr>
      <w:tr>
        <w:trPr/>
        <w:tc>
          <w:tcPr>
            <w:tcW w:w="350" w:type="dxa"/>
            <w:tcBorders/>
            <w:vAlign w:val="center"/>
          </w:tcPr>
          <w:p>
            <w:pPr>
              <w:pStyle w:val="TableContents"/>
              <w:bidi w:val="0"/>
              <w:spacing w:before="0" w:after="283"/>
              <w:jc w:val="center"/>
              <w:rPr>
                <w:sz w:val="20"/>
              </w:rPr>
            </w:pPr>
            <w:r>
              <w:rPr>
                <w:sz w:val="20"/>
              </w:rPr>
              <w:t>72</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29, 2030</w:t>
            </w:r>
          </w:p>
        </w:tc>
      </w:tr>
      <w:tr>
        <w:trPr/>
        <w:tc>
          <w:tcPr>
            <w:tcW w:w="350" w:type="dxa"/>
            <w:tcBorders/>
            <w:vAlign w:val="center"/>
          </w:tcPr>
          <w:p>
            <w:pPr>
              <w:pStyle w:val="TableContents"/>
              <w:bidi w:val="0"/>
              <w:spacing w:before="0" w:after="283"/>
              <w:jc w:val="center"/>
              <w:rPr>
                <w:sz w:val="20"/>
              </w:rPr>
            </w:pPr>
            <w:r>
              <w:rPr>
                <w:sz w:val="20"/>
              </w:rPr>
              <w:t>73</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30, 2030</w:t>
            </w:r>
          </w:p>
        </w:tc>
      </w:tr>
      <w:tr>
        <w:trPr/>
        <w:tc>
          <w:tcPr>
            <w:tcW w:w="350" w:type="dxa"/>
            <w:tcBorders/>
            <w:vAlign w:val="center"/>
          </w:tcPr>
          <w:p>
            <w:pPr>
              <w:pStyle w:val="TableContents"/>
              <w:bidi w:val="0"/>
              <w:spacing w:before="0" w:after="283"/>
              <w:jc w:val="center"/>
              <w:rPr>
                <w:sz w:val="20"/>
              </w:rPr>
            </w:pPr>
            <w:r>
              <w:rPr>
                <w:sz w:val="20"/>
              </w:rPr>
              <w:t>74</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July 31, 2030</w:t>
            </w:r>
          </w:p>
        </w:tc>
      </w:tr>
      <w:tr>
        <w:trPr/>
        <w:tc>
          <w:tcPr>
            <w:tcW w:w="350" w:type="dxa"/>
            <w:tcBorders/>
            <w:vAlign w:val="center"/>
          </w:tcPr>
          <w:p>
            <w:pPr>
              <w:pStyle w:val="TableContents"/>
              <w:bidi w:val="0"/>
              <w:spacing w:before="0" w:after="283"/>
              <w:jc w:val="center"/>
              <w:rPr>
                <w:sz w:val="20"/>
              </w:rPr>
            </w:pPr>
            <w:r>
              <w:rPr>
                <w:sz w:val="20"/>
              </w:rPr>
              <w:t>75</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1, 2030</w:t>
            </w:r>
          </w:p>
        </w:tc>
      </w:tr>
      <w:tr>
        <w:trPr/>
        <w:tc>
          <w:tcPr>
            <w:tcW w:w="350" w:type="dxa"/>
            <w:tcBorders/>
            <w:vAlign w:val="center"/>
          </w:tcPr>
          <w:p>
            <w:pPr>
              <w:pStyle w:val="TableContents"/>
              <w:bidi w:val="0"/>
              <w:spacing w:before="0" w:after="283"/>
              <w:jc w:val="center"/>
              <w:rPr>
                <w:sz w:val="20"/>
              </w:rPr>
            </w:pPr>
            <w:r>
              <w:rPr>
                <w:sz w:val="20"/>
              </w:rPr>
              <w:t>76</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2, 2030</w:t>
            </w:r>
          </w:p>
        </w:tc>
      </w:tr>
      <w:tr>
        <w:trPr/>
        <w:tc>
          <w:tcPr>
            <w:tcW w:w="350" w:type="dxa"/>
            <w:tcBorders/>
            <w:vAlign w:val="center"/>
          </w:tcPr>
          <w:p>
            <w:pPr>
              <w:pStyle w:val="TableContents"/>
              <w:bidi w:val="0"/>
              <w:spacing w:before="0" w:after="283"/>
              <w:jc w:val="center"/>
              <w:rPr>
                <w:sz w:val="20"/>
              </w:rPr>
            </w:pPr>
            <w:r>
              <w:rPr>
                <w:sz w:val="20"/>
              </w:rPr>
              <w:t>77</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5, 2030</w:t>
            </w:r>
          </w:p>
        </w:tc>
      </w:tr>
      <w:tr>
        <w:trPr/>
        <w:tc>
          <w:tcPr>
            <w:tcW w:w="350" w:type="dxa"/>
            <w:tcBorders/>
            <w:vAlign w:val="center"/>
          </w:tcPr>
          <w:p>
            <w:pPr>
              <w:pStyle w:val="TableContents"/>
              <w:bidi w:val="0"/>
              <w:spacing w:before="0" w:after="283"/>
              <w:jc w:val="center"/>
              <w:rPr>
                <w:sz w:val="20"/>
              </w:rPr>
            </w:pPr>
            <w:r>
              <w:rPr>
                <w:sz w:val="20"/>
              </w:rPr>
              <w:t>78</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6, 2030</w:t>
            </w:r>
          </w:p>
        </w:tc>
      </w:tr>
      <w:tr>
        <w:trPr/>
        <w:tc>
          <w:tcPr>
            <w:tcW w:w="350" w:type="dxa"/>
            <w:tcBorders/>
            <w:vAlign w:val="center"/>
          </w:tcPr>
          <w:p>
            <w:pPr>
              <w:pStyle w:val="TableContents"/>
              <w:bidi w:val="0"/>
              <w:spacing w:before="0" w:after="283"/>
              <w:jc w:val="center"/>
              <w:rPr>
                <w:sz w:val="20"/>
              </w:rPr>
            </w:pPr>
            <w:r>
              <w:rPr>
                <w:sz w:val="20"/>
              </w:rPr>
              <w:t>79</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7, 2030</w:t>
            </w:r>
          </w:p>
        </w:tc>
      </w:tr>
      <w:tr>
        <w:trPr/>
        <w:tc>
          <w:tcPr>
            <w:tcW w:w="350" w:type="dxa"/>
            <w:tcBorders/>
            <w:vAlign w:val="center"/>
          </w:tcPr>
          <w:p>
            <w:pPr>
              <w:pStyle w:val="TableContents"/>
              <w:bidi w:val="0"/>
              <w:spacing w:before="0" w:after="283"/>
              <w:jc w:val="center"/>
              <w:rPr>
                <w:sz w:val="20"/>
              </w:rPr>
            </w:pPr>
            <w:r>
              <w:rPr>
                <w:sz w:val="20"/>
              </w:rPr>
              <w:t>80</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8, 2030</w:t>
            </w:r>
          </w:p>
        </w:tc>
      </w:tr>
      <w:tr>
        <w:trPr/>
        <w:tc>
          <w:tcPr>
            <w:tcW w:w="350" w:type="dxa"/>
            <w:tcBorders/>
            <w:vAlign w:val="center"/>
          </w:tcPr>
          <w:p>
            <w:pPr>
              <w:pStyle w:val="TableContents"/>
              <w:bidi w:val="0"/>
              <w:spacing w:before="0" w:after="283"/>
              <w:jc w:val="center"/>
              <w:rPr>
                <w:sz w:val="20"/>
              </w:rPr>
            </w:pPr>
            <w:r>
              <w:rPr>
                <w:sz w:val="20"/>
              </w:rPr>
              <w:t>81</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9, 2030</w:t>
            </w:r>
          </w:p>
        </w:tc>
      </w:tr>
      <w:tr>
        <w:trPr/>
        <w:tc>
          <w:tcPr>
            <w:tcW w:w="350" w:type="dxa"/>
            <w:tcBorders/>
            <w:vAlign w:val="center"/>
          </w:tcPr>
          <w:p>
            <w:pPr>
              <w:pStyle w:val="TableContents"/>
              <w:bidi w:val="0"/>
              <w:spacing w:before="0" w:after="283"/>
              <w:jc w:val="center"/>
              <w:rPr>
                <w:sz w:val="20"/>
              </w:rPr>
            </w:pPr>
            <w:r>
              <w:rPr>
                <w:sz w:val="20"/>
              </w:rPr>
              <w:t>82</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12, 2030</w:t>
            </w:r>
          </w:p>
        </w:tc>
      </w:tr>
      <w:tr>
        <w:trPr/>
        <w:tc>
          <w:tcPr>
            <w:tcW w:w="350" w:type="dxa"/>
            <w:tcBorders/>
            <w:vAlign w:val="center"/>
          </w:tcPr>
          <w:p>
            <w:pPr>
              <w:pStyle w:val="TableContents"/>
              <w:bidi w:val="0"/>
              <w:spacing w:before="0" w:after="283"/>
              <w:jc w:val="center"/>
              <w:rPr>
                <w:sz w:val="20"/>
              </w:rPr>
            </w:pPr>
            <w:r>
              <w:rPr>
                <w:sz w:val="20"/>
              </w:rPr>
              <w:t>83</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13, 2030</w:t>
            </w:r>
          </w:p>
        </w:tc>
      </w:tr>
      <w:tr>
        <w:trPr/>
        <w:tc>
          <w:tcPr>
            <w:tcW w:w="350" w:type="dxa"/>
            <w:tcBorders/>
            <w:vAlign w:val="center"/>
          </w:tcPr>
          <w:p>
            <w:pPr>
              <w:pStyle w:val="TableContents"/>
              <w:bidi w:val="0"/>
              <w:spacing w:before="0" w:after="283"/>
              <w:jc w:val="center"/>
              <w:rPr>
                <w:sz w:val="20"/>
              </w:rPr>
            </w:pPr>
            <w:r>
              <w:rPr>
                <w:sz w:val="20"/>
              </w:rPr>
              <w:t>84</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14, 2030</w:t>
            </w:r>
          </w:p>
        </w:tc>
      </w:tr>
      <w:tr>
        <w:trPr/>
        <w:tc>
          <w:tcPr>
            <w:tcW w:w="350" w:type="dxa"/>
            <w:tcBorders/>
            <w:vAlign w:val="center"/>
          </w:tcPr>
          <w:p>
            <w:pPr>
              <w:pStyle w:val="TableContents"/>
              <w:bidi w:val="0"/>
              <w:spacing w:before="0" w:after="283"/>
              <w:jc w:val="center"/>
              <w:rPr>
                <w:sz w:val="20"/>
              </w:rPr>
            </w:pPr>
            <w:r>
              <w:rPr>
                <w:sz w:val="20"/>
              </w:rPr>
              <w:t>85</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15, 2030</w:t>
            </w:r>
          </w:p>
        </w:tc>
      </w:tr>
      <w:tr>
        <w:trPr/>
        <w:tc>
          <w:tcPr>
            <w:tcW w:w="350" w:type="dxa"/>
            <w:tcBorders/>
            <w:vAlign w:val="center"/>
          </w:tcPr>
          <w:p>
            <w:pPr>
              <w:pStyle w:val="TableContents"/>
              <w:bidi w:val="0"/>
              <w:spacing w:before="0" w:after="283"/>
              <w:jc w:val="center"/>
              <w:rPr>
                <w:sz w:val="20"/>
              </w:rPr>
            </w:pPr>
            <w:r>
              <w:rPr>
                <w:sz w:val="20"/>
              </w:rPr>
              <w:t>86</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16, 2030</w:t>
            </w:r>
          </w:p>
        </w:tc>
      </w:tr>
      <w:tr>
        <w:trPr/>
        <w:tc>
          <w:tcPr>
            <w:tcW w:w="350" w:type="dxa"/>
            <w:tcBorders/>
            <w:vAlign w:val="center"/>
          </w:tcPr>
          <w:p>
            <w:pPr>
              <w:pStyle w:val="TableContents"/>
              <w:bidi w:val="0"/>
              <w:spacing w:before="0" w:after="283"/>
              <w:jc w:val="center"/>
              <w:rPr>
                <w:sz w:val="20"/>
              </w:rPr>
            </w:pPr>
            <w:r>
              <w:rPr>
                <w:sz w:val="20"/>
              </w:rPr>
              <w:t>87</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19, 2030</w:t>
            </w:r>
          </w:p>
        </w:tc>
      </w:tr>
      <w:tr>
        <w:trPr/>
        <w:tc>
          <w:tcPr>
            <w:tcW w:w="350" w:type="dxa"/>
            <w:tcBorders/>
            <w:vAlign w:val="center"/>
          </w:tcPr>
          <w:p>
            <w:pPr>
              <w:pStyle w:val="TableContents"/>
              <w:bidi w:val="0"/>
              <w:spacing w:before="0" w:after="283"/>
              <w:jc w:val="center"/>
              <w:rPr>
                <w:sz w:val="20"/>
              </w:rPr>
            </w:pPr>
            <w:r>
              <w:rPr>
                <w:sz w:val="20"/>
              </w:rPr>
              <w:t>88</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20, 2030</w:t>
            </w:r>
          </w:p>
        </w:tc>
      </w:tr>
      <w:tr>
        <w:trPr/>
        <w:tc>
          <w:tcPr>
            <w:tcW w:w="350" w:type="dxa"/>
            <w:tcBorders/>
            <w:vAlign w:val="center"/>
          </w:tcPr>
          <w:p>
            <w:pPr>
              <w:pStyle w:val="TableContents"/>
              <w:bidi w:val="0"/>
              <w:spacing w:before="0" w:after="283"/>
              <w:jc w:val="center"/>
              <w:rPr>
                <w:sz w:val="20"/>
              </w:rPr>
            </w:pPr>
            <w:r>
              <w:rPr>
                <w:sz w:val="20"/>
              </w:rPr>
              <w:t>89</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21, 2030</w:t>
            </w:r>
          </w:p>
        </w:tc>
      </w:tr>
      <w:tr>
        <w:trPr/>
        <w:tc>
          <w:tcPr>
            <w:tcW w:w="350" w:type="dxa"/>
            <w:tcBorders/>
            <w:vAlign w:val="center"/>
          </w:tcPr>
          <w:p>
            <w:pPr>
              <w:pStyle w:val="TableContents"/>
              <w:bidi w:val="0"/>
              <w:spacing w:before="0" w:after="283"/>
              <w:jc w:val="center"/>
              <w:rPr>
                <w:sz w:val="20"/>
              </w:rPr>
            </w:pPr>
            <w:r>
              <w:rPr>
                <w:sz w:val="20"/>
              </w:rPr>
              <w:t>90</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22, 2030</w:t>
            </w:r>
          </w:p>
        </w:tc>
      </w:tr>
      <w:tr>
        <w:trPr/>
        <w:tc>
          <w:tcPr>
            <w:tcW w:w="350" w:type="dxa"/>
            <w:tcBorders/>
            <w:vAlign w:val="center"/>
          </w:tcPr>
          <w:p>
            <w:pPr>
              <w:pStyle w:val="TableContents"/>
              <w:bidi w:val="0"/>
              <w:spacing w:before="0" w:after="283"/>
              <w:jc w:val="center"/>
              <w:rPr>
                <w:sz w:val="20"/>
              </w:rPr>
            </w:pPr>
            <w:r>
              <w:rPr>
                <w:sz w:val="20"/>
              </w:rPr>
              <w:t>91</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23, 2030</w:t>
            </w:r>
          </w:p>
        </w:tc>
      </w:tr>
      <w:tr>
        <w:trPr/>
        <w:tc>
          <w:tcPr>
            <w:tcW w:w="350" w:type="dxa"/>
            <w:tcBorders/>
            <w:vAlign w:val="center"/>
          </w:tcPr>
          <w:p>
            <w:pPr>
              <w:pStyle w:val="TableContents"/>
              <w:bidi w:val="0"/>
              <w:spacing w:before="0" w:after="283"/>
              <w:jc w:val="center"/>
              <w:rPr>
                <w:sz w:val="20"/>
              </w:rPr>
            </w:pPr>
            <w:r>
              <w:rPr>
                <w:sz w:val="20"/>
              </w:rPr>
              <w:t>92</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26, 2030</w:t>
            </w:r>
          </w:p>
        </w:tc>
      </w:tr>
      <w:tr>
        <w:trPr/>
        <w:tc>
          <w:tcPr>
            <w:tcW w:w="350" w:type="dxa"/>
            <w:tcBorders/>
            <w:vAlign w:val="center"/>
          </w:tcPr>
          <w:p>
            <w:pPr>
              <w:pStyle w:val="TableContents"/>
              <w:bidi w:val="0"/>
              <w:spacing w:before="0" w:after="283"/>
              <w:jc w:val="center"/>
              <w:rPr>
                <w:sz w:val="20"/>
              </w:rPr>
            </w:pPr>
            <w:r>
              <w:rPr>
                <w:sz w:val="20"/>
              </w:rPr>
              <w:t>93</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27, 2030</w:t>
            </w:r>
          </w:p>
        </w:tc>
      </w:tr>
      <w:tr>
        <w:trPr/>
        <w:tc>
          <w:tcPr>
            <w:tcW w:w="350" w:type="dxa"/>
            <w:tcBorders/>
            <w:vAlign w:val="center"/>
          </w:tcPr>
          <w:p>
            <w:pPr>
              <w:pStyle w:val="TableContents"/>
              <w:bidi w:val="0"/>
              <w:spacing w:before="0" w:after="283"/>
              <w:jc w:val="center"/>
              <w:rPr>
                <w:sz w:val="20"/>
              </w:rPr>
            </w:pPr>
            <w:r>
              <w:rPr>
                <w:sz w:val="20"/>
              </w:rPr>
              <w:t>94</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28, 2030</w:t>
            </w:r>
          </w:p>
        </w:tc>
      </w:tr>
      <w:tr>
        <w:trPr/>
        <w:tc>
          <w:tcPr>
            <w:tcW w:w="350" w:type="dxa"/>
            <w:tcBorders/>
            <w:vAlign w:val="center"/>
          </w:tcPr>
          <w:p>
            <w:pPr>
              <w:pStyle w:val="TableContents"/>
              <w:bidi w:val="0"/>
              <w:spacing w:before="0" w:after="283"/>
              <w:jc w:val="center"/>
              <w:rPr>
                <w:sz w:val="20"/>
              </w:rPr>
            </w:pPr>
            <w:r>
              <w:rPr>
                <w:sz w:val="20"/>
              </w:rPr>
              <w:t>95</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29, 2030</w:t>
            </w:r>
          </w:p>
        </w:tc>
      </w:tr>
      <w:tr>
        <w:trPr/>
        <w:tc>
          <w:tcPr>
            <w:tcW w:w="350" w:type="dxa"/>
            <w:tcBorders/>
            <w:vAlign w:val="center"/>
          </w:tcPr>
          <w:p>
            <w:pPr>
              <w:pStyle w:val="TableContents"/>
              <w:bidi w:val="0"/>
              <w:spacing w:before="0" w:after="283"/>
              <w:jc w:val="center"/>
              <w:rPr>
                <w:sz w:val="20"/>
              </w:rPr>
            </w:pPr>
            <w:r>
              <w:rPr>
                <w:sz w:val="20"/>
              </w:rPr>
              <w:t>96</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August 30, 2030</w:t>
            </w:r>
          </w:p>
        </w:tc>
      </w:tr>
      <w:tr>
        <w:trPr/>
        <w:tc>
          <w:tcPr>
            <w:tcW w:w="350" w:type="dxa"/>
            <w:tcBorders/>
            <w:vAlign w:val="center"/>
          </w:tcPr>
          <w:p>
            <w:pPr>
              <w:pStyle w:val="TableContents"/>
              <w:bidi w:val="0"/>
              <w:spacing w:before="0" w:after="283"/>
              <w:jc w:val="center"/>
              <w:rPr>
                <w:sz w:val="20"/>
              </w:rPr>
            </w:pPr>
            <w:r>
              <w:rPr>
                <w:sz w:val="20"/>
              </w:rPr>
              <w:t>97</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September 3, 2030</w:t>
            </w:r>
          </w:p>
        </w:tc>
      </w:tr>
      <w:tr>
        <w:trPr/>
        <w:tc>
          <w:tcPr>
            <w:tcW w:w="350" w:type="dxa"/>
            <w:tcBorders/>
            <w:vAlign w:val="center"/>
          </w:tcPr>
          <w:p>
            <w:pPr>
              <w:pStyle w:val="TableContents"/>
              <w:bidi w:val="0"/>
              <w:spacing w:before="0" w:after="283"/>
              <w:jc w:val="center"/>
              <w:rPr>
                <w:sz w:val="20"/>
              </w:rPr>
            </w:pPr>
            <w:r>
              <w:rPr>
                <w:sz w:val="20"/>
              </w:rPr>
              <w:t>98</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September 4, 2030</w:t>
            </w:r>
          </w:p>
        </w:tc>
      </w:tr>
      <w:tr>
        <w:trPr/>
        <w:tc>
          <w:tcPr>
            <w:tcW w:w="350" w:type="dxa"/>
            <w:tcBorders/>
            <w:vAlign w:val="center"/>
          </w:tcPr>
          <w:p>
            <w:pPr>
              <w:pStyle w:val="TableContents"/>
              <w:bidi w:val="0"/>
              <w:spacing w:before="0" w:after="283"/>
              <w:jc w:val="center"/>
              <w:rPr>
                <w:sz w:val="20"/>
              </w:rPr>
            </w:pPr>
            <w:r>
              <w:rPr>
                <w:sz w:val="20"/>
              </w:rPr>
              <w:t>99</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September 5, 2030</w:t>
            </w:r>
          </w:p>
        </w:tc>
      </w:tr>
      <w:tr>
        <w:trPr/>
        <w:tc>
          <w:tcPr>
            <w:tcW w:w="350" w:type="dxa"/>
            <w:tcBorders/>
            <w:vAlign w:val="center"/>
          </w:tcPr>
          <w:p>
            <w:pPr>
              <w:pStyle w:val="TableContents"/>
              <w:bidi w:val="0"/>
              <w:spacing w:before="0" w:after="283"/>
              <w:jc w:val="center"/>
              <w:rPr>
                <w:sz w:val="20"/>
              </w:rPr>
            </w:pPr>
            <w:r>
              <w:rPr>
                <w:sz w:val="20"/>
              </w:rPr>
              <w:t>100</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sz w:val="20"/>
              </w:rPr>
            </w:pPr>
            <w:r>
              <w:rPr>
                <w:sz w:val="20"/>
              </w:rPr>
              <w:t>11,372</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sz w:val="20"/>
              </w:rPr>
            </w:pPr>
            <w:r>
              <w:rPr>
                <w:sz w:val="20"/>
              </w:rPr>
              <w:t>September 6, 2030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bookmarkStart w:id="42" w:name="tm243871d1_ex10-10.htm"/>
      <w:bookmarkStart w:id="43" w:name="kstm243871d1_ex1010"/>
      <w:bookmarkEnd w:id="42"/>
      <w:bookmarkEnd w:id="43"/>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National Association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Branch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 Madison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Transaction</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575"/>
        <w:gridCol w:w="3680"/>
      </w:tblGrid>
      <w:tr>
        <w:trPr/>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   </w:t>
            </w:r>
          </w:p>
        </w:tc>
        <w:tc>
          <w:tcPr>
            <w:tcW w:w="3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br/>
              <w:t>13200 Pioneer Trail</w:t>
              <w:br/>
              <w:t>Eden Prairie, Minnesota 55347</w:t>
            </w:r>
          </w:p>
        </w:tc>
      </w:tr>
      <w:tr>
        <w:trPr/>
        <w:tc>
          <w:tcPr>
            <w:tcW w:w="42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w:t>
            </w:r>
          </w:p>
        </w:tc>
        <w:tc>
          <w:tcPr>
            <w:tcW w:w="3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National Association</w:t>
            </w:r>
          </w:p>
        </w:tc>
      </w:tr>
      <w:tr>
        <w:trPr/>
        <w:tc>
          <w:tcPr>
            <w:tcW w:w="42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 </w:t>
            </w:r>
          </w:p>
        </w:tc>
        <w:tc>
          <w:tcPr>
            <w:tcW w:w="3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Issuer Warrant Transaction</w:t>
            </w:r>
          </w:p>
        </w:tc>
      </w:tr>
      <w:tr>
        <w:trPr/>
        <w:tc>
          <w:tcPr>
            <w:tcW w:w="42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w:t>
            </w:r>
          </w:p>
        </w:tc>
        <w:tc>
          <w:tcPr>
            <w:tcW w:w="3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18, 2024</w:t>
            </w:r>
          </w:p>
        </w:tc>
      </w:tr>
      <w:tr>
        <w:trPr/>
        <w:tc>
          <w:tcPr>
            <w:tcW w:w="4255"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communication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set forth the terms and conditions of the above-referenced transaction entered into on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between JPMorgan Chase Bank, National Association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Winnebago Industries, Inc.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This communication constitutes a “Confirmation” as referred to in the Agreement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Confirmation is subject to, and incorporates, the definitions and provisions of the 2006 ISDA Definitions (the “</w:t>
      </w:r>
      <w:r>
        <w:rPr>
          <w:rFonts w:ascii="Times New Roman;Times;Serif" w:hAnsi="Times New Roman;Times;Serif"/>
          <w:b/>
          <w:i w:val="false"/>
          <w:caps w:val="false"/>
          <w:smallCaps w:val="false"/>
          <w:sz w:val="20"/>
        </w:rPr>
        <w:t>2006 Definitions</w:t>
      </w:r>
      <w:r>
        <w:rPr>
          <w:rFonts w:ascii="Times New Roman;Times;Serif" w:hAnsi="Times New Roman;Times;Serif"/>
          <w:b w:val="false"/>
          <w:i w:val="false"/>
          <w:caps w:val="false"/>
          <w:smallCaps w:val="false"/>
          <w:sz w:val="20"/>
        </w:rPr>
        <w:t>”) and the definitions and provisions of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together with the 2006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For purposes of the Equity Definitions, each reference herein to a Warrant shall be deemed to be a reference to a Call Option or an Option, as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evidences a complete and binding agreement between Dealer and Counterparty as to the terms of the Transaction to which this Confirmation relates. This Confirmation shall be subject to an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as the Termination Currency, (ii) the replacement of the word “third” in the last line of Section 5(a)(i) of the Agreement with the word “first” and (iii) (a) the election that the “Cross Default” provisions of Section 5(a)(vi) of the Agreement shall apply to Counterparty with a “Threshold Amount” of USD35.0 million), (b)  (b) </w:t>
      </w:r>
      <w:r>
        <w:rPr>
          <w:rFonts w:ascii="Times New Roman;Times;Serif" w:hAnsi="Times New Roman;Times;Serif"/>
          <w:b w:val="false"/>
          <w:i w:val="false"/>
          <w:caps w:val="false"/>
          <w:smallCaps w:val="false"/>
          <w:sz w:val="20"/>
          <w:shd w:fill="FFFFFF" w:val="clear"/>
        </w:rPr>
        <w:t> the phrase “,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contained in, or incorporated by reference to, the Agreement will govern this Confirmation except as expressly modified herein. In the event of any inconsistency among this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is a Warrant Transaction, which shall be considered a Share Option Transaction for purposes of the Equity Definitions. The terms of the particular Transaction to which this Confirmation relates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Terms:</w:t>
      </w:r>
    </w:p>
    <w:p>
      <w:pPr>
        <w:pStyle w:val="TextBody"/>
        <w:bidi w:val="0"/>
        <w:spacing w:before="0" w:after="0"/>
        <w:ind w:left="0" w:right="0" w:hanging="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60"/>
        <w:gridCol w:w="1235"/>
        <w:gridCol w:w="7715"/>
      </w:tblGrid>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Date:</w:t>
            </w:r>
          </w:p>
        </w:tc>
        <w:tc>
          <w:tcPr>
            <w:tcW w:w="7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18, 2023</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Date:</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January 23, 2023, or such other date as agreed between the parties, subject to Section 8(l)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69"/>
        <w:gridCol w:w="9076"/>
      </w:tblGrid>
      <w:tr>
        <w:trPr/>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Components:</w:t>
            </w:r>
          </w:p>
        </w:tc>
        <w:tc>
          <w:tcPr>
            <w:tcW w:w="90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Transaction will be divided into individual Components, each with the terms set forth in this Confirmation, and, in particular, with the Number of Warrants and Expiration Date set forth in this Confirmation. The payments and deliveries to be made upon settlement of the Transaction will be determined separately for each Component as if each Component were a separate Transaction under the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93"/>
        <w:gridCol w:w="8952"/>
      </w:tblGrid>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Style:</w:t>
            </w:r>
          </w:p>
        </w:tc>
        <w:tc>
          <w:tcPr>
            <w:tcW w:w="8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European</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Type:</w:t>
            </w:r>
          </w:p>
        </w:tc>
        <w:tc>
          <w:tcPr>
            <w:tcW w:w="89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w:t>
            </w:r>
          </w:p>
        </w:tc>
        <w:tc>
          <w:tcPr>
            <w:tcW w:w="89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Counterparty</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Buyer:</w:t>
            </w:r>
          </w:p>
        </w:tc>
        <w:tc>
          <w:tcPr>
            <w:tcW w:w="89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Dealer</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w:t>
            </w:r>
          </w:p>
        </w:tc>
        <w:tc>
          <w:tcPr>
            <w:tcW w:w="89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Common Stock of Counterparty, par value USD0.50 (Ticker Symbol: “WGO”).</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Warrants:</w:t>
            </w:r>
          </w:p>
        </w:tc>
        <w:tc>
          <w:tcPr>
            <w:tcW w:w="89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each Component, as provided in Annex A to this Confirmation.</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Entitlement:</w:t>
            </w:r>
          </w:p>
        </w:tc>
        <w:tc>
          <w:tcPr>
            <w:tcW w:w="89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One Share per Warrant</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Strike Price:</w:t>
            </w:r>
          </w:p>
        </w:tc>
        <w:tc>
          <w:tcPr>
            <w:tcW w:w="89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USD135.2800</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left"/>
              <w:rPr/>
            </w:pPr>
            <w:r>
              <w:rPr/>
              <w:t> </w:t>
            </w:r>
          </w:p>
        </w:tc>
        <w:tc>
          <w:tcPr>
            <w:tcW w:w="8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Agreement, this Confirmation or the Equity Definitions, in no event shall the Strike Price be subject to adjustment to the extent that, after giving effect to such adjustment, the Strike Price would be less than USD 67.2580, except for any adjustment pursuant to the terms of this Confirmation and the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620" w:type="dxa"/>
        <w:jc w:val="left"/>
        <w:tblInd w:w="0" w:type="dxa"/>
        <w:tblLayout w:type="fixed"/>
        <w:tblCellMar>
          <w:top w:w="0" w:type="dxa"/>
          <w:left w:w="0" w:type="dxa"/>
          <w:bottom w:w="0" w:type="dxa"/>
          <w:right w:w="0" w:type="dxa"/>
        </w:tblCellMar>
      </w:tblPr>
      <w:tblGrid>
        <w:gridCol w:w="60"/>
        <w:gridCol w:w="60"/>
        <w:gridCol w:w="950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Equity Definitions in connection with a stock split or similar change to Counterparty’s capitalization.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0"/>
        <w:gridCol w:w="8185"/>
      </w:tblGrid>
      <w:tr>
        <w:trPr/>
        <w:tc>
          <w:tcPr>
            <w:tcW w:w="60" w:type="dxa"/>
            <w:tcBorders/>
            <w:vAlign w:val="center"/>
          </w:tcPr>
          <w:p>
            <w:pPr>
              <w:pStyle w:val="TableContents"/>
              <w:bidi w:val="0"/>
              <w:spacing w:before="0" w:after="283"/>
              <w:jc w:val="left"/>
              <w:rPr/>
            </w:pPr>
            <w:r>
              <w:rPr/>
              <w:t> </w:t>
            </w:r>
          </w:p>
        </w:tc>
        <w:tc>
          <w:tcPr>
            <w:tcW w:w="1960" w:type="dxa"/>
            <w:tcBorders/>
            <w:vAlign w:val="center"/>
          </w:tcPr>
          <w:p>
            <w:pPr>
              <w:pStyle w:val="TableContents"/>
              <w:bidi w:val="0"/>
              <w:spacing w:before="0" w:after="283"/>
              <w:jc w:val="left"/>
              <w:rPr/>
            </w:pPr>
            <w:r>
              <w:rPr/>
              <w:t>Number of Shares:</w:t>
            </w:r>
          </w:p>
        </w:tc>
        <w:tc>
          <w:tcPr>
            <w:tcW w:w="8185" w:type="dxa"/>
            <w:tcBorders/>
            <w:vAlign w:val="center"/>
          </w:tcPr>
          <w:p>
            <w:pPr>
              <w:pStyle w:val="TableContents"/>
              <w:bidi w:val="0"/>
              <w:spacing w:before="0" w:after="283"/>
              <w:jc w:val="both"/>
              <w:rPr/>
            </w:pPr>
            <w:r>
              <w:rPr/>
              <w:t>As of any date, a number of Shares equal to the product of the Number of Warrants and the Warrant Entitlement.</w:t>
            </w:r>
          </w:p>
        </w:tc>
      </w:tr>
      <w:tr>
        <w:trPr/>
        <w:tc>
          <w:tcPr>
            <w:tcW w:w="60" w:type="dxa"/>
            <w:tcBorders/>
            <w:vAlign w:val="center"/>
          </w:tcPr>
          <w:p>
            <w:pPr>
              <w:pStyle w:val="TableContents"/>
              <w:bidi w:val="0"/>
              <w:spacing w:before="0" w:after="283"/>
              <w:jc w:val="left"/>
              <w:rPr/>
            </w:pPr>
            <w:r>
              <w:rPr/>
              <w:t> </w:t>
            </w:r>
          </w:p>
        </w:tc>
        <w:tc>
          <w:tcPr>
            <w:tcW w:w="1960" w:type="dxa"/>
            <w:tcBorders/>
            <w:vAlign w:val="center"/>
          </w:tcPr>
          <w:p>
            <w:pPr>
              <w:pStyle w:val="TableContents"/>
              <w:bidi w:val="0"/>
              <w:spacing w:before="0" w:after="283"/>
              <w:jc w:val="left"/>
              <w:rPr/>
            </w:pPr>
            <w:r>
              <w:rPr/>
              <w:t> </w:t>
            </w:r>
          </w:p>
        </w:tc>
        <w:tc>
          <w:tcPr>
            <w:tcW w:w="81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60" w:type="dxa"/>
            <w:tcBorders/>
            <w:vAlign w:val="center"/>
          </w:tcPr>
          <w:p>
            <w:pPr>
              <w:pStyle w:val="TableContents"/>
              <w:bidi w:val="0"/>
              <w:spacing w:before="0" w:after="283"/>
              <w:jc w:val="left"/>
              <w:rPr/>
            </w:pPr>
            <w:r>
              <w:rPr/>
              <w:t>Premium:</w:t>
            </w:r>
          </w:p>
        </w:tc>
        <w:tc>
          <w:tcPr>
            <w:tcW w:w="8185" w:type="dxa"/>
            <w:tcBorders/>
            <w:vAlign w:val="center"/>
          </w:tcPr>
          <w:p>
            <w:pPr>
              <w:pStyle w:val="TableContents"/>
              <w:bidi w:val="0"/>
              <w:spacing w:before="0" w:after="283"/>
              <w:jc w:val="left"/>
              <w:rPr/>
            </w:pPr>
            <w:r>
              <w:rPr/>
              <w:t>USD8,940,000</w:t>
            </w:r>
          </w:p>
        </w:tc>
      </w:tr>
      <w:tr>
        <w:trPr/>
        <w:tc>
          <w:tcPr>
            <w:tcW w:w="60" w:type="dxa"/>
            <w:tcBorders/>
            <w:vAlign w:val="center"/>
          </w:tcPr>
          <w:p>
            <w:pPr>
              <w:pStyle w:val="TableContents"/>
              <w:bidi w:val="0"/>
              <w:spacing w:before="0" w:after="283"/>
              <w:jc w:val="left"/>
              <w:rPr/>
            </w:pPr>
            <w:r>
              <w:rPr/>
              <w:t> </w:t>
            </w:r>
          </w:p>
        </w:tc>
        <w:tc>
          <w:tcPr>
            <w:tcW w:w="1960" w:type="dxa"/>
            <w:tcBorders/>
            <w:vAlign w:val="center"/>
          </w:tcPr>
          <w:p>
            <w:pPr>
              <w:pStyle w:val="TableContents"/>
              <w:bidi w:val="0"/>
              <w:spacing w:before="0" w:after="283"/>
              <w:jc w:val="left"/>
              <w:rPr/>
            </w:pPr>
            <w:r>
              <w:rPr/>
              <w:t> </w:t>
            </w:r>
          </w:p>
        </w:tc>
        <w:tc>
          <w:tcPr>
            <w:tcW w:w="81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60" w:type="dxa"/>
            <w:tcBorders/>
            <w:vAlign w:val="center"/>
          </w:tcPr>
          <w:p>
            <w:pPr>
              <w:pStyle w:val="TableContents"/>
              <w:bidi w:val="0"/>
              <w:spacing w:before="0" w:after="283"/>
              <w:jc w:val="left"/>
              <w:rPr/>
            </w:pPr>
            <w:r>
              <w:rPr/>
              <w:t>Premium Payment Date:</w:t>
            </w:r>
          </w:p>
        </w:tc>
        <w:tc>
          <w:tcPr>
            <w:tcW w:w="8185" w:type="dxa"/>
            <w:tcBorders/>
            <w:vAlign w:val="center"/>
          </w:tcPr>
          <w:p>
            <w:pPr>
              <w:pStyle w:val="TableContents"/>
              <w:bidi w:val="0"/>
              <w:spacing w:before="0" w:after="283"/>
              <w:jc w:val="left"/>
              <w:rPr/>
            </w:pPr>
            <w:r>
              <w:rPr/>
              <w:t>The Effective Date</w:t>
            </w:r>
          </w:p>
        </w:tc>
      </w:tr>
      <w:tr>
        <w:trPr/>
        <w:tc>
          <w:tcPr>
            <w:tcW w:w="60" w:type="dxa"/>
            <w:tcBorders/>
            <w:vAlign w:val="center"/>
          </w:tcPr>
          <w:p>
            <w:pPr>
              <w:pStyle w:val="TableContents"/>
              <w:bidi w:val="0"/>
              <w:spacing w:before="0" w:after="283"/>
              <w:jc w:val="left"/>
              <w:rPr/>
            </w:pPr>
            <w:r>
              <w:rPr/>
              <w:t> </w:t>
            </w:r>
          </w:p>
        </w:tc>
        <w:tc>
          <w:tcPr>
            <w:tcW w:w="1960" w:type="dxa"/>
            <w:tcBorders/>
            <w:vAlign w:val="center"/>
          </w:tcPr>
          <w:p>
            <w:pPr>
              <w:pStyle w:val="TableContents"/>
              <w:bidi w:val="0"/>
              <w:spacing w:before="0" w:after="283"/>
              <w:jc w:val="left"/>
              <w:rPr/>
            </w:pPr>
            <w:r>
              <w:rPr/>
              <w:t> </w:t>
            </w:r>
          </w:p>
        </w:tc>
        <w:tc>
          <w:tcPr>
            <w:tcW w:w="81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60" w:type="dxa"/>
            <w:tcBorders/>
            <w:vAlign w:val="center"/>
          </w:tcPr>
          <w:p>
            <w:pPr>
              <w:pStyle w:val="TableContents"/>
              <w:bidi w:val="0"/>
              <w:spacing w:before="0" w:after="283"/>
              <w:jc w:val="left"/>
              <w:rPr/>
            </w:pPr>
            <w:r>
              <w:rPr/>
              <w:t>Exchange:</w:t>
            </w:r>
          </w:p>
        </w:tc>
        <w:tc>
          <w:tcPr>
            <w:tcW w:w="8185" w:type="dxa"/>
            <w:tcBorders/>
            <w:vAlign w:val="center"/>
          </w:tcPr>
          <w:p>
            <w:pPr>
              <w:pStyle w:val="TableContents"/>
              <w:bidi w:val="0"/>
              <w:spacing w:before="0" w:after="283"/>
              <w:jc w:val="both"/>
              <w:rPr/>
            </w:pPr>
            <w:r>
              <w:rPr/>
              <w:t>New York Stock Exchange</w:t>
            </w:r>
          </w:p>
        </w:tc>
      </w:tr>
      <w:tr>
        <w:trPr/>
        <w:tc>
          <w:tcPr>
            <w:tcW w:w="60" w:type="dxa"/>
            <w:tcBorders/>
            <w:vAlign w:val="center"/>
          </w:tcPr>
          <w:p>
            <w:pPr>
              <w:pStyle w:val="TableContents"/>
              <w:bidi w:val="0"/>
              <w:spacing w:before="0" w:after="283"/>
              <w:jc w:val="left"/>
              <w:rPr/>
            </w:pPr>
            <w:r>
              <w:rPr/>
              <w:t> </w:t>
            </w:r>
          </w:p>
        </w:tc>
        <w:tc>
          <w:tcPr>
            <w:tcW w:w="1960" w:type="dxa"/>
            <w:tcBorders/>
            <w:vAlign w:val="center"/>
          </w:tcPr>
          <w:p>
            <w:pPr>
              <w:pStyle w:val="TableContents"/>
              <w:bidi w:val="0"/>
              <w:spacing w:before="0" w:after="283"/>
              <w:jc w:val="left"/>
              <w:rPr/>
            </w:pPr>
            <w:r>
              <w:rPr/>
              <w:t> </w:t>
            </w:r>
          </w:p>
        </w:tc>
        <w:tc>
          <w:tcPr>
            <w:tcW w:w="818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960" w:type="dxa"/>
            <w:tcBorders/>
            <w:vAlign w:val="center"/>
          </w:tcPr>
          <w:p>
            <w:pPr>
              <w:pStyle w:val="TableContents"/>
              <w:bidi w:val="0"/>
              <w:spacing w:before="0" w:after="283"/>
              <w:jc w:val="left"/>
              <w:rPr/>
            </w:pPr>
            <w:r>
              <w:rPr/>
              <w:t>Related Exchange:</w:t>
            </w:r>
          </w:p>
        </w:tc>
        <w:tc>
          <w:tcPr>
            <w:tcW w:w="8185" w:type="dxa"/>
            <w:tcBorders/>
            <w:vAlign w:val="center"/>
          </w:tcPr>
          <w:p>
            <w:pPr>
              <w:pStyle w:val="TableContents"/>
              <w:bidi w:val="0"/>
              <w:spacing w:before="0" w:after="283"/>
              <w:jc w:val="left"/>
              <w:rPr/>
            </w:pPr>
            <w:r>
              <w:rPr/>
              <w:t>All Exchanges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Procedures for Exercise: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respect of any Component:</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34"/>
        <w:gridCol w:w="9111"/>
      </w:tblGrid>
      <w:tr>
        <w:trPr/>
        <w:tc>
          <w:tcPr>
            <w:tcW w:w="60"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Expiration Time:</w:t>
            </w:r>
          </w:p>
        </w:tc>
        <w:tc>
          <w:tcPr>
            <w:tcW w:w="9111" w:type="dxa"/>
            <w:tcBorders/>
            <w:vAlign w:val="center"/>
          </w:tcPr>
          <w:p>
            <w:pPr>
              <w:pStyle w:val="TableContents"/>
              <w:bidi w:val="0"/>
              <w:spacing w:before="0" w:after="283"/>
              <w:jc w:val="left"/>
              <w:rPr/>
            </w:pPr>
            <w:r>
              <w:rPr/>
              <w:t>Valuation Time</w:t>
            </w:r>
          </w:p>
        </w:tc>
      </w:tr>
      <w:tr>
        <w:trPr/>
        <w:tc>
          <w:tcPr>
            <w:tcW w:w="60"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911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Expiration Date:</w:t>
            </w:r>
          </w:p>
        </w:tc>
        <w:tc>
          <w:tcPr>
            <w:tcW w:w="9111" w:type="dxa"/>
            <w:tcBorders/>
            <w:vAlign w:val="center"/>
          </w:tcPr>
          <w:p>
            <w:pPr>
              <w:pStyle w:val="TableContents"/>
              <w:bidi w:val="0"/>
              <w:spacing w:before="0" w:after="283"/>
              <w:jc w:val="both"/>
              <w:rPr/>
            </w:pPr>
            <w:r>
              <w:rPr/>
              <w:t xml:space="preserve">As provided in </w:t>
            </w:r>
            <w:r>
              <w:rPr>
                <w:u w:val="single"/>
              </w:rPr>
              <w:t>Annex A</w:t>
            </w:r>
            <w:r>
              <w:rPr/>
              <w:t xml:space="preserve"> to this Confirmation (or, if such date is not a Scheduled Trading Day, the next following Scheduled Trading Day that is not already an Expiration Date for another Component); </w:t>
            </w:r>
            <w:r>
              <w:rPr>
                <w:i/>
              </w:rPr>
              <w:t>provided</w:t>
            </w:r>
            <w:r>
              <w:rPr/>
              <w:t xml:space="preserve"> that if that date is a Disrupted Day, the Expiration Date for such Component shall be the first succeeding Scheduled Trading Day that is not a Disrupted Day and is not and is not deemed to be an Expiration Date in respect of any other Component of the Transaction hereunder; and </w:t>
            </w:r>
            <w:r>
              <w:rPr>
                <w:i/>
              </w:rPr>
              <w:t>provided further</w:t>
            </w:r>
            <w:r>
              <w:rPr/>
              <w:t xml:space="preserve"> that if the Expiration Date has not occurred pursuant to the preceding proviso as of the Final Disruption Date, the Calculation Agent shall have the right to elect, in its sole discretion, that the Final Disruption Date shall be the Expiration Date (irrespective of whether such date is an Expiration Date in respect of any other Component for the Transaction). Notwithstanding the foregoing and anything to the contrary in the Equity Definitions, if a Market Disruption Event occurs on any Expiration Date, the Calculation Agent may determine that such Expiration Date is a Disrupted Day only in part, in which case the Calculation Agent shall make adjustments to the Number of Warrants for the relevant Component for which such day shall be the Expiration Date, shall designate the Scheduled Trading Day determined in the manner described in the immediately preceding sentence as the Expiration Date for the remaining Warrants for such Component and may determine the VWAP Price for such Expiration Date based on transactions in the Shares taking into account the nature and duration of such Market Disruption Event. Any Scheduled Trading Day on which, as of the date hereof, the Exchange is scheduled to close prior to its normal close of trading shall be deemed not to be a Scheduled Trading Day; if a closure of the Exchange prior to its normal close of trading on any Scheduled Trading Day is scheduled following the date hereof, then such Scheduled Trading Day shall be deemed 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
        <w:gridCol w:w="10122"/>
      </w:tblGrid>
      <w:tr>
        <w:trPr/>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01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a Disrupted Day in full</w:t>
            </w:r>
            <w:r>
              <w:rPr>
                <w:rFonts w:ascii="Times New Roman;Times;Serif" w:hAnsi="Times New Roman;Times;Serif"/>
                <w:b/>
                <w:sz w:val="20"/>
              </w:rPr>
              <w:t xml:space="preserve">. </w:t>
            </w:r>
            <w:r>
              <w:rPr>
                <w:rFonts w:ascii="Times New Roman;Times;Serif" w:hAnsi="Times New Roman;Times;Serif"/>
                <w:sz w:val="20"/>
              </w:rPr>
              <w:t>Section 6.6 of the Equity Definitions shall not apply to any Valuation Date occurring on an Expiration Date. “</w:t>
            </w:r>
            <w:r>
              <w:rPr>
                <w:rFonts w:ascii="Times New Roman;Times;Serif" w:hAnsi="Times New Roman;Times;Serif"/>
                <w:b/>
                <w:sz w:val="20"/>
              </w:rPr>
              <w:t>Final Disruption Date</w:t>
            </w:r>
            <w:r>
              <w:rPr>
                <w:rFonts w:ascii="Times New Roman;Times;Serif" w:hAnsi="Times New Roman;Times;Serif"/>
                <w:sz w:val="20"/>
              </w:rPr>
              <w:t>” means September 20, 2030.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079"/>
        <w:gridCol w:w="9066"/>
      </w:tblGrid>
      <w:tr>
        <w:trPr/>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 Disruption Event:</w:t>
            </w:r>
          </w:p>
        </w:tc>
        <w:tc>
          <w:tcPr>
            <w:tcW w:w="90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6.3(a) of the Equity Definitions is hereby amended by (A) deleting the words “during the one hour period that ends at the relevant Valuation Time, Latest Exercise Time, Knock-in Valuation Time or Knock-out Valuation Time, as the case may be,” in clause (ii) thereof and (B) by replacing the words “or (iii) an Early Closure.” therein with “(iii) an Early Closure, or (iv) a Regulatory Disruption.”</w:t>
            </w:r>
          </w:p>
        </w:tc>
      </w:tr>
      <w:tr>
        <w:trPr/>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sz w:val="4"/>
                <w:szCs w:val="4"/>
              </w:rPr>
            </w:pPr>
            <w:r>
              <w:rPr>
                <w:sz w:val="4"/>
                <w:szCs w:val="4"/>
              </w:rPr>
            </w:r>
          </w:p>
        </w:tc>
        <w:tc>
          <w:tcPr>
            <w:tcW w:w="9066" w:type="dxa"/>
            <w:tcBorders/>
            <w:vAlign w:val="center"/>
          </w:tcPr>
          <w:p>
            <w:pPr>
              <w:pStyle w:val="TableContents"/>
              <w:bidi w:val="0"/>
              <w:spacing w:before="0" w:after="283"/>
              <w:jc w:val="both"/>
              <w:rPr/>
            </w:pPr>
            <w:r>
              <w:rPr/>
              <w:t xml:space="preserve">Section 6.3(d) of </w:t>
            </w:r>
            <w:r>
              <w:rPr>
                <w:rFonts w:ascii="Times New Roman;Times;Serif" w:hAnsi="Times New Roman;Times;Serif"/>
                <w:sz w:val="20"/>
              </w:rPr>
              <w:t>the Equity Definitions is hereby amended by deleting the remainder of the provision following the term “Scheduled Closing Time” in the fourth line thereof.</w:t>
            </w:r>
          </w:p>
        </w:tc>
      </w:tr>
      <w:tr>
        <w:trPr/>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Regulatory Disruption:</w:t>
            </w:r>
          </w:p>
        </w:tc>
        <w:tc>
          <w:tcPr>
            <w:tcW w:w="90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event that Dealer, in its reasonable discretion, determines makes it appropriate, with regard to any legal, regulatory or self-regulatory requirements or related policies and procedures (whether or not such requirements or related policies and procedures are imposed by law or have been voluntarily adopted by Dealer and provided any such policies and procedures are related to legal, regulatory or self-regulatory issues generally applicable to the Transaction and are applied to the Transaction in a non-discriminatory manner), for Dealer to refrain from or decrease any market activity connected with the Transaction. Dealer shall notify Counterparty as soon as reasonably practicable that a Regulatory Disruption has occurred and the Expiration Dates affected by it.</w:t>
            </w:r>
          </w:p>
        </w:tc>
      </w:tr>
      <w:tr>
        <w:trPr/>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Automatic Exercise:</w:t>
            </w:r>
          </w:p>
        </w:tc>
        <w:tc>
          <w:tcPr>
            <w:tcW w:w="90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and means that the Number of Warrants for the corresponding Expiration Date will be deemed to be automatically exercised at the Expiration Time on such Expiration Date unless Dealer notifies Seller (by telephone or in writing) prior to the Expiration Time on such Expiration Date that it does not wish Automatic Exercise to occur, in which case Automatic Exercise will not apply to such Expiration Date.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7830"/>
        <w:gridCol w:w="2315"/>
      </w:tblGrid>
      <w:tr>
        <w:trPr/>
        <w:tc>
          <w:tcPr>
            <w:tcW w:w="60" w:type="dxa"/>
            <w:tcBorders/>
            <w:vAlign w:val="center"/>
          </w:tcPr>
          <w:p>
            <w:pPr>
              <w:pStyle w:val="TableContents"/>
              <w:bidi w:val="0"/>
              <w:spacing w:before="0" w:after="283"/>
              <w:jc w:val="left"/>
              <w:rPr/>
            </w:pPr>
            <w:r>
              <w:rPr/>
              <w:t> </w:t>
            </w:r>
          </w:p>
        </w:tc>
        <w:tc>
          <w:tcPr>
            <w:tcW w:w="783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Counterparty’s Telephone Number and Telex and/or Facsimile Number and Contact Details for purpose of Giving Notice:</w:t>
            </w:r>
          </w:p>
        </w:tc>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provided in Section 6(a) below.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Terms: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respect of any Component: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78"/>
        <w:gridCol w:w="8667"/>
      </w:tblGrid>
      <w:tr>
        <w:trPr/>
        <w:tc>
          <w:tcPr>
            <w:tcW w:w="60"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Currency:</w:t>
            </w:r>
          </w:p>
        </w:tc>
        <w:tc>
          <w:tcPr>
            <w:tcW w:w="86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w:t>
            </w:r>
          </w:p>
        </w:tc>
      </w:tr>
      <w:tr>
        <w:trPr/>
        <w:tc>
          <w:tcPr>
            <w:tcW w:w="60"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left"/>
              <w:rPr/>
            </w:pPr>
            <w:r>
              <w:rPr/>
              <w:t> </w:t>
            </w:r>
          </w:p>
        </w:tc>
        <w:tc>
          <w:tcPr>
            <w:tcW w:w="866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Share Settlement:</w:t>
            </w:r>
          </w:p>
        </w:tc>
        <w:tc>
          <w:tcPr>
            <w:tcW w:w="86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each Settlement Date, Counterparty shall deliver to Dealer a number of Shares equal to the Number of Shares to be Delivered for such Settlement Date 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34"/>
        <w:gridCol w:w="9011"/>
      </w:tblGrid>
      <w:tr>
        <w:trPr/>
        <w:tc>
          <w:tcPr>
            <w:tcW w:w="60"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sz w:val="4"/>
                <w:szCs w:val="4"/>
              </w:rPr>
            </w:pPr>
            <w:r>
              <w:rPr>
                <w:sz w:val="4"/>
                <w:szCs w:val="4"/>
              </w:rPr>
            </w:r>
          </w:p>
        </w:tc>
        <w:tc>
          <w:tcPr>
            <w:tcW w:w="90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account specified by Dealer and cash in lieu of any fractional Share valued at the Relevant Price on the Valuation Date corresponding to such Settlement Date. If, in the reasonable opinion of Dealer, based on advice of counsel, for any reason, the Shares deliverable upon Net Share Settlement would not be immediately freely transferable by Dealer under Rule 144 under the Securities Act of 1933, as amended (the “</w:t>
            </w:r>
            <w:r>
              <w:rPr>
                <w:rFonts w:ascii="Times New Roman;Times;Serif" w:hAnsi="Times New Roman;Times;Serif"/>
                <w:b/>
                <w:sz w:val="20"/>
              </w:rPr>
              <w:t>Securities Act</w:t>
            </w:r>
            <w:r>
              <w:rPr>
                <w:rFonts w:ascii="Times New Roman;Times;Serif" w:hAnsi="Times New Roman;Times;Serif"/>
                <w:sz w:val="20"/>
              </w:rPr>
              <w:t>”), then Dealer may elect to either (x) accept delivery of such Shares notwithstanding any restriction on transfer or (y) have the provisions set forth in Section 8(c) below apply.</w:t>
            </w:r>
          </w:p>
        </w:tc>
      </w:tr>
      <w:tr>
        <w:trPr/>
        <w:tc>
          <w:tcPr>
            <w:tcW w:w="60"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pPr>
            <w:r>
              <w:rPr/>
              <w:t> </w:t>
            </w:r>
          </w:p>
        </w:tc>
        <w:tc>
          <w:tcPr>
            <w:tcW w:w="901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sz w:val="4"/>
                <w:szCs w:val="4"/>
              </w:rPr>
            </w:pPr>
            <w:r>
              <w:rPr>
                <w:sz w:val="4"/>
                <w:szCs w:val="4"/>
              </w:rPr>
            </w:r>
          </w:p>
        </w:tc>
        <w:tc>
          <w:tcPr>
            <w:tcW w:w="90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to be Delivered shall be delivered by Counterparty to Dealer no later than 12:00 noon (local time in New York City) on the relevant Settlement Date.</w:t>
            </w:r>
          </w:p>
        </w:tc>
      </w:tr>
      <w:tr>
        <w:trPr/>
        <w:tc>
          <w:tcPr>
            <w:tcW w:w="60"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both"/>
              <w:rPr/>
            </w:pPr>
            <w:r>
              <w:rPr/>
              <w:t> </w:t>
            </w:r>
          </w:p>
        </w:tc>
        <w:tc>
          <w:tcPr>
            <w:tcW w:w="901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 to be Delivered:</w:t>
            </w:r>
          </w:p>
        </w:tc>
        <w:tc>
          <w:tcPr>
            <w:tcW w:w="90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respect of any Exercise Date, the product of (i) the number of Warrants exercised or deemed exercised on such Exercise Date, (ii) the Warrant Entitlement and (iii) (A) the excess of the VWAP Price on the Valuation Date occurring in respect of such Exercise Date over the Strike Price (or, if there is no such excess, zero) </w:t>
            </w:r>
            <w:r>
              <w:rPr>
                <w:rFonts w:ascii="Times New Roman;Times;Serif" w:hAnsi="Times New Roman;Times;Serif"/>
                <w:i/>
                <w:sz w:val="20"/>
              </w:rPr>
              <w:t>divided by</w:t>
            </w:r>
            <w:r>
              <w:rPr>
                <w:rFonts w:ascii="Times New Roman;Times;Serif" w:hAnsi="Times New Roman;Times;Serif"/>
                <w:sz w:val="20"/>
              </w:rPr>
              <w:t xml:space="preserve"> (B) such VWAP Price.</w:t>
            </w:r>
          </w:p>
        </w:tc>
      </w:tr>
      <w:tr>
        <w:trPr/>
        <w:tc>
          <w:tcPr>
            <w:tcW w:w="60"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pPr>
            <w:r>
              <w:rPr/>
              <w:t> </w:t>
            </w:r>
          </w:p>
        </w:tc>
        <w:tc>
          <w:tcPr>
            <w:tcW w:w="901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VWAP Price:</w:t>
            </w:r>
          </w:p>
        </w:tc>
        <w:tc>
          <w:tcPr>
            <w:tcW w:w="90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Exchange Business Day, as determined by the Calculation Agent based on the New York Volume Weighted Average Price per Share for the regular trading session (including any extensions thereof) of the Exchange on such Exchange Business Day (without regard to pre-open or after hours trading outside of such regular trading session), as published by Bloomberg at 4:15 P.M., New York City time (or 15 minutes following the end of any extension of the regular trading session), on such Exchange Business Day, on Bloomberg page “WGO.N &lt;Equity&gt; AQR” (or any successor thereto) (or if such published volume weighted average price is unavailable or is manifestly incorrect, the market value of one Share on such Exchange Business Day, as determined by the Calculation Agent using, if practicable, a volume weighted method).</w:t>
            </w:r>
          </w:p>
        </w:tc>
      </w:tr>
      <w:tr>
        <w:trPr/>
        <w:tc>
          <w:tcPr>
            <w:tcW w:w="60"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pPr>
            <w:r>
              <w:rPr/>
              <w:t> </w:t>
            </w:r>
          </w:p>
        </w:tc>
        <w:tc>
          <w:tcPr>
            <w:tcW w:w="9011"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Applicable Provisions:</w:t>
            </w:r>
          </w:p>
        </w:tc>
        <w:tc>
          <w:tcPr>
            <w:tcW w:w="90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provisions of Sections 9.1(c), 9.4, 9.8, 9.9, 9.10, 9.11 and 9.12 of the Equity Definitions will be applicable as if “Physical Settlement” applied to the Transaction; </w:t>
            </w:r>
            <w:r>
              <w:rPr>
                <w:rFonts w:ascii="Times New Roman;Times;Serif" w:hAnsi="Times New Roman;Times;Serif"/>
                <w:i/>
                <w:sz w:val="20"/>
              </w:rPr>
              <w:t>provided</w:t>
            </w:r>
            <w:r>
              <w:rPr>
                <w:rFonts w:ascii="Times New Roman;Times;Serif" w:hAnsi="Times New Roman;Times;Serif"/>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of the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respect of any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9"/>
        <w:gridCol w:w="8816"/>
      </w:tblGrid>
      <w:tr>
        <w:trPr/>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Method of Adjustment:</w:t>
            </w:r>
          </w:p>
        </w:tc>
        <w:tc>
          <w:tcPr>
            <w:tcW w:w="88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Calculation Agent Adjustment. For the avoidance of doubt, Calculation Agent Adjustment shall continue to apply until the obligations of the parties (including any obligations of Counterparty pursuant to Section 8(f) below) under the Transaction have been satisfied in full.</w:t>
            </w:r>
          </w:p>
        </w:tc>
      </w:tr>
      <w:tr>
        <w:trPr/>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pPr>
            <w:r>
              <w:rPr/>
              <w:t> </w:t>
            </w:r>
          </w:p>
        </w:tc>
        <w:tc>
          <w:tcPr>
            <w:tcW w:w="881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Extraordinary Dividend:</w:t>
            </w:r>
          </w:p>
        </w:tc>
        <w:tc>
          <w:tcPr>
            <w:tcW w:w="88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regular dividend period of Counterparty, any dividend or distribution on the Shares with an ex-dividend date occurring during such regular dividend period (other than any dividend or distribution of the type described in Section 11.2(e)(i) or Section 11.2(e)(ii)(A) of the Equity Definitions) (a “</w:t>
            </w:r>
            <w:r>
              <w:rPr>
                <w:rFonts w:ascii="Times New Roman;Times;Serif" w:hAnsi="Times New Roman;Times;Serif"/>
                <w:b/>
                <w:sz w:val="20"/>
              </w:rPr>
              <w:t>Dividend</w:t>
            </w:r>
            <w:r>
              <w:rPr>
                <w:rFonts w:ascii="Times New Roman;Times;Serif" w:hAnsi="Times New Roman;Times;Serif"/>
                <w:sz w:val="20"/>
              </w:rPr>
              <w:t>”) the amount or value of which (as determined by the Calculation Agent), when aggregated with the amount or value (as determined by the Calculation Agent) of any and all previous Dividends with ex-dividend dates occurring in the same regular dividend period, exceeds the Ordinary Dividend Amount.</w:t>
            </w:r>
          </w:p>
        </w:tc>
      </w:tr>
      <w:tr>
        <w:trPr/>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pPr>
            <w:r>
              <w:rPr/>
              <w:t> </w:t>
            </w:r>
          </w:p>
        </w:tc>
        <w:tc>
          <w:tcPr>
            <w:tcW w:w="8816"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Dividend Amount:</w:t>
            </w:r>
          </w:p>
        </w:tc>
        <w:tc>
          <w:tcPr>
            <w:tcW w:w="88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first Dividend on the Shares for which the ex-dividend date occurs during any regular quarterly dividend period of Counterparty, USD 0.31, and for any other Dividend on the Shares for which the ex-dividend date occurs during the same regular quarterly dividend period, USD 0.00.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Extraordinary Events: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736"/>
        <w:gridCol w:w="9409"/>
      </w:tblGrid>
      <w:tr>
        <w:trPr/>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Shares:</w:t>
            </w:r>
          </w:p>
        </w:tc>
        <w:tc>
          <w:tcPr>
            <w:tcW w:w="94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definition of New Shares in Section 12.1(i) of the Equity Definitions, the text in clause (i) thereof shall be deleted in its entirety and replaced with “publicly quoted, traded or listed on any of The New York Stock Exchange, The NASDAQ Global Market or The NASDAQ Global Select Market (or their respective successors) and of an entity or person that is a corporation organized under the laws of the United States, any State thereof or the District of Columbia”.</w:t>
            </w:r>
          </w:p>
        </w:tc>
      </w:tr>
      <w:tr>
        <w:trPr/>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c>
          <w:tcPr>
            <w:tcW w:w="940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Event:</w:t>
            </w:r>
          </w:p>
        </w:tc>
        <w:tc>
          <w:tcPr>
            <w:tcW w:w="94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Applicable; </w:t>
            </w:r>
            <w:r>
              <w:rPr>
                <w:rFonts w:ascii="Times New Roman;Times;Serif" w:hAnsi="Times New Roman;Times;Serif"/>
                <w:i/>
                <w:sz w:val="20"/>
              </w:rPr>
              <w:t>provided</w:t>
            </w:r>
            <w:r>
              <w:rPr>
                <w:rFonts w:ascii="Times New Roman;Times;Serif" w:hAnsi="Times New Roman;Times;Serif"/>
                <w:sz w:val="20"/>
              </w:rPr>
              <w:t xml:space="preserve"> that if an event occurs that constitutes both a Merger Event under Section 12.1(b) of the Equity Definitions and an Additional Termination Event under Section 8(k)(iv) of this Confirmation, Dealer may elect, in its sole discretion, whether the provisions of Section 12.2 of the Equity Definitions or Section 8(k)(iv) will apply.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Merger Events: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932"/>
        <w:gridCol w:w="9213"/>
      </w:tblGrid>
      <w:tr>
        <w:trPr/>
        <w:tc>
          <w:tcPr>
            <w:tcW w:w="60"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Share-for-Share:</w:t>
            </w:r>
          </w:p>
        </w:tc>
        <w:tc>
          <w:tcPr>
            <w:tcW w:w="9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Modified Calculation Agent Adjustment</w:t>
            </w:r>
          </w:p>
        </w:tc>
      </w:tr>
      <w:tr>
        <w:trPr/>
        <w:tc>
          <w:tcPr>
            <w:tcW w:w="60"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pPr>
            <w:r>
              <w:rPr/>
              <w:t> </w:t>
            </w:r>
          </w:p>
        </w:tc>
        <w:tc>
          <w:tcPr>
            <w:tcW w:w="921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Share-for-Other:</w:t>
            </w:r>
          </w:p>
        </w:tc>
        <w:tc>
          <w:tcPr>
            <w:tcW w:w="9213" w:type="dxa"/>
            <w:tcBorders/>
            <w:vAlign w:val="center"/>
          </w:tcPr>
          <w:p>
            <w:pPr>
              <w:pStyle w:val="TableContents"/>
              <w:bidi w:val="0"/>
              <w:spacing w:before="0" w:after="283"/>
              <w:jc w:val="both"/>
              <w:rPr/>
            </w:pPr>
            <w:r>
              <w:rPr>
                <w:rFonts w:ascii="Times New Roman;Times;Serif" w:hAnsi="Times New Roman;Times;Serif"/>
                <w:sz w:val="20"/>
              </w:rPr>
              <w:t xml:space="preserve">Cancellation and Payment (Calculation Agent Determination); </w:t>
            </w:r>
            <w:r>
              <w:rPr>
                <w:rFonts w:ascii="Times New Roman;Times;Serif" w:hAnsi="Times New Roman;Times;Serif"/>
                <w:i/>
                <w:sz w:val="20"/>
              </w:rPr>
              <w:t xml:space="preserve">provided </w:t>
            </w:r>
            <w:r>
              <w:rPr>
                <w:rFonts w:ascii="Times New Roman;Times;Serif" w:hAnsi="Times New Roman;Times;Serif"/>
                <w:sz w:val="20"/>
              </w:rPr>
              <w:t>that Dealer may elect, in its sole discretion, that Modified Calculation Agent Adjustment shall apply for all or part of the</w:t>
            </w:r>
            <w:r>
              <w:rPr/>
              <w:t xml:space="preserve"> Transaction.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04"/>
        <w:gridCol w:w="9141"/>
      </w:tblGrid>
      <w:tr>
        <w:trPr/>
        <w:tc>
          <w:tcPr>
            <w:tcW w:w="6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Share-for-Combined:</w:t>
            </w:r>
          </w:p>
        </w:tc>
        <w:tc>
          <w:tcPr>
            <w:tcW w:w="91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Cancellation and Payment (Calculation Agent Determination); </w:t>
            </w:r>
            <w:r>
              <w:rPr>
                <w:rFonts w:ascii="Times New Roman;Times;Serif" w:hAnsi="Times New Roman;Times;Serif"/>
                <w:i/>
                <w:sz w:val="20"/>
              </w:rPr>
              <w:t>provided</w:t>
            </w:r>
            <w:r>
              <w:rPr>
                <w:rFonts w:ascii="Times New Roman;Times;Serif" w:hAnsi="Times New Roman;Times;Serif"/>
                <w:sz w:val="20"/>
              </w:rPr>
              <w:t xml:space="preserve"> that Dealer may elect, in its sole discretion, that Modified Calculation Agent Adjustment or Component Adjustment shall apply for all or part of the Transaction.</w:t>
            </w:r>
          </w:p>
        </w:tc>
      </w:tr>
      <w:tr>
        <w:trPr/>
        <w:tc>
          <w:tcPr>
            <w:tcW w:w="6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Tender Offer:</w:t>
            </w:r>
          </w:p>
        </w:tc>
        <w:tc>
          <w:tcPr>
            <w:tcW w:w="91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Applicable; </w:t>
            </w:r>
            <w:r>
              <w:rPr>
                <w:rFonts w:ascii="Times New Roman;Times;Serif" w:hAnsi="Times New Roman;Times;Serif"/>
                <w:i/>
                <w:sz w:val="20"/>
              </w:rPr>
              <w:t>provided</w:t>
            </w:r>
            <w:r>
              <w:rPr>
                <w:rFonts w:ascii="Times New Roman;Times;Serif" w:hAnsi="Times New Roman;Times;Serif"/>
                <w:sz w:val="20"/>
              </w:rPr>
              <w:t xml:space="preserve"> that if an event occurs that constitutes both a Tender Offer under Section 12.1(d) of the Equity Definitions and an Additional Termination Event under Section 8(k)(iii) of this Confirmation, Dealer may elect, in its sole discretion, whether the provisions of Section 12.3 of the Equity Definitions or Section 8(k)(iii) will apply.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Tender Offers:</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0"/>
        <w:gridCol w:w="8715"/>
      </w:tblGrid>
      <w:tr>
        <w:trPr/>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Share-for-Share:</w:t>
            </w:r>
          </w:p>
        </w:tc>
        <w:tc>
          <w:tcPr>
            <w:tcW w:w="8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Modified Calculation Agent Adjustment</w:t>
            </w:r>
          </w:p>
        </w:tc>
      </w:tr>
      <w:tr>
        <w:trPr/>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Share-for-Other:</w:t>
            </w:r>
          </w:p>
        </w:tc>
        <w:tc>
          <w:tcPr>
            <w:tcW w:w="8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Modified Calculation Agent Adjustment</w:t>
            </w:r>
          </w:p>
        </w:tc>
      </w:tr>
      <w:tr>
        <w:trPr/>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Share-for-Combined:</w:t>
            </w:r>
          </w:p>
        </w:tc>
        <w:tc>
          <w:tcPr>
            <w:tcW w:w="8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Modified Calculation Agent Adjustment</w:t>
            </w:r>
          </w:p>
        </w:tc>
      </w:tr>
      <w:tr>
        <w:trPr/>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Consequences of Announcement Events:</w:t>
            </w:r>
          </w:p>
        </w:tc>
        <w:tc>
          <w:tcPr>
            <w:tcW w:w="8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Modified Calculation Agent Adjustment as set forth in Section 12.3(d) of the Equity Definitions; </w:t>
            </w:r>
            <w:r>
              <w:rPr>
                <w:rFonts w:ascii="Times New Roman;Times;Serif" w:hAnsi="Times New Roman;Times;Serif"/>
                <w:i/>
                <w:sz w:val="20"/>
              </w:rPr>
              <w:t>provided</w:t>
            </w:r>
            <w:r>
              <w:rPr>
                <w:rFonts w:ascii="Times New Roman;Times;Serif" w:hAnsi="Times New Roman;Times;Serif"/>
                <w:sz w:val="20"/>
              </w:rPr>
              <w:t xml:space="preserve"> that, in respect of an Announcement Event, (x) references to “Tender Offer” shall be replaced by references to “Announcement Event” and references to “Tender Offer Date” shall be replaced by references to “date of such Announcement Event”, (y) the word “shall” in the second line shall be replaced with “may”, and (z) for the avoidance of doubt, the Calculation Agent may determine whether the relevant Announcement Event has had an economic effect on any Component (and, if so, adjust the terms of such Component accordingly) on one or more occasions on or after the date of the Announcement Event up to, and including, the Expiration Date, any Early Termination Date and/or any other date of cancellation thereof, it being understood that any adjustment in respect of an Announcement Event shall take into account any earlier adjustment relating to the same Announcement Event. An Announcement Event shall be an “Extraordinary Event” for purposes of the Equity Definitions, to which Article 12 of the Equity Definitions is applicable.</w:t>
            </w:r>
          </w:p>
        </w:tc>
      </w:tr>
      <w:tr>
        <w:trPr/>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87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 Event:</w:t>
            </w:r>
          </w:p>
        </w:tc>
        <w:tc>
          <w:tcPr>
            <w:tcW w:w="8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The public announcement by any entity of (x) any transaction or event that, if completed, would constitute a Merger Event or Tender Offer, (y) any potential acquisition or disposition by Issuer and/or its subsidiaries where the aggregate consideration paid and/or delivered exceeds 15% of the market capitalization of Issuer as of the date of such announcement (an “</w:t>
            </w:r>
            <w:r>
              <w:rPr>
                <w:rFonts w:ascii="Times New Roman;Times;Serif" w:hAnsi="Times New Roman;Times;Serif"/>
                <w:b/>
                <w:sz w:val="20"/>
              </w:rPr>
              <w:t>Transformative Transaction</w:t>
            </w:r>
            <w:r>
              <w:rPr>
                <w:rFonts w:ascii="Times New Roman;Times;Serif" w:hAnsi="Times New Roman;Times;Serif"/>
                <w:sz w:val="20"/>
              </w:rPr>
              <w:t>”) or (z) the intention to enter into a Merger Event or Tender Offer or an Transformative Transaction, (ii) the public announcement by Issuer of an intention to solicit or enter into, or to explore strategic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47"/>
        <w:gridCol w:w="8898"/>
      </w:tblGrid>
      <w:tr>
        <w:trPr/>
        <w:tc>
          <w:tcPr>
            <w:tcW w:w="60"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left"/>
              <w:rPr>
                <w:sz w:val="4"/>
                <w:szCs w:val="4"/>
              </w:rPr>
            </w:pPr>
            <w:r>
              <w:rPr>
                <w:sz w:val="4"/>
                <w:szCs w:val="4"/>
              </w:rPr>
            </w:r>
          </w:p>
        </w:tc>
        <w:tc>
          <w:tcPr>
            <w:tcW w:w="8898" w:type="dxa"/>
            <w:tcBorders/>
            <w:vAlign w:val="center"/>
          </w:tcPr>
          <w:p>
            <w:pPr>
              <w:pStyle w:val="TableContents"/>
              <w:bidi w:val="0"/>
              <w:spacing w:before="0" w:after="283"/>
              <w:jc w:val="both"/>
              <w:rPr/>
            </w:pPr>
            <w:r>
              <w:rPr/>
              <w:t>alternatives or other similar undertaking that may include, a Merger Event or Tender Offer or an Transformative Transaction or (iii) any subsequent public announcement by any entity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the remainder of the definition of “Merger Event” in Section 12.1(b) of the Equity Definitions following the definition of “Reverse Merger” therein shall be disregarded.</w:t>
            </w:r>
          </w:p>
        </w:tc>
      </w:tr>
      <w:tr>
        <w:trPr/>
        <w:tc>
          <w:tcPr>
            <w:tcW w:w="60"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247" w:type="dxa"/>
            <w:tcBorders/>
            <w:vAlign w:val="center"/>
          </w:tcPr>
          <w:p>
            <w:pPr>
              <w:pStyle w:val="TableContents"/>
              <w:bidi w:val="0"/>
              <w:spacing w:before="0" w:after="283"/>
              <w:jc w:val="left"/>
              <w:rPr/>
            </w:pPr>
            <w:r>
              <w:rPr/>
              <w:t>Modified Calculation Agent Adjustment:</w:t>
            </w:r>
          </w:p>
        </w:tc>
        <w:tc>
          <w:tcPr>
            <w:tcW w:w="8898" w:type="dxa"/>
            <w:tcBorders/>
            <w:vAlign w:val="center"/>
          </w:tcPr>
          <w:p>
            <w:pPr>
              <w:pStyle w:val="TableContents"/>
              <w:bidi w:val="0"/>
              <w:spacing w:before="0" w:after="283"/>
              <w:jc w:val="both"/>
              <w:rPr/>
            </w:pPr>
            <w:r>
              <w:rPr/>
              <w:t>If, in respect of a Merger Event, the Counterparty under the Transaction following such Merger Event will not be the issuer of the New Shares, the Dealer may elect (in its sole discretion) for Cancellation and Payment (Calculation Agent Determination) to apply. In addition, if, in respect of any Merger Event to which Modified Calculation Agent Adjustment applies, the adjustments to be made in accordance with Section 12.2(e)(i) of the Equity Definitions would result in Counterparty being different from the issuer of the Shares, then with respect to such Merger Event, as a condition precedent to the adjustments contemplated in Section 12.2(e)(i) of the Equity Definitions, Counterparty and the issuer of the Shares shall, prior to the Merger Date, have entered into such documentation containing representations, warranties and agreements relating to securities law and other issues as requested by Dealer that Dealer has determined, in its reasonable discretion, to be reasonably necessary or appropriate to allow Dealer to continue as a party to the Transaction, as adjusted under Section 12.2(e)(i) of the Equity Definitions, and to preserve its hedging or hedge unwind activities in connection with the Transaction in a manner compliant with applicable legal, regulatory or self-regulatory requirements, or with related policies and procedures applicable to Dealer (whether or not such requirements or related policies and procedures are imposed by law or have been voluntarily adopted by Dealer), and if such conditions are not met or if the Calculation Agent determines that no adjustment that it could make under Section 12.2(e)(i) of the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57"/>
        <w:gridCol w:w="8488"/>
      </w:tblGrid>
      <w:tr>
        <w:trPr/>
        <w:tc>
          <w:tcPr>
            <w:tcW w:w="60"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sz w:val="4"/>
                <w:szCs w:val="4"/>
              </w:rPr>
            </w:pPr>
            <w:r>
              <w:rPr>
                <w:sz w:val="4"/>
                <w:szCs w:val="4"/>
              </w:rPr>
            </w:r>
          </w:p>
        </w:tc>
        <w:tc>
          <w:tcPr>
            <w:tcW w:w="84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 Definitions will produce a commercially reasonable result, then the consequences set forth in Section 12.2(e)(ii) of the Equity Definitions shall apply.</w:t>
            </w:r>
          </w:p>
        </w:tc>
      </w:tr>
      <w:tr>
        <w:trPr/>
        <w:tc>
          <w:tcPr>
            <w:tcW w:w="60"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848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Composition of Combined Consideration:</w:t>
            </w:r>
          </w:p>
        </w:tc>
        <w:tc>
          <w:tcPr>
            <w:tcW w:w="84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in the Equity Definitions, if the composition of Combined Consideration in respect of any Share-for-Combined Merger Event could be determined by a holder of Shares, Dealer shall determine the composition of such Combined Consideration assumed for purposes of adjustments and deliveries hereunder in its sole discretion.</w:t>
            </w:r>
          </w:p>
        </w:tc>
      </w:tr>
      <w:tr>
        <w:trPr/>
        <w:tc>
          <w:tcPr>
            <w:tcW w:w="60"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pPr>
            <w:r>
              <w:rPr/>
              <w:t> </w:t>
            </w:r>
          </w:p>
        </w:tc>
        <w:tc>
          <w:tcPr>
            <w:tcW w:w="8488"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Nationalization, Insolvency or Delisting:</w:t>
            </w:r>
          </w:p>
        </w:tc>
        <w:tc>
          <w:tcPr>
            <w:tcW w:w="84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Cancellation and Payment (Calculation Agent Determination); </w:t>
            </w:r>
            <w:r>
              <w:rPr>
                <w:rFonts w:ascii="Times New Roman;Times;Serif" w:hAnsi="Times New Roman;Times;Serif"/>
                <w:i/>
                <w:sz w:val="20"/>
              </w:rPr>
              <w:t>provided</w:t>
            </w:r>
            <w:r>
              <w:rPr>
                <w:rFonts w:ascii="Times New Roman;Times;Serif" w:hAnsi="Times New Roman;Times;Serif"/>
                <w:sz w:val="20"/>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303"/>
        <w:gridCol w:w="8842"/>
      </w:tblGrid>
      <w:tr>
        <w:trPr/>
        <w:tc>
          <w:tcPr>
            <w:tcW w:w="60"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Termination Event(s):</w:t>
            </w:r>
          </w:p>
        </w:tc>
        <w:tc>
          <w:tcPr>
            <w:tcW w:w="88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Disruption Events:</w:t>
      </w:r>
    </w:p>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523"/>
        <w:gridCol w:w="9682"/>
      </w:tblGrid>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Change in Law:</w:t>
            </w:r>
          </w:p>
        </w:tc>
        <w:tc>
          <w:tcPr>
            <w:tcW w:w="96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provided 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 and provided further that Section 12.9(a)(ii) of the Equity Definitions is hereby amended by (i) replacing the parenthetical beginning after the word “regulation” in the second line thereof with the phrase “(including, for the avoidance of doubt and without limitation, (x) any tax law or (y) adoption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promulgation of new regulations authorized or mandated by existing statute)” and (ii) adding the words “, or holding, acquiring or disposing of Shares or any Hedge Positions relating to,” after the words “obligations under” in clause (Y) thereof.</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3040" w:type="dxa"/>
        <w:jc w:val="left"/>
        <w:tblInd w:w="0" w:type="dxa"/>
        <w:tblLayout w:type="fixed"/>
        <w:tblCellMar>
          <w:top w:w="0" w:type="dxa"/>
          <w:left w:w="0" w:type="dxa"/>
          <w:bottom w:w="0" w:type="dxa"/>
          <w:right w:w="0" w:type="dxa"/>
        </w:tblCellMar>
      </w:tblPr>
      <w:tblGrid>
        <w:gridCol w:w="1775"/>
        <w:gridCol w:w="1265"/>
      </w:tblGrid>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Failure to Deliver:</w:t>
            </w:r>
          </w:p>
        </w:tc>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2695" w:type="dxa"/>
        <w:jc w:val="left"/>
        <w:tblInd w:w="0" w:type="dxa"/>
        <w:tblLayout w:type="fixed"/>
        <w:tblCellMar>
          <w:top w:w="0" w:type="dxa"/>
          <w:left w:w="0" w:type="dxa"/>
          <w:bottom w:w="0" w:type="dxa"/>
          <w:right w:w="0" w:type="dxa"/>
        </w:tblCellMar>
      </w:tblPr>
      <w:tblGrid>
        <w:gridCol w:w="1775"/>
        <w:gridCol w:w="920"/>
      </w:tblGrid>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 Insolvency Filing:</w:t>
            </w:r>
          </w:p>
        </w:tc>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4150" w:type="dxa"/>
        <w:jc w:val="left"/>
        <w:tblInd w:w="0" w:type="dxa"/>
        <w:tblLayout w:type="fixed"/>
        <w:tblCellMar>
          <w:top w:w="0" w:type="dxa"/>
          <w:left w:w="0" w:type="dxa"/>
          <w:bottom w:w="0" w:type="dxa"/>
          <w:right w:w="0" w:type="dxa"/>
        </w:tblCellMar>
      </w:tblPr>
      <w:tblGrid>
        <w:gridCol w:w="1970"/>
        <w:gridCol w:w="2180"/>
      </w:tblGrid>
      <w:tr>
        <w:trPr/>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 Hedging Disruption:</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Applicable; </w:t>
            </w:r>
            <w:r>
              <w:rPr>
                <w:rFonts w:ascii="Times New Roman;Times;Serif" w:hAnsi="Times New Roman;Times;Serif"/>
                <w:i/>
                <w:sz w:val="20"/>
              </w:rPr>
              <w:t>provided</w:t>
            </w:r>
            <w:r>
              <w:rPr>
                <w:rFonts w:ascii="Times New Roman;Times;Serif" w:hAnsi="Times New Roman;Times;Serif"/>
                <w:sz w:val="20"/>
              </w:rPr>
              <w:t xml:space="preserve"> that:</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5598" w:type="dxa"/>
        <w:jc w:val="left"/>
        <w:tblInd w:w="0" w:type="dxa"/>
        <w:tblLayout w:type="fixed"/>
        <w:tblCellMar>
          <w:top w:w="0" w:type="dxa"/>
          <w:left w:w="0" w:type="dxa"/>
          <w:bottom w:w="0" w:type="dxa"/>
          <w:right w:w="0" w:type="dxa"/>
        </w:tblCellMar>
      </w:tblPr>
      <w:tblGrid>
        <w:gridCol w:w="23"/>
        <w:gridCol w:w="245"/>
        <w:gridCol w:w="53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 </w:t>
            </w:r>
          </w:p>
        </w:tc>
        <w:tc>
          <w:tcPr>
            <w:tcW w:w="5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12.9(a)(v) of the Equity Definitions is hereby amended by</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208"/>
        <w:gridCol w:w="9937"/>
      </w:tblGrid>
      <w:tr>
        <w:trPr/>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inserting the following words at the end of clause (A) thereof: “in the manner contemplated by the Hedging Party on the Trade Date” and</w:t>
            </w:r>
          </w:p>
        </w:tc>
      </w:tr>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3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inserting the following paragraphs at the end of such Section:</w:t>
            </w:r>
          </w:p>
        </w:tc>
      </w:tr>
      <w:tr>
        <w:trPr/>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937"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both"/>
              <w:rPr/>
            </w:pPr>
            <w:r>
              <w:rPr/>
              <w:t> </w:t>
            </w:r>
          </w:p>
        </w:tc>
        <w:tc>
          <w:tcPr>
            <w:tcW w:w="9937" w:type="dxa"/>
            <w:tcBorders/>
            <w:vAlign w:val="center"/>
          </w:tcPr>
          <w:p>
            <w:pPr>
              <w:pStyle w:val="TableContents"/>
              <w:bidi w:val="0"/>
              <w:spacing w:before="0" w:after="283"/>
              <w:jc w:val="both"/>
              <w:rPr/>
            </w:pPr>
            <w:r>
              <w:rPr/>
              <w:t>“</w:t>
            </w:r>
            <w:r>
              <w:rPr>
                <w:rFonts w:ascii="Times New Roman;Times;Serif" w:hAnsi="Times New Roman;Times;Serif"/>
                <w:sz w:val="20"/>
              </w:rPr>
              <w:t>Such inability described in clauses (A) or (B) above shall not constitute a “Hedging Disruption” if such inability results from Hedging Party’s creditworthiness.</w:t>
            </w:r>
          </w:p>
        </w:tc>
      </w:tr>
      <w:tr>
        <w:trPr/>
        <w:tc>
          <w:tcPr>
            <w:tcW w:w="60" w:type="dxa"/>
            <w:tcBorders/>
            <w:vAlign w:val="center"/>
          </w:tcPr>
          <w:p>
            <w:pPr>
              <w:pStyle w:val="TableContents"/>
              <w:bidi w:val="0"/>
              <w:spacing w:before="0" w:after="283"/>
              <w:jc w:val="both"/>
              <w:rPr/>
            </w:pPr>
            <w:r>
              <w:rPr/>
              <w:t> </w:t>
            </w:r>
          </w:p>
        </w:tc>
        <w:tc>
          <w:tcPr>
            <w:tcW w:w="208" w:type="dxa"/>
            <w:tcBorders/>
            <w:vAlign w:val="center"/>
          </w:tcPr>
          <w:p>
            <w:pPr>
              <w:pStyle w:val="TableContents"/>
              <w:bidi w:val="0"/>
              <w:spacing w:before="0" w:after="283"/>
              <w:jc w:val="both"/>
              <w:rPr/>
            </w:pPr>
            <w:r>
              <w:rPr/>
              <w:t> </w:t>
            </w:r>
          </w:p>
        </w:tc>
        <w:tc>
          <w:tcPr>
            <w:tcW w:w="9937"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both"/>
              <w:rPr/>
            </w:pPr>
            <w:r>
              <w:rPr/>
              <w:t> </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Section 12.9(b)(iii) of the Equity Definitions is hereby amended by inserting in the third line thereof, after the words “to terminate the Transaction”, the words “or a portion of the Transaction affected by such Hedging Disruption”.</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09"/>
        <w:gridCol w:w="9196"/>
      </w:tblGrid>
      <w:tr>
        <w:trPr/>
        <w:tc>
          <w:tcPr>
            <w:tcW w:w="10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 Increased Cost of Hedging:</w:t>
            </w:r>
          </w:p>
        </w:tc>
        <w:tc>
          <w:tcPr>
            <w:tcW w:w="91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Applicable; </w:t>
            </w:r>
            <w:r>
              <w:rPr>
                <w:rFonts w:ascii="Times New Roman;Times;Serif" w:hAnsi="Times New Roman;Times;Serif"/>
                <w:i/>
                <w:sz w:val="20"/>
              </w:rPr>
              <w:t>provided</w:t>
            </w:r>
            <w:r>
              <w:rPr>
                <w:rFonts w:ascii="Times New Roman;Times;Serif" w:hAnsi="Times New Roman;Times;Serif"/>
                <w:sz w:val="20"/>
              </w:rPr>
              <w:t xml:space="preserve"> that (i) that such increased cost described in Section 12.9(vi) of the Equity Definitions shall not constitute an “Increased Cost of Hedging” if such increased cost results from Hedging Party’s creditworthiness, and (ii) the following parenthetical shall be inserted immediately following the word “expense” in the third line of Section 12.9(a)(vi) of the Equity Definitions: “(including, for the avoidance of doubt, the incurrence of any stock borrow expense in excess of Hedging Party’s expectation as of the Trade Date, other than to the extent resulting from an Increased Cost of Stock Borrow)”.</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2965" w:type="dxa"/>
        <w:jc w:val="left"/>
        <w:tblInd w:w="0" w:type="dxa"/>
        <w:tblLayout w:type="fixed"/>
        <w:tblCellMar>
          <w:top w:w="0" w:type="dxa"/>
          <w:left w:w="0" w:type="dxa"/>
          <w:bottom w:w="0" w:type="dxa"/>
          <w:right w:w="0" w:type="dxa"/>
        </w:tblCellMar>
      </w:tblPr>
      <w:tblGrid>
        <w:gridCol w:w="2045"/>
        <w:gridCol w:w="920"/>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 Loss of Stock Borrow:</w:t>
            </w:r>
          </w:p>
        </w:tc>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900"/>
        <w:gridCol w:w="1490"/>
      </w:tblGrid>
      <w:tr>
        <w:trPr/>
        <w:tc>
          <w:tcPr>
            <w:tcW w:w="2900" w:type="dxa"/>
            <w:tcBorders/>
            <w:vAlign w:val="center"/>
          </w:tcPr>
          <w:p>
            <w:pPr>
              <w:pStyle w:val="TableContents"/>
              <w:bidi w:val="0"/>
              <w:spacing w:before="0" w:after="283"/>
              <w:jc w:val="left"/>
              <w:rPr/>
            </w:pPr>
            <w:r>
              <w:rPr/>
              <w:t>  </w:t>
            </w:r>
            <w:r>
              <w:rPr>
                <w:rFonts w:ascii="Times New Roman;Times;Serif" w:hAnsi="Times New Roman;Times;Serif"/>
                <w:sz w:val="20"/>
              </w:rPr>
              <w:t>Maximum Stock Loan Rate:</w:t>
            </w:r>
          </w:p>
        </w:tc>
        <w:tc>
          <w:tcPr>
            <w:tcW w:w="1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2.00 % per annum</w:t>
            </w:r>
          </w:p>
        </w:tc>
      </w:tr>
      <w:tr>
        <w:trPr/>
        <w:tc>
          <w:tcPr>
            <w:tcW w:w="290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 Increased Cost of Stock Borrow:</w:t>
            </w:r>
          </w:p>
        </w:tc>
        <w:tc>
          <w:tcPr>
            <w:tcW w:w="1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8080" w:type="dxa"/>
        <w:jc w:val="left"/>
        <w:tblInd w:w="0" w:type="dxa"/>
        <w:tblLayout w:type="fixed"/>
        <w:tblCellMar>
          <w:top w:w="0" w:type="dxa"/>
          <w:left w:w="0" w:type="dxa"/>
          <w:bottom w:w="0" w:type="dxa"/>
          <w:right w:w="0" w:type="dxa"/>
        </w:tblCellMar>
      </w:tblPr>
      <w:tblGrid>
        <w:gridCol w:w="1970"/>
        <w:gridCol w:w="6110"/>
      </w:tblGrid>
      <w:tr>
        <w:trPr/>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Stock Loan Rate:</w:t>
            </w:r>
          </w:p>
        </w:tc>
        <w:tc>
          <w:tcPr>
            <w:tcW w:w="6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to January 16, 2030, 0% per annum, and thereafter, 0.25 % per annum.</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5710" w:type="dxa"/>
        <w:jc w:val="left"/>
        <w:tblInd w:w="0" w:type="dxa"/>
        <w:tblLayout w:type="fixed"/>
        <w:tblCellMar>
          <w:top w:w="0" w:type="dxa"/>
          <w:left w:w="0" w:type="dxa"/>
          <w:bottom w:w="0" w:type="dxa"/>
          <w:right w:w="0" w:type="dxa"/>
        </w:tblCellMar>
      </w:tblPr>
      <w:tblGrid>
        <w:gridCol w:w="1250"/>
        <w:gridCol w:w="4460"/>
      </w:tblGrid>
      <w:tr>
        <w:trPr/>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Hedging Party:</w:t>
            </w:r>
          </w:p>
        </w:tc>
        <w:tc>
          <w:tcPr>
            <w:tcW w:w="4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Dealer for all applicable Additional Disruption Events.</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106"/>
        <w:gridCol w:w="9099"/>
      </w:tblGrid>
      <w:tr>
        <w:trPr/>
        <w:tc>
          <w:tcPr>
            <w:tcW w:w="11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Determining Party:</w:t>
            </w:r>
          </w:p>
        </w:tc>
        <w:tc>
          <w:tcPr>
            <w:tcW w:w="90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Dealer for all applicable Additional Disruption Events. </w:t>
            </w:r>
            <w:r>
              <w:rPr>
                <w:rFonts w:ascii="Times New Roman;Times;Serif" w:hAnsi="Times New Roman;Times;Serif"/>
                <w:sz w:val="20"/>
                <w:shd w:fill="FFFFFF" w:val="clear"/>
              </w:rPr>
              <w:t xml:space="preserve">All calculations and determinations by the Determining Party shall be made in good faith and in a commercially reasonable manner. Following any calculation by the Determining Party hereunder, upon written request by Counterparty, the Determining Party will, within five Exchange Business Days immediately following such request, provide to Counterparty a report </w:t>
            </w:r>
            <w:r>
              <w:rPr>
                <w:rFonts w:ascii="Times New Roman;Times;Serif" w:hAnsi="Times New Roman;Times;Serif"/>
                <w:sz w:val="20"/>
              </w:rPr>
              <w:t xml:space="preserve">(in a commonly used file format for the storage and manipulation of financial data) </w:t>
            </w:r>
            <w:r>
              <w:rPr>
                <w:rFonts w:ascii="Times New Roman;Times;Serif" w:hAnsi="Times New Roman;Times;Serif"/>
                <w:sz w:val="20"/>
                <w:shd w:fill="FFFFFF" w:val="clear"/>
              </w:rPr>
              <w:t xml:space="preserve">displaying in reasonable detail the basis for such calculation; </w:t>
            </w:r>
            <w:r>
              <w:rPr>
                <w:rFonts w:ascii="Times New Roman;Times;Serif" w:hAnsi="Times New Roman;Times;Serif"/>
                <w:i/>
                <w:sz w:val="20"/>
                <w:shd w:fill="FFFFFF" w:val="clear"/>
              </w:rPr>
              <w:t>provided, however</w:t>
            </w:r>
            <w:r>
              <w:rPr>
                <w:rFonts w:ascii="Times New Roman;Times;Serif" w:hAnsi="Times New Roman;Times;Serif"/>
                <w:sz w:val="20"/>
                <w:shd w:fill="FFFFFF" w:val="clear"/>
              </w:rPr>
              <w:t>, that in no event will the Determining Party be obligated to share with Counterparty any proprietary or confidential data or information or any proprietary or confidential models used by it.</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2125" w:type="dxa"/>
        <w:jc w:val="left"/>
        <w:tblInd w:w="0" w:type="dxa"/>
        <w:tblLayout w:type="fixed"/>
        <w:tblCellMar>
          <w:top w:w="0" w:type="dxa"/>
          <w:left w:w="0" w:type="dxa"/>
          <w:bottom w:w="0" w:type="dxa"/>
          <w:right w:w="0" w:type="dxa"/>
        </w:tblCellMar>
      </w:tblPr>
      <w:tblGrid>
        <w:gridCol w:w="1205"/>
        <w:gridCol w:w="920"/>
      </w:tblGrid>
      <w:tr>
        <w:trPr/>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Non-Reliance:</w:t>
            </w:r>
          </w:p>
        </w:tc>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and Acknowledgments</w:t>
      </w:r>
    </w:p>
    <w:tbl>
      <w:tblPr>
        <w:tblW w:w="3445" w:type="dxa"/>
        <w:jc w:val="left"/>
        <w:tblInd w:w="0" w:type="dxa"/>
        <w:tblLayout w:type="fixed"/>
        <w:tblCellMar>
          <w:top w:w="0" w:type="dxa"/>
          <w:left w:w="0" w:type="dxa"/>
          <w:bottom w:w="0" w:type="dxa"/>
          <w:right w:w="0" w:type="dxa"/>
        </w:tblCellMar>
      </w:tblPr>
      <w:tblGrid>
        <w:gridCol w:w="2525"/>
        <w:gridCol w:w="920"/>
      </w:tblGrid>
      <w:tr>
        <w:trPr/>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Regarding Hedging Activities:</w:t>
            </w:r>
          </w:p>
        </w:tc>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3445" w:type="dxa"/>
        <w:jc w:val="left"/>
        <w:tblInd w:w="0" w:type="dxa"/>
        <w:tblLayout w:type="fixed"/>
        <w:tblCellMar>
          <w:top w:w="0" w:type="dxa"/>
          <w:left w:w="0" w:type="dxa"/>
          <w:bottom w:w="0" w:type="dxa"/>
          <w:right w:w="0" w:type="dxa"/>
        </w:tblCellMar>
      </w:tblPr>
      <w:tblGrid>
        <w:gridCol w:w="2525"/>
        <w:gridCol w:w="920"/>
      </w:tblGrid>
      <w:tr>
        <w:trPr/>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Acknowledgments:</w:t>
            </w:r>
          </w:p>
        </w:tc>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Applicable</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096"/>
        <w:gridCol w:w="9109"/>
      </w:tblGrid>
      <w:tr>
        <w:trPr/>
        <w:tc>
          <w:tcPr>
            <w:tcW w:w="10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3.            </w:t>
            </w:r>
            <w:r>
              <w:rPr>
                <w:rFonts w:ascii="Times New Roman;Times;Serif" w:hAnsi="Times New Roman;Times;Serif"/>
                <w:sz w:val="20"/>
                <w:u w:val="single"/>
              </w:rPr>
              <w:t>Calculation Agent</w:t>
            </w:r>
            <w:r>
              <w:rPr>
                <w:rFonts w:ascii="Times New Roman;Times;Serif" w:hAnsi="Times New Roman;Times;Serif"/>
                <w:sz w:val="20"/>
              </w:rPr>
              <w:t>:</w:t>
            </w:r>
          </w:p>
        </w:tc>
        <w:tc>
          <w:tcPr>
            <w:tcW w:w="91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Dealer; </w:t>
            </w:r>
            <w:r>
              <w:rPr>
                <w:rFonts w:ascii="Times New Roman;Times;Serif" w:hAnsi="Times New Roman;Times;Serif"/>
                <w:i/>
                <w:sz w:val="20"/>
              </w:rPr>
              <w:t>provided that</w:t>
            </w:r>
            <w:r>
              <w:rPr>
                <w:rFonts w:ascii="Times New Roman;Times;Serif" w:hAnsi="Times New Roman;Times;Serif"/>
                <w:sz w:val="20"/>
              </w:rPr>
              <w: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obligations of the Calculation Agent hereunder and such failure continues for five Exchange Business Days following notice to the Calculation Agent by Counterparty of such failure, Counterparty shall have the right to designate a nationally recognize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Calculation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both"/>
              <w:rPr/>
            </w:pPr>
            <w:r>
              <w:rPr/>
              <w:t xml:space="preserve">Following any calculation by the Calculation Agent hereunder, upon written request by Counterparty, the Calculation Agent will, within five Exchange Business Days immediately following such request, provide to Counterparty by email to the email address provided by Counterparty in such written request a report (in a commonly used file format for the storage and manipulation of financial data) displaying in reasonable detail the basis for such calculation; </w:t>
            </w:r>
            <w:r>
              <w:rPr>
                <w:i/>
              </w:rPr>
              <w:t>provided that</w:t>
            </w:r>
            <w:r>
              <w:rPr/>
              <w:t xml:space="preserve"> in no event will Dealer be obligated to share with Counterparty any proprietary or confidential data or information or any proprietary or confidential models used by it or any information that is subject to an obligation not to disclose such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Account Details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Payment Instructions:</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085"/>
        <w:gridCol w:w="60"/>
        <w:gridCol w:w="3185"/>
      </w:tblGrid>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r>
              <w:rPr>
                <w:rFonts w:ascii="Times New Roman;Times;Serif" w:hAnsi="Times New Roman;Times;Serif"/>
                <w:sz w:val="20"/>
              </w:rPr>
              <w:t>JPMorgan Chase Bank, N.A.</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ABA#:</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r>
              <w:rPr>
                <w:rFonts w:ascii="Times New Roman;Times;Serif" w:hAnsi="Times New Roman;Times;Serif"/>
                <w:sz w:val="20"/>
              </w:rPr>
              <w:t>021000021</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Acct No.:</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r>
              <w:rPr>
                <w:rFonts w:ascii="Times New Roman;Times;Serif" w:hAnsi="Times New Roman;Times;Serif"/>
                <w:sz w:val="20"/>
              </w:rPr>
              <w:t>099997979</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Beneficiary: </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JPMorgan Chase Bank, N.A. New York</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r>
              <w:rPr>
                <w:rFonts w:ascii="Times New Roman;Times;Serif" w:hAnsi="Times New Roman;Times;Serif"/>
                <w:sz w:val="20"/>
              </w:rPr>
              <w:t>Derivatives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for delivery of Shares to Dealer: To be provided by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Payment Instructions: To be provided by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Dealer for the Transaction is: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National Association</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Branch</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 Madison Avenue</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Counterparty for the Transaction is: Inapplicable, Counterparty is not a Multibranch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For purposes of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Address for notices or communications to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 Suite 150</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MN 55347</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Kathy Hiebert,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Address for notices or communications to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4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National Association</w:t>
      </w:r>
    </w:p>
    <w:p>
      <w:pPr>
        <w:pStyle w:val="TextBody"/>
        <w:bidi w:val="0"/>
        <w:spacing w:before="0" w:after="0"/>
        <w:ind w:left="324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EDG Marketing Support</w:t>
      </w:r>
    </w:p>
    <w:tbl>
      <w:tblPr>
        <w:tblW w:w="5650" w:type="dxa"/>
        <w:jc w:val="left"/>
        <w:tblInd w:w="0" w:type="dxa"/>
        <w:tblLayout w:type="fixed"/>
        <w:tblCellMar>
          <w:top w:w="0" w:type="dxa"/>
          <w:left w:w="0" w:type="dxa"/>
          <w:bottom w:w="0" w:type="dxa"/>
          <w:right w:w="0" w:type="dxa"/>
        </w:tblCellMar>
      </w:tblPr>
      <w:tblGrid>
        <w:gridCol w:w="60"/>
        <w:gridCol w:w="1475"/>
        <w:gridCol w:w="4115"/>
      </w:tblGrid>
      <w:tr>
        <w:trPr/>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Email:</w:t>
            </w:r>
          </w:p>
        </w:tc>
        <w:tc>
          <w:tcPr>
            <w:tcW w:w="4115" w:type="dxa"/>
            <w:tcBorders/>
            <w:vAlign w:val="center"/>
          </w:tcPr>
          <w:p>
            <w:pPr>
              <w:pStyle w:val="TableContents"/>
              <w:bidi w:val="0"/>
              <w:spacing w:before="0" w:after="283"/>
              <w:jc w:val="left"/>
              <w:rPr/>
            </w:pPr>
            <w:r>
              <w:rPr/>
              <w:t>edg_notices@jpmorgan.com</w:t>
            </w:r>
          </w:p>
        </w:tc>
      </w:tr>
      <w:tr>
        <w:trPr/>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edg.us.flow.corporates.mo@jpmorgan.com</w:t>
            </w:r>
          </w:p>
        </w:tc>
      </w:tr>
      <w:tr>
        <w:trPr/>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With a copy to:</w:t>
            </w:r>
          </w:p>
        </w:tc>
        <w:tc>
          <w:tcPr>
            <w:tcW w:w="411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60"/>
        <w:gridCol w:w="965"/>
        <w:gridCol w:w="3020"/>
      </w:tblGrid>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Attention:</w:t>
            </w:r>
          </w:p>
        </w:tc>
        <w:tc>
          <w:tcPr>
            <w:tcW w:w="3020" w:type="dxa"/>
            <w:tcBorders/>
            <w:vAlign w:val="center"/>
          </w:tcPr>
          <w:p>
            <w:pPr>
              <w:pStyle w:val="TableContents"/>
              <w:bidi w:val="0"/>
              <w:spacing w:before="0" w:after="283"/>
              <w:jc w:val="left"/>
              <w:rPr/>
            </w:pPr>
            <w:r>
              <w:rPr/>
              <w:t>Mr. Gaurav Maria</w:t>
            </w:r>
          </w:p>
        </w:tc>
      </w:tr>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Title:</w:t>
            </w:r>
          </w:p>
        </w:tc>
        <w:tc>
          <w:tcPr>
            <w:tcW w:w="3020" w:type="dxa"/>
            <w:tcBorders/>
            <w:vAlign w:val="center"/>
          </w:tcPr>
          <w:p>
            <w:pPr>
              <w:pStyle w:val="TableContents"/>
              <w:bidi w:val="0"/>
              <w:spacing w:before="0" w:after="283"/>
              <w:jc w:val="left"/>
              <w:rPr/>
            </w:pPr>
            <w:r>
              <w:rPr/>
              <w:t>Managing Director</w:t>
            </w:r>
          </w:p>
        </w:tc>
      </w:tr>
      <w:tr>
        <w:trPr/>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Email:</w:t>
            </w:r>
          </w:p>
        </w:tc>
        <w:tc>
          <w:tcPr>
            <w:tcW w:w="3020" w:type="dxa"/>
            <w:tcBorders/>
            <w:vAlign w:val="center"/>
          </w:tcPr>
          <w:p>
            <w:pPr>
              <w:pStyle w:val="TableContents"/>
              <w:bidi w:val="0"/>
              <w:spacing w:before="0" w:after="283"/>
              <w:jc w:val="left"/>
              <w:rPr/>
            </w:pPr>
            <w:r>
              <w:rPr/>
              <w:t>gaurav.x.maria@jpmorgan.com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Warranties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Trade Date and as of the date of any Notice of Share Termination under (and as defined in) Section 8(b)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or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(or any successor issue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302A.673 of the Minnesota Business Corporations Act as an “interested shareholder”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On the Trade Date and the Premium Payment Date (A) the assets of Counterparty at their fair valuation exceed the liabilities of Counterparty, including contingent liabilities, (B) the capital of Counterparty is adequate to conduct the business of Counterparty and (C) Counterparty has the ability to pay its debts and obligations as such debts mature and does not intend to, or does not believe that it will, incur debt beyond its ability to pay as such debts mature.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Counterparty shall not take any action to decrease the number of Available Shares below the Capped Number (each as defined below, but without giving effect to the limitation on adjustments to the Capped Number set forth in the proviso in the first sentence of Section ‎8(f)).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representations and warranties of Counterparty set forth in Section 3 of the Agreement and Section 1 of the Purchase Agreement dated as of the Trade Date between Goldman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Sachs &amp; Co. LLC and BMO Capital Markets Corp. as the representatives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of the Initial Purchasers and Counterparty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are true and correct as of the Trade Date and the Effective Date and are hereby deemed to be repeated to Dealer as if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(x) (A) On the Trade Date, the Shares or securities that are convertible into, or exchangeable or exercisable for Shares, are not, and shall not be, subject to a “restricted period,” as such term is defined in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 and (y)(A) during the period starting on the first Expiration Date and ending on the last Expiration Date (the “</w:t>
      </w:r>
      <w:r>
        <w:rPr>
          <w:rFonts w:ascii="Times New Roman;Times;Serif" w:hAnsi="Times New Roman;Times;Serif"/>
          <w:b/>
          <w:i w:val="false"/>
          <w:caps w:val="false"/>
          <w:smallCaps w:val="false"/>
          <w:sz w:val="20"/>
        </w:rPr>
        <w:t>Settlement Period</w:t>
      </w:r>
      <w:r>
        <w:rPr>
          <w:rFonts w:ascii="Times New Roman;Times;Serif" w:hAnsi="Times New Roman;Times;Serif"/>
          <w:b w:val="false"/>
          <w:i w:val="false"/>
          <w:caps w:val="false"/>
          <w:smallCaps w:val="false"/>
          <w:sz w:val="20"/>
        </w:rPr>
        <w:t>”), the Shares or securities that are convertible into, or exchangeable or exercisable for Shares, are not, and shall not be, subject to a “restricted period,” as defined in Regulation M and (B) Counterparty shall not engage in any “distribution,” as such term is defined in Regulation M until the second Exchange Business Day immediately following the Settlement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(x) On the Trade Date, (y) during the Settlement Period and (z) on any other Exercise Date, neither Counterparty nor any “affiliate” or “affiliated purchaser” (each as defined in Rule 10b-18 of the Exchange Act (“</w:t>
      </w:r>
      <w:r>
        <w:rPr>
          <w:rFonts w:ascii="Times New Roman;Times;Serif" w:hAnsi="Times New Roman;Times;Serif"/>
          <w:b/>
          <w:i w:val="false"/>
          <w:caps w:val="false"/>
          <w:smallCaps w:val="false"/>
          <w:sz w:val="20"/>
        </w:rPr>
        <w:t>Rule 10b-18</w:t>
      </w:r>
      <w:r>
        <w:rPr>
          <w:rFonts w:ascii="Times New Roman;Times;Serif" w:hAnsi="Times New Roman;Times;Serif"/>
          <w:b w:val="false"/>
          <w:i w:val="false"/>
          <w:caps w:val="false"/>
          <w:smallCaps w:val="false"/>
          <w:sz w:val="20"/>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Counterparty agrees that it (A) will not during the Settlement Period make, or permit to be made, any public announcement (as defined in Rule 165(f) under the Securities Act) of any Merger Transaction or potential Merger Transaction unless such public announcement is made prior to the opening or after the close of the regular trading session on the Exchange for the Shares; (B) shall promptly (but in any event prior to the next opening of the regular trading session on the Exchange) notify Dealer following any such announcement that such announcement has been made; and (C) shall promptly (but in any event prior to the next opening of the regular trading session on the Exchange) provide Dealer with written notice specifying (i) Counterparty’s average daily Rule 10b-18 Purchases (as defined in Rule 10b-18) during the three full calendar months immediately preceding the announcement date that were not effected through Dealer or its affiliates and (ii) the number of Shares purchased pursuant to the proviso in Rule 10b-18(b)(4) under the Exchange Act for the three full calendar months preceding the announcement date. Such written notice shall be deemed to be a certification by Counterparty to Dealer that such information is true and correct. In addition, Counterparty shall promptly notify Dealer of the earlier to occur of the completion of such transaction and the completion of the vote by target shareholders. “</w:t>
      </w:r>
      <w:r>
        <w:rPr>
          <w:rFonts w:ascii="Times New Roman;Times;Serif" w:hAnsi="Times New Roman;Times;Serif"/>
          <w:b/>
          <w:i w:val="false"/>
          <w:caps w:val="false"/>
          <w:smallCaps w:val="false"/>
          <w:sz w:val="20"/>
        </w:rPr>
        <w:t>Merger Transaction</w:t>
      </w:r>
      <w:r>
        <w:rPr>
          <w:rFonts w:ascii="Times New Roman;Times;Serif" w:hAnsi="Times New Roman;Times;Serif"/>
          <w:b w:val="false"/>
          <w:i w:val="false"/>
          <w:caps w:val="false"/>
          <w:smallCaps w:val="false"/>
          <w:sz w:val="20"/>
        </w:rPr>
        <w:t>” means any merger, acquisition or similar transaction involving a recapitalization as contemplated by Rule 10b-18(a)(13)(iv)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Any issuance of Shares upon exercise or termination of the Transaction has been, and throughout the Transaction will continue to be, duly authorized and, upon issuance, such Shares will be validly issued, fully paid and non-assessable, and the issuance or delivery thereof shall not be subject to any preemptive or similar rights and such Shares shall, upon issuance, be accepted for listing or quotation on the Exchange; (B) a number of Shares of Counterparty equal to the Capped Number have been reserved for issuance upon exercise or termination of the Warrants by all required corporate action of the Counterparty and (C) the Shares issuable upon exercise of the Warrants shall upon issuance be accepted for listing or quotation on the Exchange, subject to notice that the listing of the Shares issuable upon exercise or termination of the Warrants on the Exchange has been approved by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No state or local (including non-U.S. jurisdictions) law, rule, regulation or regulatory order applicable to the Shares would give rise to any reporting, consent, registration 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requirement (including without limitation a requirement to obtain prior approval from any person or entity) as a result of Dealer or its affiliates owning, holding (however defined) or having a right to acquire Shares; provided however, that Counterparty makes no representation or warranty regarding any such requirement that is applicable generally to the ownership of equity securities by Dealer or any of its affiliates as a result of it or any such affiliates being financial institutions or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 (C) has total assets of at least $50 million. Counterparty will notify Dealer if the immediately preceding statement contained in this Section 7(a)(xiv) ceases to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26, 2023,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Dealer and Counterparty acknowledges that the offer and sale of the Transaction to it is intended to be exempt from registration under the Securities Act, by virtue of Section 4(a)(2) thereof. Accordingly, Dealer represents and warrants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Dealer and Counterparty agrees and acknowledges that Dealer is a “financial institution” and “financial participant” within the meaning of Sections 101(22) and 101(22A) of Title 11 of the United States Code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Counterparty shall deliver to Dealer (i) an incumbency certificate, dated as of the Trade Date, of Counterparty in customary form and (ii) an opinion of counsel, dated as of the Trade Date and reasonably acceptable to Dealer in form and substance, with respect to the matters set forth in Section 3(a) of the Agreement and Sections 7(a)(v), 7(a)(xii) and 7(a)(xv) of this Confirmation and such other matters as Dealer may reasonably request and (iii) evidence that the listing of the Shares issuable upon exercise or termination of the Warrants on the Exchange has been approved by the Exchange, subject only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 is acting as principal and is not a fiduciary or advisor in respect of any such transaction, including any entry, exercise, amendment, unwind or termination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Right to Extend</w:t>
      </w:r>
      <w:r>
        <w:rPr>
          <w:rFonts w:ascii="Times New Roman;Times;Serif" w:hAnsi="Times New Roman;Times;Serif"/>
          <w:b w:val="false"/>
          <w:i w:val="false"/>
          <w:caps w:val="false"/>
          <w:smallCaps w:val="false"/>
          <w:sz w:val="20"/>
        </w:rPr>
        <w:t>. Dealer may postpone or add, in whole or in part, any Expiration Date or Settlement Date or any other date of valuation or delivery by Counterparty, with respect to some or all of the relevant Warrants (in which event the Calculation Agent shall make appropriate adjustments to the relevant delivery obligation), if Dealer determines, in its commercially reasonable discretion, that such extension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 and in the case of policies or procedures, so long as such policies and procedures are consistently applied to transactions similar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Alternative Calculations and Payment on Early Termination and on Certain Extraordinary Events</w:t>
      </w:r>
      <w:r>
        <w:rPr>
          <w:rFonts w:ascii="Times New Roman;Times;Serif" w:hAnsi="Times New Roman;Times;Serif"/>
          <w:b w:val="false"/>
          <w:i w:val="false"/>
          <w:caps w:val="false"/>
          <w:smallCaps w:val="false"/>
          <w:sz w:val="20"/>
        </w:rPr>
        <w:t>. If Counterparty shall owe Dealer any amount pursuant to Section 6(d)(ii) of the Agreement (a “</w:t>
      </w:r>
      <w:r>
        <w:rPr>
          <w:rFonts w:ascii="Times New Roman;Times;Serif" w:hAnsi="Times New Roman;Times;Serif"/>
          <w:b/>
          <w:i w:val="false"/>
          <w:caps w:val="false"/>
          <w:smallCaps w:val="false"/>
          <w:sz w:val="20"/>
        </w:rPr>
        <w:t>Payment Obligation</w:t>
      </w:r>
      <w:r>
        <w:rPr>
          <w:rFonts w:ascii="Times New Roman;Times;Serif" w:hAnsi="Times New Roman;Times;Serif"/>
          <w:b w:val="false"/>
          <w:i w:val="false"/>
          <w:caps w:val="false"/>
          <w:smallCaps w:val="false"/>
          <w:sz w:val="20"/>
        </w:rPr>
        <w:t>”), Counterparty shall have the right, in its sole discretion,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Merger Date, Tender Offer Date, Announcement Date, Early Termination Date or date of cancellation or termination in respect of an Extraordinary Event, as applicable (“</w:t>
      </w:r>
      <w:r>
        <w:rPr>
          <w:rFonts w:ascii="Times New Roman;Times;Serif" w:hAnsi="Times New Roman;Times;Serif"/>
          <w:b/>
          <w:i w:val="false"/>
          <w:caps w:val="false"/>
          <w:smallCaps w:val="false"/>
          <w:sz w:val="20"/>
        </w:rPr>
        <w:t>Notice of Share Termination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does not elect to satisfy its Payment Obligation by the Share Termination Alternative, Dealer shall have the right, in its sole discretion, to elect to require Counterparty to satisfy its Payment Obligation by the Share Termination Alternative, notwithstanding Counterparty’s failure to elect or election to the contrary;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Merger Date, the Tender Offer Date, Announcement Date, Early Termination Date or date of cancellation or termination in respect of an Extraordinary Event, as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9"/>
        <w:gridCol w:w="8616"/>
      </w:tblGrid>
      <w:tr>
        <w:trPr/>
        <w:tc>
          <w:tcPr>
            <w:tcW w:w="1589" w:type="dxa"/>
            <w:tcBorders/>
            <w:vAlign w:val="center"/>
          </w:tcPr>
          <w:p>
            <w:pPr>
              <w:pStyle w:val="TableContents"/>
              <w:bidi w:val="0"/>
              <w:spacing w:before="0" w:after="283"/>
              <w:jc w:val="both"/>
              <w:rPr/>
            </w:pPr>
            <w:r>
              <w:rPr/>
              <w:t>Share Termination Alternative:</w:t>
            </w:r>
          </w:p>
        </w:tc>
        <w:tc>
          <w:tcPr>
            <w:tcW w:w="8616" w:type="dxa"/>
            <w:tcBorders/>
            <w:vAlign w:val="center"/>
          </w:tcPr>
          <w:p>
            <w:pPr>
              <w:pStyle w:val="TableContents"/>
              <w:bidi w:val="0"/>
              <w:spacing w:before="0" w:after="283"/>
              <w:jc w:val="both"/>
              <w:rPr/>
            </w:pPr>
            <w:r>
              <w:rPr/>
              <w:t>If applicable, means that Counterparty shall deliver to Dealer the Share Termination Delivery Property on the date on which the Payment Obligation would otherwise be due pursuant to Section 6(d)(ii) of the Agreement, or such later date or dates as the Calculation Agent may reasonably determine (the “</w:t>
            </w:r>
            <w:r>
              <w:rPr>
                <w:b/>
              </w:rPr>
              <w:t>Share Termination Payment Date</w:t>
            </w:r>
            <w:r>
              <w:rPr/>
              <w:t>”), 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03" w:type="dxa"/>
        <w:jc w:val="left"/>
        <w:tblInd w:w="0" w:type="dxa"/>
        <w:tblLayout w:type="fixed"/>
        <w:tblCellMar>
          <w:top w:w="0" w:type="dxa"/>
          <w:left w:w="0" w:type="dxa"/>
          <w:bottom w:w="0" w:type="dxa"/>
          <w:right w:w="0" w:type="dxa"/>
        </w:tblCellMar>
      </w:tblPr>
      <w:tblGrid>
        <w:gridCol w:w="23"/>
        <w:gridCol w:w="3680"/>
      </w:tblGrid>
      <w:tr>
        <w:trPr/>
        <w:tc>
          <w:tcPr>
            <w:tcW w:w="23"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pPr>
            <w:r>
              <w:rPr/>
              <w:t>satisfaction of the Payment Obligation.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Termination Delivery</w:t>
      </w:r>
    </w:p>
    <w:tbl>
      <w:tblPr>
        <w:tblW w:w="10205" w:type="dxa"/>
        <w:jc w:val="left"/>
        <w:tblInd w:w="0" w:type="dxa"/>
        <w:tblLayout w:type="fixed"/>
        <w:tblCellMar>
          <w:top w:w="0" w:type="dxa"/>
          <w:left w:w="0" w:type="dxa"/>
          <w:bottom w:w="0" w:type="dxa"/>
          <w:right w:w="0" w:type="dxa"/>
        </w:tblCellMar>
      </w:tblPr>
      <w:tblGrid>
        <w:gridCol w:w="840"/>
        <w:gridCol w:w="9365"/>
      </w:tblGrid>
      <w:tr>
        <w:trPr/>
        <w:tc>
          <w:tcPr>
            <w:tcW w:w="840" w:type="dxa"/>
            <w:tcBorders/>
            <w:vAlign w:val="center"/>
          </w:tcPr>
          <w:p>
            <w:pPr>
              <w:pStyle w:val="TableContents"/>
              <w:bidi w:val="0"/>
              <w:spacing w:before="0" w:after="283"/>
              <w:jc w:val="left"/>
              <w:rPr/>
            </w:pPr>
            <w:r>
              <w:rPr/>
              <w:t>Property:</w:t>
            </w:r>
          </w:p>
        </w:tc>
        <w:tc>
          <w:tcPr>
            <w:tcW w:w="9365" w:type="dxa"/>
            <w:tcBorders/>
            <w:vAlign w:val="center"/>
          </w:tcPr>
          <w:p>
            <w:pPr>
              <w:pStyle w:val="TableContents"/>
              <w:bidi w:val="0"/>
              <w:spacing w:before="0" w:after="283"/>
              <w:jc w:val="both"/>
              <w:rPr/>
            </w:pPr>
            <w:r>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in the Settlement Currency equal to the value of such fractional security based on the values used to calculate the Share Termination Unit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5"/>
        <w:gridCol w:w="8620"/>
      </w:tblGrid>
      <w:tr>
        <w:trPr/>
        <w:tc>
          <w:tcPr>
            <w:tcW w:w="1585" w:type="dxa"/>
            <w:tcBorders/>
            <w:vAlign w:val="center"/>
          </w:tcPr>
          <w:p>
            <w:pPr>
              <w:pStyle w:val="TableContents"/>
              <w:bidi w:val="0"/>
              <w:spacing w:before="0" w:after="283"/>
              <w:jc w:val="both"/>
              <w:rPr/>
            </w:pPr>
            <w:r>
              <w:rPr/>
              <w:t>Share Termination Unit Price:</w:t>
            </w:r>
          </w:p>
        </w:tc>
        <w:tc>
          <w:tcPr>
            <w:tcW w:w="8620" w:type="dxa"/>
            <w:tcBorders/>
            <w:vAlign w:val="center"/>
          </w:tcPr>
          <w:p>
            <w:pPr>
              <w:pStyle w:val="TableContents"/>
              <w:bidi w:val="0"/>
              <w:spacing w:before="0" w:after="283"/>
              <w:jc w:val="both"/>
              <w:rPr/>
            </w:pPr>
            <w:r>
              <w:rPr/>
              <w:t>The value of property contained in one Share Termination Delivery Unit on the date such Share Termination Delivery Units are to be delivered as Share Termination Delivery Property, as determined by the Calculation Agent and notified by the Calculation Agent to Counterparty at the time of notification of the Payment Obligation.</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391"/>
        <w:gridCol w:w="8814"/>
      </w:tblGrid>
      <w:tr>
        <w:trPr/>
        <w:tc>
          <w:tcPr>
            <w:tcW w:w="1391" w:type="dxa"/>
            <w:tcBorders/>
            <w:vAlign w:val="center"/>
          </w:tcPr>
          <w:p>
            <w:pPr>
              <w:pStyle w:val="TableContents"/>
              <w:bidi w:val="0"/>
              <w:spacing w:before="0" w:after="283"/>
              <w:jc w:val="both"/>
              <w:rPr/>
            </w:pPr>
            <w:r>
              <w:rPr/>
              <w:t>Share Termination Delivery Unit:</w:t>
            </w:r>
          </w:p>
        </w:tc>
        <w:tc>
          <w:tcPr>
            <w:tcW w:w="8814" w:type="dxa"/>
            <w:tcBorders/>
            <w:vAlign w:val="center"/>
          </w:tcPr>
          <w:p>
            <w:pPr>
              <w:pStyle w:val="TableContents"/>
              <w:bidi w:val="0"/>
              <w:spacing w:before="0" w:after="283"/>
              <w:jc w:val="both"/>
              <w:rPr/>
            </w:pPr>
            <w:r>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bl>
    <w:tbl>
      <w:tblPr>
        <w:tblW w:w="3220" w:type="dxa"/>
        <w:jc w:val="left"/>
        <w:tblInd w:w="0" w:type="dxa"/>
        <w:tblLayout w:type="fixed"/>
        <w:tblCellMar>
          <w:top w:w="0" w:type="dxa"/>
          <w:left w:w="0" w:type="dxa"/>
          <w:bottom w:w="0" w:type="dxa"/>
          <w:right w:w="0" w:type="dxa"/>
        </w:tblCellMar>
      </w:tblPr>
      <w:tblGrid>
        <w:gridCol w:w="1745"/>
        <w:gridCol w:w="1475"/>
      </w:tblGrid>
      <w:tr>
        <w:trPr/>
        <w:tc>
          <w:tcPr>
            <w:tcW w:w="1745" w:type="dxa"/>
            <w:tcBorders/>
            <w:vAlign w:val="center"/>
          </w:tcPr>
          <w:p>
            <w:pPr>
              <w:pStyle w:val="TableContents"/>
              <w:bidi w:val="0"/>
              <w:spacing w:before="0" w:after="283"/>
              <w:jc w:val="both"/>
              <w:rPr/>
            </w:pPr>
            <w:r>
              <w:rPr/>
              <w:t>Failure to Deliver:</w:t>
            </w:r>
          </w:p>
        </w:tc>
        <w:tc>
          <w:tcPr>
            <w:tcW w:w="1475" w:type="dxa"/>
            <w:tcBorders/>
            <w:vAlign w:val="center"/>
          </w:tcPr>
          <w:p>
            <w:pPr>
              <w:pStyle w:val="TableContents"/>
              <w:bidi w:val="0"/>
              <w:spacing w:before="0" w:after="283"/>
              <w:jc w:val="both"/>
              <w:rPr/>
            </w:pPr>
            <w:r>
              <w:rPr/>
              <w:t>Not Applicable</w:t>
            </w:r>
          </w:p>
        </w:tc>
      </w:tr>
    </w:tbl>
    <w:tbl>
      <w:tblPr>
        <w:tblW w:w="120" w:type="dxa"/>
        <w:jc w:val="left"/>
        <w:tblInd w:w="0" w:type="dxa"/>
        <w:tblLayout w:type="fixed"/>
        <w:tblCellMar>
          <w:top w:w="0" w:type="dxa"/>
          <w:left w:w="0" w:type="dxa"/>
          <w:bottom w:w="0" w:type="dxa"/>
          <w:right w:w="0" w:type="dxa"/>
        </w:tblCellMar>
      </w:tblPr>
      <w:tblGrid>
        <w:gridCol w:w="60"/>
        <w:gridCol w:w="60"/>
      </w:tblGrid>
      <w:tr>
        <w:trPr/>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1174"/>
        <w:gridCol w:w="9031"/>
      </w:tblGrid>
      <w:tr>
        <w:trPr/>
        <w:tc>
          <w:tcPr>
            <w:tcW w:w="1174" w:type="dxa"/>
            <w:tcBorders/>
            <w:vAlign w:val="center"/>
          </w:tcPr>
          <w:p>
            <w:pPr>
              <w:pStyle w:val="TableContents"/>
              <w:bidi w:val="0"/>
              <w:spacing w:before="0" w:after="283"/>
              <w:jc w:val="both"/>
              <w:rPr/>
            </w:pPr>
            <w:r>
              <w:rPr/>
              <w:t>Other Applicable Provisions:</w:t>
            </w:r>
          </w:p>
        </w:tc>
        <w:tc>
          <w:tcPr>
            <w:tcW w:w="9031" w:type="dxa"/>
            <w:tcBorders/>
            <w:vAlign w:val="center"/>
          </w:tcPr>
          <w:p>
            <w:pPr>
              <w:pStyle w:val="TableContents"/>
              <w:bidi w:val="0"/>
              <w:spacing w:before="0" w:after="283"/>
              <w:jc w:val="both"/>
              <w:rPr/>
            </w:pPr>
            <w:r>
              <w:rPr/>
              <w:t xml:space="preserve">If Share Termination Alternative is applicable, the provisions of Sections 9.1(c), 9.8, 9.9, 9.11 and 9.12 of the Equity Definitions will be applicable as if “Physical Settlement” applied to the Transaction, except that all references to “Shares” shall be read as references to “Share Termination Delivery Units”; </w:t>
            </w:r>
            <w:r>
              <w:rPr>
                <w:i/>
              </w:rPr>
              <w:t>provided</w:t>
            </w:r>
            <w:r>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security forming a part thereof). If, in the reasonable opinion of Dealer, based on advice of counsel, for any reason, any securities comprising the Share Termination Delivery Units deliverable pursuant to this Section 8(b) would not be immediately freely transferable by Dealer under Rule 144 under the Securities Act, then Dealer may elect to either (x) permit delivery of such securities notwithstanding any restriction on transfer or (y) have the provisions set forth in Section 8(c) below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Registration/Private Placement Procedures</w:t>
      </w:r>
      <w:r>
        <w:rPr>
          <w:rFonts w:ascii="Times New Roman;Times;Serif" w:hAnsi="Times New Roman;Times;Serif"/>
          <w:b w:val="false"/>
          <w:i w:val="false"/>
          <w:caps w:val="false"/>
          <w:smallCaps w:val="false"/>
          <w:sz w:val="20"/>
        </w:rPr>
        <w:t>. (i) With respect to the Transaction, the following provisions shall apply to the extent provided for above opposite the caption “Net Share Settlement” in Section 2 or in paragraph (b) of this Section 8. If so applicable, then, at the election of Counterparty by notice to Dealer within one Exchange Business Day after the relevant delivery obligation arises, but in any event at least one Exchange Business Day prior to the date on which such delivery obligation is due, either (A) all Shares or Share Termination Delivery Units, as the case may be, delivered by Counterparty to Dealer shall be, at the time of such delivery, covered by an effective registration statement of Counterparty for immediate resale by Dealer (such registration statement and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corresponding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(including, without limitation, any sections describing the plan of distribution) in form and content commercially reasonably satisfactory to Dealer) or (B) Counterparty shall deliver additional Shares or Share Termination Delivery Units, as the case may be, so that the value of such Shares or Share Termination Delivery Units, as determined by the Calculation Agent to reflect a commercially reasonable liquidity discount, equals the value of the number of Shares or Share Termination Delivery Units that would otherwise be deliverable if such Shares or Share Termination Delivery Units were freely tradeable (without prospectus delivery) upon receipt by Dealer (such value, the “</w:t>
      </w:r>
      <w:r>
        <w:rPr>
          <w:rFonts w:ascii="Times New Roman;Times;Serif" w:hAnsi="Times New Roman;Times;Serif"/>
          <w:b/>
          <w:i w:val="false"/>
          <w:caps w:val="false"/>
          <w:smallCaps w:val="false"/>
          <w:sz w:val="20"/>
        </w:rPr>
        <w:t>Freely Tradeable Value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requested by Dealer, Counterparty shall make the election described in this clause (B) with respect to Shares delivered on all Settlement Dates no later than one Exchange Business Day prior to the first Exercise Date, and the applicable procedures described below shall apply to all Shares delivered on the Settlement Dates on an aggregate basis. (For the avoidance of doubt, as used in this paragraph (c) only, the term “Counterparty” shall mean the issuer of the relevant securities, as the context shall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shall be a condition to Counterparty’s right to make the election described in clause (c)(i)(A)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an affiliate of Dealer designated by Dealer) shall be afforded a reasonable opportunity to conduct a due diligence investigation with respect to Counterparty that is customary in scope for underwritten offerings of equity securities and that yields results that are satisfactory to Dealer or such affiliate, as the case may be, in its discretion;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Dealer (or an affiliate of Dealer designated by Dealer) and Counterparty shall enter into an agreement (a “</w:t>
      </w:r>
      <w:r>
        <w:rPr>
          <w:rFonts w:ascii="Times New Roman;Times;Serif" w:hAnsi="Times New Roman;Times;Serif"/>
          <w:b/>
          <w:i w:val="false"/>
          <w:caps w:val="false"/>
          <w:smallCaps w:val="false"/>
          <w:sz w:val="20"/>
        </w:rPr>
        <w:t>Registration Agreement</w:t>
      </w:r>
      <w:r>
        <w:rPr>
          <w:rFonts w:ascii="Times New Roman;Times;Serif" w:hAnsi="Times New Roman;Times;Serif"/>
          <w:b w:val="false"/>
          <w:i w:val="false"/>
          <w:caps w:val="false"/>
          <w:smallCaps w:val="false"/>
          <w:sz w:val="20"/>
        </w:rPr>
        <w:t>”) on commercially reasonable terms in connection with the public resale of such Shares or Share Termination Delivery Units, as the case may be, by Dealer or such affiliate substantially similar to underwriting agreements customary for underwritten offerings of equity securities, in form and substance commercially reasonably satisfactory to Dealer or such affiliate and Counterparty, which Registration Agreement shall include, without limitation, provisions substantially similar to those contained in such underwriting agreements relating to the indemnification of, and contribution in connection with the liability of, Dealer and its affiliates and Counterparty, shall provide for the payment by Counterparty of all expenses in connection with such resale, including all registration costs and all fees and expenses of counsel for Dealer, and shall provide for the delivery of accountants’ “comfort letters” to Dealer or such affiliate with respect to the financial statements and certain financial information contained in or incorporated by reference into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Counterparty makes the election described in clause (c)(i)(B)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an affiliate of Dealer designated by Dealer) and any potential institutional purchaser of any such Shares or Share Termination Delivery Units, as the case may be, from Dealer or such affiliate identified by Dealer shall be afforded a commercially reasonable opportunity to conduct a due diligence investigation in compliance with applicable law with respect to Counterparty customary in scope for private placements of equity securities (including, without limitation, the right to have made available to them for inspection all financial and other records, pertinent corporate documents and other information reasonably requested by them), subject to execution by such recipients of customary confidentiality agreements reasonably acceptable to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Dealer (or an affiliate of Dealer designated by Dealer) and Counterparty shall enter into an agreement (a “</w:t>
      </w:r>
      <w:r>
        <w:rPr>
          <w:rFonts w:ascii="Times New Roman;Times;Serif" w:hAnsi="Times New Roman;Times;Serif"/>
          <w:b/>
          <w:i w:val="false"/>
          <w:caps w:val="false"/>
          <w:smallCaps w:val="false"/>
          <w:sz w:val="20"/>
        </w:rPr>
        <w:t>Private Placement Agreement</w:t>
      </w:r>
      <w:r>
        <w:rPr>
          <w:rFonts w:ascii="Times New Roman;Times;Serif" w:hAnsi="Times New Roman;Times;Serif"/>
          <w:b w:val="false"/>
          <w:i w:val="false"/>
          <w:caps w:val="false"/>
          <w:smallCaps w:val="false"/>
          <w:sz w:val="20"/>
        </w:rPr>
        <w:t xml:space="preserve">”) on commercially reasonable terms in connection with the private placement of such Shares or Share Termination Delivery Units, as the case may be, by Counterparty to Dealer or such affiliate and the private resale of such shares by Dealer or such affiliate, substantially similar to private placement purchase agreements customary for private placements of equity securities, in form and substance commercially reasonably satisfactory to Dealer and Counterparty,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Counterparty, shall provide for the payment by Counterparty of all expenses in connection with such resale, including all fees and expenses 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counsel for Dealer, shall contain representations, warranties and agreements of Counterparty reasonably necessary or advisable to establish and maintain the availability of an exemption from the registration requirements of the Securities Act for such resales, and shall use best efforts to provide for the delivery of accountants’ “comfort letters” to Dealer or such affiliate with respect to the financial statements and certain financial information contained in or incorporated by reference into the offering memorandum prepared for the resale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Counterparty agrees that (i) any Shares or Share Termination Delivery Units so delivered to Dealer may be transferred by and among Dealer and its affiliates, and Counterparty shall effect such transfer without any further action by Dealer and (ii) after the minimum “holding period” within the meaning of Rule 144(d) under the Securities Act has elapsed with respect to such Shares or any securities issued by Counterparty comprising such Share Termination Delivery Units, Counterparty shall promptly remove, or cause the transfer agent for such Shares or securities to remove, any legends referring to any such restrictions or requirements from such Shares or securities, without any further requirement for the delivery of any certificate, consent, agreement, opinion of counsel, notice or any other document, any transfer tax stamps or payment of any other amount or any other action by Dealer (or such affiliate of Dealer);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Counterparty shall not take, or cause to be taken, any action that would make unavailable either the exemption pursuant to Section 4(a)(2) of the Securities Act for the sale by Counterparty to Dealer (or any affiliate designated by Dealer) of the Shares or Share Termination Delivery Units, as the case may be, or the exemption pursuant to Section 4(a)(1) or Section 4(a)(3) of the Securities Act for resales of the Shares or Share Termination Delivery Units, as the case may be, by Dealer (or any such affiliate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If Counterparty makes the election described in clause (i)(B) of paragraph (c) of this Section 8, then Dealer or its affiliates may sell (which sale shall be made in a commercially reasonable manner) such Shares or Share Termination Delivery Units, as the case may be, during a period (the “</w:t>
      </w:r>
      <w:r>
        <w:rPr>
          <w:rFonts w:ascii="Times New Roman;Times;Serif" w:hAnsi="Times New Roman;Times;Serif"/>
          <w:b/>
          <w:i w:val="false"/>
          <w:caps w:val="false"/>
          <w:smallCaps w:val="false"/>
          <w:sz w:val="20"/>
        </w:rPr>
        <w:t>Resale Period</w:t>
      </w:r>
      <w:r>
        <w:rPr>
          <w:rFonts w:ascii="Times New Roman;Times;Serif" w:hAnsi="Times New Roman;Times;Serif"/>
          <w:b w:val="false"/>
          <w:i w:val="false"/>
          <w:caps w:val="false"/>
          <w:smallCaps w:val="false"/>
          <w:sz w:val="20"/>
        </w:rPr>
        <w:t>”) commencing on the Exchange Business Day following delivery of such Shares or Share Termination Delivery Units, as the case may be, and ending on the Exchange Business Day on which Dealer or its affiliates completes the sale of a sufficient number of Shares or Share Termination Delivery Units, as the case may be, so that the realized net proceeds of such sales exceed the Freely Tradeable Value. If any of such delivered Shares or Share Termination Delivery Units remain after such realized net proceeds exceed the Freely Tradeable Value, Dealer shall return such remaining Shares or Share Termination Delivery Units to Counterparty. If the Freely Tradeable Value exceeds the realized net proceeds from such resale, Counterparty shall transfer to Dealer by the open of the regular trading session on the Exchange on the Exchange Trading Day immediately following the final day of the Resale Period (without giving effect to any extension thereof pursuant to the immediately succeeding sentence), the amount of such excess (the “</w:t>
      </w:r>
      <w:r>
        <w:rPr>
          <w:rFonts w:ascii="Times New Roman;Times;Serif" w:hAnsi="Times New Roman;Times;Serif"/>
          <w:b/>
          <w:i w:val="false"/>
          <w:caps w:val="false"/>
          <w:smallCaps w:val="false"/>
          <w:sz w:val="20"/>
        </w:rPr>
        <w:t>Additional Amount</w:t>
      </w:r>
      <w:r>
        <w:rPr>
          <w:rFonts w:ascii="Times New Roman;Times;Serif" w:hAnsi="Times New Roman;Times;Serif"/>
          <w:b w:val="false"/>
          <w:i w:val="false"/>
          <w:caps w:val="false"/>
          <w:smallCaps w:val="false"/>
          <w:sz w:val="20"/>
        </w:rPr>
        <w:t>”) in cash or in a number of additional Shares or Share Termination Delivery Units, as the case may be, (“</w:t>
      </w:r>
      <w:r>
        <w:rPr>
          <w:rFonts w:ascii="Times New Roman;Times;Serif" w:hAnsi="Times New Roman;Times;Serif"/>
          <w:b/>
          <w:i w:val="false"/>
          <w:caps w:val="false"/>
          <w:smallCaps w:val="false"/>
          <w:sz w:val="20"/>
        </w:rPr>
        <w:t>Make-whole Shares</w:t>
      </w:r>
      <w:r>
        <w:rPr>
          <w:rFonts w:ascii="Times New Roman;Times;Serif" w:hAnsi="Times New Roman;Times;Serif"/>
          <w:b w:val="false"/>
          <w:i w:val="false"/>
          <w:caps w:val="false"/>
          <w:smallCaps w:val="false"/>
          <w:sz w:val="20"/>
        </w:rPr>
        <w:t>”) in an amount that, based on the Relevant Price on such final day of the Resale Period (as if such day was the “Valuation Date” for purposes of computing such Relevant Price), has a dollar value equal to the Additional Amount. The Resale Period shall continue to enable the sale of the Make-whole Shares in the manner contemplated by this Section 8(d). This provision shall be applied successively until the Additional Amount is equal to zero, subject to Section 8(f).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Beneficial Ownership</w:t>
      </w:r>
      <w:r>
        <w:rPr>
          <w:rFonts w:ascii="Times New Roman;Times;Serif" w:hAnsi="Times New Roman;Times;Serif"/>
          <w:b w:val="false"/>
          <w:i w:val="false"/>
          <w:caps w:val="false"/>
          <w:smallCaps w:val="false"/>
          <w:sz w:val="20"/>
        </w:rPr>
        <w:t>. Notwithstanding anything to the contrary in the Agreement or this Confirmation, in no event shall Dealer be entitled to receive, or shall be deemed to receive, any Shares if, immediately upon giving effect to such receipt of such Shares (and after taking into account any Shares deliverable by Counterparty to Dealer at such time under any transaction or security other than the Transaction), (i) the “beneficial ownership” (within the meaning of Section 13 of the Exchange Act and the rules promulgated thereunder) of Shares by Dealer, any of its affiliates subject to aggregation with Dealer for purposes of the “beneficial ownership” test under Section 13 of the Exchange Act and all persons who may form a “group” (within the meaning of Rule 13d-5(b)(1) under the Exchange Act) with Dealer with respect to “beneficial ownership” of any Shares (collectively, “</w:t>
      </w:r>
      <w:r>
        <w:rPr>
          <w:rFonts w:ascii="Times New Roman;Times;Serif" w:hAnsi="Times New Roman;Times;Serif"/>
          <w:b/>
          <w:i w:val="false"/>
          <w:caps w:val="false"/>
          <w:smallCaps w:val="false"/>
          <w:sz w:val="20"/>
        </w:rPr>
        <w:t>Dealer Group</w:t>
      </w:r>
      <w:r>
        <w:rPr>
          <w:rFonts w:ascii="Times New Roman;Times;Serif" w:hAnsi="Times New Roman;Times;Serif"/>
          <w:b w:val="false"/>
          <w:i w:val="false"/>
          <w:caps w:val="false"/>
          <w:smallCaps w:val="false"/>
          <w:sz w:val="20"/>
        </w:rPr>
        <w:t>”) (or, to the extent that for any reason the equivalent calculation under Section 16 of the Exchange Act and the rules and regulations thereunder results in a higher number, such higher number) would be equal to or greater than 8.0% or more of the outstanding Shares on the date of determination or (ii) Dealer, Dealer Group or any person whose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position would be aggregated with that of Dealer or Dealer Group (Dealer, Dealer Group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the Minnesota Business Corporations or other federal, state or local law, rule, regulation or regulatory order or organizational documents or contracts of Counterparty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xml:space="preserve">”), would own, beneficially own, constructively own, control, hold the power to vote or otherwise meet a relevant definition of ownership in excess of a number of Shares equal to (x) the number of Shares that would give rise to reporting or registration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1.0% of the number of Shares outstanding on the date of determination (either such condition described in clause (i) or (ii), an “</w:t>
      </w:r>
      <w:r>
        <w:rPr>
          <w:rFonts w:ascii="Times New Roman;Times;Serif" w:hAnsi="Times New Roman;Times;Serif"/>
          <w:b/>
          <w:i w:val="false"/>
          <w:caps w:val="false"/>
          <w:smallCaps w:val="false"/>
          <w:sz w:val="20"/>
        </w:rPr>
        <w:t>Excess Ownership Position</w:t>
      </w:r>
      <w:r>
        <w:rPr>
          <w:rFonts w:ascii="Times New Roman;Times;Serif" w:hAnsi="Times New Roman;Times;Serif"/>
          <w:b w:val="false"/>
          <w:i w:val="false"/>
          <w:caps w:val="false"/>
          <w:smallCaps w:val="false"/>
          <w:sz w:val="20"/>
        </w:rPr>
        <w:t>”). If any delivery owed to Dealer hereunder is not made, in whole or in part, as a result of this provision, Counterparty’s obligation to make such delivery shall not be extinguished and Counterparty shall make such delivery as promptly as practicable after, but in no event later than one Exchange Business Day after, Dealer gives notice to Counterparty that such delivery would not result in the existence of an Excess Ownership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Limitations on Settlement by Counterparty</w:t>
      </w:r>
      <w:r>
        <w:rPr>
          <w:rFonts w:ascii="Times New Roman;Times;Serif" w:hAnsi="Times New Roman;Times;Serif"/>
          <w:b w:val="false"/>
          <w:i w:val="false"/>
          <w:caps w:val="false"/>
          <w:smallCaps w:val="false"/>
          <w:sz w:val="20"/>
        </w:rPr>
        <w:t xml:space="preserve">. Notwithstanding anything herein or in the Agreement to the contrary (except as set forth in this Section 8(f)), in no event shall Counterparty be required to deliver Shares in connection with the Transaction in excess of 3,411,720 Shares, as such number may be adjusted from time to time in accordance with the provisions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adjustment shall cause the Capped Number to exceed the Available Shares (as in effect from time to time), other than as a result of actions of Counterparty or events within Counterparty’s control (the “</w:t>
      </w:r>
      <w:r>
        <w:rPr>
          <w:rFonts w:ascii="Times New Roman;Times;Serif" w:hAnsi="Times New Roman;Times;Serif"/>
          <w:b/>
          <w:i w:val="false"/>
          <w:caps w:val="false"/>
          <w:smallCaps w:val="false"/>
          <w:sz w:val="20"/>
        </w:rPr>
        <w:t>Capped Number</w:t>
      </w:r>
      <w:r>
        <w:rPr>
          <w:rFonts w:ascii="Times New Roman;Times;Serif" w:hAnsi="Times New Roman;Times;Serif"/>
          <w:b w:val="false"/>
          <w:i w:val="false"/>
          <w:caps w:val="false"/>
          <w:smallCaps w:val="false"/>
          <w:sz w:val="20"/>
        </w:rPr>
        <w:t>”). Notwithstanding anything to the contrary in the Agreement or the Equity Definitions, such limitation shall not affect the calculation of any Payment Obligation (as defined in Section ‎8(b)), it being understood that if the Share Termination Alternative applies pursuant to Section 8(b), the number of Shares deliverable pursuant to such Section shall not exceed the Capped Number. Counterparty represents and warrants to Dealer (which representation and warranty shall be deemed to be repeated on each day that the Transaction is outstanding) that the Capped Number is equal to or less than the number of authorized but unissued Shares of the Counterparty that are not reserved for future issuance in connection with transactions in the Shares (other than the Transaction) on the date of the determination of the Capped Number (such Shares, the “</w:t>
      </w:r>
      <w:r>
        <w:rPr>
          <w:rFonts w:ascii="Times New Roman;Times;Serif" w:hAnsi="Times New Roman;Times;Serif"/>
          <w:b/>
          <w:i w:val="false"/>
          <w:caps w:val="false"/>
          <w:smallCaps w:val="false"/>
          <w:sz w:val="20"/>
        </w:rPr>
        <w:t>Available Shares</w:t>
      </w:r>
      <w:r>
        <w:rPr>
          <w:rFonts w:ascii="Times New Roman;Times;Serif" w:hAnsi="Times New Roman;Times;Serif"/>
          <w:b w:val="false"/>
          <w:i w:val="false"/>
          <w:caps w:val="false"/>
          <w:smallCaps w:val="false"/>
          <w:sz w:val="20"/>
        </w:rPr>
        <w:t>”). In the event Counterparty shall not have delivered the full number of Shares otherwise deliverable as a result of this Section 8(f) (the resulting deficit, the “</w:t>
      </w:r>
      <w:r>
        <w:rPr>
          <w:rFonts w:ascii="Times New Roman;Times;Serif" w:hAnsi="Times New Roman;Times;Serif"/>
          <w:b/>
          <w:i w:val="false"/>
          <w:caps w:val="false"/>
          <w:smallCaps w:val="false"/>
          <w:sz w:val="20"/>
        </w:rPr>
        <w:t>Deficit Shares</w:t>
      </w:r>
      <w:r>
        <w:rPr>
          <w:rFonts w:ascii="Times New Roman;Times;Serif" w:hAnsi="Times New Roman;Times;Serif"/>
          <w:b w:val="false"/>
          <w:i w:val="false"/>
          <w:caps w:val="false"/>
          <w:smallCaps w:val="false"/>
          <w:sz w:val="20"/>
        </w:rPr>
        <w:t>”), Counterparty shall be continually obligated to deliver Shares, from time to time until the full number of Deficit Shares have been delivered pursuant to this paragraph, when, and to the extent, that (A) Shares are repurchased, acquired or otherwise received by Counterparty or any of its subsidiaries after the Trade Date (whether or not in exchange for cash, fair value or any other consideration), (B) authorized and unissued Shares previously reserved for issuance in respect of other transactions become no longer so reserved or (C) Counterparty additionally authorizes any unissued Shares that are not reserved for other transactions (such events as set forth in clauses (A), (B) and (C) above, collectively, the “</w:t>
      </w:r>
      <w:r>
        <w:rPr>
          <w:rFonts w:ascii="Times New Roman;Times;Serif" w:hAnsi="Times New Roman;Times;Serif"/>
          <w:b/>
          <w:i w:val="false"/>
          <w:caps w:val="false"/>
          <w:smallCaps w:val="false"/>
          <w:sz w:val="20"/>
        </w:rPr>
        <w:t>Share Issuance Events</w:t>
      </w:r>
      <w:r>
        <w:rPr>
          <w:rFonts w:ascii="Times New Roman;Times;Serif" w:hAnsi="Times New Roman;Times;Serif"/>
          <w:b w:val="false"/>
          <w:i w:val="false"/>
          <w:caps w:val="false"/>
          <w:smallCaps w:val="false"/>
          <w:sz w:val="20"/>
        </w:rPr>
        <w:t xml:space="preserve">”). In the event that there are any Deficit Shares or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in the first sentence of this Section 8(f) has prevented any adjustment to the Capped Number, (i) Counterparty shall promptly notify Dealer of the occurrence of any of the Share Issuance Events (including the number of Shares subject to clause (A), (B) or (C) and the corresponding number of Shares to be delivered) and, as promptly as reasonably practicable, deliver such Shares thereafter, (ii) Counterparty shall use its best efforts to cause Share Issuance Events to the extent necessary to deliver the full number of Deficit Shares or cause the Capped Number to equal the Capped Number that would be in effect but for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set forth in the first sentence of this Section 8(f), as the case may be, and (iii) Counterparty shall not, until Counterparty’s obligations under the Transaction have been satisfied in full, use any Shares that become available for potential delivery to Dealer as a result of any Share Issuance Event for the settlement or satisfaction of any transaction or obligation other than the Transaction or any other warrant transaction between Counterparty and Dealer or reserve any such Shares for future issuance for any purpose other than to satisfy Counterparty’s obligations to Dealer under the Transaction or any other warrant transaction between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Equity Rights</w:t>
      </w:r>
      <w:r>
        <w:rPr>
          <w:rFonts w:ascii="Times New Roman;Times;Serif" w:hAnsi="Times New Roman;Times;Serif"/>
          <w:b w:val="false"/>
          <w:i w:val="false"/>
          <w:caps w:val="false"/>
          <w:smallCaps w:val="false"/>
          <w:sz w:val="20"/>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Amendments to Equity Definitions</w:t>
      </w:r>
      <w:r>
        <w:rPr>
          <w:rFonts w:ascii="Times New Roman;Times;Serif" w:hAnsi="Times New Roman;Times;Serif"/>
          <w:b w:val="false"/>
          <w:i w:val="false"/>
          <w:caps w:val="false"/>
          <w:smallCaps w:val="false"/>
          <w:sz w:val="20"/>
        </w:rPr>
        <w:t>. The following amendments shall be made to the Equity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first sentence of Section 11.2(c) of the Equity Definitions, prior to clause (A) thereof, is hereby amended to read as follows: ‘(c)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an effect on the theoretical value of the relevant Shares or options on the Shares and, if so, will (i) make appropriate adjustment(s), if any, to any one or more of:’ and, the portion of such sentence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preceding clause (ii) thereof is hereby amended by deleting the words “diluting or concentrative” and the words “(provided that no adjustments will be made to account solely for changes in volatility, expected dividends, stock loan rate or liquidity relative to the relevant Shares)” and replacing such latter phrase with the words “(and, for the avoidance of doubt, adjustments may be made to account solely for changes in volatility, expected dividends, stock loan rate or liquidity relative to the relevant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Sections 11.2(a) and 11.2(e)(vii) of the Equity Definitions are hereby amended by deleting the words “a diluting or concentrative” and, in the case of Section 11.2(e)(vii), replacing them with “an economic” and, in each case, adding the phrase “or options on the Shares” at the end of the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Section 12.7(b) of the Equity Definitions is hereby amended by deleting the words “(and in any event within five Exchange Business Days) by the parties after” appearing after the words “agreed promptly” and replacing with the words “by the parties on or prior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Section 12.9(b)(iv) of the Equity Definitions is hereby amended by (A) deleting (1) subsection (A) in its entirety, (2) the phrase “or (B)” following subsection (A) and (3) the phrase “in each case” in subsection (B); (B) replacing “will lend” with “lends” in subsection (B); and (C) deleting the phrase “neither the Non-Hedging Party nor the Lending Party lends Shares in the amount of the Hedging Shares or” in the penultimate sentence; “</w:t>
      </w:r>
      <w:r>
        <w:rPr>
          <w:rFonts w:ascii="Times New Roman;Times;Serif" w:hAnsi="Times New Roman;Times;Serif"/>
          <w:b/>
          <w:i w:val="false"/>
          <w:caps w:val="false"/>
          <w:smallCaps w:val="false"/>
          <w:sz w:val="20"/>
        </w:rPr>
        <w:t>Lending Party</w:t>
      </w:r>
      <w:r>
        <w:rPr>
          <w:rFonts w:ascii="Times New Roman;Times;Serif" w:hAnsi="Times New Roman;Times;Serif"/>
          <w:b w:val="false"/>
          <w:i w:val="false"/>
          <w:caps w:val="false"/>
          <w:smallCaps w:val="false"/>
          <w:sz w:val="20"/>
        </w:rPr>
        <w:t>” means a third party that is not the Counterparty or an affiliate of the Counterparty that Dealer considers to be an acceptable counterparty (acting in good faith and in a reasonable manner in light of (x) other transactions that Dealer (or its agent or affiliate) may have entered into with such party and (y) any legal, regulatory or self-regulatory requirements or related policies and procedures (whether or not such requirements or related policies and procedures are imposed by law or have been voluntarily adopted by Dealer) that apply generally to transactions of a nature and kind similar to the transactions contemplated with such party);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Section 12.9(b)(v) of the Equity Definitions is hereby amended by (A) adding the word “or” immediately before subsection “(B)” and deleting the comma at the end of subsection (A); and (B)(1) deleting subsection (C) in its entirety, (2) deleting the word “or” immediately preceding subsection (C), (3) replacing in the penultimate sentence the words “either party” with “the Hedging Party” and (4) deleting clause (X) in the final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Transfer and Assignment</w:t>
      </w:r>
      <w:r>
        <w:rPr>
          <w:rFonts w:ascii="Times New Roman;Times;Serif" w:hAnsi="Times New Roman;Times;Serif"/>
          <w:b w:val="false"/>
          <w:i w:val="false"/>
          <w:caps w:val="false"/>
          <w:smallCaps w:val="false"/>
          <w:sz w:val="20"/>
        </w:rPr>
        <w:t>. Dealer may transfer or assign its rights and obligations hereunder and under the Agreement, in whole or in part, at any time without the consent of Counterparty. 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Additional Termination Events</w:t>
      </w:r>
      <w:r>
        <w:rPr>
          <w:rFonts w:ascii="Times New Roman;Times;Serif" w:hAnsi="Times New Roman;Times;Serif"/>
          <w:b w:val="false"/>
          <w:i w:val="false"/>
          <w:caps w:val="false"/>
          <w:smallCaps w:val="false"/>
          <w:sz w:val="20"/>
        </w:rPr>
        <w:t xml:space="preserve">. The occurrence of any of the following shall constitute an Additional Termination Event with respect to which the Transaction shall be the sole Affected Transaction and Counterparty shall be the sole Affected Party and Dealer shall be the party entitled to designate an Early Termination Date pursuant to Section 6(b) of the Agreement and to determine the amount payable pursuant to Section 6(e) of the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Additional Termination Event, Dealer may choose to treat part of the Transaction as the sole Affected Transaction, and, upon the termination of the Affected Transaction, a Transaction with terms identical to those set forth herein except with a Number of Warrants equal to the unaffected number of Warrants shall be treated for all purposes as the Transaction, which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Dealer reasonably determines that it is advisable to terminate a portion of the Transaction so that Dealer’s related commercially reasonable hedging activities will comply with applicable securities laws, rules or regulations or related policies and procedures of Dealer (whether or not such requirements, policies or procedures are imposed by law or have been voluntarily adopted by Dealer), or Dealer, despite using commercially reasonable efforts, is unable or reasonably determines that it is impractical or illegal to hedge its obligations pursuant to this Transaction in the public market without registration under the Securities Act or as a result of any legal, regulatory or self-regulatory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any time at which any Excess Ownership Position occurs, Dealer, in its discretion, is unable to effect a transfer or assignment to a third party of the Transaction or any other transaction between the parties after using its commercially reasonable efforts on pricing and terms and within a time period reasonably acceptable to Dealer such that an Excess Ownership Position no longer exists;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Dealer shall treat only that portion of the Transaction as the Affected Transaction as necessary so that such Excess Ownership Position would no longer exist following the resulting partial termination of the Transaction (after taking into account commercially reasonable adjustments to Dealer’s commercially reasonable Hedge Positions from such partial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“person” or “group” (within the meaning of Section 13(d) of the Exchange Act), other than Counterparty or its wholly-owned subsidiaries, becomes the direct or indirect ultimate “beneficial owner,” as defined in Rule 13d-3 under the Exchange Act, of the common equity of Counterparty representing more than 50.0% of the voting power of such common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(1) any sale, lease or other transfer, in one transaction or a series of transactions, of all or substantially all of the assets of Counterparty and its subsidiaries, taken as a whole, to any person; or (2) any transaction or series of related transactions in connection with which (whether by means of merger, consolidation, share exchange, combination, reclassification, recapitalization, acquisition, liquidation or otherwise) all of the Shares are exchanged for, converted into, acquired for, or constitutes solely the right to receive, other securities, cash or other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any transaction or event set forth in the immediately preceding clause (iv) shall not constitute an Additional Termination Event if at least 90% of the consideration received or to be received by holders of the Shares (excluding cash payments for fractional Shares or pursuant to dissenters rights) in connection with the transaction or transactions that would otherwise constitute an Additional Termination Event pursuant to clause (iv) of this Section 8(k) consists of shares of common stock listed on any of The New York Stock Exchange, The NASDAQ Global Select Market or The NASDAQ Global Market (or any of their respective successors) or that will be so listed when issued or exchanged in connection with such transaction or transactions, and following such transaction or transactions, the Shares will consist of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excluding cash payments for fractional shares. For the avoidance of doubt, an event that is not considered an Additional Termination Event pursuant to the immediately preceding sentence shall not be an Additional Termination Event solely because such event could also be described by clause (iii)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holders of Shares approve any plan or proposal for Counterparty’s liquidation or dissolution (other than in a transaction described in (iv)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Early Unwind</w:t>
      </w:r>
      <w:r>
        <w:rPr>
          <w:rFonts w:ascii="Times New Roman;Times;Serif" w:hAnsi="Times New Roman;Times;Serif"/>
          <w:b w:val="false"/>
          <w:i w:val="false"/>
          <w:caps w:val="false"/>
          <w:smallCaps w:val="false"/>
          <w:sz w:val="20"/>
        </w:rPr>
        <w:t>. In the event the sale by Counterparty of the Firm Securities (defined under the Purchase Agreement) is not consummated pursuant to the Purchase Agreement for any reason by the close of business in New York on January 23, 2023 (or such later date as agreed upon by the parties (January 23, 2023 or such later date being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xml:space="preserve">”) on the Early Unwind Date and (i) the Transaction and all of the respective rights and obligations of Dealer and Counterparty thereunder shall be cancelled and terminated and (ii) Counterparty shall pay to Dealer an amount in cash equal to the aggregate amount of actual costs and expenses relating to the unwinding of Dealer’s commercially reasonable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No Netting and Set-off</w:t>
      </w:r>
      <w:r>
        <w:rPr>
          <w:rFonts w:ascii="Times New Roman;Times;Serif" w:hAnsi="Times New Roman;Times;Serif"/>
          <w:b w:val="false"/>
          <w:i w:val="false"/>
          <w:caps w:val="false"/>
          <w:smallCaps w:val="false"/>
          <w:sz w:val="20"/>
        </w:rPr>
        <w:t>. 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Delivery of Cash</w:t>
      </w:r>
      <w:r>
        <w:rPr>
          <w:rFonts w:ascii="Times New Roman;Times;Serif" w:hAnsi="Times New Roman;Times;Serif"/>
          <w:b w:val="false"/>
          <w:i w:val="false"/>
          <w:caps w:val="false"/>
          <w:smallCaps w:val="false"/>
          <w:sz w:val="20"/>
        </w:rPr>
        <w:t>. For the avoidance of doubt, nothing in this Confirmation shall be interpreted as requiring the Counterparty to deliver cash in respect of the settlement of the Transaction, except in circumstances where the required cash settlement thereof is permitted for classification of the contract as equity by ASC 815-40, Derivatives and Hedging – Contracts in Entity’s Own Equity, as in effect on the relevant Trade Date (including, without limitation, where the Counterparty so elects to deliver cash or fails timely to elect to deliver Shares or Share Termination Delivery Property in respect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Agreements and Acknowledgements Regarding Hedging</w:t>
      </w:r>
      <w:r>
        <w:rPr>
          <w:rFonts w:ascii="Times New Roman;Times;Serif" w:hAnsi="Times New Roman;Times;Serif"/>
          <w:b w:val="false"/>
          <w:i w:val="false"/>
          <w:caps w:val="false"/>
          <w:smallCaps w:val="false"/>
          <w:sz w:val="20"/>
        </w:rPr>
        <w:t>. Counterparty understands, acknowledges and agrees that: (A) at any time on and 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Counterparty shall be conducted and shall do so in a manner that it deems appropriate to hedge its price and market risk with respect to the VWAP Prices; (D) any market activities of Dealer and its affiliates with respect to Shares may affect the market price and volatility of Shares, as well as the VWAP Prices,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Wall Street Transparency and Accountability Act</w:t>
      </w:r>
      <w:r>
        <w:rPr>
          <w:rFonts w:ascii="Times New Roman;Times;Serif" w:hAnsi="Times New Roman;Times;Serif"/>
          <w:b w:val="false"/>
          <w:i w:val="false"/>
          <w:caps w:val="false"/>
          <w:smallCaps w:val="false"/>
          <w:sz w:val="20"/>
        </w:rPr>
        <w:t>. In connection with Section 739 of the Wall Street Transparency and Accountability Act of 2010 (the “WSTAA”),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This Confirmation and the Agreement may not be modified, amended or supplemented, except in a written instrument signed by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Confirmation may be executed in several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Withholding Tax imposed on payments to non-US counterparties under the United States Foreign Account Tax Compliance Act.</w:t>
      </w:r>
      <w:r>
        <w:rPr>
          <w:rFonts w:ascii="Times New Roman;Times;Serif" w:hAnsi="Times New Roman;Times;Serif"/>
          <w:b w:val="false"/>
          <w:i w:val="false"/>
          <w:caps w:val="false"/>
          <w:smallCaps w:val="false"/>
          <w:sz w:val="20"/>
        </w:rPr>
        <w:t xml:space="preserve"> “Indemnifiable Tax” as defined in Section 14 of the Agreement, 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Times;Serif" w:hAnsi="Times New Roman;Times;Serif"/>
          <w:b/>
          <w:i w:val="false"/>
          <w:caps w:val="false"/>
          <w:smallCaps w:val="false"/>
          <w:sz w:val="20"/>
        </w:rPr>
        <w:t>FATCA Withholding Tax</w:t>
      </w:r>
      <w:r>
        <w:rPr>
          <w:rFonts w:ascii="Times New Roman;Times;Serif" w:hAnsi="Times New Roman;Times;Serif"/>
          <w:b w:val="false"/>
          <w:i w:val="false"/>
          <w:caps w:val="false"/>
          <w:smallCaps w:val="false"/>
          <w:sz w:val="20"/>
        </w:rPr>
        <w:t>”). For the avoidance of doubt, a FATCA Withholding Tax is a Tax the deduction or withholding of which is required by applicable law for the purposes of Section 2(d)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HIRE Act.</w:t>
      </w:r>
      <w:r>
        <w:rPr>
          <w:rFonts w:ascii="Times New Roman;Times;Serif" w:hAnsi="Times New Roman;Times;Serif"/>
          <w:b w:val="false"/>
          <w:i w:val="false"/>
          <w:caps w:val="false"/>
          <w:smallCaps w:val="false"/>
          <w:sz w:val="20"/>
        </w:rPr>
        <w:t xml:space="preserve">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Times;Serif" w:hAnsi="Times New Roman;Times;Serif"/>
          <w:b/>
          <w:i w:val="false"/>
          <w:caps w:val="false"/>
          <w:smallCaps w:val="false"/>
          <w:sz w:val="20"/>
        </w:rPr>
        <w:t>871(m) Protocol</w:t>
      </w:r>
      <w:r>
        <w:rPr>
          <w:rFonts w:ascii="Times New Roman;Times;Serif" w:hAnsi="Times New Roman;Times;Serif"/>
          <w:b w:val="false"/>
          <w:i w:val="false"/>
          <w:caps w:val="false"/>
          <w:smallCaps w:val="false"/>
          <w:sz w:val="20"/>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Agreement” in the 871(m) Protocol will be deemed to be references to the Master Agreement with respect to this Transaction, and references to the “Implementation Date” in the 871(m) Protocol will be deemed to be references to the Trade Date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Tax documentation</w:t>
      </w:r>
      <w:r>
        <w:rPr>
          <w:rFonts w:ascii="Times New Roman;Times;Serif" w:hAnsi="Times New Roman;Times;Serif"/>
          <w:b w:val="false"/>
          <w:i w:val="false"/>
          <w:caps w:val="false"/>
          <w:smallCaps w:val="false"/>
          <w:sz w:val="20"/>
        </w:rPr>
        <w:t>.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W-9 or any successor thereto, (i) on or before the date of execution of this Confirmation, (ii) upon reasonable request of Counterparty and (iii) promptly upon learning that any such tax form previously provided by Dealer has become obsolete or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 Representations. For the purpose of Section 3(f) of the Agreement, Counterparty is a corporation for U.S. federal income tax purposes and is organized under the laws of the State of Minnesota.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For the purpose of Section 3(f) of the Agreement, Dealer represents to Counterparty that Dealer is a national banking association organized and existing under the laws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QFC Stay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In the event that Dealer becomes subject to a proceeding under (i) the Federal Deposit Insurance Act and the regulations promulgated thereunder or (ii) Title II of the Dodd-Frank Wall Street Reform and Consumer Protection Act and the regulations promulgated thereunder (a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xml:space="preserve">”)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are permitted to be exercised to no greater extent than such Default Rights could be exercised under the U.S. Special Resolution Regime if this Confirmation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except to the extent that the exercise of such Default Right would be permitted under the provisions of 12 C.F.R. 252.84, 12 C.F.R. 47.5 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Counterparty has previously adhered to, or subsequently adheres to, the ISDA 2018 U.S. Resolution Stay Protocol as published by the International Swaps and Derivatives Association, Inc. as of July 31, 2018 (the “</w:t>
      </w:r>
      <w:r>
        <w:rPr>
          <w:rFonts w:ascii="Times New Roman;Times;Serif" w:hAnsi="Times New Roman;Times;Serif"/>
          <w:b/>
          <w:i w:val="false"/>
          <w:caps w:val="false"/>
          <w:smallCaps w:val="false"/>
          <w:sz w:val="20"/>
        </w:rPr>
        <w:t>ISDA U.S. Protocol</w:t>
      </w:r>
      <w:r>
        <w:rPr>
          <w:rFonts w:ascii="Times New Roman;Times;Serif" w:hAnsi="Times New Roman;Times;Serif"/>
          <w:b w:val="false"/>
          <w:i w:val="false"/>
          <w:caps w:val="false"/>
          <w:smallCaps w:val="false"/>
          <w:sz w:val="20"/>
        </w:rPr>
        <w:t>”), the terms of such protocol shall be incorporated into and form a part of this Confirmation and the terms of the ISDA U.S. Protocol shall supersede and replace the terms of this Section 8(r).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w:t>
      </w:r>
      <w:r>
        <w:rPr>
          <w:rFonts w:ascii="Times New Roman;Times;Serif" w:hAnsi="Times New Roman;Times;Serif"/>
          <w:b/>
          <w:i w:val="false"/>
          <w:caps w:val="false"/>
          <w:smallCaps w:val="false"/>
          <w:sz w:val="20"/>
        </w:rPr>
        <w:t>Preexisting In-Scope Agreement</w:t>
      </w:r>
      <w:r>
        <w:rPr>
          <w:rFonts w:ascii="Times New Roman;Times;Serif" w:hAnsi="Times New Roman;Times;Serif"/>
          <w:b w:val="false"/>
          <w:i w:val="false"/>
          <w:caps w:val="false"/>
          <w:smallCaps w:val="false"/>
          <w:sz w:val="20"/>
        </w:rPr>
        <w:t>”), then each such Preexisting In-Scope Agreement is hereby amended to include the foregoing provisions in this Section 8(r), with references to “this Confirmation” being understood to be references to the applicable Preexisting In-Scope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Section 8(r):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is defined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Credit Enhancement</w:t>
      </w:r>
      <w:r>
        <w:rPr>
          <w:rFonts w:ascii="Times New Roman;Times;Serif" w:hAnsi="Times New Roman;Times;Serif"/>
          <w:b w:val="false"/>
          <w:i w:val="false"/>
          <w:caps w:val="false"/>
          <w:smallCaps w:val="false"/>
          <w:sz w:val="20"/>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Exclusive Jurisdiction; Waiver of Jury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Section 13(b) of the Agreement is deleted in its entirety and replaced by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The courts of the United States of America for the Southern District of New York and appellate courts from thereof will have the sole and exclusive jurisdiction over any and all claims, disputes or causes of action arising out of, in connection with, or relating to this Agreement or the transactions and relationships between the parties contemplated by this Agreement. If such courts lack federal subject matter jurisdiction, the Supreme Court of the State of New York, sitting in New York County and any appellate court from thereof, will have sole and exclusive jurisdiction. Subject to the foregoing, either of these courts will be the proper venue and the parties waive any objection to venue or their convenience as a forum. The parties agree to submit to the jurisdiction of any of the courts specified and to accept service of process to vest personal jurisdiction over them in any of these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EACH OF COUNTERPARTY AND DEALER HEREBY IRREVOCABLY WAIVES (ON ITS OWN BEHALF AND, TO THE EXTENT PERMITTED BY APPLICABLE LAW, ON BEHALF OF ITS STOCKHOLDERS) ALL RIGHT TO TRIAL BY JURY IN ANY ACTION, PROCEEDING OR COUNTERCLAIM (WHETHER BASED ON CONTRACT, TORT OR OTHERWISE) ARISING OUT OF OR RELATING TO THIS CONFIRMATION OR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rPr>
        <w:t>Communications with Employees of J.P. Morgan Securities LLC</w:t>
      </w:r>
      <w:r>
        <w:rPr>
          <w:rFonts w:ascii="Times New Roman;Times;Serif" w:hAnsi="Times New Roman;Times;Serif"/>
          <w:b w:val="false"/>
          <w:i w:val="false"/>
          <w:caps w:val="false"/>
          <w:smallCaps w:val="false"/>
          <w:sz w:val="20"/>
        </w:rPr>
        <w:t>. If Counterparty interacts with any employee of J.P. Morgan Securities LLC with respect to the Transaction, Counterparty is hereby notified that such employee will act solely as an authorized representative of JPMorgan Chase Bank, N.A. (and not as a representative of J.P. Morgan Securities LLC)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the terms of our agreement by executing this Confirmation and returning it to J.P. Morgan Securities LLC, 383 Madison Ave, New York, NY 10179, and by email to EDG_Notices@jpmorgan.com and edg.us.flow.corporates.mo@jpmorgan.com.</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National Association</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545"/>
        <w:gridCol w:w="158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Gaurav Maria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Gaurav Maria</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Base Warrant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and Accepted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WINNEBAGO INDUSTRIES, INC.</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335"/>
        <w:gridCol w:w="272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Bryan L. Hughes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Bryan L. Hughes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Financial Officer and</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2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JPM Warrant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Component of the Transaction, the Number of Warrants and Expiration Date is set forth below.</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1685"/>
        <w:gridCol w:w="60"/>
        <w:gridCol w:w="1640"/>
        <w:gridCol w:w="60"/>
        <w:gridCol w:w="1325"/>
      </w:tblGrid>
      <w:tr>
        <w:trPr/>
        <w:tc>
          <w:tcPr>
            <w:tcW w:w="168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Component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Expiration Date</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15,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16,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17,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18,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22,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23,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24,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25,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26,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29,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30,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3,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6,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7,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8,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9,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10,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13,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14,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15,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16,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17,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20,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21,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22,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23,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24,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28,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29,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30,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31,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3,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4,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5,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6,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7,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10,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11,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12,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13,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14,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17,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18,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20,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21,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24,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25,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26, 2030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595" w:type="dxa"/>
        <w:jc w:val="left"/>
        <w:tblInd w:w="0" w:type="dxa"/>
        <w:tblLayout w:type="fixed"/>
        <w:tblCellMar>
          <w:top w:w="0" w:type="dxa"/>
          <w:left w:w="0" w:type="dxa"/>
          <w:bottom w:w="0" w:type="dxa"/>
          <w:right w:w="0" w:type="dxa"/>
        </w:tblCellMar>
      </w:tblPr>
      <w:tblGrid>
        <w:gridCol w:w="350"/>
        <w:gridCol w:w="60"/>
        <w:gridCol w:w="590"/>
        <w:gridCol w:w="60"/>
        <w:gridCol w:w="1535"/>
      </w:tblGrid>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27,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28,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3,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5,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8,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9,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10,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11,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12,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15,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16,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17,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18,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19,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22,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23,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24,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25,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26,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29,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30,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31,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5,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6,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7,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8,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9,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12,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13,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15,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16,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87</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19,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88</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20,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21,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22,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23,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26,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27,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28,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29,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30,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3,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4,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5,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11,372</w:t>
            </w:r>
          </w:p>
        </w:tc>
        <w:tc>
          <w:tcPr>
            <w:tcW w:w="60"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6, 2030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shd w:fill="FFFFFF" w:val="clear"/>
        </w:rPr>
      </w:pPr>
      <w:bookmarkStart w:id="44" w:name="tm243871d1_ex10-11.htm"/>
      <w:bookmarkStart w:id="45" w:name="kstm243871d1_ex1011"/>
      <w:bookmarkEnd w:id="44"/>
      <w:bookmarkEnd w:id="45"/>
      <w:r>
        <w:rPr>
          <w:shd w:fill="FFFFFF" w:val="clear"/>
        </w:rPr>
        <w:t> </w:t>
      </w:r>
      <w:r>
        <w:br w:type="page"/>
      </w:r>
    </w:p>
    <w:p>
      <w:pPr>
        <w:pStyle w:val="TextBody"/>
        <w:bidi w:val="0"/>
        <w:jc w:val="right"/>
        <w:rPr>
          <w:b/>
          <w:shd w:fill="FFFFFF" w:val="clear"/>
        </w:rPr>
      </w:pPr>
      <w:r>
        <w:rPr>
          <w:b/>
          <w:shd w:fill="FFFFFF" w:val="clear"/>
        </w:rPr>
        <w:t>Exhibit 10.11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GOLDMAN SACHS &amp; CO. LLC | 200 WEST STREET | NEW YORK, NEW YORK 10282-2198 |TEL: 212-902-1000</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575"/>
        <w:gridCol w:w="3125"/>
      </w:tblGrid>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w:t>
            </w:r>
          </w:p>
        </w:tc>
        <w:tc>
          <w:tcPr>
            <w:tcW w:w="31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Minnesota 55347</w:t>
            </w:r>
          </w:p>
          <w:p>
            <w:pPr>
              <w:pStyle w:val="TableContents"/>
              <w:bidi w:val="0"/>
              <w:spacing w:before="0" w:after="0"/>
              <w:ind w:left="0" w:right="0" w:hanging="0"/>
              <w:jc w:val="left"/>
              <w:rPr>
                <w:caps w:val="false"/>
                <w:smallCaps w:val="false"/>
              </w:rPr>
            </w:pPr>
            <w:r>
              <w:rPr>
                <w:caps w:val="false"/>
                <w:smallCaps w:val="false"/>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From:</w:t>
            </w:r>
          </w:p>
        </w:tc>
        <w:tc>
          <w:tcPr>
            <w:tcW w:w="3125"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Goldman Sachs &amp; Co. LLC</w:t>
            </w:r>
          </w:p>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w:t>
            </w:r>
          </w:p>
        </w:tc>
        <w:tc>
          <w:tcPr>
            <w:tcW w:w="3125"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Additional Issuer Warrant Transaction</w:t>
            </w:r>
          </w:p>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19,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communication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set forth the terms and conditions of the above-referenced transaction entered into on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between Goldman Sachs &amp; Co. LLC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Winnebago Industries, Inc.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This communication constitutes a “Confirmation” as referred to in the Agreement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Confirmation is subject to, and incorporates, the definitions and provisions of the 2006 ISDA Definitions (the “</w:t>
      </w:r>
      <w:r>
        <w:rPr>
          <w:rFonts w:ascii="Times New Roman;Times;Serif" w:hAnsi="Times New Roman;Times;Serif"/>
          <w:b/>
          <w:i w:val="false"/>
          <w:caps w:val="false"/>
          <w:smallCaps w:val="false"/>
          <w:sz w:val="20"/>
        </w:rPr>
        <w:t>2006 Definitions</w:t>
      </w:r>
      <w:r>
        <w:rPr>
          <w:rFonts w:ascii="Times New Roman;Times;Serif" w:hAnsi="Times New Roman;Times;Serif"/>
          <w:b w:val="false"/>
          <w:i w:val="false"/>
          <w:caps w:val="false"/>
          <w:smallCaps w:val="false"/>
          <w:sz w:val="20"/>
        </w:rPr>
        <w:t>”) and the definitions and provisions of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together with the 2006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For purposes of the Equity Definitions, each reference herein to a Warrant shall be deemed to be a reference to a Call Option or an Option, as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evidences a complete and binding agreement between Dealer and Counterparty as to the terms of the Transaction to which this Confirmation relates. This Confirmation shall be subject to an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as the Termination Currency, (ii) the replacement of the word “third” in the last line of Section 5(a)(i) of the Agreement with the word “first” and (iii) (a) the election that the “Cross Default” provisions of Section 5(a)(vi) of the Agreement shall apply to Counterparty with a “Threshold Amount” of USD35.0 million), (b)  (b) </w:t>
      </w:r>
      <w:r>
        <w:rPr>
          <w:rFonts w:ascii="Times New Roman;Times;Serif" w:hAnsi="Times New Roman;Times;Serif"/>
          <w:b w:val="false"/>
          <w:i w:val="false"/>
          <w:caps w:val="false"/>
          <w:smallCaps w:val="false"/>
          <w:sz w:val="20"/>
          <w:shd w:fill="FFFFFF" w:val="clear"/>
        </w:rPr>
        <w:t> the phrase “,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is a Warrant Transaction, which shall be considered a Share Option Transaction for purposes of the Equity Definitions. The terms of the particular Transaction to which this Confirmation relates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Terms:</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965"/>
        <w:gridCol w:w="1415"/>
      </w:tblGrid>
      <w:tr>
        <w:trPr/>
        <w:tc>
          <w:tcPr>
            <w:tcW w:w="96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Date:</w:t>
            </w:r>
          </w:p>
        </w:tc>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2024</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1235"/>
        <w:gridCol w:w="7760"/>
      </w:tblGrid>
      <w:tr>
        <w:trPr/>
        <w:tc>
          <w:tcPr>
            <w:tcW w:w="123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23, 2024, or such other date as agreed between the parties, subject to Section 8(l)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69"/>
        <w:gridCol w:w="9136"/>
      </w:tblGrid>
      <w:tr>
        <w:trPr/>
        <w:tc>
          <w:tcPr>
            <w:tcW w:w="1069"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w:t>
            </w:r>
          </w:p>
        </w:tc>
        <w:tc>
          <w:tcPr>
            <w:tcW w:w="91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divided into individual Components, each with the terms set forth in this Confirmation, and, in particular, with the Number of Warrants and Expiration Date set forth in this Confirmation. The payments and deliveries to be made upon settlement of the Transaction will be determined separately for each Component as if each Component were a separate Transaction under the Agreement.</w:t>
            </w:r>
          </w:p>
        </w:tc>
      </w:tr>
    </w:tbl>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190"/>
        <w:gridCol w:w="800"/>
      </w:tblGrid>
      <w:tr>
        <w:trPr/>
        <w:tc>
          <w:tcPr>
            <w:tcW w:w="11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Style:</w:t>
            </w:r>
          </w:p>
        </w:tc>
        <w:tc>
          <w:tcPr>
            <w:tcW w:w="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w:t>
            </w:r>
          </w:p>
        </w:tc>
      </w:tr>
    </w:tbl>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190"/>
        <w:gridCol w:w="365"/>
      </w:tblGrid>
      <w:tr>
        <w:trPr/>
        <w:tc>
          <w:tcPr>
            <w:tcW w:w="119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Type:</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w:t>
            </w:r>
          </w:p>
        </w:tc>
      </w:tr>
    </w:tbl>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545"/>
        <w:gridCol w:w="1100"/>
      </w:tblGrid>
      <w:tr>
        <w:trPr/>
        <w:tc>
          <w:tcPr>
            <w:tcW w:w="54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w:t>
            </w:r>
          </w:p>
        </w:tc>
      </w:tr>
    </w:tbl>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575"/>
        <w:gridCol w:w="545"/>
      </w:tblGrid>
      <w:tr>
        <w:trPr/>
        <w:tc>
          <w:tcPr>
            <w:tcW w:w="57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r>
    </w:tbl>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05"/>
        <w:gridCol w:w="6740"/>
      </w:tblGrid>
      <w:tr>
        <w:trPr/>
        <w:tc>
          <w:tcPr>
            <w:tcW w:w="60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Counterparty, par value USD0.50 (Ticker Symbol: “WGO”).</w:t>
            </w:r>
          </w:p>
        </w:tc>
      </w:tr>
    </w:tbl>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1700"/>
        <w:gridCol w:w="5465"/>
      </w:tblGrid>
      <w:tr>
        <w:trPr/>
        <w:tc>
          <w:tcPr>
            <w:tcW w:w="170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Warrants:</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Component, as provided in Annex A to this Confirmation.</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1730"/>
        <w:gridCol w:w="1835"/>
      </w:tblGrid>
      <w:tr>
        <w:trPr/>
        <w:tc>
          <w:tcPr>
            <w:tcW w:w="173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Entitlement:</w:t>
            </w:r>
          </w:p>
        </w:tc>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Share per Warrant</w:t>
            </w:r>
          </w:p>
        </w:tc>
      </w:tr>
    </w:tbl>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1010"/>
        <w:gridCol w:w="1175"/>
      </w:tblGrid>
      <w:tr>
        <w:trPr/>
        <w:tc>
          <w:tcPr>
            <w:tcW w:w="101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Strike Price:</w:t>
            </w:r>
          </w:p>
        </w:tc>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USD135.2800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Agreement, this Confirmation or the Equity Definitions, in no event shall the Strike Price be subject to adjustment to the extent that, after giving effect to such adjustment, the Strike Price would be less than USD 67.2580, except for any adjustment pursuant to the terms of this Confirmation and the Equity Definitions in connection with a stock split or similar change to Counterparty’s capitalization.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3"/>
        <w:gridCol w:w="8732"/>
      </w:tblGrid>
      <w:tr>
        <w:trPr/>
        <w:tc>
          <w:tcPr>
            <w:tcW w:w="1473"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w:t>
            </w:r>
          </w:p>
        </w:tc>
        <w:tc>
          <w:tcPr>
            <w:tcW w:w="87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any date, a number of Shares equal to the product of the Number of Warrants and the Warrant Entitlement.</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00"/>
        <w:gridCol w:w="1220"/>
      </w:tblGrid>
      <w:tr>
        <w:trPr/>
        <w:tc>
          <w:tcPr>
            <w:tcW w:w="80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USD1,490,000</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970"/>
        <w:gridCol w:w="1535"/>
      </w:tblGrid>
      <w:tr>
        <w:trPr/>
        <w:tc>
          <w:tcPr>
            <w:tcW w:w="197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 Payment Date:</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890"/>
        <w:gridCol w:w="2195"/>
      </w:tblGrid>
      <w:tr>
        <w:trPr/>
        <w:tc>
          <w:tcPr>
            <w:tcW w:w="8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565"/>
        <w:gridCol w:w="1205"/>
      </w:tblGrid>
      <w:tr>
        <w:trPr/>
        <w:tc>
          <w:tcPr>
            <w:tcW w:w="156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Exchange:</w:t>
            </w:r>
          </w:p>
        </w:tc>
        <w:tc>
          <w:tcPr>
            <w:tcW w:w="1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Exchanges</w:t>
            </w:r>
          </w:p>
        </w:tc>
      </w:tr>
    </w:tbl>
    <w:p>
      <w:pPr>
        <w:pStyle w:val="TextBody"/>
        <w:bidi w:val="0"/>
        <w:spacing w:before="0" w:after="0"/>
        <w:ind w:left="0" w:right="0" w:hanging="0"/>
        <w:jc w:val="left"/>
        <w:rPr>
          <w:caps w:val="false"/>
          <w:smallCaps w:val="false"/>
        </w:rPr>
      </w:pPr>
      <w:r>
        <w:rPr>
          <w:caps w:val="false"/>
          <w:smallCaps w:val="false"/>
        </w:rPr>
        <w:t> </w:t>
      </w:r>
    </w:p>
    <w:tbl>
      <w:tblPr>
        <w:tblW w:w="1993" w:type="dxa"/>
        <w:jc w:val="left"/>
        <w:tblInd w:w="0" w:type="dxa"/>
        <w:tblLayout w:type="fixed"/>
        <w:tblCellMar>
          <w:top w:w="0" w:type="dxa"/>
          <w:left w:w="0" w:type="dxa"/>
          <w:bottom w:w="0" w:type="dxa"/>
          <w:right w:w="0" w:type="dxa"/>
        </w:tblCellMar>
      </w:tblPr>
      <w:tblGrid>
        <w:gridCol w:w="1970"/>
        <w:gridCol w:w="23"/>
      </w:tblGrid>
      <w:tr>
        <w:trPr/>
        <w:tc>
          <w:tcPr>
            <w:tcW w:w="197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Procedures for Exercise:</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2443" w:type="dxa"/>
        <w:jc w:val="left"/>
        <w:tblInd w:w="0" w:type="dxa"/>
        <w:tblLayout w:type="fixed"/>
        <w:tblCellMar>
          <w:top w:w="0" w:type="dxa"/>
          <w:left w:w="0" w:type="dxa"/>
          <w:bottom w:w="0" w:type="dxa"/>
          <w:right w:w="0" w:type="dxa"/>
        </w:tblCellMar>
      </w:tblPr>
      <w:tblGrid>
        <w:gridCol w:w="2420"/>
        <w:gridCol w:w="23"/>
      </w:tblGrid>
      <w:tr>
        <w:trPr/>
        <w:tc>
          <w:tcPr>
            <w:tcW w:w="2420" w:type="dxa"/>
            <w:tcBorders/>
            <w:vAlign w:val="center"/>
          </w:tcPr>
          <w:p>
            <w:pPr>
              <w:pStyle w:val="TableContents"/>
              <w:bidi w:val="0"/>
              <w:spacing w:before="0" w:after="283"/>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respect of any Component: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415"/>
        <w:gridCol w:w="1295"/>
      </w:tblGrid>
      <w:tr>
        <w:trPr/>
        <w:tc>
          <w:tcPr>
            <w:tcW w:w="141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Time:</w:t>
            </w:r>
          </w:p>
        </w:tc>
        <w:tc>
          <w:tcPr>
            <w:tcW w:w="1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92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provided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to this Confirmation (or, if such date is not a Scheduled Trading Day, the next following Scheduled Trading Day that is not already an Expiration Date for another Component);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that date is a Disrupted Day, the Expiration Date for such Component shall be the first succeeding Scheduled Trading Day that is not a Disrupted Day and is not and is not deemed to be an Expiration Date in respect of any other Component of the Transaction hereunder;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the Expiration Date has not occurred pursuant to the preceding proviso as of the Final Disruption Date, the Calculation Agent shall have the right to elect, in its sole discretion, that the Final Disruption Date shall be the Expiration Date (irrespective of whether such date is an Expiration Date in respect of any other Component for the Transaction). Notwithstanding the foregoing and anything to the contrary in the Equity Definitions, if a Market Disruption Event occurs on any Expiration Date, the Calculation Agent may determine that such Expiration Date is a Disrupted Day only in part, in which case the Calculation Agent shall make adjustments to the Number of Warrants for the relevant Component for which such day shall be the Expiration Date, shall designate the Scheduled Trading Day determined in the manner described in the immediately preceding sentence as the Expiration Date for the remaining Warrants for such Component and may determine the VWAP Price for such Expiration Date based on transactions in the Shares taking into account the nature and duration of such Market Disruption Event. Any Scheduled Trading Day on which, as of the date hereof, the Exchange is scheduled to close prior to its normal close of trading shall be deemed not to be a Scheduled Trading Day; if a closure of the Exchange prior to its normal close of trading on any Scheduled Trading Day is scheduled following the date hereof, then such Scheduled Trading Day shall be deemed to be a Disrupted Day in full</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Section 6.6 of the Equity Definitions shall not apply to any Valuation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2"/>
        <w:gridCol w:w="8893"/>
      </w:tblGrid>
      <w:tr>
        <w:trPr/>
        <w:tc>
          <w:tcPr>
            <w:tcW w:w="1312" w:type="dxa"/>
            <w:tcBorders/>
            <w:vAlign w:val="center"/>
          </w:tcPr>
          <w:p>
            <w:pPr>
              <w:pStyle w:val="TableContents"/>
              <w:bidi w:val="0"/>
              <w:spacing w:before="0" w:after="283"/>
              <w:ind w:left="0" w:right="0" w:hanging="0"/>
              <w:jc w:val="both"/>
              <w:rPr/>
            </w:pPr>
            <w:r>
              <w:rPr/>
              <w:t> </w:t>
            </w:r>
          </w:p>
        </w:tc>
        <w:tc>
          <w:tcPr>
            <w:tcW w:w="8893" w:type="dxa"/>
            <w:tcBorders/>
            <w:vAlign w:val="center"/>
          </w:tcPr>
          <w:p>
            <w:pPr>
              <w:pStyle w:val="TableContents"/>
              <w:bidi w:val="0"/>
              <w:spacing w:before="0" w:after="283"/>
              <w:ind w:left="0" w:right="0" w:hanging="0"/>
              <w:jc w:val="both"/>
              <w:rPr/>
            </w:pPr>
            <w:r>
              <w:rPr/>
              <w:t>occurring on an Expiration Date. “</w:t>
            </w:r>
            <w:r>
              <w:rPr>
                <w:b/>
              </w:rPr>
              <w:t>Final Disruption Date</w:t>
            </w:r>
            <w:r>
              <w:rPr/>
              <w:t>” means September 20, 2030.</w:t>
            </w:r>
          </w:p>
        </w:tc>
      </w:tr>
      <w:tr>
        <w:trPr/>
        <w:tc>
          <w:tcPr>
            <w:tcW w:w="1312" w:type="dxa"/>
            <w:tcBorders/>
            <w:vAlign w:val="center"/>
          </w:tcPr>
          <w:p>
            <w:pPr>
              <w:pStyle w:val="TableContents"/>
              <w:bidi w:val="0"/>
              <w:spacing w:before="0" w:after="283"/>
              <w:ind w:left="0" w:right="0" w:hanging="0"/>
              <w:jc w:val="both"/>
              <w:rPr/>
            </w:pPr>
            <w:r>
              <w:rPr/>
              <w:t> </w:t>
            </w:r>
          </w:p>
        </w:tc>
        <w:tc>
          <w:tcPr>
            <w:tcW w:w="8893" w:type="dxa"/>
            <w:tcBorders/>
            <w:vAlign w:val="center"/>
          </w:tcPr>
          <w:p>
            <w:pPr>
              <w:pStyle w:val="TableContents"/>
              <w:bidi w:val="0"/>
              <w:spacing w:before="0" w:after="283"/>
              <w:ind w:left="0" w:right="0" w:hanging="0"/>
              <w:jc w:val="both"/>
              <w:rPr/>
            </w:pPr>
            <w:r>
              <w:rPr/>
              <w:t> </w:t>
            </w:r>
          </w:p>
        </w:tc>
      </w:tr>
      <w:tr>
        <w:trPr/>
        <w:tc>
          <w:tcPr>
            <w:tcW w:w="1312" w:type="dxa"/>
            <w:tcBorders/>
            <w:vAlign w:val="center"/>
          </w:tcPr>
          <w:p>
            <w:pPr>
              <w:pStyle w:val="TableContents"/>
              <w:bidi w:val="0"/>
              <w:spacing w:before="0" w:after="283"/>
              <w:ind w:left="0" w:right="0" w:hanging="0"/>
              <w:jc w:val="both"/>
              <w:rPr/>
            </w:pPr>
            <w:r>
              <w:rPr/>
              <w:t>Market Disruption Event:</w:t>
            </w:r>
          </w:p>
        </w:tc>
        <w:tc>
          <w:tcPr>
            <w:tcW w:w="8893" w:type="dxa"/>
            <w:tcBorders/>
            <w:vAlign w:val="center"/>
          </w:tcPr>
          <w:p>
            <w:pPr>
              <w:pStyle w:val="TableContents"/>
              <w:bidi w:val="0"/>
              <w:spacing w:before="0" w:after="283"/>
              <w:jc w:val="both"/>
              <w:rPr/>
            </w:pPr>
            <w:r>
              <w:rPr/>
              <w:t>Section 6.3(a) of the Equity Definitions is hereby amended by (A) deleting the words “during the one hour period that ends at the relevant Valuation Time, Latest Exercise Time, Knock-in Valuation Time or Knock-out Valuation Time, as the case may be,” in clause (ii) thereof and (B) by replacing the words “or (iii) an Early Closure.” therein with “(iii) an Early Closure, or (iv) a Regulatory Disruption.”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6.3(d) of the Equity Definitions is hereby amended by deleting the remainder of the provision following the term “Scheduled Closing Time” in the fourth line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5"/>
        <w:gridCol w:w="9020"/>
      </w:tblGrid>
      <w:tr>
        <w:trPr/>
        <w:tc>
          <w:tcPr>
            <w:tcW w:w="1185" w:type="dxa"/>
            <w:tcBorders/>
            <w:vAlign w:val="center"/>
          </w:tcPr>
          <w:p>
            <w:pPr>
              <w:pStyle w:val="TableContents"/>
              <w:bidi w:val="0"/>
              <w:spacing w:before="0" w:after="283"/>
              <w:ind w:left="0" w:right="0" w:hanging="0"/>
              <w:jc w:val="both"/>
              <w:rPr/>
            </w:pPr>
            <w:r>
              <w:rPr/>
              <w:t>Regulatory Disruption:</w:t>
            </w:r>
          </w:p>
        </w:tc>
        <w:tc>
          <w:tcPr>
            <w:tcW w:w="9020" w:type="dxa"/>
            <w:tcBorders/>
            <w:vAlign w:val="center"/>
          </w:tcPr>
          <w:p>
            <w:pPr>
              <w:pStyle w:val="TableContents"/>
              <w:bidi w:val="0"/>
              <w:spacing w:before="0" w:after="283"/>
              <w:jc w:val="both"/>
              <w:rPr/>
            </w:pPr>
            <w:r>
              <w:rPr/>
              <w:t>Any event that Dealer, in its reasonable discretion, determines makes it appropriate, with regard to any legal, regulatory or self-regulatory requirements or related policies and procedures (whether or not such requirements or related policies and procedures are imposed by law or have been voluntarily adopted by Dealer and provided any such policies and procedures are related to legal, regulatory or self-regulatory issues generally applicable to the Transaction and are applied to the Transaction in a non-discriminatory manner), for Dealer to refrain from or decrease any market activity connected with the Transaction. Dealer shall notify Counterparty as soon as reasonably practicable that a Regulatory Disruption has occurred and the Expiration Dates affected by 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6"/>
        <w:gridCol w:w="9009"/>
      </w:tblGrid>
      <w:tr>
        <w:trPr/>
        <w:tc>
          <w:tcPr>
            <w:tcW w:w="1196" w:type="dxa"/>
            <w:tcBorders/>
            <w:vAlign w:val="center"/>
          </w:tcPr>
          <w:p>
            <w:pPr>
              <w:pStyle w:val="TableContents"/>
              <w:bidi w:val="0"/>
              <w:spacing w:before="0" w:after="283"/>
              <w:ind w:left="0" w:right="0" w:hanging="0"/>
              <w:jc w:val="both"/>
              <w:rPr/>
            </w:pPr>
            <w:r>
              <w:rPr/>
              <w:t>Automatic Exercise:</w:t>
            </w:r>
          </w:p>
        </w:tc>
        <w:tc>
          <w:tcPr>
            <w:tcW w:w="9009" w:type="dxa"/>
            <w:tcBorders/>
            <w:vAlign w:val="center"/>
          </w:tcPr>
          <w:p>
            <w:pPr>
              <w:pStyle w:val="TableContents"/>
              <w:bidi w:val="0"/>
              <w:spacing w:before="0" w:after="283"/>
              <w:jc w:val="both"/>
              <w:rPr/>
            </w:pPr>
            <w:r>
              <w:rPr/>
              <w:t>Applicable; and means that the Number of Warrants for the corresponding Expiration Date will be deemed to be automatically exercised at the Expiration Time on such Expiration Date unless Dealer notifies Seller (by telephone or in writing) prior to the Expiration Time on such Expiration Date that it does not wish Automatic Exercise to occur, in which case Automatic Exercise will not apply to such Expiration Date.</w:t>
            </w:r>
          </w:p>
        </w:tc>
      </w:tr>
    </w:tbl>
    <w:p>
      <w:pPr>
        <w:pStyle w:val="TextBody"/>
        <w:bidi w:val="0"/>
        <w:spacing w:before="0" w:after="0"/>
        <w:ind w:left="0" w:right="0" w:hanging="0"/>
        <w:jc w:val="left"/>
        <w:rPr>
          <w:caps w:val="false"/>
          <w:smallCaps w:val="false"/>
        </w:rPr>
      </w:pPr>
      <w:r>
        <w:rPr>
          <w:caps w:val="false"/>
          <w:smallCaps w:val="false"/>
        </w:rPr>
        <w:t> </w:t>
      </w:r>
    </w:p>
    <w:tbl>
      <w:tblPr>
        <w:tblW w:w="3395" w:type="dxa"/>
        <w:jc w:val="left"/>
        <w:tblInd w:w="0" w:type="dxa"/>
        <w:tblLayout w:type="fixed"/>
        <w:tblCellMar>
          <w:top w:w="0" w:type="dxa"/>
          <w:left w:w="0" w:type="dxa"/>
          <w:bottom w:w="0" w:type="dxa"/>
          <w:right w:w="0" w:type="dxa"/>
        </w:tblCellMar>
      </w:tblPr>
      <w:tblGrid>
        <w:gridCol w:w="3335"/>
        <w:gridCol w:w="60"/>
      </w:tblGrid>
      <w:tr>
        <w:trPr/>
        <w:tc>
          <w:tcPr>
            <w:tcW w:w="3335" w:type="dxa"/>
            <w:tcBorders/>
            <w:vAlign w:val="center"/>
          </w:tcPr>
          <w:p>
            <w:pPr>
              <w:pStyle w:val="TableContents"/>
              <w:bidi w:val="0"/>
              <w:spacing w:before="0" w:after="283"/>
              <w:ind w:left="0" w:right="0" w:hanging="0"/>
              <w:jc w:val="both"/>
              <w:rPr/>
            </w:pPr>
            <w:r>
              <w:rPr/>
              <w:t>Counterparty’s Telephone Number</w:t>
            </w:r>
          </w:p>
        </w:tc>
        <w:tc>
          <w:tcPr>
            <w:tcW w:w="60" w:type="dxa"/>
            <w:tcBorders/>
            <w:vAlign w:val="center"/>
          </w:tcPr>
          <w:p>
            <w:pPr>
              <w:pStyle w:val="TableContents"/>
              <w:bidi w:val="0"/>
              <w:spacing w:before="0" w:after="283"/>
              <w:jc w:val="both"/>
              <w:rPr/>
            </w:pPr>
            <w:r>
              <w:rPr/>
              <w:t> </w:t>
            </w:r>
          </w:p>
        </w:tc>
      </w:tr>
    </w:tbl>
    <w:tbl>
      <w:tblPr>
        <w:tblW w:w="3485" w:type="dxa"/>
        <w:jc w:val="left"/>
        <w:tblInd w:w="0" w:type="dxa"/>
        <w:tblLayout w:type="fixed"/>
        <w:tblCellMar>
          <w:top w:w="0" w:type="dxa"/>
          <w:left w:w="0" w:type="dxa"/>
          <w:bottom w:w="0" w:type="dxa"/>
          <w:right w:w="0" w:type="dxa"/>
        </w:tblCellMar>
      </w:tblPr>
      <w:tblGrid>
        <w:gridCol w:w="3425"/>
        <w:gridCol w:w="60"/>
      </w:tblGrid>
      <w:tr>
        <w:trPr/>
        <w:tc>
          <w:tcPr>
            <w:tcW w:w="3425" w:type="dxa"/>
            <w:tcBorders/>
            <w:vAlign w:val="center"/>
          </w:tcPr>
          <w:p>
            <w:pPr>
              <w:pStyle w:val="TableContents"/>
              <w:bidi w:val="0"/>
              <w:spacing w:before="0" w:after="283"/>
              <w:ind w:left="0" w:right="0" w:hanging="0"/>
              <w:jc w:val="left"/>
              <w:rPr/>
            </w:pPr>
            <w:r>
              <w:rPr/>
              <w:t>and Telex and/or Facsimile Number</w:t>
            </w:r>
          </w:p>
        </w:tc>
        <w:tc>
          <w:tcPr>
            <w:tcW w:w="60" w:type="dxa"/>
            <w:tcBorders/>
            <w:vAlign w:val="center"/>
          </w:tcPr>
          <w:p>
            <w:pPr>
              <w:pStyle w:val="TableContents"/>
              <w:bidi w:val="0"/>
              <w:spacing w:before="0" w:after="283"/>
              <w:jc w:val="left"/>
              <w:rPr/>
            </w:pPr>
            <w:r>
              <w:rPr/>
              <w:t> </w:t>
            </w:r>
          </w:p>
        </w:tc>
      </w:tr>
    </w:tbl>
    <w:tbl>
      <w:tblPr>
        <w:tblW w:w="3335" w:type="dxa"/>
        <w:jc w:val="left"/>
        <w:tblInd w:w="0" w:type="dxa"/>
        <w:tblLayout w:type="fixed"/>
        <w:tblCellMar>
          <w:top w:w="0" w:type="dxa"/>
          <w:left w:w="0" w:type="dxa"/>
          <w:bottom w:w="0" w:type="dxa"/>
          <w:right w:w="0" w:type="dxa"/>
        </w:tblCellMar>
      </w:tblPr>
      <w:tblGrid>
        <w:gridCol w:w="3275"/>
        <w:gridCol w:w="60"/>
      </w:tblGrid>
      <w:tr>
        <w:trPr/>
        <w:tc>
          <w:tcPr>
            <w:tcW w:w="3275" w:type="dxa"/>
            <w:tcBorders/>
            <w:vAlign w:val="center"/>
          </w:tcPr>
          <w:p>
            <w:pPr>
              <w:pStyle w:val="TableContents"/>
              <w:bidi w:val="0"/>
              <w:spacing w:before="0" w:after="283"/>
              <w:ind w:left="0" w:right="0" w:hanging="0"/>
              <w:jc w:val="left"/>
              <w:rPr/>
            </w:pPr>
            <w:r>
              <w:rPr/>
              <w:t>and Contact Details for purpose of</w:t>
            </w:r>
          </w:p>
        </w:tc>
        <w:tc>
          <w:tcPr>
            <w:tcW w:w="60" w:type="dxa"/>
            <w:tcBorders/>
            <w:vAlign w:val="center"/>
          </w:tcPr>
          <w:p>
            <w:pPr>
              <w:pStyle w:val="TableContents"/>
              <w:bidi w:val="0"/>
              <w:spacing w:before="0" w:after="283"/>
              <w:jc w:val="left"/>
              <w:rPr/>
            </w:pPr>
            <w:r>
              <w:rPr/>
              <w:t> </w:t>
            </w:r>
          </w:p>
        </w:tc>
      </w:tr>
    </w:tbl>
    <w:tbl>
      <w:tblPr>
        <w:tblW w:w="4765" w:type="dxa"/>
        <w:jc w:val="left"/>
        <w:tblInd w:w="0" w:type="dxa"/>
        <w:tblLayout w:type="fixed"/>
        <w:tblCellMar>
          <w:top w:w="0" w:type="dxa"/>
          <w:left w:w="0" w:type="dxa"/>
          <w:bottom w:w="0" w:type="dxa"/>
          <w:right w:w="0" w:type="dxa"/>
        </w:tblCellMar>
      </w:tblPr>
      <w:tblGrid>
        <w:gridCol w:w="1430"/>
        <w:gridCol w:w="3335"/>
      </w:tblGrid>
      <w:tr>
        <w:trPr/>
        <w:tc>
          <w:tcPr>
            <w:tcW w:w="1430" w:type="dxa"/>
            <w:tcBorders/>
            <w:vAlign w:val="center"/>
          </w:tcPr>
          <w:p>
            <w:pPr>
              <w:pStyle w:val="TableContents"/>
              <w:bidi w:val="0"/>
              <w:spacing w:before="0" w:after="283"/>
              <w:ind w:left="0" w:right="0" w:hanging="0"/>
              <w:jc w:val="left"/>
              <w:rPr/>
            </w:pPr>
            <w:r>
              <w:rPr/>
              <w:t>Giving Notice:</w:t>
            </w:r>
          </w:p>
        </w:tc>
        <w:tc>
          <w:tcPr>
            <w:tcW w:w="3335" w:type="dxa"/>
            <w:tcBorders/>
            <w:vAlign w:val="center"/>
          </w:tcPr>
          <w:p>
            <w:pPr>
              <w:pStyle w:val="TableContents"/>
              <w:bidi w:val="0"/>
              <w:spacing w:before="0" w:after="283"/>
              <w:jc w:val="left"/>
              <w:rPr/>
            </w:pPr>
            <w:r>
              <w:rPr/>
              <w:t>As provided in Section 6(a) below.</w:t>
            </w:r>
          </w:p>
        </w:tc>
      </w:tr>
    </w:tbl>
    <w:p>
      <w:pPr>
        <w:pStyle w:val="TextBody"/>
        <w:bidi w:val="0"/>
        <w:spacing w:before="0" w:after="0"/>
        <w:ind w:left="0" w:right="0" w:hanging="0"/>
        <w:jc w:val="left"/>
        <w:rPr>
          <w:caps w:val="false"/>
          <w:smallCaps w:val="false"/>
        </w:rPr>
      </w:pPr>
      <w:r>
        <w:rPr>
          <w:caps w:val="false"/>
          <w:smallCaps w:val="false"/>
        </w:rPr>
        <w:t> </w:t>
      </w:r>
    </w:p>
    <w:tbl>
      <w:tblPr>
        <w:tblW w:w="1790" w:type="dxa"/>
        <w:jc w:val="left"/>
        <w:tblInd w:w="0" w:type="dxa"/>
        <w:tblLayout w:type="fixed"/>
        <w:tblCellMar>
          <w:top w:w="0" w:type="dxa"/>
          <w:left w:w="0" w:type="dxa"/>
          <w:bottom w:w="0" w:type="dxa"/>
          <w:right w:w="0" w:type="dxa"/>
        </w:tblCellMar>
      </w:tblPr>
      <w:tblGrid>
        <w:gridCol w:w="1730"/>
        <w:gridCol w:w="60"/>
      </w:tblGrid>
      <w:tr>
        <w:trPr/>
        <w:tc>
          <w:tcPr>
            <w:tcW w:w="1730" w:type="dxa"/>
            <w:tcBorders/>
            <w:vAlign w:val="center"/>
          </w:tcPr>
          <w:p>
            <w:pPr>
              <w:pStyle w:val="TableContents"/>
              <w:bidi w:val="0"/>
              <w:spacing w:before="0" w:after="283"/>
              <w:ind w:left="0" w:right="0" w:hanging="0"/>
              <w:jc w:val="both"/>
              <w:rPr/>
            </w:pPr>
            <w:r>
              <w:rPr/>
              <w:t>Settlement Terms:</w:t>
            </w:r>
          </w:p>
        </w:tc>
        <w:tc>
          <w:tcPr>
            <w:tcW w:w="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0" w:type="dxa"/>
        <w:jc w:val="left"/>
        <w:tblInd w:w="0" w:type="dxa"/>
        <w:tblLayout w:type="fixed"/>
        <w:tblCellMar>
          <w:top w:w="0" w:type="dxa"/>
          <w:left w:w="0" w:type="dxa"/>
          <w:bottom w:w="0" w:type="dxa"/>
          <w:right w:w="0" w:type="dxa"/>
        </w:tblCellMar>
      </w:tblPr>
      <w:tblGrid>
        <w:gridCol w:w="2840"/>
        <w:gridCol w:w="60"/>
      </w:tblGrid>
      <w:tr>
        <w:trPr/>
        <w:tc>
          <w:tcPr>
            <w:tcW w:w="2840" w:type="dxa"/>
            <w:tcBorders/>
            <w:vAlign w:val="center"/>
          </w:tcPr>
          <w:p>
            <w:pPr>
              <w:pStyle w:val="TableContents"/>
              <w:bidi w:val="0"/>
              <w:spacing w:before="0" w:after="283"/>
              <w:ind w:left="0" w:right="0" w:hanging="0"/>
              <w:jc w:val="both"/>
              <w:rPr>
                <w:i/>
              </w:rPr>
            </w:pPr>
            <w:r>
              <w:rPr>
                <w:i/>
              </w:rPr>
              <w:t>In respect of any Component:</w:t>
            </w:r>
          </w:p>
        </w:tc>
        <w:tc>
          <w:tcPr>
            <w:tcW w:w="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015"/>
        <w:gridCol w:w="515"/>
      </w:tblGrid>
      <w:tr>
        <w:trPr/>
        <w:tc>
          <w:tcPr>
            <w:tcW w:w="2015" w:type="dxa"/>
            <w:tcBorders/>
            <w:vAlign w:val="center"/>
          </w:tcPr>
          <w:p>
            <w:pPr>
              <w:pStyle w:val="TableContents"/>
              <w:bidi w:val="0"/>
              <w:spacing w:before="0" w:after="283"/>
              <w:ind w:left="0" w:right="0" w:hanging="0"/>
              <w:jc w:val="both"/>
              <w:rPr/>
            </w:pPr>
            <w:r>
              <w:rPr/>
              <w:t>Settlement Currency:</w:t>
            </w:r>
          </w:p>
        </w:tc>
        <w:tc>
          <w:tcPr>
            <w:tcW w:w="515" w:type="dxa"/>
            <w:tcBorders/>
            <w:vAlign w:val="center"/>
          </w:tcPr>
          <w:p>
            <w:pPr>
              <w:pStyle w:val="TableContents"/>
              <w:bidi w:val="0"/>
              <w:spacing w:before="0" w:after="283"/>
              <w:jc w:val="both"/>
              <w:rPr/>
            </w:pPr>
            <w:r>
              <w:rPr/>
              <w:t>USD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3"/>
        <w:gridCol w:w="8842"/>
      </w:tblGrid>
      <w:tr>
        <w:trPr/>
        <w:tc>
          <w:tcPr>
            <w:tcW w:w="1363" w:type="dxa"/>
            <w:tcBorders/>
            <w:vAlign w:val="center"/>
          </w:tcPr>
          <w:p>
            <w:pPr>
              <w:pStyle w:val="TableContents"/>
              <w:bidi w:val="0"/>
              <w:spacing w:before="0" w:after="283"/>
              <w:ind w:left="0" w:right="0" w:hanging="0"/>
              <w:jc w:val="both"/>
              <w:rPr/>
            </w:pPr>
            <w:r>
              <w:rPr/>
              <w:t>Net Share Settlement:</w:t>
            </w:r>
          </w:p>
        </w:tc>
        <w:tc>
          <w:tcPr>
            <w:tcW w:w="8842" w:type="dxa"/>
            <w:tcBorders/>
            <w:vAlign w:val="center"/>
          </w:tcPr>
          <w:p>
            <w:pPr>
              <w:pStyle w:val="TableContents"/>
              <w:bidi w:val="0"/>
              <w:spacing w:before="0" w:after="283"/>
              <w:jc w:val="both"/>
              <w:rPr/>
            </w:pPr>
            <w:r>
              <w:rPr/>
              <w:t>On each Settlement Date, Counterparty shall deliver to Dealer a number of Shares equal to the Number of Shares to be Delivered for such Settlement Date to the account specified by Dealer and cash in lieu of any fractional Share valued at the Relevant Price 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82" w:type="dxa"/>
            <w:tcBorders/>
            <w:vAlign w:val="center"/>
          </w:tcPr>
          <w:p>
            <w:pPr>
              <w:pStyle w:val="TableContents"/>
              <w:bidi w:val="0"/>
              <w:jc w:val="both"/>
              <w:rPr/>
            </w:pPr>
            <w:r>
              <w:rPr/>
              <w:t>the Valuation Date corresponding to such Settlement Date. If, in the reasonable opinion of Dealer, based on advice of counsel, for any reason, the Shares deliverable upon Net Share Settlement would not be immediately freely transferable by Dealer under Rule 144 under the Securities Act of 1933, as amended (the “</w:t>
            </w:r>
            <w:r>
              <w:rPr>
                <w:b/>
              </w:rPr>
              <w:t>Securities Act</w:t>
            </w:r>
            <w:r>
              <w:rPr/>
              <w:t>”), then Dealer may elect to either (x) accept delivery of such Shares notwithstanding any restriction on transfer or (y) have the provisions set forth in Section 8(c) below apply.</w:t>
            </w:r>
          </w:p>
          <w:p>
            <w:pPr>
              <w:pStyle w:val="TableContents"/>
              <w:bidi w:val="0"/>
              <w:spacing w:before="0" w:after="283"/>
              <w:jc w:val="both"/>
              <w:rPr/>
            </w:pPr>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to be Delivered shall be delivered by Counterparty to Dealer no later than 12:00 noon (local time in New York City) on the relevant Settlement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1"/>
        <w:gridCol w:w="8704"/>
      </w:tblGrid>
      <w:tr>
        <w:trPr/>
        <w:tc>
          <w:tcPr>
            <w:tcW w:w="1501" w:type="dxa"/>
            <w:tcBorders/>
            <w:vAlign w:val="center"/>
          </w:tcPr>
          <w:p>
            <w:pPr>
              <w:pStyle w:val="TableContents"/>
              <w:bidi w:val="0"/>
              <w:spacing w:before="0" w:after="283"/>
              <w:ind w:left="0" w:right="0" w:hanging="0"/>
              <w:jc w:val="both"/>
              <w:rPr/>
            </w:pPr>
            <w:r>
              <w:rPr/>
              <w:t>Number of Shares to be Delivered:</w:t>
            </w:r>
          </w:p>
        </w:tc>
        <w:tc>
          <w:tcPr>
            <w:tcW w:w="8704" w:type="dxa"/>
            <w:tcBorders/>
            <w:vAlign w:val="center"/>
          </w:tcPr>
          <w:p>
            <w:pPr>
              <w:pStyle w:val="TableContents"/>
              <w:bidi w:val="0"/>
              <w:spacing w:before="0" w:after="283"/>
              <w:jc w:val="both"/>
              <w:rPr/>
            </w:pPr>
            <w:r>
              <w:rPr/>
              <w:t xml:space="preserve">In respect of any Exercise Date, the product of (i) the number of Warrants exercised or deemed exercised on such Exercise Date, (ii) the Warrant Entitlement and (iii) (A) the excess of the VWAP Price on the Valuation Date occurring in respect of such Exercise Date over the Strike Price (or, if there is no such excess, zero) </w:t>
            </w:r>
            <w:r>
              <w:rPr>
                <w:i/>
              </w:rPr>
              <w:t>divided by</w:t>
            </w:r>
            <w:r>
              <w:rPr/>
              <w:t xml:space="preserve"> (B) such VWAP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0"/>
        <w:gridCol w:w="9405"/>
      </w:tblGrid>
      <w:tr>
        <w:trPr/>
        <w:tc>
          <w:tcPr>
            <w:tcW w:w="800" w:type="dxa"/>
            <w:tcBorders/>
            <w:vAlign w:val="center"/>
          </w:tcPr>
          <w:p>
            <w:pPr>
              <w:pStyle w:val="TableContents"/>
              <w:bidi w:val="0"/>
              <w:spacing w:before="0" w:after="283"/>
              <w:ind w:left="0" w:right="0" w:hanging="0"/>
              <w:jc w:val="both"/>
              <w:rPr/>
            </w:pPr>
            <w:r>
              <w:rPr/>
              <w:t>VWAP Price:</w:t>
            </w:r>
          </w:p>
        </w:tc>
        <w:tc>
          <w:tcPr>
            <w:tcW w:w="9405" w:type="dxa"/>
            <w:tcBorders/>
            <w:vAlign w:val="center"/>
          </w:tcPr>
          <w:p>
            <w:pPr>
              <w:pStyle w:val="TableContents"/>
              <w:bidi w:val="0"/>
              <w:spacing w:before="0" w:after="283"/>
              <w:jc w:val="both"/>
              <w:rPr/>
            </w:pPr>
            <w:r>
              <w:rPr/>
              <w:t>For any Exchange Business Day, as determined by the Calculation Agent based on the New York Volume Weighted Average Price per Share for the regular trading session (including any extensions thereof) of the Exchange on such Exchange Business Day (without regard to pre-open or after hours trading outside of such regular trading session), as published by Bloomberg at 4:15 P.M., New York City time (or 15 minutes following the end of any extension of the regular trading session), on such Exchange Business Day, on Bloomberg page “WGO.N &lt;Equity&gt; AQR” (or any successor thereto) (or if such published volume weighted average price is unavailable or is manifestly incorrect, the market value of one Share on such Exchange Business Day, as determined by the Calculation Agent using, if practicable, a volume weighted method).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5"/>
        <w:gridCol w:w="8870"/>
      </w:tblGrid>
      <w:tr>
        <w:trPr/>
        <w:tc>
          <w:tcPr>
            <w:tcW w:w="1335" w:type="dxa"/>
            <w:tcBorders/>
            <w:vAlign w:val="center"/>
          </w:tcPr>
          <w:p>
            <w:pPr>
              <w:pStyle w:val="TableContents"/>
              <w:bidi w:val="0"/>
              <w:spacing w:before="0" w:after="283"/>
              <w:ind w:left="0" w:right="0" w:hanging="0"/>
              <w:jc w:val="both"/>
              <w:rPr/>
            </w:pPr>
            <w:r>
              <w:rPr/>
              <w:t>Other Applicable Provisions:</w:t>
            </w:r>
          </w:p>
        </w:tc>
        <w:tc>
          <w:tcPr>
            <w:tcW w:w="8870" w:type="dxa"/>
            <w:tcBorders/>
            <w:vAlign w:val="center"/>
          </w:tcPr>
          <w:p>
            <w:pPr>
              <w:pStyle w:val="TableContents"/>
              <w:bidi w:val="0"/>
              <w:spacing w:before="0" w:after="283"/>
              <w:jc w:val="both"/>
              <w:rPr/>
            </w:pPr>
            <w:r>
              <w:rPr/>
              <w:t xml:space="preserve">The provisions of Sections 9.1(c), 9.4, 9.8, 9.9, 9.10, 9.11 and 9.12 of the Equity Definitions will be applicable as if “Physical Settlement” applied to the Transaction; </w:t>
            </w:r>
            <w:r>
              <w:rPr>
                <w:i/>
              </w:rPr>
              <w:t>provided</w:t>
            </w:r>
            <w:r>
              <w:rPr/>
              <w:t xml:space="preserve">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of the Shares.</w:t>
            </w:r>
          </w:p>
        </w:tc>
      </w:tr>
    </w:tbl>
    <w:p>
      <w:pPr>
        <w:pStyle w:val="TextBody"/>
        <w:bidi w:val="0"/>
        <w:spacing w:before="0" w:after="0"/>
        <w:ind w:left="0" w:right="0" w:hanging="0"/>
        <w:jc w:val="left"/>
        <w:rPr>
          <w:caps w:val="false"/>
          <w:smallCaps w:val="false"/>
        </w:rPr>
      </w:pPr>
      <w:r>
        <w:rPr>
          <w:caps w:val="false"/>
          <w:smallCaps w:val="false"/>
        </w:rPr>
        <w:t> </w:t>
      </w:r>
    </w:p>
    <w:tbl>
      <w:tblPr>
        <w:tblW w:w="1160" w:type="dxa"/>
        <w:jc w:val="left"/>
        <w:tblInd w:w="0" w:type="dxa"/>
        <w:tblLayout w:type="fixed"/>
        <w:tblCellMar>
          <w:top w:w="0" w:type="dxa"/>
          <w:left w:w="0" w:type="dxa"/>
          <w:bottom w:w="0" w:type="dxa"/>
          <w:right w:w="0" w:type="dxa"/>
        </w:tblCellMar>
      </w:tblPr>
      <w:tblGrid>
        <w:gridCol w:w="1100"/>
        <w:gridCol w:w="60"/>
      </w:tblGrid>
      <w:tr>
        <w:trPr/>
        <w:tc>
          <w:tcPr>
            <w:tcW w:w="110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0" w:type="dxa"/>
        <w:jc w:val="left"/>
        <w:tblInd w:w="0" w:type="dxa"/>
        <w:tblLayout w:type="fixed"/>
        <w:tblCellMar>
          <w:top w:w="0" w:type="dxa"/>
          <w:left w:w="0" w:type="dxa"/>
          <w:bottom w:w="0" w:type="dxa"/>
          <w:right w:w="0" w:type="dxa"/>
        </w:tblCellMar>
      </w:tblPr>
      <w:tblGrid>
        <w:gridCol w:w="2840"/>
        <w:gridCol w:w="60"/>
      </w:tblGrid>
      <w:tr>
        <w:trPr/>
        <w:tc>
          <w:tcPr>
            <w:tcW w:w="2840" w:type="dxa"/>
            <w:tcBorders/>
            <w:vAlign w:val="center"/>
          </w:tcPr>
          <w:p>
            <w:pPr>
              <w:pStyle w:val="TableContents"/>
              <w:bidi w:val="0"/>
              <w:spacing w:before="0" w:after="283"/>
              <w:ind w:left="0" w:right="0" w:hanging="0"/>
              <w:jc w:val="both"/>
              <w:rPr/>
            </w:pPr>
            <w:r>
              <w:rPr>
                <w:i/>
              </w:rPr>
              <w:t>In</w:t>
            </w:r>
            <w:r>
              <w:rPr/>
              <w:t xml:space="preserve"> </w:t>
            </w:r>
            <w:r>
              <w:rPr>
                <w:i/>
              </w:rPr>
              <w:t>respect of any Component:</w:t>
            </w:r>
          </w:p>
        </w:tc>
        <w:tc>
          <w:tcPr>
            <w:tcW w:w="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5"/>
        <w:gridCol w:w="8750"/>
      </w:tblGrid>
      <w:tr>
        <w:trPr/>
        <w:tc>
          <w:tcPr>
            <w:tcW w:w="1455" w:type="dxa"/>
            <w:tcBorders/>
            <w:vAlign w:val="center"/>
          </w:tcPr>
          <w:p>
            <w:pPr>
              <w:pStyle w:val="TableContents"/>
              <w:bidi w:val="0"/>
              <w:spacing w:before="0" w:after="283"/>
              <w:ind w:left="0" w:right="0" w:hanging="0"/>
              <w:jc w:val="both"/>
              <w:rPr/>
            </w:pPr>
            <w:r>
              <w:rPr/>
              <w:t>Method of Adjustment:</w:t>
            </w:r>
          </w:p>
        </w:tc>
        <w:tc>
          <w:tcPr>
            <w:tcW w:w="8750" w:type="dxa"/>
            <w:tcBorders/>
            <w:vAlign w:val="center"/>
          </w:tcPr>
          <w:p>
            <w:pPr>
              <w:pStyle w:val="TableContents"/>
              <w:bidi w:val="0"/>
              <w:spacing w:before="0" w:after="283"/>
              <w:jc w:val="both"/>
              <w:rPr/>
            </w:pPr>
            <w:r>
              <w:rPr/>
              <w:t>Calculation Agent Adjustment. For the avoidance of doubt, Calculation Agent Adjustment shall continue to apply until the obligations of the parties (including any obligations of Counterparty pursuant to Section 8(f) below) under the Transaction have been satisfied in full.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6"/>
        <w:gridCol w:w="8749"/>
      </w:tblGrid>
      <w:tr>
        <w:trPr/>
        <w:tc>
          <w:tcPr>
            <w:tcW w:w="1456" w:type="dxa"/>
            <w:tcBorders/>
            <w:vAlign w:val="center"/>
          </w:tcPr>
          <w:p>
            <w:pPr>
              <w:pStyle w:val="TableContents"/>
              <w:bidi w:val="0"/>
              <w:spacing w:before="0" w:after="283"/>
              <w:ind w:left="0" w:right="0" w:hanging="0"/>
              <w:jc w:val="both"/>
              <w:rPr/>
            </w:pPr>
            <w:r>
              <w:rPr/>
              <w:t>Extraordinary Dividend:</w:t>
            </w:r>
          </w:p>
        </w:tc>
        <w:tc>
          <w:tcPr>
            <w:tcW w:w="8749" w:type="dxa"/>
            <w:tcBorders/>
            <w:vAlign w:val="center"/>
          </w:tcPr>
          <w:p>
            <w:pPr>
              <w:pStyle w:val="TableContents"/>
              <w:bidi w:val="0"/>
              <w:spacing w:before="0" w:after="283"/>
              <w:jc w:val="both"/>
              <w:rPr/>
            </w:pPr>
            <w:r>
              <w:rPr/>
              <w:t>For any regular dividend period of Counterparty, any dividend or distribution on the Shares with an ex-dividend date occurring during such regular dividend period (other than any dividend or distribution of the type described in Section 11.2(e)(i) or Section 11.2(e)(ii)(A) of the Equity Definitions) (a “</w:t>
            </w:r>
            <w:r>
              <w:rPr>
                <w:b/>
              </w:rPr>
              <w:t>Dividend</w:t>
            </w:r>
            <w:r>
              <w:rPr/>
              <w:t>”) the amount or value of which (as determined by the Calculation Agent), when aggregated with the amount or value (as determined by the Calculation Agent) of any and all previous Dividends with ex-dividend dates occurring in the same regular dividend period, exceeds the Ordinary Dividend Amount.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2"/>
        <w:gridCol w:w="8783"/>
      </w:tblGrid>
      <w:tr>
        <w:trPr/>
        <w:tc>
          <w:tcPr>
            <w:tcW w:w="1422" w:type="dxa"/>
            <w:tcBorders/>
            <w:vAlign w:val="center"/>
          </w:tcPr>
          <w:p>
            <w:pPr>
              <w:pStyle w:val="TableContents"/>
              <w:bidi w:val="0"/>
              <w:spacing w:before="0" w:after="283"/>
              <w:ind w:left="0" w:right="0" w:hanging="0"/>
              <w:jc w:val="both"/>
              <w:rPr/>
            </w:pPr>
            <w:r>
              <w:rPr/>
              <w:t>Ordinary Dividend Amount:</w:t>
            </w:r>
          </w:p>
        </w:tc>
        <w:tc>
          <w:tcPr>
            <w:tcW w:w="8783" w:type="dxa"/>
            <w:tcBorders/>
            <w:vAlign w:val="center"/>
          </w:tcPr>
          <w:p>
            <w:pPr>
              <w:pStyle w:val="TableContents"/>
              <w:bidi w:val="0"/>
              <w:spacing w:before="0" w:after="283"/>
              <w:jc w:val="both"/>
              <w:rPr/>
            </w:pPr>
            <w:r>
              <w:rPr/>
              <w:t>For the first Dividend on the Shares for which the ex-dividend date occurs during any regular quarterly dividend period of Counterparty, USD 0.31, and for any other Dividend on the Shares for which the ex-dividend date occurs during the same regular quarterly dividend period, USD 0.00.</w:t>
            </w:r>
          </w:p>
        </w:tc>
      </w:tr>
    </w:tbl>
    <w:p>
      <w:pPr>
        <w:pStyle w:val="TextBody"/>
        <w:bidi w:val="0"/>
        <w:spacing w:before="0" w:after="0"/>
        <w:ind w:left="0" w:right="0" w:hanging="0"/>
        <w:jc w:val="left"/>
        <w:rPr>
          <w:caps w:val="false"/>
          <w:smallCaps w:val="false"/>
        </w:rPr>
      </w:pPr>
      <w:r>
        <w:rPr>
          <w:caps w:val="false"/>
          <w:smallCaps w:val="false"/>
        </w:rPr>
        <w:t> </w:t>
      </w:r>
    </w:p>
    <w:tbl>
      <w:tblPr>
        <w:tblW w:w="2150" w:type="dxa"/>
        <w:jc w:val="left"/>
        <w:tblInd w:w="0" w:type="dxa"/>
        <w:tblLayout w:type="fixed"/>
        <w:tblCellMar>
          <w:top w:w="0" w:type="dxa"/>
          <w:left w:w="0" w:type="dxa"/>
          <w:bottom w:w="0" w:type="dxa"/>
          <w:right w:w="0" w:type="dxa"/>
        </w:tblCellMar>
      </w:tblPr>
      <w:tblGrid>
        <w:gridCol w:w="2090"/>
        <w:gridCol w:w="60"/>
      </w:tblGrid>
      <w:tr>
        <w:trPr/>
        <w:tc>
          <w:tcPr>
            <w:tcW w:w="2090" w:type="dxa"/>
            <w:tcBorders/>
            <w:vAlign w:val="center"/>
          </w:tcPr>
          <w:p>
            <w:pPr>
              <w:pStyle w:val="TableContents"/>
              <w:bidi w:val="0"/>
              <w:spacing w:before="0" w:after="283"/>
              <w:ind w:left="0" w:right="0" w:hanging="0"/>
              <w:jc w:val="both"/>
              <w:rPr/>
            </w:pPr>
            <w:r>
              <w:rPr/>
              <w:t>Extraordinary Events:</w:t>
            </w:r>
          </w:p>
        </w:tc>
        <w:tc>
          <w:tcPr>
            <w:tcW w:w="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0"/>
        <w:gridCol w:w="9445"/>
      </w:tblGrid>
      <w:tr>
        <w:trPr/>
        <w:tc>
          <w:tcPr>
            <w:tcW w:w="760" w:type="dxa"/>
            <w:tcBorders/>
            <w:vAlign w:val="center"/>
          </w:tcPr>
          <w:p>
            <w:pPr>
              <w:pStyle w:val="TableContents"/>
              <w:bidi w:val="0"/>
              <w:spacing w:before="0" w:after="283"/>
              <w:ind w:left="0" w:right="0" w:hanging="0"/>
              <w:jc w:val="both"/>
              <w:rPr/>
            </w:pPr>
            <w:r>
              <w:rPr/>
              <w:t>New Shares:</w:t>
            </w:r>
          </w:p>
        </w:tc>
        <w:tc>
          <w:tcPr>
            <w:tcW w:w="9445" w:type="dxa"/>
            <w:tcBorders/>
            <w:vAlign w:val="center"/>
          </w:tcPr>
          <w:p>
            <w:pPr>
              <w:pStyle w:val="TableContents"/>
              <w:bidi w:val="0"/>
              <w:spacing w:before="0" w:after="283"/>
              <w:jc w:val="both"/>
              <w:rPr/>
            </w:pPr>
            <w:r>
              <w:rPr/>
              <w:t>In the definition of New Shares in Section 12.1(i) of the Equity Definitions, the text in clause (i) thereof shall be deleted in its entirety and replaced with “publicly quoted, traded or listed on any of The New York Stock Exchange, The NASDAQ Global Market or The NASDAQ Global Select Market (or their respective successors) and of an entity or person that is a corporation organized under the laws of the United States, any State thereof or the District of Columbia”.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7"/>
        <w:gridCol w:w="9448"/>
      </w:tblGrid>
      <w:tr>
        <w:trPr/>
        <w:tc>
          <w:tcPr>
            <w:tcW w:w="757"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Merger Event:</w:t>
            </w:r>
          </w:p>
        </w:tc>
        <w:tc>
          <w:tcPr>
            <w:tcW w:w="9448" w:type="dxa"/>
            <w:tcBorders/>
            <w:vAlign w:val="center"/>
          </w:tcPr>
          <w:p>
            <w:pPr>
              <w:pStyle w:val="TableContents"/>
              <w:bidi w:val="0"/>
              <w:spacing w:before="0" w:after="283"/>
              <w:jc w:val="both"/>
              <w:rPr/>
            </w:pPr>
            <w:r>
              <w:rPr/>
              <w:t xml:space="preserve">Applicable; </w:t>
            </w:r>
            <w:r>
              <w:rPr>
                <w:i/>
              </w:rPr>
              <w:t>provided</w:t>
            </w:r>
            <w:r>
              <w:rPr/>
              <w:t xml:space="preserve"> that if an event occurs that constitutes both a Merger Event under Section 12.1(b) of the Equity Definitions and an Additional Termination Event under Section 8(k)(iv) of this Confirmation, Dealer may elect, in its sole discretion, whether the provisions of Section 12.2 of the Equity Definitions or Section 8(k)(iv) will apply.</w:t>
            </w:r>
          </w:p>
        </w:tc>
      </w:tr>
    </w:tbl>
    <w:p>
      <w:pPr>
        <w:pStyle w:val="TextBody"/>
        <w:bidi w:val="0"/>
        <w:spacing w:before="0" w:after="0"/>
        <w:ind w:left="0" w:right="0" w:hanging="0"/>
        <w:jc w:val="left"/>
        <w:rPr>
          <w:caps w:val="false"/>
          <w:smallCaps w:val="false"/>
        </w:rPr>
      </w:pPr>
      <w:r>
        <w:rPr>
          <w:caps w:val="false"/>
          <w:smallCaps w:val="false"/>
        </w:rPr>
        <w:t> </w:t>
      </w:r>
    </w:p>
    <w:tbl>
      <w:tblPr>
        <w:tblW w:w="3215" w:type="dxa"/>
        <w:jc w:val="left"/>
        <w:tblInd w:w="0" w:type="dxa"/>
        <w:tblLayout w:type="fixed"/>
        <w:tblCellMar>
          <w:top w:w="0" w:type="dxa"/>
          <w:left w:w="0" w:type="dxa"/>
          <w:bottom w:w="0" w:type="dxa"/>
          <w:right w:w="0" w:type="dxa"/>
        </w:tblCellMar>
      </w:tblPr>
      <w:tblGrid>
        <w:gridCol w:w="3155"/>
        <w:gridCol w:w="60"/>
      </w:tblGrid>
      <w:tr>
        <w:trPr/>
        <w:tc>
          <w:tcPr>
            <w:tcW w:w="3155" w:type="dxa"/>
            <w:tcBorders/>
            <w:vAlign w:val="center"/>
          </w:tcPr>
          <w:p>
            <w:pPr>
              <w:pStyle w:val="TableContents"/>
              <w:bidi w:val="0"/>
              <w:spacing w:before="0" w:after="283"/>
              <w:ind w:left="0" w:right="0" w:hanging="0"/>
              <w:jc w:val="both"/>
              <w:rPr/>
            </w:pPr>
            <w:r>
              <w:rPr/>
              <w:t>Consequences of Merger Events:</w:t>
            </w:r>
          </w:p>
        </w:tc>
        <w:tc>
          <w:tcPr>
            <w:tcW w:w="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1580"/>
        <w:gridCol w:w="3320"/>
      </w:tblGrid>
      <w:tr>
        <w:trPr/>
        <w:tc>
          <w:tcPr>
            <w:tcW w:w="1580"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Share-for-Share:</w:t>
            </w:r>
          </w:p>
        </w:tc>
        <w:tc>
          <w:tcPr>
            <w:tcW w:w="3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Calculation Agent Adjustment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4"/>
        <w:gridCol w:w="9261"/>
      </w:tblGrid>
      <w:tr>
        <w:trPr/>
        <w:tc>
          <w:tcPr>
            <w:tcW w:w="944"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Share-for-Other:</w:t>
            </w:r>
          </w:p>
        </w:tc>
        <w:tc>
          <w:tcPr>
            <w:tcW w:w="92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Cancellation and Payment (Calculation Agent Determination);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Dealer may elect, in its sole discretion, that Modified Calculation Agent Adjustment shall apply for all or part of the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8"/>
        <w:gridCol w:w="9187"/>
      </w:tblGrid>
      <w:tr>
        <w:trPr/>
        <w:tc>
          <w:tcPr>
            <w:tcW w:w="1018"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Share-for-Combined:</w:t>
            </w:r>
          </w:p>
        </w:tc>
        <w:tc>
          <w:tcPr>
            <w:tcW w:w="9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Cancellation and Payment (Calculation Agent Determination);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Dealer may elect, in its sole discretion, that Modified Calculation Agent Adjustment or Component Adjustment shall apply for all or part of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
        <w:gridCol w:w="9457"/>
      </w:tblGrid>
      <w:tr>
        <w:trPr/>
        <w:tc>
          <w:tcPr>
            <w:tcW w:w="748"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Tender Offer:</w:t>
            </w:r>
          </w:p>
        </w:tc>
        <w:tc>
          <w:tcPr>
            <w:tcW w:w="94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 event occurs that constitutes both a Tender Offer under Section 12.1(d) of the Equity Definitions and an Additional Termination Event under Section 8(k)(iii) of this Confirmation, Dealer may elect, in its sole discretion, whether the provisions of Section 12.3 of the Equity Definitions or Section 8(k)(iii) will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2"/>
        <w:gridCol w:w="8773"/>
      </w:tblGrid>
      <w:tr>
        <w:trPr/>
        <w:tc>
          <w:tcPr>
            <w:tcW w:w="1432"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Tender Offers:</w:t>
            </w:r>
          </w:p>
        </w:tc>
        <w:tc>
          <w:tcPr>
            <w:tcW w:w="8773"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1432"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c>
          <w:tcPr>
            <w:tcW w:w="877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Share-for-Share:</w:t>
            </w:r>
          </w:p>
        </w:tc>
        <w:tc>
          <w:tcPr>
            <w:tcW w:w="87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Calculation Agent Adjustment</w:t>
            </w:r>
          </w:p>
        </w:tc>
      </w:tr>
      <w:tr>
        <w:trPr/>
        <w:tc>
          <w:tcPr>
            <w:tcW w:w="1432" w:type="dxa"/>
            <w:tcBorders/>
            <w:vAlign w:val="center"/>
          </w:tcPr>
          <w:p>
            <w:pPr>
              <w:pStyle w:val="TableContents"/>
              <w:bidi w:val="0"/>
              <w:spacing w:before="0" w:after="283"/>
              <w:jc w:val="left"/>
              <w:rPr>
                <w:caps w:val="false"/>
                <w:smallCaps w:val="false"/>
              </w:rPr>
            </w:pPr>
            <w:r>
              <w:rPr>
                <w:caps w:val="false"/>
                <w:smallCaps w:val="false"/>
              </w:rPr>
              <w:t> </w:t>
            </w:r>
          </w:p>
        </w:tc>
        <w:tc>
          <w:tcPr>
            <w:tcW w:w="877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Share-for-Other:</w:t>
            </w:r>
          </w:p>
        </w:tc>
        <w:tc>
          <w:tcPr>
            <w:tcW w:w="87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Calculation Agent Adjustment</w:t>
            </w:r>
          </w:p>
        </w:tc>
      </w:tr>
      <w:tr>
        <w:trPr/>
        <w:tc>
          <w:tcPr>
            <w:tcW w:w="1432" w:type="dxa"/>
            <w:tcBorders/>
            <w:vAlign w:val="center"/>
          </w:tcPr>
          <w:p>
            <w:pPr>
              <w:pStyle w:val="TableContents"/>
              <w:bidi w:val="0"/>
              <w:spacing w:before="0" w:after="283"/>
              <w:jc w:val="left"/>
              <w:rPr>
                <w:caps w:val="false"/>
                <w:smallCaps w:val="false"/>
              </w:rPr>
            </w:pPr>
            <w:r>
              <w:rPr>
                <w:caps w:val="false"/>
                <w:smallCaps w:val="false"/>
              </w:rPr>
              <w:t> </w:t>
            </w:r>
          </w:p>
        </w:tc>
        <w:tc>
          <w:tcPr>
            <w:tcW w:w="877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Share-for-Combined:</w:t>
            </w:r>
          </w:p>
        </w:tc>
        <w:tc>
          <w:tcPr>
            <w:tcW w:w="87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Calculation Agent Adjustment</w:t>
            </w:r>
          </w:p>
        </w:tc>
      </w:tr>
      <w:tr>
        <w:trPr/>
        <w:tc>
          <w:tcPr>
            <w:tcW w:w="1432" w:type="dxa"/>
            <w:tcBorders/>
            <w:vAlign w:val="center"/>
          </w:tcPr>
          <w:p>
            <w:pPr>
              <w:pStyle w:val="TableContents"/>
              <w:bidi w:val="0"/>
              <w:spacing w:before="0" w:after="283"/>
              <w:jc w:val="left"/>
              <w:rPr>
                <w:caps w:val="false"/>
                <w:smallCaps w:val="false"/>
              </w:rPr>
            </w:pPr>
            <w:r>
              <w:rPr>
                <w:caps w:val="false"/>
                <w:smallCaps w:val="false"/>
              </w:rPr>
              <w:t> </w:t>
            </w:r>
          </w:p>
        </w:tc>
        <w:tc>
          <w:tcPr>
            <w:tcW w:w="8773"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432"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Announcement Events:</w:t>
            </w:r>
          </w:p>
        </w:tc>
        <w:tc>
          <w:tcPr>
            <w:tcW w:w="87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Modified Calculation Agent Adjustment as set forth in Section 12.3(d) of the Equity Definitions;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respect of an Announcement Event, (x) references to “Tender Offer” shall be replaced by references to “Announcement Event” and references to “Tender Offer Date” shall be replaced by references to “date of such Announcement Event”, (y) the word “shall” in the second line shall be replaced with “may”, and (z) for the avoidance of doubt, the Calculation Agent may determine whether the relevant Announcement Event has had an economic effect on any Component (and, if so, adjust the terms of such Component accordingly) on one or more occasions on or after the date of the Announcement Event up to, and including, the Expiration Date, any Early Termination Date and/or any other date of cancellation thereof, it being understood that any adjustment in respect of an Announcement Event shall take into account any earlier adjustment relating to the same Announcement Event. An Announcement Event shall be an “Extraordinary Event” for purposes of the Equity Definitions, to which Article 12 of the Equity Definitions is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8"/>
        <w:gridCol w:w="8847"/>
      </w:tblGrid>
      <w:tr>
        <w:trPr/>
        <w:tc>
          <w:tcPr>
            <w:tcW w:w="1358"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 Event:</w:t>
            </w:r>
          </w:p>
        </w:tc>
        <w:tc>
          <w:tcPr>
            <w:tcW w:w="88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public announcement by any entity of (x) any transaction or event that, if completed, would constitute a Merger Event or Tender Offer, (y) any potential acquisition or disposition by Issuer and/or its subsidiaries where the aggregate consideration paid and/or delivered exceeds 15% of the market capitalization of Issuer as of the date of such announcement (an “</w:t>
            </w:r>
            <w:r>
              <w:rPr>
                <w:rFonts w:ascii="Times New Roman;Times;Serif" w:hAnsi="Times New Roman;Times;Serif"/>
                <w:b/>
                <w:i w:val="false"/>
                <w:caps w:val="false"/>
                <w:smallCaps w:val="false"/>
                <w:sz w:val="20"/>
              </w:rPr>
              <w:t>Transformative Transaction</w:t>
            </w:r>
            <w:r>
              <w:rPr>
                <w:rFonts w:ascii="Times New Roman;Times;Serif" w:hAnsi="Times New Roman;Times;Serif"/>
                <w:b w:val="false"/>
                <w:i w:val="false"/>
                <w:caps w:val="false"/>
                <w:smallCaps w:val="false"/>
                <w:sz w:val="20"/>
              </w:rPr>
              <w:t xml:space="preserve">”) or (z) the intention to enter into a Merger Event or Tender Offer or an Transformative Transaction, (ii) the public announcement by Issuer of an intention to solicit or enter into, or to explore strategic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82" w:type="dxa"/>
            <w:tcBorders/>
            <w:vAlign w:val="center"/>
          </w:tcPr>
          <w:p>
            <w:pPr>
              <w:pStyle w:val="TableContents"/>
              <w:bidi w:val="0"/>
              <w:spacing w:before="0" w:after="283"/>
              <w:jc w:val="both"/>
              <w:rPr/>
            </w:pPr>
            <w:r>
              <w:rPr/>
              <w:t>alternatives or other similar undertaking that may include, a Merger Event or Tender Offer or an Transformative Transaction or (iii) any subsequent public announcement by any entity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the remainder of the definition of “Merger Event” in Section 12.1(b) of the Equity Definitions following the definition of “Reverse Merger” therein shall be disregarded.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63"/>
        <w:gridCol w:w="9042"/>
      </w:tblGrid>
      <w:tr>
        <w:trPr/>
        <w:tc>
          <w:tcPr>
            <w:tcW w:w="1163" w:type="dxa"/>
            <w:tcBorders/>
            <w:vAlign w:val="center"/>
          </w:tcPr>
          <w:p>
            <w:pPr>
              <w:pStyle w:val="TableContents"/>
              <w:bidi w:val="0"/>
              <w:spacing w:before="0" w:after="283"/>
              <w:ind w:left="0" w:right="0" w:hanging="0"/>
              <w:jc w:val="both"/>
              <w:rPr/>
            </w:pPr>
            <w:r>
              <w:rPr/>
              <w:t xml:space="preserve">Modified Calculation </w:t>
              <w:br/>
              <w:t>Agent Adjustment:</w:t>
            </w:r>
          </w:p>
        </w:tc>
        <w:tc>
          <w:tcPr>
            <w:tcW w:w="9042" w:type="dxa"/>
            <w:tcBorders/>
            <w:vAlign w:val="center"/>
          </w:tcPr>
          <w:p>
            <w:pPr>
              <w:pStyle w:val="TableContents"/>
              <w:bidi w:val="0"/>
              <w:spacing w:before="0" w:after="283"/>
              <w:jc w:val="both"/>
              <w:rPr/>
            </w:pPr>
            <w:r>
              <w:rPr/>
              <w:t xml:space="preserve">If, in respect of a Merger Event, the Counterparty under the Transaction following such Merger Event will not be the issuer of the New Shares, the Dealer may elect (in its sole discretion) for Cancellation and Payment (Calculation Agent Determination) to apply. In addition, if, in respect of any Merger Event to which Modified Calculation Agent Adjustment applies, the adjustments to be made in accordance with Section 12.2(e)(i) of the Equity Definitions would result in Counterparty being different from the issuer of the Shares, then with respect to such Merger Event, as a condition precedent to the adjustments contemplated in Section 12.2(e)(i) of the Equity Definitions, Counterparty and the issuer of the Shares shall, prior to the Merger Date, have entered into such documentation containing representations, warranties and agreements relating to securities law and other issues as requested by Dealer that Dealer has determined, in its reasonable discretion, to be reasonably necessary or appropriate to allow Dealer to continue as a party to the Transaction, as adjusted under Section 12.2(e)(i) of the Equity Definitions, and to preserve its hedging or hedge unwind activities in connection with the Transaction in a manner compliant with applicable legal, regulatory or self-regulatory requirements, or with related policies and procedures applicable to Dealer (whether or not such requirements or related policies and procedures are imposed by law or have been voluntarily adopted by Dealer), and if such conditions are not met or if the Calculation Agent determines that no adjustment that it could make under Section 12.2(e)(i) of the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82" w:type="dxa"/>
            <w:tcBorders/>
            <w:vAlign w:val="center"/>
          </w:tcPr>
          <w:p>
            <w:pPr>
              <w:pStyle w:val="TableContents"/>
              <w:bidi w:val="0"/>
              <w:spacing w:before="0" w:after="283"/>
              <w:jc w:val="both"/>
              <w:rPr/>
            </w:pPr>
            <w:r>
              <w:rPr/>
              <w:t>Equity Definitions will produce a commercially reasonable result, then the consequences set forth in Section 12.2(e)(ii) of the Equity Definitions shall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4"/>
        <w:gridCol w:w="8351"/>
      </w:tblGrid>
      <w:tr>
        <w:trPr/>
        <w:tc>
          <w:tcPr>
            <w:tcW w:w="1854" w:type="dxa"/>
            <w:tcBorders/>
            <w:vAlign w:val="center"/>
          </w:tcPr>
          <w:p>
            <w:pPr>
              <w:pStyle w:val="TableContents"/>
              <w:bidi w:val="0"/>
              <w:spacing w:before="0" w:after="283"/>
              <w:ind w:left="0" w:right="0" w:hanging="0"/>
              <w:jc w:val="both"/>
              <w:rPr/>
            </w:pPr>
            <w:r>
              <w:rPr/>
              <w:t>Composition of Combined Consideration:</w:t>
            </w:r>
          </w:p>
        </w:tc>
        <w:tc>
          <w:tcPr>
            <w:tcW w:w="8351" w:type="dxa"/>
            <w:tcBorders/>
            <w:vAlign w:val="center"/>
          </w:tcPr>
          <w:p>
            <w:pPr>
              <w:pStyle w:val="TableContents"/>
              <w:bidi w:val="0"/>
              <w:spacing w:before="0" w:after="283"/>
              <w:jc w:val="both"/>
              <w:rPr/>
            </w:pPr>
            <w:r>
              <w:rPr/>
              <w:t>Notwithstanding anything to the contrary in the Equity Definitions, if the composition of Combined Consideration in respect of any Share-for-Combined Merger Event could be determined by a holder of Shares, Dealer shall determine the composition of such Combined Consideration assumed for purposes of adjustments and deliveries hereunder in its sole discretion.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6"/>
        <w:gridCol w:w="7769"/>
      </w:tblGrid>
      <w:tr>
        <w:trPr/>
        <w:tc>
          <w:tcPr>
            <w:tcW w:w="243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Nationalization, Insolvency or Delisting:</w:t>
            </w:r>
          </w:p>
        </w:tc>
        <w:tc>
          <w:tcPr>
            <w:tcW w:w="77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Cancellation and Payment (Calculation Agent Determination);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5"/>
        <w:gridCol w:w="8900"/>
      </w:tblGrid>
      <w:tr>
        <w:trPr/>
        <w:tc>
          <w:tcPr>
            <w:tcW w:w="130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Termination Event(s):</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tc>
      </w:tr>
    </w:tbl>
    <w:p>
      <w:pPr>
        <w:pStyle w:val="TextBody"/>
        <w:bidi w:val="0"/>
        <w:spacing w:before="0" w:after="0"/>
        <w:ind w:left="0" w:right="0" w:hanging="0"/>
        <w:jc w:val="left"/>
        <w:rPr>
          <w:caps w:val="false"/>
          <w:smallCaps w:val="false"/>
        </w:rPr>
      </w:pPr>
      <w:r>
        <w:rPr>
          <w:caps w:val="false"/>
          <w:smallCaps w:val="false"/>
        </w:rPr>
        <w:t> </w:t>
      </w:r>
    </w:p>
    <w:tbl>
      <w:tblPr>
        <w:tblW w:w="2540" w:type="dxa"/>
        <w:jc w:val="left"/>
        <w:tblInd w:w="0" w:type="dxa"/>
        <w:tblLayout w:type="fixed"/>
        <w:tblCellMar>
          <w:top w:w="0" w:type="dxa"/>
          <w:left w:w="0" w:type="dxa"/>
          <w:bottom w:w="0" w:type="dxa"/>
          <w:right w:w="0" w:type="dxa"/>
        </w:tblCellMar>
      </w:tblPr>
      <w:tblGrid>
        <w:gridCol w:w="2480"/>
        <w:gridCol w:w="60"/>
      </w:tblGrid>
      <w:tr>
        <w:trPr/>
        <w:tc>
          <w:tcPr>
            <w:tcW w:w="248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Disruption Events: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2"/>
        <w:gridCol w:w="9683"/>
      </w:tblGrid>
      <w:tr>
        <w:trPr/>
        <w:tc>
          <w:tcPr>
            <w:tcW w:w="522"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Law:</w:t>
            </w:r>
          </w:p>
        </w:tc>
        <w:tc>
          <w:tcPr>
            <w:tcW w:w="96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provided 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 and provided further that Section 12.9(a)(ii) of the Equity Definitions is hereby amended by (i) replacing the parenthetical beginning after the word “regulation” in the second line thereof with the phrase “(including, for the avoidance of doubt and without limitation, (x) any tax law or (y) adoption 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82" w:type="dxa"/>
            <w:tcBorders/>
            <w:vAlign w:val="center"/>
          </w:tcPr>
          <w:p>
            <w:pPr>
              <w:pStyle w:val="TableContents"/>
              <w:bidi w:val="0"/>
              <w:spacing w:before="0" w:after="283"/>
              <w:jc w:val="both"/>
              <w:rPr/>
            </w:pPr>
            <w:r>
              <w:rPr/>
              <w:t>promulgation of new regulations authorized or mandated by existing statute)” and (ii) adding the words “, or holding, acquiring or disposing of Shares or any Hedge Positions relating to,” after the words “obligations under” in clause (Y) thereof.</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775"/>
        <w:gridCol w:w="1265"/>
      </w:tblGrid>
      <w:tr>
        <w:trPr/>
        <w:tc>
          <w:tcPr>
            <w:tcW w:w="177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Failure to Deliver:</w:t>
            </w:r>
          </w:p>
        </w:tc>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775"/>
        <w:gridCol w:w="920"/>
      </w:tblGrid>
      <w:tr>
        <w:trPr/>
        <w:tc>
          <w:tcPr>
            <w:tcW w:w="177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Insolvency Filing:</w:t>
            </w:r>
          </w:p>
        </w:tc>
        <w:tc>
          <w:tcPr>
            <w:tcW w:w="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1970"/>
        <w:gridCol w:w="2180"/>
      </w:tblGrid>
      <w:tr>
        <w:trPr/>
        <w:tc>
          <w:tcPr>
            <w:tcW w:w="19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Hedging Disruption:</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tc>
      </w:tr>
    </w:tbl>
    <w:p>
      <w:pPr>
        <w:pStyle w:val="TextBody"/>
        <w:bidi w:val="0"/>
        <w:spacing w:before="0" w:after="0"/>
        <w:ind w:left="0" w:right="0" w:hanging="0"/>
        <w:jc w:val="left"/>
        <w:rPr>
          <w:caps w:val="false"/>
          <w:smallCaps w:val="false"/>
        </w:rPr>
      </w:pPr>
      <w:r>
        <w:rPr>
          <w:caps w:val="false"/>
          <w:smallCaps w:val="false"/>
        </w:rPr>
        <w:t> </w:t>
      </w:r>
    </w:p>
    <w:tbl>
      <w:tblPr>
        <w:tblW w:w="5608" w:type="dxa"/>
        <w:jc w:val="left"/>
        <w:tblInd w:w="0" w:type="dxa"/>
        <w:tblLayout w:type="fixed"/>
        <w:tblCellMar>
          <w:top w:w="0" w:type="dxa"/>
          <w:left w:w="0" w:type="dxa"/>
          <w:bottom w:w="0" w:type="dxa"/>
          <w:right w:w="0" w:type="dxa"/>
        </w:tblCellMar>
      </w:tblPr>
      <w:tblGrid>
        <w:gridCol w:w="23"/>
        <w:gridCol w:w="558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5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Section 12.9(a)(v) of the Equity Definitions is hereby amended 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inserting the following words at the end of clause (A) thereof: “in the manner contemplated by the Hedging Party on the Trade Date” and</w:t>
            </w:r>
          </w:p>
        </w:tc>
      </w:tr>
    </w:tbl>
    <w:p>
      <w:pPr>
        <w:pStyle w:val="TextBody"/>
        <w:bidi w:val="0"/>
        <w:spacing w:before="0" w:after="0"/>
        <w:ind w:left="0" w:right="0" w:hanging="0"/>
        <w:jc w:val="left"/>
        <w:rPr>
          <w:caps w:val="false"/>
          <w:smallCaps w:val="false"/>
        </w:rPr>
      </w:pPr>
      <w:r>
        <w:rPr>
          <w:caps w:val="false"/>
          <w:smallCaps w:val="false"/>
        </w:rPr>
        <w:t> </w:t>
      </w:r>
    </w:p>
    <w:tbl>
      <w:tblPr>
        <w:tblW w:w="5353" w:type="dxa"/>
        <w:jc w:val="left"/>
        <w:tblInd w:w="0" w:type="dxa"/>
        <w:tblLayout w:type="fixed"/>
        <w:tblCellMar>
          <w:top w:w="0" w:type="dxa"/>
          <w:left w:w="0" w:type="dxa"/>
          <w:bottom w:w="0" w:type="dxa"/>
          <w:right w:w="0" w:type="dxa"/>
        </w:tblCellMar>
      </w:tblPr>
      <w:tblGrid>
        <w:gridCol w:w="23"/>
        <w:gridCol w:w="533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inserting the following paragraphs at the end of such Section: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8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Such inability described in clauses (A) or (B) above shall not constitute a “Hedging Disruption” if such inability results from Hedging Party’s creditworthiness.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Section 12.9(b)(iii) of the Equity Definitions is hereby amended by inserting in the third line thereof, after the words “to terminate the Transaction”, the words “or a portion of the Transaction affected by such Hedging Disruption”.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1"/>
        <w:gridCol w:w="9204"/>
      </w:tblGrid>
      <w:tr>
        <w:trPr/>
        <w:tc>
          <w:tcPr>
            <w:tcW w:w="1001"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Increased Cost of Hedging:</w:t>
            </w:r>
          </w:p>
        </w:tc>
        <w:tc>
          <w:tcPr>
            <w:tcW w:w="9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that such increased cost described in Section 12.9(vi) of the Equity Definitions shall not constitute an “Increased Cost of Hedging” if such increased cost results from Hedging Party’s creditworthiness or financial position, and (ii) the following parenthetical shall be inserted immediately following the word “expense” in the third line of Section 12.9(a)(vi) of the Equity Definitions: “(including, for the avoidance of doubt, the incurrence of any stock borrow expense in excess of Hedging Party’s expectation as of the Trade Date, other than to the extent resulting from an Increased Cost of Stock Borrow)”.</w:t>
            </w:r>
          </w:p>
        </w:tc>
      </w:tr>
    </w:tbl>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045"/>
        <w:gridCol w:w="920"/>
      </w:tblGrid>
      <w:tr>
        <w:trPr/>
        <w:tc>
          <w:tcPr>
            <w:tcW w:w="204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Loss of Stock Borrow:</w:t>
            </w:r>
          </w:p>
        </w:tc>
        <w:tc>
          <w:tcPr>
            <w:tcW w:w="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3155"/>
        <w:gridCol w:w="1490"/>
      </w:tblGrid>
      <w:tr>
        <w:trPr/>
        <w:tc>
          <w:tcPr>
            <w:tcW w:w="3155" w:type="dxa"/>
            <w:tcBorders/>
            <w:vAlign w:val="center"/>
          </w:tcPr>
          <w:p>
            <w:pPr>
              <w:pStyle w:val="TableContents"/>
              <w:bidi w:val="0"/>
              <w:spacing w:before="0" w:after="283"/>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Maximum Stock Loan Rate:</w:t>
            </w:r>
          </w:p>
        </w:tc>
        <w:tc>
          <w:tcPr>
            <w:tcW w:w="1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 per annum</w:t>
            </w:r>
          </w:p>
        </w:tc>
      </w:tr>
    </w:tbl>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2900"/>
        <w:gridCol w:w="920"/>
      </w:tblGrid>
      <w:tr>
        <w:trPr/>
        <w:tc>
          <w:tcPr>
            <w:tcW w:w="2900" w:type="dxa"/>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Increased Cost of Stock Borrow:</w:t>
            </w:r>
          </w:p>
        </w:tc>
        <w:tc>
          <w:tcPr>
            <w:tcW w:w="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2810"/>
        <w:gridCol w:w="6125"/>
      </w:tblGrid>
      <w:tr>
        <w:trPr/>
        <w:tc>
          <w:tcPr>
            <w:tcW w:w="2810" w:type="dxa"/>
            <w:tcBorders/>
            <w:vAlign w:val="center"/>
          </w:tcPr>
          <w:p>
            <w:pPr>
              <w:pStyle w:val="TableContents"/>
              <w:bidi w:val="0"/>
              <w:spacing w:before="0" w:after="283"/>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Initial Stock Loan Rate:</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January 16, 2030, 0% per annum, and thereafter, 0.25 % per annum.</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1250"/>
        <w:gridCol w:w="4460"/>
      </w:tblGrid>
      <w:tr>
        <w:trPr/>
        <w:tc>
          <w:tcPr>
            <w:tcW w:w="1250"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Party:</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for all applicable Additional Disruption Events.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6"/>
        <w:gridCol w:w="9099"/>
      </w:tblGrid>
      <w:tr>
        <w:trPr/>
        <w:tc>
          <w:tcPr>
            <w:tcW w:w="1106"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Party:</w:t>
            </w:r>
          </w:p>
        </w:tc>
        <w:tc>
          <w:tcPr>
            <w:tcW w:w="90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Dealer for all applicable Additional Disruption Events. </w:t>
            </w:r>
            <w:r>
              <w:rPr>
                <w:rFonts w:ascii="Times New Roman;Times;Serif" w:hAnsi="Times New Roman;Times;Serif"/>
                <w:b w:val="false"/>
                <w:i w:val="false"/>
                <w:caps w:val="false"/>
                <w:smallCaps w:val="false"/>
                <w:sz w:val="20"/>
                <w:shd w:fill="FFFFFF" w:val="clear"/>
              </w:rPr>
              <w:t xml:space="preserve">All calculations and determinations by the Determining Party shall be made in good faith and in a commercially reasonable manner. Following any calculation by the Determining Party hereunder, upon written request by Counterparty, the Determining Party will, within five Exchange Business Days immediately following such request, provide to Counterparty a report </w:t>
            </w:r>
            <w:r>
              <w:rPr>
                <w:rFonts w:ascii="Times New Roman;Times;Serif" w:hAnsi="Times New Roman;Times;Serif"/>
                <w:b w:val="false"/>
                <w:i w:val="false"/>
                <w:caps w:val="false"/>
                <w:smallCaps w:val="false"/>
                <w:sz w:val="20"/>
              </w:rPr>
              <w:t xml:space="preserve">(in a commonly used file format for the storage and manipulation of financial data) </w:t>
            </w:r>
            <w:r>
              <w:rPr>
                <w:rFonts w:ascii="Times New Roman;Times;Serif" w:hAnsi="Times New Roman;Times;Serif"/>
                <w:b w:val="false"/>
                <w:i w:val="false"/>
                <w:caps w:val="false"/>
                <w:smallCaps w:val="false"/>
                <w:sz w:val="20"/>
                <w:shd w:fill="FFFFFF" w:val="clear"/>
              </w:rPr>
              <w:t xml:space="preserve">displaying in reasonable detail the basis for such calculation; </w:t>
            </w:r>
            <w:r>
              <w:rPr>
                <w:rFonts w:ascii="Times New Roman;Times;Serif" w:hAnsi="Times New Roman;Times;Serif"/>
                <w:b w:val="false"/>
                <w:i/>
                <w:caps w:val="false"/>
                <w:smallCaps w:val="false"/>
                <w:sz w:val="20"/>
                <w:shd w:fill="FFFFFF" w:val="clear"/>
              </w:rPr>
              <w:t>provided, however</w:t>
            </w:r>
            <w:r>
              <w:rPr>
                <w:rFonts w:ascii="Times New Roman;Times;Serif" w:hAnsi="Times New Roman;Times;Serif"/>
                <w:b w:val="false"/>
                <w:i w:val="false"/>
                <w:caps w:val="false"/>
                <w:smallCaps w:val="false"/>
                <w:sz w:val="20"/>
                <w:shd w:fill="FFFFFF" w:val="clear"/>
              </w:rPr>
              <w:t>, that in no event will the Determining Party be obligated to share with Counterparty any proprietary or confidential data or information or any proprietary or confidential models used by it.</w:t>
            </w:r>
          </w:p>
        </w:tc>
      </w:tr>
    </w:tbl>
    <w:p>
      <w:pPr>
        <w:pStyle w:val="TextBody"/>
        <w:bidi w:val="0"/>
        <w:spacing w:before="0" w:after="0"/>
        <w:ind w:left="0" w:right="0" w:hanging="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1205"/>
        <w:gridCol w:w="920"/>
      </w:tblGrid>
      <w:tr>
        <w:trPr/>
        <w:tc>
          <w:tcPr>
            <w:tcW w:w="120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Non-Reliance:</w:t>
            </w:r>
          </w:p>
        </w:tc>
        <w:tc>
          <w:tcPr>
            <w:tcW w:w="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2885"/>
        <w:gridCol w:w="965"/>
      </w:tblGrid>
      <w:tr>
        <w:trPr/>
        <w:tc>
          <w:tcPr>
            <w:tcW w:w="288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and Acknowledgments</w:t>
            </w:r>
          </w:p>
        </w:tc>
        <w:tc>
          <w:tcPr>
            <w:tcW w:w="965" w:type="dxa"/>
            <w:tcBorders/>
            <w:vAlign w:val="center"/>
          </w:tcPr>
          <w:p>
            <w:pPr>
              <w:pStyle w:val="TableContents"/>
              <w:bidi w:val="0"/>
              <w:spacing w:before="0" w:after="283"/>
              <w:ind w:left="0" w:right="0" w:hanging="0"/>
              <w:jc w:val="both"/>
              <w:rPr>
                <w:caps w:val="false"/>
                <w:smallCaps w:val="false"/>
              </w:rPr>
            </w:pPr>
            <w:r>
              <w:rPr>
                <w:caps w:val="false"/>
                <w:smallCaps w:val="false"/>
              </w:rPr>
              <w:t> </w:t>
            </w:r>
          </w:p>
        </w:tc>
      </w:tr>
      <w:tr>
        <w:trPr/>
        <w:tc>
          <w:tcPr>
            <w:tcW w:w="288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Hedging Activities:</w:t>
            </w:r>
          </w:p>
        </w:tc>
        <w:tc>
          <w:tcPr>
            <w:tcW w:w="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525"/>
        <w:gridCol w:w="920"/>
      </w:tblGrid>
      <w:tr>
        <w:trPr/>
        <w:tc>
          <w:tcPr>
            <w:tcW w:w="2525"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Acknowledgments:</w:t>
            </w:r>
          </w:p>
        </w:tc>
        <w:tc>
          <w:tcPr>
            <w:tcW w:w="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2"/>
        <w:gridCol w:w="9153"/>
      </w:tblGrid>
      <w:tr>
        <w:trPr/>
        <w:tc>
          <w:tcPr>
            <w:tcW w:w="1052"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Calculation Agent</w:t>
            </w:r>
            <w:r>
              <w:rPr>
                <w:rFonts w:ascii="Times New Roman;Times;Serif" w:hAnsi="Times New Roman;Times;Serif"/>
                <w:b w:val="false"/>
                <w:i w:val="false"/>
                <w:caps w:val="false"/>
                <w:smallCaps w:val="false"/>
                <w:sz w:val="20"/>
              </w:rPr>
              <w:t>:</w:t>
            </w:r>
          </w:p>
        </w:tc>
        <w:tc>
          <w:tcPr>
            <w:tcW w:w="91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Dealer;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obligations of the Calculation Agent hereunder and such failure continues for five Exchange Business Days following notice to the Calculation Agent by Counterparty of such failure, Counterparty shall have the right to designate a nationally recognize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Calculation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any calculation by the Calculation Agent hereunder, upon written request by Counterparty, the Calculation Agent will, within five Exchange Business Days immediately following such request, provide to Counterparty by email to the email address provided by Counterparty in such written request a report (in a commonly used file format for the storage and manipulation of financial data) displaying in reasonable detail the basis for such calculation;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in no event will Dealer be obligated to share with Counterparty any proprietary or confidential data or information or any proprietary or confidential models used by it or any information that is subject to an obligation not to disclose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Account Details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Payment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Chase Manhattan Bank New York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 Goldman, Sachs &amp; Co.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#930-1-011483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 021-000021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for delivery of Shares to Dealer: To be provided by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Payment Instructions: To be provided by Counterparty.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Dealer for the Transaction is: 200 West Street, New York, New York 10282-2198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Counterparty for the Transaction is: Inapplicable, Counterparty is not a Multibranch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For purposes of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Address for notices or communications to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MN 55347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Kathy Hiebert,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Address for notices or communications to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tab/>
        <w:t>     </w:t>
        <w:tab/>
        <w:t>     Goldman Sachs &amp; Co. LLC </w:t>
      </w:r>
    </w:p>
    <w:p>
      <w:pPr>
        <w:pStyle w:val="TextBody"/>
        <w:bidi w:val="0"/>
        <w:spacing w:before="0" w:after="0"/>
        <w:ind w:left="5040" w:right="0" w:hanging="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 </w:t>
      </w:r>
    </w:p>
    <w:p>
      <w:pPr>
        <w:pStyle w:val="TextBody"/>
        <w:bidi w:val="0"/>
        <w:spacing w:before="0" w:after="0"/>
        <w:ind w:left="5040" w:right="0" w:hanging="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10282-2198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Michael Voris, Equity Capital Markets Telephone: 212-902-4895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212-256-5738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michael.voris@gs.com With a copy to:</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Jan Debeuckelaer Telephone: 212-934-0893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212-256-5738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jan.debeuckelaer@gs.com And</w:t>
      </w:r>
    </w:p>
    <w:p>
      <w:pPr>
        <w:pStyle w:val="TextBody"/>
        <w:bidi w:val="0"/>
        <w:spacing w:before="0" w:after="0"/>
        <w:ind w:left="1080" w:right="0" w:firstLine="72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Garrett Cohen Telephone: 212-357-3427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212-256-5738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garrett.cohen@gs.com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email notification to the following address: Eq-derivs-notifications@ny.ibd.gs.com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Warranties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Trade Date and as of the date of any Notice of Share Termination under (and as defined in) Section 8(b)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or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(or any successor issue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302A.673 of the Minnesota Business Corporations Act as an “interested shareholder”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On the Trade Date and the Premium Payment Date (A) the assets of Counterparty at their fair valuation exceed the liabilities of Counterparty, including contingent liabilities, (B) the capital of Counterparty is adequate to conduct the business of Counterparty and (C) Counterparty has the ability to pay its debts and obligations as such debts mature and does not intend to, or does not believe that it will, incur debt beyond its ability to pay as such debts mature.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Counterparty shall not take any action to decrease the number of Available Shares below the Capped Number (each as defined below, but without giving effect to the limitation on adjustments to the Capped Number set forth in the proviso in the first sentence of Section ‎8(f)).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representations and warranties of Counterparty set forth in Section 3 of the Agreement and Section 1 of the Purchase Agreement dated as of the Trade Date between Goldman Sachs &amp; Co. LLC and BMO Capital Markets Corp. as the representatives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of the Initial Purchasers and Counterparty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are true and correct as of the Trade Date and the Effective Date and are hereby deemed to be repeated to Dealer as if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(x) (A) On the Trade Date, the Shares or securities that are convertible into, or exchangeable or exercisable for Shares, are not, and shall not be, subject to a “restricted period,” as such term is defined in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 and (y)(A) during the period starting on the first Expiration Date and ending on the last Expiration Date (the “</w:t>
      </w:r>
      <w:r>
        <w:rPr>
          <w:rFonts w:ascii="Times New Roman;Times;Serif" w:hAnsi="Times New Roman;Times;Serif"/>
          <w:b/>
          <w:i w:val="false"/>
          <w:caps w:val="false"/>
          <w:smallCaps w:val="false"/>
          <w:sz w:val="20"/>
        </w:rPr>
        <w:t>Settlement Period</w:t>
      </w:r>
      <w:r>
        <w:rPr>
          <w:rFonts w:ascii="Times New Roman;Times;Serif" w:hAnsi="Times New Roman;Times;Serif"/>
          <w:b w:val="false"/>
          <w:i w:val="false"/>
          <w:caps w:val="false"/>
          <w:smallCaps w:val="false"/>
          <w:sz w:val="20"/>
        </w:rPr>
        <w:t>”), the Shares or securities that are convertible into, or exchangeable or exercisable for Shares, are not, and shall not be, subject to a “restricted period,” as defined in Regulation M and (B) Counterparty shall not engage in any “distribution,” as such term is defined in Regulation M until the second Exchange Business Day immediately following the Settlement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(x) On the Trade Date, (y) during the Settlement Period and (z) on any other Exercise Date, neither Counterparty nor any “affiliate” or “affiliated purchaser” (each as defined in Rule 10b-18 of the Exchange Act (“</w:t>
      </w:r>
      <w:r>
        <w:rPr>
          <w:rFonts w:ascii="Times New Roman;Times;Serif" w:hAnsi="Times New Roman;Times;Serif"/>
          <w:b/>
          <w:i w:val="false"/>
          <w:caps w:val="false"/>
          <w:smallCaps w:val="false"/>
          <w:sz w:val="20"/>
        </w:rPr>
        <w:t>Rule 10b-18</w:t>
      </w:r>
      <w:r>
        <w:rPr>
          <w:rFonts w:ascii="Times New Roman;Times;Serif" w:hAnsi="Times New Roman;Times;Serif"/>
          <w:b w:val="false"/>
          <w:i w:val="false"/>
          <w:caps w:val="false"/>
          <w:smallCaps w:val="false"/>
          <w:sz w:val="20"/>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Counterparty agrees that it (A) will not during the Settlement Period make, or permit to be made, any public announcement (as defined in Rule 165(f) under the Securities Act) of any Merger Transaction or potential Merger Transaction unless such public announcement is made prior to the opening or after the close of the regular trading session on the Exchange for the Shares; (B) shall promptly (but in any event prior to the next opening of the regular trading session on the Exchange) notify Dealer following any such announcement that such announcement has been made; and (C) shall promptly (but in any event prior to the next opening of the regular trading session on the Exchange) provide Dealer with written notice specifying (i) Counterparty’s average daily Rule 10b-18 Purchases (as defined in Rule 10b-18) during the three full calendar months immediately preceding the announcement date that were not effected through Dealer or its affiliates and (ii) the number of Shares purchased pursuant to the proviso in Rule 10b-18(b)(4) under the Exchange Act for the three full calendar months preceding the announcement date. Such written notice shall be deemed to be a certification by Counterparty to Dealer that such information is true and correct. In addition, Counterparty shall promptly notify Dealer of the earlier to occur of the completion of such transaction and the completion of the vote by target shareholders. “</w:t>
      </w:r>
      <w:r>
        <w:rPr>
          <w:rFonts w:ascii="Times New Roman;Times;Serif" w:hAnsi="Times New Roman;Times;Serif"/>
          <w:b/>
          <w:i w:val="false"/>
          <w:caps w:val="false"/>
          <w:smallCaps w:val="false"/>
          <w:sz w:val="20"/>
        </w:rPr>
        <w:t>Merger Transaction</w:t>
      </w:r>
      <w:r>
        <w:rPr>
          <w:rFonts w:ascii="Times New Roman;Times;Serif" w:hAnsi="Times New Roman;Times;Serif"/>
          <w:b w:val="false"/>
          <w:i w:val="false"/>
          <w:caps w:val="false"/>
          <w:smallCaps w:val="false"/>
          <w:sz w:val="20"/>
        </w:rPr>
        <w:t>” means any merger, acquisition or similar transaction involving a recapitalization as contemplated by Rule 10b-18(a)(13)(iv)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Any issuance of Shares upon exercise or termination of the Transaction has been, and throughout the Transaction will continue to be, duly authorized and, upon issuance, such Shares will be validly issued, fully paid and non-assessable, and the issuance or delivery thereof shall not be subject to any preemptive or similar rights and such Shares shall, upon issuance, be accepted for listing or quotation on the Exchange; (B) a number of Shares of Counterparty equal to the Capped Number have been reserved for issuance upon exercise or termination of the Warrants by all required corporate action of the Counterparty and (C) the Shares issuable upon exercise of the Warrants shall upon issuance be accepted for listing or quotation on the Exchange, subject to notice that the listing of the Shares issuable upon exercise or termination of the Warrants on the Exchange has been approved by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holding (however defined) or having a right to acquire Shares; provided however, that Counterparty makes no representation or warranty regarding any such requirement that is applicable generally to the ownership of equity securities by Dealer or any of its affiliates as a result of it or any such affiliates being financial institutions or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 (C) has total assets of at least $50 million. Counterparty will notify Dealer if the immediately preceding statement contained in this Section 7(a)(xiv) ceases to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26, 2023,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Dealer and Counterparty acknowledges that the offer and sale of the Transaction to it is intended to be exempt from registration under the Securities Act, by virtue of Section 4(a)(2) thereof. Accordingly, Dealer represents and warrants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Dealer and Counterparty agrees and acknowledges that Dealer is a “financial institution” and “financial participant” within the meaning of Sections 101(22) and 101(22A) of Title 11 of the United States Code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Counterparty shall deliver to Dealer (i) an incumbency certificate, dated as of the Trade Date, of Counterparty in customary form and (ii) an opinion of counsel, dated as of the Trade Date and reasonably acceptable to Dealer in form and substance, with respect to the matters set forth in Section 3(a) of the Agreement and Sections 7(a)(v), 7(a)(xii) and 7(a)(xv) of this Confirmation and such other matters as Dealer may reasonably request and (iii) evidence that the listing of the Shares issuable upon exercise or termination of the Warrants on the Exchange has been approved by the Exchange, subject only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 is acting as principal and is not a fiduciary or advisor in respect of any such transaction, including any entry, exercise, amendment, unwind or termination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Counterparty represents and warrants that it has received, read and understands the </w:t>
      </w:r>
      <w:r>
        <w:rPr>
          <w:rFonts w:ascii="Times New Roman;Times;Serif" w:hAnsi="Times New Roman;Times;Serif"/>
          <w:b/>
          <w:i w:val="false"/>
          <w:caps w:val="false"/>
          <w:smallCaps w:val="false"/>
          <w:sz w:val="20"/>
        </w:rPr>
        <w:t>OTC Options Risk Disclosure Statement</w:t>
      </w:r>
      <w:r>
        <w:rPr>
          <w:rFonts w:ascii="Times New Roman;Times;Serif" w:hAnsi="Times New Roman;Times;Serif"/>
          <w:b w:val="false"/>
          <w:i w:val="false"/>
          <w:caps w:val="false"/>
          <w:smallCaps w:val="false"/>
          <w:sz w:val="20"/>
        </w:rPr>
        <w:t xml:space="preserve"> and a copy of the most recent disclosure pamphlet prepared by The Options Clearing Corporation entitled “</w:t>
      </w:r>
      <w:r>
        <w:rPr>
          <w:rFonts w:ascii="Times New Roman;Times;Serif" w:hAnsi="Times New Roman;Times;Serif"/>
          <w:b/>
          <w:i w:val="false"/>
          <w:caps w:val="false"/>
          <w:smallCaps w:val="false"/>
          <w:sz w:val="20"/>
        </w:rPr>
        <w:t>Characteristics and Risks of Standardized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 acknowledges and agrees to be bound by the Conduct Rules of the Financial Industry Regulatory Authority, Inc. applicable to transactions in options, and further agrees not to violate the position and exercise limits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Right to Extend</w:t>
      </w:r>
      <w:r>
        <w:rPr>
          <w:rFonts w:ascii="Times New Roman;Times;Serif" w:hAnsi="Times New Roman;Times;Serif"/>
          <w:b w:val="false"/>
          <w:i w:val="false"/>
          <w:caps w:val="false"/>
          <w:smallCaps w:val="false"/>
          <w:sz w:val="20"/>
        </w:rPr>
        <w:t>. Dealer may postpone or add, in whole or in part, any Expiration Date or Settlement Date or any other date of valuation or delivery by Counterparty, with respect to some or all of the relevant Warrants (in which event the Calculation Agent shall make appropriate adjustments to the relevant delivery obligation), if Dealer determines, in its commercially reasonable discretion, that such extension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 and in the case of policies or procedures, so long as such policies and procedures are consistently applied to transactions similar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Alternative Calculations and Payment on Early Termination and on Certain Extraordinary Events</w:t>
      </w:r>
      <w:r>
        <w:rPr>
          <w:rFonts w:ascii="Times New Roman;Times;Serif" w:hAnsi="Times New Roman;Times;Serif"/>
          <w:b w:val="false"/>
          <w:i w:val="false"/>
          <w:caps w:val="false"/>
          <w:smallCaps w:val="false"/>
          <w:sz w:val="20"/>
        </w:rPr>
        <w:t>. If Counterparty shall owe Dealer any amount pursuant to Section 6(d)(ii) of the Agreement (a “</w:t>
      </w:r>
      <w:r>
        <w:rPr>
          <w:rFonts w:ascii="Times New Roman;Times;Serif" w:hAnsi="Times New Roman;Times;Serif"/>
          <w:b/>
          <w:i w:val="false"/>
          <w:caps w:val="false"/>
          <w:smallCaps w:val="false"/>
          <w:sz w:val="20"/>
        </w:rPr>
        <w:t>Payment Obligation</w:t>
      </w:r>
      <w:r>
        <w:rPr>
          <w:rFonts w:ascii="Times New Roman;Times;Serif" w:hAnsi="Times New Roman;Times;Serif"/>
          <w:b w:val="false"/>
          <w:i w:val="false"/>
          <w:caps w:val="false"/>
          <w:smallCaps w:val="false"/>
          <w:sz w:val="20"/>
        </w:rPr>
        <w:t>”), Counterparty shall have the right, in its sole discretion,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Merger Date, Tender Offer Date, Announcement Date, Early Termination Date or date of cancellation or termination in respect of an Extraordinary Event, as applicable (“</w:t>
      </w:r>
      <w:r>
        <w:rPr>
          <w:rFonts w:ascii="Times New Roman;Times;Serif" w:hAnsi="Times New Roman;Times;Serif"/>
          <w:b/>
          <w:i w:val="false"/>
          <w:caps w:val="false"/>
          <w:smallCaps w:val="false"/>
          <w:sz w:val="20"/>
        </w:rPr>
        <w:t>Notice of Share Termination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does not elect to satisfy its Payment Obligation by the Share Termination Alternative, Dealer shall have the right, in its sole discretion, to elect to require Counterparty to satisfy its Payment Obligation by the Share Termination Alternative, notwithstanding Counterparty’s failure to elect or election to the contrary;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Merger Date, the Tender Offer Date, Announcement Date, Early Termination Date or date of cancellation or termination in respect of an Extraordinary Event,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7"/>
        <w:gridCol w:w="8658"/>
      </w:tblGrid>
      <w:tr>
        <w:trPr/>
        <w:tc>
          <w:tcPr>
            <w:tcW w:w="1547" w:type="dxa"/>
            <w:tcBorders/>
            <w:vAlign w:val="center"/>
          </w:tcPr>
          <w:p>
            <w:pPr>
              <w:pStyle w:val="TableContents"/>
              <w:bidi w:val="0"/>
              <w:spacing w:before="0" w:after="283"/>
              <w:ind w:left="0" w:right="0" w:hanging="0"/>
              <w:jc w:val="both"/>
              <w:rPr/>
            </w:pPr>
            <w:r>
              <w:rPr/>
              <w:t>Share Termination Alternative:</w:t>
            </w:r>
          </w:p>
        </w:tc>
        <w:tc>
          <w:tcPr>
            <w:tcW w:w="8658" w:type="dxa"/>
            <w:tcBorders/>
            <w:vAlign w:val="center"/>
          </w:tcPr>
          <w:p>
            <w:pPr>
              <w:pStyle w:val="TableContents"/>
              <w:bidi w:val="0"/>
              <w:spacing w:before="0" w:after="283"/>
              <w:jc w:val="both"/>
              <w:rPr/>
            </w:pPr>
            <w:r>
              <w:rPr/>
              <w:t>If applicable, means that Counterparty shall deliver to Dealer the Share Termination Delivery Property on the date on which the Payment Obligation would otherwise be due pursuant to Section 6(d)(ii) of the Agreement, or such later date or dates as the Calculation Agent may reasonably determine (the “</w:t>
            </w:r>
            <w:r>
              <w:rPr>
                <w:b/>
              </w:rPr>
              <w:t>Share Termination Payment Date</w:t>
            </w:r>
            <w:r>
              <w:rPr/>
              <w:t>”), in satisfaction of the Payment Obligation.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4"/>
        <w:gridCol w:w="8781"/>
      </w:tblGrid>
      <w:tr>
        <w:trPr/>
        <w:tc>
          <w:tcPr>
            <w:tcW w:w="1424" w:type="dxa"/>
            <w:tcBorders/>
            <w:vAlign w:val="center"/>
          </w:tcPr>
          <w:p>
            <w:pPr>
              <w:pStyle w:val="TableContents"/>
              <w:bidi w:val="0"/>
              <w:spacing w:before="0" w:after="283"/>
              <w:ind w:left="0" w:right="0" w:hanging="0"/>
              <w:jc w:val="both"/>
              <w:rPr/>
            </w:pPr>
            <w:r>
              <w:rPr/>
              <w:t>Share Termination Delivery</w:t>
            </w:r>
          </w:p>
        </w:tc>
        <w:tc>
          <w:tcPr>
            <w:tcW w:w="8781" w:type="dxa"/>
            <w:tcBorders/>
            <w:vAlign w:val="center"/>
          </w:tcPr>
          <w:p>
            <w:pPr>
              <w:pStyle w:val="TableContents"/>
              <w:bidi w:val="0"/>
              <w:spacing w:before="0" w:after="283"/>
              <w:ind w:left="0" w:right="0" w:hanging="0"/>
              <w:jc w:val="both"/>
              <w:rPr/>
            </w:pPr>
            <w:r>
              <w:rPr/>
              <w:t> </w:t>
            </w:r>
          </w:p>
        </w:tc>
      </w:tr>
      <w:tr>
        <w:trPr/>
        <w:tc>
          <w:tcPr>
            <w:tcW w:w="1424" w:type="dxa"/>
            <w:tcBorders/>
            <w:vAlign w:val="center"/>
          </w:tcPr>
          <w:p>
            <w:pPr>
              <w:pStyle w:val="TableContents"/>
              <w:bidi w:val="0"/>
              <w:spacing w:before="0" w:after="283"/>
              <w:ind w:left="0" w:right="0" w:hanging="0"/>
              <w:jc w:val="both"/>
              <w:rPr/>
            </w:pPr>
            <w:r>
              <w:rPr/>
              <w:t>Property:</w:t>
            </w:r>
          </w:p>
        </w:tc>
        <w:tc>
          <w:tcPr>
            <w:tcW w:w="8781" w:type="dxa"/>
            <w:tcBorders/>
            <w:vAlign w:val="center"/>
          </w:tcPr>
          <w:p>
            <w:pPr>
              <w:pStyle w:val="TableContents"/>
              <w:bidi w:val="0"/>
              <w:spacing w:before="0" w:after="283"/>
              <w:jc w:val="both"/>
              <w:rPr/>
            </w:pPr>
            <w:r>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in the Settlement Currency equal to the value of such fractional security based on the values used to calculate the Share Termination Unit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5"/>
        <w:gridCol w:w="8620"/>
      </w:tblGrid>
      <w:tr>
        <w:trPr/>
        <w:tc>
          <w:tcPr>
            <w:tcW w:w="1585" w:type="dxa"/>
            <w:tcBorders/>
            <w:vAlign w:val="center"/>
          </w:tcPr>
          <w:p>
            <w:pPr>
              <w:pStyle w:val="TableContents"/>
              <w:bidi w:val="0"/>
              <w:spacing w:before="0" w:after="283"/>
              <w:ind w:left="0" w:right="0" w:hanging="0"/>
              <w:jc w:val="left"/>
              <w:rPr/>
            </w:pPr>
            <w:r>
              <w:rPr/>
              <w:t>Share Termination Unit Price:</w:t>
            </w:r>
          </w:p>
        </w:tc>
        <w:tc>
          <w:tcPr>
            <w:tcW w:w="8620" w:type="dxa"/>
            <w:tcBorders/>
            <w:vAlign w:val="center"/>
          </w:tcPr>
          <w:p>
            <w:pPr>
              <w:pStyle w:val="TableContents"/>
              <w:bidi w:val="0"/>
              <w:spacing w:before="0" w:after="283"/>
              <w:jc w:val="both"/>
              <w:rPr/>
            </w:pPr>
            <w:r>
              <w:rPr/>
              <w:t>The value of property contained in one Share Termination Delivery Unit on the date such Share Termination Delivery Units are to be delivered as Share Termination Delivery Property, as determined by the Calculation Agent and notified by the Calculation Agent to Counterparty at the time of notification of the Payment Obligation.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91"/>
        <w:gridCol w:w="8814"/>
      </w:tblGrid>
      <w:tr>
        <w:trPr/>
        <w:tc>
          <w:tcPr>
            <w:tcW w:w="1391" w:type="dxa"/>
            <w:tcBorders/>
            <w:vAlign w:val="center"/>
          </w:tcPr>
          <w:p>
            <w:pPr>
              <w:pStyle w:val="TableContents"/>
              <w:bidi w:val="0"/>
              <w:spacing w:before="0" w:after="283"/>
              <w:ind w:left="0" w:right="0" w:hanging="0"/>
              <w:jc w:val="both"/>
              <w:rPr/>
            </w:pPr>
            <w:r>
              <w:rPr/>
              <w:t>Share Termination Delivery Unit:</w:t>
            </w:r>
          </w:p>
        </w:tc>
        <w:tc>
          <w:tcPr>
            <w:tcW w:w="8814" w:type="dxa"/>
            <w:tcBorders/>
            <w:vAlign w:val="center"/>
          </w:tcPr>
          <w:p>
            <w:pPr>
              <w:pStyle w:val="TableContents"/>
              <w:bidi w:val="0"/>
              <w:spacing w:before="0" w:after="283"/>
              <w:jc w:val="both"/>
              <w:rPr/>
            </w:pPr>
            <w:r>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tc>
      </w:tr>
    </w:tbl>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745"/>
        <w:gridCol w:w="1475"/>
      </w:tblGrid>
      <w:tr>
        <w:trPr/>
        <w:tc>
          <w:tcPr>
            <w:tcW w:w="1745" w:type="dxa"/>
            <w:tcBorders/>
            <w:vAlign w:val="center"/>
          </w:tcPr>
          <w:p>
            <w:pPr>
              <w:pStyle w:val="TableContents"/>
              <w:bidi w:val="0"/>
              <w:spacing w:before="0" w:after="283"/>
              <w:ind w:left="0" w:right="0" w:hanging="0"/>
              <w:jc w:val="both"/>
              <w:rPr/>
            </w:pPr>
            <w:r>
              <w:rPr/>
              <w:t>Failure to Deliver:</w:t>
            </w:r>
          </w:p>
        </w:tc>
        <w:tc>
          <w:tcPr>
            <w:tcW w:w="1475"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74"/>
        <w:gridCol w:w="9031"/>
      </w:tblGrid>
      <w:tr>
        <w:trPr/>
        <w:tc>
          <w:tcPr>
            <w:tcW w:w="1174" w:type="dxa"/>
            <w:tcBorders/>
            <w:vAlign w:val="center"/>
          </w:tcPr>
          <w:p>
            <w:pPr>
              <w:pStyle w:val="TableContents"/>
              <w:bidi w:val="0"/>
              <w:spacing w:before="0" w:after="283"/>
              <w:ind w:left="0" w:right="0" w:hanging="0"/>
              <w:jc w:val="both"/>
              <w:rPr/>
            </w:pPr>
            <w:r>
              <w:rPr/>
              <w:t>Other Applicable Provisions:</w:t>
            </w:r>
          </w:p>
        </w:tc>
        <w:tc>
          <w:tcPr>
            <w:tcW w:w="9031" w:type="dxa"/>
            <w:tcBorders/>
            <w:vAlign w:val="center"/>
          </w:tcPr>
          <w:p>
            <w:pPr>
              <w:pStyle w:val="TableContents"/>
              <w:bidi w:val="0"/>
              <w:spacing w:before="0" w:after="283"/>
              <w:jc w:val="both"/>
              <w:rPr/>
            </w:pPr>
            <w:r>
              <w:rPr/>
              <w:t xml:space="preserve">If Share Termination Alternative is applicable, the provisions of Sections 9.1(c), 9.8, 9.9, 9.11 and 9.12 of the Equity Definitions will be applicable as if “Physical Settlement” applied to the Transaction, except that all references to “Shares” shall be read as references to “Share Termination Delivery Units”; </w:t>
            </w:r>
            <w:r>
              <w:rPr>
                <w:i/>
              </w:rPr>
              <w:t>provided</w:t>
            </w:r>
            <w:r>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security forming a part thereof). If, in the reasonable opinion of Dealer, based on advice of counsel, for any reason, any securities comprising the Share Termination Delivery Units deliverable pursuant to this Section 8(b) would not be immediately freely transferable by Dealer under Rule 144 under the Securities Act, then Dealer may elect to either (x) permit delivery of such securities notwithstanding any restriction on transfer or (y) have the provisions set forth in Section 8(c) below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Registration/Private Placement Procedures</w:t>
      </w:r>
      <w:r>
        <w:rPr>
          <w:rFonts w:ascii="Times New Roman;Times;Serif" w:hAnsi="Times New Roman;Times;Serif"/>
          <w:b w:val="false"/>
          <w:i w:val="false"/>
          <w:caps w:val="false"/>
          <w:smallCaps w:val="false"/>
          <w:sz w:val="20"/>
        </w:rPr>
        <w:t>. (i) With respect to the Transaction, the following provisions shall apply to the extent provided for above opposite the caption “Net Share Settlement” in Section 2 or in paragraph (b) of this Section 8. If so applicable, then, at the election of Counterparty by notice to Dealer within one Exchange Business Day after the relevant delivery obligation arises, but in any event at least one Exchange Business Day prior to the date on which such delivery obligation is due, either (A) all Shares or Share Termination Delivery Units, as the case may be, delivered by Counterparty to Dealer shall be, at the time of such delivery, covered by an effective registration statement of Counterparty for immediate resale by Dealer (such registration statement and the corresponding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(including, without limitation, any sections describing the plan of distribution) in form and content commercially reasonably satisfactory to Dealer) or (B) Counterparty shall deliver additional Shares or Share Termination Delivery Units, as the case may be, so that the value of such Shares or Share Termination Delivery Units, as determined by the Calculation Agent to reflect a commercially reasonable liquidity discount, equals the value of the number of Shares or Share Termination Delivery Units that would otherwise be deliverable if such Shares or Share Termination Delivery Units were freely tradeable (without prospectus delivery) upon receipt by Dealer (such value, the “</w:t>
      </w:r>
      <w:r>
        <w:rPr>
          <w:rFonts w:ascii="Times New Roman;Times;Serif" w:hAnsi="Times New Roman;Times;Serif"/>
          <w:b/>
          <w:i w:val="false"/>
          <w:caps w:val="false"/>
          <w:smallCaps w:val="false"/>
          <w:sz w:val="20"/>
        </w:rPr>
        <w:t>Freely Tradeable Value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requested by Dealer, Counterparty shall make the election described in this clause (B) with respect to Shares delivered on all Settlement Dates no later than one Exchange Business Day prior to the first Exercise Date, and the applicable procedures described below shall apply to all Shares delivered on the Settlement Dates on an aggregate basis. (For the avoidance of doubt, as used in this paragraph (c) only, the term “Counterparty” shall mean the issuer of the relevant securities, as the context shall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shall be a condition to Counterparty’s right to make the election described in clause (c)(i)(A)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an affiliate of Dealer designated by Dealer) shall be afforded a reasonable opportunity to conduct a due diligence investigation with respect to Counterparty that is customary in scope for underwritten offerings of equity securities and that yields results that are satisfactory to Dealer or such affiliate, as the case may be, in its discretion;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Dealer (or an affiliate of Dealer designated by Dealer) and Counterparty shall enter into an agreement (a “</w:t>
      </w:r>
      <w:r>
        <w:rPr>
          <w:rFonts w:ascii="Times New Roman;Times;Serif" w:hAnsi="Times New Roman;Times;Serif"/>
          <w:b/>
          <w:i w:val="false"/>
          <w:caps w:val="false"/>
          <w:smallCaps w:val="false"/>
          <w:sz w:val="20"/>
        </w:rPr>
        <w:t>Registration Agreement</w:t>
      </w:r>
      <w:r>
        <w:rPr>
          <w:rFonts w:ascii="Times New Roman;Times;Serif" w:hAnsi="Times New Roman;Times;Serif"/>
          <w:b w:val="false"/>
          <w:i w:val="false"/>
          <w:caps w:val="false"/>
          <w:smallCaps w:val="false"/>
          <w:sz w:val="20"/>
        </w:rPr>
        <w:t>”) on commercially reasonable terms in connection with the public resale of such Shares or Share Termination Delivery Units, as the case may be, by Dealer or such affiliate substantially similar to underwriting agreements customary for underwritten offerings of equity securities, in form and substance commercially reasonably satisfactory to Dealer or such affiliate and Counterparty, which Registration Agreement shall include, without limitation, provisions substantially similar to those contained in such underwriting agreements relating to the indemnification of, and contribution in connection with the liability of, Dealer and its affiliates and Counterparty, shall provide for the payment by Counterparty of all expenses in connection with such resale, including all registration costs and all fees and expenses of counsel for Dealer, and shall provide for the delivery of accountants’ “comfort letters” to Dealer or such affiliate with respect to the financial statements and certain financial information contained in or incorporated by reference into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Counterparty makes the election described in clause (c)(i)(B)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an affiliate of Dealer designated by Dealer) and any potential institutional purchaser of any such Shares or Share Termination Delivery Units, as the case may be, from Dealer or such affiliate identified by Dealer shall be afforded a commercially reasonable opportunity to conduct a due diligence investigation in compliance with applicable law with respect to Counterparty customary in scope for private placements of equity securities (including, without limitation, the right to have made available to them for inspection all financial and other records, pertinent corporate documents and other information reasonably requested by them), subject to execution by such recipients of customary confidentiality agreements reasonably acceptable to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Dealer (or an affiliate of Dealer designated by Dealer) and Counterparty shall enter into an agreement (a “</w:t>
      </w:r>
      <w:r>
        <w:rPr>
          <w:rFonts w:ascii="Times New Roman;Times;Serif" w:hAnsi="Times New Roman;Times;Serif"/>
          <w:b/>
          <w:i w:val="false"/>
          <w:caps w:val="false"/>
          <w:smallCaps w:val="false"/>
          <w:sz w:val="20"/>
        </w:rPr>
        <w:t>Private Placement Agreement</w:t>
      </w:r>
      <w:r>
        <w:rPr>
          <w:rFonts w:ascii="Times New Roman;Times;Serif" w:hAnsi="Times New Roman;Times;Serif"/>
          <w:b w:val="false"/>
          <w:i w:val="false"/>
          <w:caps w:val="false"/>
          <w:smallCaps w:val="false"/>
          <w:sz w:val="20"/>
        </w:rPr>
        <w:t>”) on commercially reasonable terms in connection with the private placement of such Shares or Share Termination Delivery Units, as the case may be, by Counterparty to Dealer or such affiliate and the private resale of such shares by Dealer or such affiliate, substantially similar to private placement purchase agreements customary for private placements of equity securities, in form and substance commercially reasonably satisfactory to Dealer and Counterparty,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Counterparty, shall provide for the payment by Counterparty of all expenses in connection with such resale, including all fees and expenses of counsel for Dealer, shall contain representations, warranties and agreements of Counterparty reasonably necessary or advisable to establish and maintain the availability of an exemption from the registration requirements of the Securities Act for such resales, and shall use best efforts to provide for the delivery of accountants’ “comfort letters” to Dealer or such affiliate with respect to the financial statements and certain financial information contained in or incorporated by reference into the offering memorandum prepared for the resale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Counterparty agrees that (i) any Shares or Share Termination Delivery Units so delivered to Dealer may be transferred by and among Dealer and its affiliates, and Counterparty shall effect such transfer without any further action by Dealer and (ii) after the minimum “holding period” within the meaning of Rule 144(d) under the Securities Act has elapsed with respect to such Shares or any securities issued by Counterparty comprising such Share Termination Delivery Units, Counterparty shall promptly remove, or cause the transfer agent for such Shares or securities to remove, any legends referring to any such restrictions or requirements from such Shares or securities, without any further requirement for the delivery of any certificate, consent, agreement, opinion of counsel, notice or any other document, any transfer tax stamps or payment of any other amount or any other action by Dealer (or such affiliate of Dealer);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Counterparty shall not take, or cause to be taken, any action that would make unavailable either the exemption pursuant to Section 4(a)(2) of the Securities Act for the sale by Counterparty to Dealer (or any affiliate designated by Dealer) of the Shares or Share Termination Delivery Units, as the case may be, or the exemption pursuant to Section 4(a)(1) or Section 4(a)(3) of the Securities Act for resales of the Shares or Share Termination Delivery Units, as the case may be, by Dealer (or any such affiliate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If Counterparty makes the election described in clause (i)(B) of paragraph (c) of this Section 8, then Dealer or its affiliates may sell (which sale shall be made in a commercially reasonable manner) such Shares or Share Termination Delivery Units, as the case may be, during a period (the “</w:t>
      </w:r>
      <w:r>
        <w:rPr>
          <w:rFonts w:ascii="Times New Roman;Times;Serif" w:hAnsi="Times New Roman;Times;Serif"/>
          <w:b/>
          <w:i w:val="false"/>
          <w:caps w:val="false"/>
          <w:smallCaps w:val="false"/>
          <w:sz w:val="20"/>
        </w:rPr>
        <w:t>Resale Period</w:t>
      </w:r>
      <w:r>
        <w:rPr>
          <w:rFonts w:ascii="Times New Roman;Times;Serif" w:hAnsi="Times New Roman;Times;Serif"/>
          <w:b w:val="false"/>
          <w:i w:val="false"/>
          <w:caps w:val="false"/>
          <w:smallCaps w:val="false"/>
          <w:sz w:val="20"/>
        </w:rPr>
        <w:t>”) commencing on the Exchange Business Day following delivery of such Shares or Share Termination Delivery Units, as the case may be, and ending on the Exchange Business Day on which Dealer or its affiliates completes the sale of a sufficient number of Shares or Share Termination Delivery Units, as the case may be, so that the realized net proceeds of such sales exceed the Freely Tradeable Value. If any of such delivered Shares or Share Termination Delivery Units remain after such realized net proceeds exceed the Freely Tradeable Value, Dealer shall return such remaining Shares or Share Termination Delivery Units to Counterparty. If the Freely Tradeable Value exceeds the realized net proceeds from such resale, Counterparty shall transfer to Dealer by the open of the regular trading session on the Exchange on the Exchange Trading Day immediately following the final day of the Resale Period (without giving effect to any extension thereof pursuant to the immediately succeeding sentence), the amount of such excess (the “</w:t>
      </w:r>
      <w:r>
        <w:rPr>
          <w:rFonts w:ascii="Times New Roman;Times;Serif" w:hAnsi="Times New Roman;Times;Serif"/>
          <w:b/>
          <w:i w:val="false"/>
          <w:caps w:val="false"/>
          <w:smallCaps w:val="false"/>
          <w:sz w:val="20"/>
        </w:rPr>
        <w:t>Additional Amount</w:t>
      </w:r>
      <w:r>
        <w:rPr>
          <w:rFonts w:ascii="Times New Roman;Times;Serif" w:hAnsi="Times New Roman;Times;Serif"/>
          <w:b w:val="false"/>
          <w:i w:val="false"/>
          <w:caps w:val="false"/>
          <w:smallCaps w:val="false"/>
          <w:sz w:val="20"/>
        </w:rPr>
        <w:t>”) in cash or in a number of additional Shares or Share Termination Delivery Units, as the case may be, (“</w:t>
      </w:r>
      <w:r>
        <w:rPr>
          <w:rFonts w:ascii="Times New Roman;Times;Serif" w:hAnsi="Times New Roman;Times;Serif"/>
          <w:b/>
          <w:i w:val="false"/>
          <w:caps w:val="false"/>
          <w:smallCaps w:val="false"/>
          <w:sz w:val="20"/>
        </w:rPr>
        <w:t>Make-whole Shares</w:t>
      </w:r>
      <w:r>
        <w:rPr>
          <w:rFonts w:ascii="Times New Roman;Times;Serif" w:hAnsi="Times New Roman;Times;Serif"/>
          <w:b w:val="false"/>
          <w:i w:val="false"/>
          <w:caps w:val="false"/>
          <w:smallCaps w:val="false"/>
          <w:sz w:val="20"/>
        </w:rPr>
        <w:t>”) in an amount that, based on the Relevant Price on such final day of the Resale Period (as if such day was the “Valuation Date” for purposes of computing such Relevant Price), has a dollar value equal to the Additional Amount. The Resale Period shall continue to enable the sale of the Make-whole Shares in the manner contemplated by this Section 8(d). This provision shall be applied successively until the Additional Amount is equal to zero, subject to Section 8(f).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Beneficial Ownership</w:t>
      </w:r>
      <w:r>
        <w:rPr>
          <w:rFonts w:ascii="Times New Roman;Times;Serif" w:hAnsi="Times New Roman;Times;Serif"/>
          <w:b w:val="false"/>
          <w:i w:val="false"/>
          <w:caps w:val="false"/>
          <w:smallCaps w:val="false"/>
          <w:sz w:val="20"/>
        </w:rPr>
        <w:t>. Notwithstanding anything to the contrary in the Agreement or this Confirmation, in no event shall Dealer be entitled to receive, or shall be deemed to receive, any Shares if, immediately upon giving effect to such receipt of such Shares (and after taking into account any Shares deliverable by Counterparty to Dealer at such time under any transaction or security other than the Transaction), (i) the “beneficial ownership” (within the meaning of Section 13 of the Exchange Act and the rules promulgated thereunder) of Shares by Dealer, any of its affiliates subject to aggregation with Dealer for purposes of the “beneficial ownership” test under Section 13 of the Exchange Act and all persons who may form a “group” (within the meaning of Rule 13d-5(b)(1) under the Exchange Act) with Dealer with respect to “beneficial ownership” of any Shares (collectively, “</w:t>
      </w:r>
      <w:r>
        <w:rPr>
          <w:rFonts w:ascii="Times New Roman;Times;Serif" w:hAnsi="Times New Roman;Times;Serif"/>
          <w:b/>
          <w:i w:val="false"/>
          <w:caps w:val="false"/>
          <w:smallCaps w:val="false"/>
          <w:sz w:val="20"/>
        </w:rPr>
        <w:t>Dealer Group</w:t>
      </w:r>
      <w:r>
        <w:rPr>
          <w:rFonts w:ascii="Times New Roman;Times;Serif" w:hAnsi="Times New Roman;Times;Serif"/>
          <w:b w:val="false"/>
          <w:i w:val="false"/>
          <w:caps w:val="false"/>
          <w:smallCaps w:val="false"/>
          <w:sz w:val="20"/>
        </w:rPr>
        <w:t>”) (or, to the extent that for any reason the equivalent calculation under Section 16 of the Exchange Act and the rules and regulations thereunder results in a higher number, such higher number) would be equal to or greater than 8.0% or more of the outstanding Shares on the date of determination or (ii) Dealer, Dealer Group or any person whose ownership position would be aggregated with that of Dealer or Dealer Group (Dealer, Dealer Group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the Minnesota Business Corporations or other federal, state or local law, rule, regulation or regulatory order or organizational documents or contracts of Counterparty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xml:space="preserve">”), would own, beneficially own, constructively own, control, hold the power to vote or otherwise meet a relevant definition of ownership in excess of a number of Shares equal to (x) the number of Shares that would give rise to reporting or registration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1.0% of the number of Shares outstanding on the date of determination (either such condition described in clause (i) or (ii), an “</w:t>
      </w:r>
      <w:r>
        <w:rPr>
          <w:rFonts w:ascii="Times New Roman;Times;Serif" w:hAnsi="Times New Roman;Times;Serif"/>
          <w:b/>
          <w:i w:val="false"/>
          <w:caps w:val="false"/>
          <w:smallCaps w:val="false"/>
          <w:sz w:val="20"/>
        </w:rPr>
        <w:t>Excess Ownership Position</w:t>
      </w:r>
      <w:r>
        <w:rPr>
          <w:rFonts w:ascii="Times New Roman;Times;Serif" w:hAnsi="Times New Roman;Times;Serif"/>
          <w:b w:val="false"/>
          <w:i w:val="false"/>
          <w:caps w:val="false"/>
          <w:smallCaps w:val="false"/>
          <w:sz w:val="20"/>
        </w:rPr>
        <w:t>”). If any delivery owed to Dealer hereunder is not made, in whole or in part, as a result of this provision, Counterparty’s obligation to make such delivery shall not be extinguished and Counterparty shall make such delivery as promptly as practicable after, but in no event later than one Exchange Business Day after, Dealer gives notice to Counterparty that such delivery would not result in the existence of an Excess Ownership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Limitations on Settlement by Counterparty</w:t>
      </w:r>
      <w:r>
        <w:rPr>
          <w:rFonts w:ascii="Times New Roman;Times;Serif" w:hAnsi="Times New Roman;Times;Serif"/>
          <w:b w:val="false"/>
          <w:i w:val="false"/>
          <w:caps w:val="false"/>
          <w:smallCaps w:val="false"/>
          <w:sz w:val="20"/>
        </w:rPr>
        <w:t xml:space="preserve">. Notwithstanding anything herein or in the Agreement to the contrary (except as set forth in this Section 8(f)), in no event shall Counterparty be required to deliver Shares in connection with the Transaction in excess of 568,620 Shares, as such number may be adjusted from time to time in accordance with the provisions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adjustment shall cause the Capped Number to exceed the Available Shares (as in effect from time to time), other than as a result of actions of Counterparty or events within Counterparty’s control (the “</w:t>
      </w:r>
      <w:r>
        <w:rPr>
          <w:rFonts w:ascii="Times New Roman;Times;Serif" w:hAnsi="Times New Roman;Times;Serif"/>
          <w:b/>
          <w:i w:val="false"/>
          <w:caps w:val="false"/>
          <w:smallCaps w:val="false"/>
          <w:sz w:val="20"/>
        </w:rPr>
        <w:t>Capped Number</w:t>
      </w:r>
      <w:r>
        <w:rPr>
          <w:rFonts w:ascii="Times New Roman;Times;Serif" w:hAnsi="Times New Roman;Times;Serif"/>
          <w:b w:val="false"/>
          <w:i w:val="false"/>
          <w:caps w:val="false"/>
          <w:smallCaps w:val="false"/>
          <w:sz w:val="20"/>
        </w:rPr>
        <w:t>”). Notwithstanding anything to the contrary in the Agreement or the Equity Definitions, such limitation shall not affect the calculation of any Payment Obligation (as defined in Section ‎8(b)), it being understood that if the Share Termination Alternative applies pursuant to Section 8(b), the number of Shares deliverable pursuant to such Section shall not exceed the Capped Number. Counterparty represents and warrants to Dealer (which representation and warranty shall be deemed to be repeated on each day that the Transaction is outstanding) that the Capped Number is equal to or less than the number of authorized but unissued Shares of the Counterparty that are not reserved for future issuance in connection with transactions in the Shares (other than the Transaction) on the date of the determination of the Capped Number (such Shares, the “</w:t>
      </w:r>
      <w:r>
        <w:rPr>
          <w:rFonts w:ascii="Times New Roman;Times;Serif" w:hAnsi="Times New Roman;Times;Serif"/>
          <w:b/>
          <w:i w:val="false"/>
          <w:caps w:val="false"/>
          <w:smallCaps w:val="false"/>
          <w:sz w:val="20"/>
        </w:rPr>
        <w:t>Available Shares</w:t>
      </w:r>
      <w:r>
        <w:rPr>
          <w:rFonts w:ascii="Times New Roman;Times;Serif" w:hAnsi="Times New Roman;Times;Serif"/>
          <w:b w:val="false"/>
          <w:i w:val="false"/>
          <w:caps w:val="false"/>
          <w:smallCaps w:val="false"/>
          <w:sz w:val="20"/>
        </w:rPr>
        <w:t>”). In the event Counterparty shall not have delivered the full number of Shares otherwise deliverable as a result of this Section 8(f) (the resulting deficit, the “</w:t>
      </w:r>
      <w:r>
        <w:rPr>
          <w:rFonts w:ascii="Times New Roman;Times;Serif" w:hAnsi="Times New Roman;Times;Serif"/>
          <w:b/>
          <w:i w:val="false"/>
          <w:caps w:val="false"/>
          <w:smallCaps w:val="false"/>
          <w:sz w:val="20"/>
        </w:rPr>
        <w:t>Deficit Shares</w:t>
      </w:r>
      <w:r>
        <w:rPr>
          <w:rFonts w:ascii="Times New Roman;Times;Serif" w:hAnsi="Times New Roman;Times;Serif"/>
          <w:b w:val="false"/>
          <w:i w:val="false"/>
          <w:caps w:val="false"/>
          <w:smallCaps w:val="false"/>
          <w:sz w:val="20"/>
        </w:rPr>
        <w:t>”), Counterparty shall be continually obligated to deliver Shares, from time to time until the full number of Deficit Shares have been delivered pursuant to this paragraph, when, and to the extent, that (A) Shares are repurchased, acquired or otherwise received by Counterparty or any of its subsidiaries after the Trade Date (whether or not in exchange for cash, fair value or any other consideration), (B) authorized and unissued Shares previously reserved for issuance in respect of other transactions become no longer so reserved or (C) Counterparty additionally authorizes any unissued Shares that are not reserved for other transactions (such events as set forth in clauses (A), (B) and (C) above, collectively, the “</w:t>
      </w:r>
      <w:r>
        <w:rPr>
          <w:rFonts w:ascii="Times New Roman;Times;Serif" w:hAnsi="Times New Roman;Times;Serif"/>
          <w:b/>
          <w:i w:val="false"/>
          <w:caps w:val="false"/>
          <w:smallCaps w:val="false"/>
          <w:sz w:val="20"/>
        </w:rPr>
        <w:t>Share Issuance Events</w:t>
      </w:r>
      <w:r>
        <w:rPr>
          <w:rFonts w:ascii="Times New Roman;Times;Serif" w:hAnsi="Times New Roman;Times;Serif"/>
          <w:b w:val="false"/>
          <w:i w:val="false"/>
          <w:caps w:val="false"/>
          <w:smallCaps w:val="false"/>
          <w:sz w:val="20"/>
        </w:rPr>
        <w:t xml:space="preserve">”). In the event that there are any Deficit Shares or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in the first sentence of this Section 8(f) has prevented any adjustment to the Capped Number, (i) Counterparty shall promptly notify Dealer of the occurrence of any of the Share Issuance Events (including the number of Shares subject to clause (A), (B) or (C) and the corresponding number of Shares to be delivered) and, as promptly as reasonably practicable, deliver such Shares thereafter, (ii) Counterparty shall use its best efforts to cause Share Issuance Events to the extent necessary to deliver the full number of Deficit Shares or cause the Capped Number to equal the Capped Number that would be in effect but for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set forth in the first sentence of this Section 8(f), as the case may be, and (iii) Counterparty shall not, until Counterparty’s obligations under the Transaction have been satisfied in full, use any Shares that become available for potential delivery to Dealer as a result of any Share Issuance Event for the settlement or satisfaction of any transaction or obligation other than the Transaction or any other warrant transaction between Counterparty and Dealer or reserve any such Shares for future issuance for any purpose other than to satisfy Counterparty’s obligations to Dealer under the Transaction or any other warrant transaction between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Equity Rights</w:t>
      </w:r>
      <w:r>
        <w:rPr>
          <w:rFonts w:ascii="Times New Roman;Times;Serif" w:hAnsi="Times New Roman;Times;Serif"/>
          <w:b w:val="false"/>
          <w:i w:val="false"/>
          <w:caps w:val="false"/>
          <w:smallCaps w:val="false"/>
          <w:sz w:val="20"/>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Amendments to Equity Definitions</w:t>
      </w:r>
      <w:r>
        <w:rPr>
          <w:rFonts w:ascii="Times New Roman;Times;Serif" w:hAnsi="Times New Roman;Times;Serif"/>
          <w:b w:val="false"/>
          <w:i w:val="false"/>
          <w:caps w:val="false"/>
          <w:smallCaps w:val="false"/>
          <w:sz w:val="20"/>
        </w:rPr>
        <w:t>. The following amendments shall be made to the Equity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first sentence of Section 11.2(c) of the Equity Definitions, prior to clause (A) thereof, is hereby amended to read as follows: ‘(c)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an effect on the theoretical value of the relevant Shares or options on the Shares and, if so, will (i) make appropriate adjustment(s), if any, to any one or more of:’ and, the portion of such sentence immediately preceding clause (ii) thereof is hereby amended by deleting the words “diluting or concentrative” and the words “(provided that no adjustments will be made to account solely for changes in volatility, expected dividends, stock loan rate or liquidity relative to the relevant Shares)” and replacing such latter phrase with the words “(and, for the avoidance of doubt, adjustments may be made to account solely for changes in volatility, expected dividends, stock loan rate or liquidity relative to the relevant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Sections 11.2(a) and 11.2(e)(vii) of the Equity Definitions are hereby amended by deleting the words “a diluting or concentrative” and, in the case of Section 11.2(e)(vii), replacing them with “an economic” and, in each case, adding the phrase “or options on the Shares” at the end of the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Section 12.7(b) of the Equity Definitions is hereby amended by deleting the words “(and in any event within five Exchange Business Days) by the parties after” appearing after the words “agreed promptly” and replacing with the words “by the parties on or prior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Section 12.9(b)(iv) of the Equity Definitions is hereby amended by (A) deleting (1) subsection (A) in its entirety, (2) the phrase “or (B)” following subsection (A) and (3) the phrase “in each case” in subsection (B); (B) replacing “will lend” with “lends” in subsection (B); and (C) deleting the phrase “neither the Non-Hedging Party nor the Lending Party lends Shares in the amount of the Hedging Shares or” in the penultimate sentence; “</w:t>
      </w:r>
      <w:r>
        <w:rPr>
          <w:rFonts w:ascii="Times New Roman;Times;Serif" w:hAnsi="Times New Roman;Times;Serif"/>
          <w:b/>
          <w:i w:val="false"/>
          <w:caps w:val="false"/>
          <w:smallCaps w:val="false"/>
          <w:sz w:val="20"/>
        </w:rPr>
        <w:t>Lending Party</w:t>
      </w:r>
      <w:r>
        <w:rPr>
          <w:rFonts w:ascii="Times New Roman;Times;Serif" w:hAnsi="Times New Roman;Times;Serif"/>
          <w:b w:val="false"/>
          <w:i w:val="false"/>
          <w:caps w:val="false"/>
          <w:smallCaps w:val="false"/>
          <w:sz w:val="20"/>
        </w:rPr>
        <w:t>” means a third party that is not the Counterparty or an affiliate of the Counterparty that Dealer considers to be an acceptable counterparty (acting in good faith and in a reasonable manner in light of (x) other transactions that Dealer (or its agent or affiliate) may have entered into with such party and (y) any legal, regulatory or self-regulatory requirements or related policies and procedures (whether or not such requirements or related policies and procedures are imposed by law or have been voluntarily adopted by Dealer) that apply generally to transactions of a nature and kind similar to the transactions contemplated with such party);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Section 12.9(b)(v) of the Equity Definitions is hereby amended by (A) adding the word “or” immediately before subsection “(B)” and deleting the comma at the end of subsection (A); and (B)(1) deleting subsection (C) in its entirety, (2) deleting the word “or” immediately preceding subsection (C), (3) replacing in the penultimate sentence the words “either party” with “the Hedging Party” and (4) deleting clause (X) in the final sentence.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Transfer and Assignment</w:t>
      </w:r>
      <w:r>
        <w:rPr>
          <w:rFonts w:ascii="Times New Roman;Times;Serif" w:hAnsi="Times New Roman;Times;Serif"/>
          <w:b w:val="false"/>
          <w:i w:val="false"/>
          <w:caps w:val="false"/>
          <w:smallCaps w:val="false"/>
          <w:sz w:val="20"/>
        </w:rPr>
        <w:t>. Dealer may transfer or assign its rights and obligations hereunder and under the Agreement, in whole or in part, at any time without the consent of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Additional Termination Events</w:t>
      </w:r>
      <w:r>
        <w:rPr>
          <w:rFonts w:ascii="Times New Roman;Times;Serif" w:hAnsi="Times New Roman;Times;Serif"/>
          <w:b w:val="false"/>
          <w:i w:val="false"/>
          <w:caps w:val="false"/>
          <w:smallCaps w:val="false"/>
          <w:sz w:val="20"/>
        </w:rPr>
        <w:t xml:space="preserve">. The occurrence of any of the following shall constitute an Additional Termination Event with respect to which the Transaction shall be the sole Affected Transaction and Counterparty shall be the sole Affected Party and Dealer shall be the party entitled to designate an Early Termination Date pursuant to Section 6(b) of the Agreement and to determine the amount payable pursuant to Section 6(e) of the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Additional Termination Event, Dealer may choose to treat part of the Transaction as the sole Affected Transaction, and, upon the termination of the Affected Transaction, a Transaction with terms identical to those set forth herein except with a Number of Warrants equal to the unaffected number of Warrants shall be treated for all purposes as the Transaction, which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Dealer reasonably determines that it is advisable to terminate a portion of the Transaction so that Dealer’s related commercially reasonable hedging activities will comply with applicable securities laws, rules or regulations or related policies and procedures of Dealer (whether or not such requirements, policies or procedures are imposed by law or have been voluntarily adopted by Dealer), or Dealer, despite using commercially reasonable efforts, is unable or reasonably determines that it is impractical or illegal to hedge its obligations pursuant to this Transaction in the public market without registration under the Securities Act or as a result of any legal, regulatory or self-regulatory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any time at which any Excess Ownership Position occurs, Dealer, in its discretion, is unable to effect a transfer or assignment to a third party of the Transaction or any other transaction between the parties after using its commercially reasonable efforts on pricing and terms and within a time period reasonably acceptable to Dealer such that an Excess Ownership Position no longer exists;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Dealer shall treat only that portion of the Transaction as the Affected Transaction as necessary so that such Excess Ownership Position would no longer exist following the resulting partial termination of the Transaction (after taking into account commercially reasonable adjustments to Dealer’s commercially reasonable Hedge Positions from such partial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“person” or “group” (within the meaning of Section 13(d) of the Exchange Act), other than Counterparty or its wholly-owned subsidiaries, becomes the direct or indirect ultimate “beneficial owner,” as defined in Rule 13d-3 under the Exchange Act, of the common equity of Counterparty representing more than 50.0% of the voting power of such common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(1) any sale, lease or other transfer, in one transaction or a series of transactions, of all or substantially all of the assets of Counterparty and its subsidiaries, taken as a whole, to any person; or (2) any transaction or series of related transactions in connection with which (whether by means of merger, consolidation, share exchange, combination, reclassification, recapitalization, acquisition, liquidation or otherwise) all of the Shares are exchanged for, converted into, acquired for, or constitutes solely the right to receive, other securities, cash or other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notwithstanding the foregoing, any transaction or event set forth in the immediately preceding clause (iv) shall not constitute an Additional Termination Event if at least 90% of the consideration received or to be received by holders of the Shares (excluding cash payments for fractional Shares or pursuant to dissenters rights) in connection with the transaction or transactions that would otherwise constitute an Additional Termination Event pursuant to clause (iv) of this Section 8(k) consists of shares of common stock listed on any of The New York Stock Exchange, The NASDAQ Global Select Market or The NASDAQ Global Market (or any of their respective successors) or that will be so listed when issued or exchanged in connection with such transaction or transactions, and following such transaction or transactions, the Shares will consist of such consideration, excluding cash payments for fractional shares. For the avoidance of doubt, an event that is not considered an Additional Termination Event pursuant to the immediately preceding sentence shall not be an Additional Termination Event solely because such event could also be described by clause (iii)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holders of Shares approve any plan or proposal for Counterparty’s liquidation or dissolution (other than in a transaction described in (iv)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Early Unwind</w:t>
      </w:r>
      <w:r>
        <w:rPr>
          <w:rFonts w:ascii="Times New Roman;Times;Serif" w:hAnsi="Times New Roman;Times;Serif"/>
          <w:b w:val="false"/>
          <w:i w:val="false"/>
          <w:caps w:val="false"/>
          <w:smallCaps w:val="false"/>
          <w:sz w:val="20"/>
        </w:rPr>
        <w:t>. In the event the sale by Counterparty of the Optional Securities (defined under the Purchase Agreement) is not consummated pursuant to the Purchase Agreement for any reason by the close of business in New York on January 23, 2023 (or such later date as agreed upon by the parties (January 23, 2023 or such later date being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on the Early Unwind Date and (i) the Transaction and all of the respective rights and obligations of Dealer and Counterparty thereunder shall be cancelled and terminated and (ii) Counterparty shall pay to Dealer an amount in cash equal to the aggregate amount of actual costs and expenses relating to the unwinding of Dealer’s commercially reasonable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No Netting and Set-off</w:t>
      </w:r>
      <w:r>
        <w:rPr>
          <w:rFonts w:ascii="Times New Roman;Times;Serif" w:hAnsi="Times New Roman;Times;Serif"/>
          <w:b w:val="false"/>
          <w:i w:val="false"/>
          <w:caps w:val="false"/>
          <w:smallCaps w:val="false"/>
          <w:sz w:val="20"/>
        </w:rPr>
        <w:t>. 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Delivery of Cash</w:t>
      </w:r>
      <w:r>
        <w:rPr>
          <w:rFonts w:ascii="Times New Roman;Times;Serif" w:hAnsi="Times New Roman;Times;Serif"/>
          <w:b w:val="false"/>
          <w:i w:val="false"/>
          <w:caps w:val="false"/>
          <w:smallCaps w:val="false"/>
          <w:sz w:val="20"/>
        </w:rPr>
        <w:t>. For the avoidance of doubt, nothing in this Confirmation shall be interpreted as requiring the Counterparty to deliver cash in respect of the settlement of the Transaction, except in circumstances where the required cash settlement thereof is permitted for classification of the contract as equity by ASC 815-40, Derivatives and Hedging – Contracts in Entity’s Own Equity, as in effect on the relevant Trade Date (including, without limitation, where the Counterparty so elects to deliver cash or fails timely to elect to deliver Shares or Share Termination Delivery Property in respect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Agreements and Acknowledgements Regarding Hedging</w:t>
      </w:r>
      <w:r>
        <w:rPr>
          <w:rFonts w:ascii="Times New Roman;Times;Serif" w:hAnsi="Times New Roman;Times;Serif"/>
          <w:b w:val="false"/>
          <w:i w:val="false"/>
          <w:caps w:val="false"/>
          <w:smallCaps w:val="false"/>
          <w:sz w:val="20"/>
        </w:rPr>
        <w:t>. Counterparty understands, acknowledges and agrees that: (A) at any time on and 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Counterparty shall be conducted and shall do so in a manner that it deems appropriate to hedge its price and market risk with respect to the VWAP Prices; (D) any market activities of Dealer and its affiliates with respect to Shares may affect the market price and volatility of Shares, as well as the VWAP Prices,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Wall Street Transparency and Accountability Act</w:t>
      </w:r>
      <w:r>
        <w:rPr>
          <w:rFonts w:ascii="Times New Roman;Times;Serif" w:hAnsi="Times New Roman;Times;Serif"/>
          <w:b w:val="false"/>
          <w:i w:val="false"/>
          <w:caps w:val="false"/>
          <w:smallCaps w:val="false"/>
          <w:sz w:val="20"/>
        </w:rPr>
        <w:t>. In connection with Section 739 of the Wall Street Transparency and Accountability Act of 2010 (the “WSTAA”),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This Confirmation and the Agreement may not be modified, amended or supplemented, except in a written instrument signed by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Confirmation may be executed in several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Withholding Tax imposed on payments to non-US counterparties under the United States Foreign Account Tax Compliance Act.</w:t>
      </w:r>
      <w:r>
        <w:rPr>
          <w:rFonts w:ascii="Times New Roman;Times;Serif" w:hAnsi="Times New Roman;Times;Serif"/>
          <w:b w:val="false"/>
          <w:i w:val="false"/>
          <w:caps w:val="false"/>
          <w:smallCaps w:val="false"/>
          <w:sz w:val="20"/>
        </w:rPr>
        <w:t xml:space="preserve"> “Indemnifiable Tax” as defined in Section 14 of the Agreement, 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Times;Serif" w:hAnsi="Times New Roman;Times;Serif"/>
          <w:b/>
          <w:i w:val="false"/>
          <w:caps w:val="false"/>
          <w:smallCaps w:val="false"/>
          <w:sz w:val="20"/>
        </w:rPr>
        <w:t>FATCA Withholding Tax</w:t>
      </w:r>
      <w:r>
        <w:rPr>
          <w:rFonts w:ascii="Times New Roman;Times;Serif" w:hAnsi="Times New Roman;Times;Serif"/>
          <w:b w:val="false"/>
          <w:i w:val="false"/>
          <w:caps w:val="false"/>
          <w:smallCaps w:val="false"/>
          <w:sz w:val="20"/>
        </w:rPr>
        <w:t>”). For the avoidance of doubt, a FATCA Withholding Tax is a Tax the deduction or withholding of which is required by applicable law for the purposes of Section 2(d)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HIRE Act.</w:t>
      </w:r>
      <w:r>
        <w:rPr>
          <w:rFonts w:ascii="Times New Roman;Times;Serif" w:hAnsi="Times New Roman;Times;Serif"/>
          <w:b w:val="false"/>
          <w:i w:val="false"/>
          <w:caps w:val="false"/>
          <w:smallCaps w:val="false"/>
          <w:sz w:val="20"/>
        </w:rPr>
        <w:t xml:space="preserve">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Times;Serif" w:hAnsi="Times New Roman;Times;Serif"/>
          <w:b/>
          <w:i w:val="false"/>
          <w:caps w:val="false"/>
          <w:smallCaps w:val="false"/>
          <w:sz w:val="20"/>
        </w:rPr>
        <w:t>871(m) Protocol</w:t>
      </w:r>
      <w:r>
        <w:rPr>
          <w:rFonts w:ascii="Times New Roman;Times;Serif" w:hAnsi="Times New Roman;Times;Serif"/>
          <w:b w:val="false"/>
          <w:i w:val="false"/>
          <w:caps w:val="false"/>
          <w:smallCaps w:val="false"/>
          <w:sz w:val="20"/>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Agreement” in the 871(m) Protocol will be deemed to be references to the Master Agreement with respect to this Transaction, and references to the “Implementation Date” in the 871(m) Protocol will be deemed to be references to the Trade Date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Tax documentation</w:t>
      </w:r>
      <w:r>
        <w:rPr>
          <w:rFonts w:ascii="Times New Roman;Times;Serif" w:hAnsi="Times New Roman;Times;Serif"/>
          <w:b w:val="false"/>
          <w:i w:val="false"/>
          <w:caps w:val="false"/>
          <w:smallCaps w:val="false"/>
          <w:sz w:val="20"/>
        </w:rPr>
        <w:t>.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W-9, or any successor thereto, (i) on or before the date of execution of this Confirmation, (ii) upon reasonable request of Counterparty and (iii) promptly upon learning that any such tax form previously provided by Dealer has become obsolete or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 Representations. For the purpose of Section 3(f) of the Agreement, Counterparty is a corporation for U.S. federal income tax purposes and is organized under the laws of the State of Minnesota.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For the purpose of Section 3(f) of the Agreement, Dealer represents to Counterparty that for U.S. federal income tax purposes it is a “U.S. person” (as that term is used in section 1.1441-4(a)(3)(ii) of the United States Treasury Regulations) and an “exempt recipient” (as that term is used in section 1.6049-4(c)(1) of the United States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QFC Stay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In the event that Dealer becomes subject to a proceeding under (i) the Federal Deposit Insurance Act and the regulations promulgated thereunder or (ii) Title II of the Dodd-Frank Wall Street Reform and Consumer Protection Act and the regulations promulgated thereunder (a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 Dealer are permitted to be exercised to no greater extent than such Default Rights could be exercised under the U.S. Special Resolution Regime if this Confirmation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except to the extent that the exercise of such Default Right would be permitted under the provisions of 12 C.F.R. 252.84, 12 C.F.R. 47.5 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Counterparty has previously adhered to, or subsequently adheres to, the ISDA 2018 U.S. Resolution Stay Protocol as published by the International Swaps and Derivatives Association, Inc. as of July 31, 2018 (the “</w:t>
      </w:r>
      <w:r>
        <w:rPr>
          <w:rFonts w:ascii="Times New Roman;Times;Serif" w:hAnsi="Times New Roman;Times;Serif"/>
          <w:b/>
          <w:i w:val="false"/>
          <w:caps w:val="false"/>
          <w:smallCaps w:val="false"/>
          <w:sz w:val="20"/>
        </w:rPr>
        <w:t>ISDA U.S. Protocol</w:t>
      </w:r>
      <w:r>
        <w:rPr>
          <w:rFonts w:ascii="Times New Roman;Times;Serif" w:hAnsi="Times New Roman;Times;Serif"/>
          <w:b w:val="false"/>
          <w:i w:val="false"/>
          <w:caps w:val="false"/>
          <w:smallCaps w:val="false"/>
          <w:sz w:val="20"/>
        </w:rPr>
        <w:t>”), the terms of such protocol shall be incorporated into and form a part of this Confirmation and the terms of the ISDA U.S. Protocol shall supersede and replace the terms of this Section 8(u).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w:t>
      </w:r>
      <w:r>
        <w:rPr>
          <w:rFonts w:ascii="Times New Roman;Times;Serif" w:hAnsi="Times New Roman;Times;Serif"/>
          <w:b/>
          <w:i w:val="false"/>
          <w:caps w:val="false"/>
          <w:smallCaps w:val="false"/>
          <w:sz w:val="20"/>
        </w:rPr>
        <w:t>Preexisting In-Scope Agreement</w:t>
      </w:r>
      <w:r>
        <w:rPr>
          <w:rFonts w:ascii="Times New Roman;Times;Serif" w:hAnsi="Times New Roman;Times;Serif"/>
          <w:b w:val="false"/>
          <w:i w:val="false"/>
          <w:caps w:val="false"/>
          <w:smallCaps w:val="false"/>
          <w:sz w:val="20"/>
        </w:rPr>
        <w:t>”), then each such Preexisting In-Scope Agreement is hereby amended to include the foregoing provisions in this Section 8(u), with references to “this Confirmation” being understood to be references to the applicable Preexisting In-Scope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8(u):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is defined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Enhancement</w:t>
      </w:r>
      <w:r>
        <w:rPr>
          <w:rFonts w:ascii="Times New Roman;Times;Serif" w:hAnsi="Times New Roman;Times;Serif"/>
          <w:b w:val="false"/>
          <w:i w:val="false"/>
          <w:caps w:val="false"/>
          <w:smallCaps w:val="false"/>
          <w:sz w:val="20"/>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val="false"/>
          <w:smallCaps w:val="false"/>
          <w:sz w:val="20"/>
          <w:u w:val="single"/>
        </w:rPr>
        <w:t>Arbitration</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All parties to this Confirmation are giving up the right to sue each other in court, including the right to a trial by jury, except as provided by the rules of the arbitration forum in which a claim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Arbitration awards are generally final and binding; a party’s ability to have a court reverse or modify an arbitration award is very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The ability of the parties to obtain documents, witness statements and other discovery is generally more limited in arbitration than in court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The arbitrators do not have to explain the reason(s) for their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The panel of arbitrators will typically include a minority of arbitrators who were or are affiliated with the securities industry, unless Counterparty is a member of the organization sponsoring the arbitration facility, in which case all arbitrators may be affiliated with the securities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The rules of some arbitration forums may impose time limits for bringing a claim in arbitration. In some cases, a claim that is ineligible for arbitration may be brought in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The rules of the arbitration forum in which the claim is filed, and any amendments thereto, shall be incorporated into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 (iii) Counterparty is excluded from the class by the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Such forbearance to enforce an agreement to arbitrate shall not constitute a waiver of any rights under this Confirmation except to the extent stated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Goldman Sachs &amp; Co. LLC, Equity Derivatives Documentation Department, Facsimile No. (212) 428-1980/83</w:t>
      </w:r>
    </w:p>
    <w:p>
      <w:pPr>
        <w:pStyle w:val="TextBody"/>
        <w:bidi w:val="0"/>
        <w:spacing w:before="0" w:after="0"/>
        <w:ind w:left="0" w:right="0" w:hanging="0"/>
        <w:jc w:val="left"/>
        <w:rPr>
          <w:caps w:val="false"/>
          <w:smallCaps w:val="false"/>
        </w:rPr>
      </w:pPr>
      <w:r>
        <w:rPr>
          <w:caps w:val="false"/>
          <w:smallCaps w:val="false"/>
        </w:rPr>
        <w:t> </w:t>
      </w:r>
    </w:p>
    <w:tbl>
      <w:tblPr>
        <w:tblW w:w="1603" w:type="dxa"/>
        <w:jc w:val="left"/>
        <w:tblInd w:w="0" w:type="dxa"/>
        <w:tblLayout w:type="fixed"/>
        <w:tblCellMar>
          <w:top w:w="0" w:type="dxa"/>
          <w:left w:w="0" w:type="dxa"/>
          <w:bottom w:w="0" w:type="dxa"/>
          <w:right w:w="0" w:type="dxa"/>
        </w:tblCellMar>
      </w:tblPr>
      <w:tblGrid>
        <w:gridCol w:w="23"/>
        <w:gridCol w:w="158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580" w:type="dxa"/>
            <w:tcBorders/>
            <w:vAlign w:val="center"/>
          </w:tcPr>
          <w:p>
            <w:pPr>
              <w:pStyle w:val="TableContents"/>
              <w:bidi w:val="0"/>
              <w:spacing w:before="0" w:after="283"/>
              <w:jc w:val="both"/>
              <w:rPr/>
            </w:pPr>
            <w:r>
              <w:rPr/>
              <w:t>Yours faithfully,</w:t>
            </w:r>
          </w:p>
        </w:tc>
      </w:tr>
    </w:tbl>
    <w:p>
      <w:pPr>
        <w:pStyle w:val="TextBody"/>
        <w:bidi w:val="0"/>
        <w:spacing w:before="0" w:after="0"/>
        <w:ind w:left="0" w:right="0" w:hanging="0"/>
        <w:jc w:val="left"/>
        <w:rPr>
          <w:caps w:val="false"/>
          <w:smallCaps w:val="false"/>
        </w:rPr>
      </w:pPr>
      <w:r>
        <w:rPr>
          <w:caps w:val="false"/>
          <w:smallCaps w:val="false"/>
        </w:rPr>
        <w:t> </w:t>
      </w:r>
    </w:p>
    <w:tbl>
      <w:tblPr>
        <w:tblW w:w="3508" w:type="dxa"/>
        <w:jc w:val="left"/>
        <w:tblInd w:w="0" w:type="dxa"/>
        <w:tblLayout w:type="fixed"/>
        <w:tblCellMar>
          <w:top w:w="0" w:type="dxa"/>
          <w:left w:w="0" w:type="dxa"/>
          <w:bottom w:w="0" w:type="dxa"/>
          <w:right w:w="0" w:type="dxa"/>
        </w:tblCellMar>
      </w:tblPr>
      <w:tblGrid>
        <w:gridCol w:w="23"/>
        <w:gridCol w:w="348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3485" w:type="dxa"/>
            <w:tcBorders/>
            <w:vAlign w:val="center"/>
          </w:tcPr>
          <w:p>
            <w:pPr>
              <w:pStyle w:val="TableContents"/>
              <w:bidi w:val="0"/>
              <w:spacing w:before="0" w:after="283"/>
              <w:jc w:val="left"/>
              <w:rPr/>
            </w:pPr>
            <w:r>
              <w:rPr>
                <w:b/>
              </w:rPr>
              <w:t>GOLDMAN</w:t>
            </w:r>
            <w:r>
              <w:rPr/>
              <w:t xml:space="preserve"> </w:t>
            </w:r>
            <w:r>
              <w:rPr>
                <w:b/>
              </w:rPr>
              <w:t>SACHS &amp; CO. LLC</w:t>
            </w:r>
          </w:p>
        </w:tc>
      </w:tr>
    </w:tbl>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60"/>
        <w:gridCol w:w="365"/>
        <w:gridCol w:w="1790"/>
      </w:tblGrid>
      <w:tr>
        <w:trPr/>
        <w:tc>
          <w:tcPr>
            <w:tcW w:w="60" w:type="dxa"/>
            <w:tcBorders/>
            <w:vAlign w:val="center"/>
          </w:tcPr>
          <w:p>
            <w:pPr>
              <w:pStyle w:val="TableContents"/>
              <w:bidi w:val="0"/>
              <w:spacing w:before="0" w:after="283"/>
              <w:ind w:left="0" w:right="0" w:hanging="0"/>
              <w:jc w:val="left"/>
              <w:rPr/>
            </w:pPr>
            <w:r>
              <w:rPr/>
              <w:t> </w:t>
            </w:r>
          </w:p>
        </w:tc>
        <w:tc>
          <w:tcPr>
            <w:tcW w:w="365" w:type="dxa"/>
            <w:tcBorders/>
            <w:vAlign w:val="center"/>
          </w:tcPr>
          <w:p>
            <w:pPr>
              <w:pStyle w:val="TableContents"/>
              <w:bidi w:val="0"/>
              <w:spacing w:before="0" w:after="283"/>
              <w:ind w:left="0" w:right="0" w:hanging="0"/>
              <w:jc w:val="left"/>
              <w:rPr/>
            </w:pPr>
            <w:r>
              <w:rPr/>
              <w:t>By:</w:t>
            </w:r>
          </w:p>
        </w:tc>
        <w:tc>
          <w:tcPr>
            <w:tcW w:w="1790" w:type="dxa"/>
            <w:tcBorders>
              <w:bottom w:val="single" w:sz="8" w:space="0" w:color="000000"/>
            </w:tcBorders>
            <w:tcMar>
              <w:bottom w:w="28" w:type="dxa"/>
            </w:tcMar>
            <w:vAlign w:val="center"/>
          </w:tcPr>
          <w:p>
            <w:pPr>
              <w:pStyle w:val="TableContents"/>
              <w:bidi w:val="0"/>
              <w:spacing w:before="0" w:after="283"/>
              <w:ind w:left="0" w:right="0" w:hanging="0"/>
              <w:jc w:val="left"/>
              <w:rPr/>
            </w:pPr>
            <w:r>
              <w:rPr/>
              <w:t>/s/ Mike Voris</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0"/>
              <w:jc w:val="left"/>
              <w:rPr/>
            </w:pPr>
            <w:r>
              <w:rPr/>
              <w:t> </w:t>
            </w:r>
          </w:p>
        </w:tc>
        <w:tc>
          <w:tcPr>
            <w:tcW w:w="1790" w:type="dxa"/>
            <w:tcBorders/>
            <w:vAlign w:val="center"/>
          </w:tcPr>
          <w:p>
            <w:pPr>
              <w:pStyle w:val="TableContents"/>
              <w:bidi w:val="0"/>
              <w:spacing w:before="0" w:after="283"/>
              <w:ind w:left="0" w:right="0" w:hanging="0"/>
              <w:jc w:val="left"/>
              <w:rPr/>
            </w:pPr>
            <w:r>
              <w:rPr/>
              <w:t>Name: Mike Voris</w:t>
            </w:r>
          </w:p>
        </w:tc>
      </w:tr>
      <w:tr>
        <w:trPr/>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0"/>
              <w:jc w:val="left"/>
              <w:rPr/>
            </w:pPr>
            <w:r>
              <w:rPr/>
              <w:t> </w:t>
            </w:r>
          </w:p>
        </w:tc>
        <w:tc>
          <w:tcPr>
            <w:tcW w:w="1790" w:type="dxa"/>
            <w:tcBorders/>
            <w:vAlign w:val="center"/>
          </w:tcPr>
          <w:p>
            <w:pPr>
              <w:pStyle w:val="TableContents"/>
              <w:bidi w:val="0"/>
              <w:spacing w:before="0" w:after="283"/>
              <w:jc w:val="left"/>
              <w:rPr/>
            </w:pPr>
            <w:r>
              <w:rPr/>
              <w:t>Title: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Additional Warrant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and Accepted By:</w:t>
      </w:r>
    </w:p>
    <w:p>
      <w:pPr>
        <w:pStyle w:val="TextBody"/>
        <w:bidi w:val="0"/>
        <w:spacing w:before="0" w:after="0"/>
        <w:ind w:left="0" w:right="0" w:hanging="0"/>
        <w:jc w:val="left"/>
        <w:rPr>
          <w:caps w:val="false"/>
          <w:smallCaps w:val="false"/>
        </w:rPr>
      </w:pPr>
      <w:r>
        <w:rPr>
          <w:caps w:val="false"/>
          <w:smallCaps w:val="false"/>
        </w:rPr>
        <w:t> </w:t>
      </w:r>
    </w:p>
    <w:tbl>
      <w:tblPr>
        <w:tblW w:w="3793" w:type="dxa"/>
        <w:jc w:val="left"/>
        <w:tblInd w:w="0" w:type="dxa"/>
        <w:tblLayout w:type="fixed"/>
        <w:tblCellMar>
          <w:top w:w="0" w:type="dxa"/>
          <w:left w:w="0" w:type="dxa"/>
          <w:bottom w:w="0" w:type="dxa"/>
          <w:right w:w="0" w:type="dxa"/>
        </w:tblCellMar>
      </w:tblPr>
      <w:tblGrid>
        <w:gridCol w:w="3770"/>
        <w:gridCol w:w="23"/>
      </w:tblGrid>
      <w:tr>
        <w:trPr/>
        <w:tc>
          <w:tcPr>
            <w:tcW w:w="3770" w:type="dxa"/>
            <w:tcBorders/>
            <w:vAlign w:val="center"/>
          </w:tcPr>
          <w:p>
            <w:pPr>
              <w:pStyle w:val="TableContents"/>
              <w:bidi w:val="0"/>
              <w:spacing w:before="0" w:after="283"/>
              <w:ind w:left="0" w:right="0" w:hanging="0"/>
              <w:jc w:val="left"/>
              <w:rPr>
                <w:b/>
              </w:rPr>
            </w:pPr>
            <w:r>
              <w:rPr>
                <w:b/>
              </w:rPr>
              <w:t>WINNEBAGO INDUSTRIES, INC.</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365"/>
        <w:gridCol w:w="3170"/>
        <w:gridCol w:w="60"/>
      </w:tblGrid>
      <w:tr>
        <w:trPr/>
        <w:tc>
          <w:tcPr>
            <w:tcW w:w="365" w:type="dxa"/>
            <w:tcBorders/>
            <w:vAlign w:val="center"/>
          </w:tcPr>
          <w:p>
            <w:pPr>
              <w:pStyle w:val="TableContents"/>
              <w:bidi w:val="0"/>
              <w:spacing w:before="0" w:after="283"/>
              <w:ind w:left="0" w:right="0" w:hanging="0"/>
              <w:jc w:val="left"/>
              <w:rPr/>
            </w:pPr>
            <w:r>
              <w:rPr/>
              <w:t>By:</w:t>
            </w:r>
          </w:p>
        </w:tc>
        <w:tc>
          <w:tcPr>
            <w:tcW w:w="3170" w:type="dxa"/>
            <w:tcBorders>
              <w:bottom w:val="single" w:sz="8" w:space="0" w:color="000000"/>
            </w:tcBorders>
            <w:tcMar>
              <w:bottom w:w="28" w:type="dxa"/>
            </w:tcMar>
            <w:vAlign w:val="center"/>
          </w:tcPr>
          <w:p>
            <w:pPr>
              <w:pStyle w:val="TableContents"/>
              <w:bidi w:val="0"/>
              <w:spacing w:before="0" w:after="283"/>
              <w:jc w:val="left"/>
              <w:rPr/>
            </w:pPr>
            <w:r>
              <w:rPr/>
              <w:t>/s/ Bryan L. Hughes</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ind w:left="0" w:right="0" w:hanging="0"/>
              <w:jc w:val="left"/>
              <w:rPr/>
            </w:pPr>
            <w:r>
              <w:rPr/>
              <w:t> </w:t>
            </w:r>
          </w:p>
        </w:tc>
        <w:tc>
          <w:tcPr>
            <w:tcW w:w="3170" w:type="dxa"/>
            <w:tcBorders/>
            <w:vAlign w:val="center"/>
          </w:tcPr>
          <w:p>
            <w:pPr>
              <w:pStyle w:val="TableContents"/>
              <w:bidi w:val="0"/>
              <w:spacing w:before="0" w:after="283"/>
              <w:jc w:val="left"/>
              <w:rPr/>
            </w:pPr>
            <w:r>
              <w:rPr/>
              <w:t>Name: Bryan L. Hughes</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ind w:left="0" w:right="0" w:hanging="0"/>
              <w:jc w:val="left"/>
              <w:rPr/>
            </w:pPr>
            <w:r>
              <w:rPr/>
              <w:t> </w:t>
            </w:r>
          </w:p>
        </w:tc>
        <w:tc>
          <w:tcPr>
            <w:tcW w:w="3170" w:type="dxa"/>
            <w:tcBorders/>
            <w:vAlign w:val="center"/>
          </w:tcPr>
          <w:p>
            <w:pPr>
              <w:pStyle w:val="TableContents"/>
              <w:bidi w:val="0"/>
              <w:spacing w:before="0" w:after="283"/>
              <w:jc w:val="left"/>
              <w:rPr/>
            </w:pPr>
            <w:r>
              <w:rPr/>
              <w:t>Title: Chief Financial Officer and</w:t>
            </w:r>
          </w:p>
        </w:tc>
        <w:tc>
          <w:tcPr>
            <w:tcW w:w="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ind w:left="0" w:right="0" w:hanging="0"/>
              <w:jc w:val="left"/>
              <w:rPr/>
            </w:pPr>
            <w:r>
              <w:rPr/>
              <w:t> </w:t>
            </w:r>
          </w:p>
        </w:tc>
        <w:tc>
          <w:tcPr>
            <w:tcW w:w="3170" w:type="dxa"/>
            <w:tcBorders/>
            <w:vAlign w:val="center"/>
          </w:tcPr>
          <w:p>
            <w:pPr>
              <w:pStyle w:val="TableContents"/>
              <w:bidi w:val="0"/>
              <w:spacing w:before="0" w:after="283"/>
              <w:jc w:val="left"/>
              <w:rPr/>
            </w:pPr>
            <w:r>
              <w:rPr/>
              <w:t>Senior Vice President</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GS Additional Warrant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Component of the Transaction, the Number of Warrants and Expiration Date is set forth below.</w:t>
      </w:r>
    </w:p>
    <w:p>
      <w:pPr>
        <w:pStyle w:val="TextBody"/>
        <w:bidi w:val="0"/>
        <w:spacing w:before="0" w:after="0"/>
        <w:ind w:left="0" w:right="0" w:hanging="0"/>
        <w:jc w:val="left"/>
        <w:rPr>
          <w:caps w:val="false"/>
          <w:smallCaps w:val="false"/>
        </w:rPr>
      </w:pPr>
      <w:r>
        <w:rPr>
          <w:caps w:val="false"/>
          <w:smallCaps w:val="false"/>
        </w:rPr>
        <w:t> </w:t>
      </w:r>
    </w:p>
    <w:tbl>
      <w:tblPr>
        <w:tblW w:w="4768" w:type="dxa"/>
        <w:jc w:val="left"/>
        <w:tblInd w:w="0" w:type="dxa"/>
        <w:tblLayout w:type="fixed"/>
        <w:tblCellMar>
          <w:top w:w="0" w:type="dxa"/>
          <w:left w:w="0" w:type="dxa"/>
          <w:bottom w:w="28" w:type="dxa"/>
          <w:right w:w="0" w:type="dxa"/>
        </w:tblCellMar>
      </w:tblPr>
      <w:tblGrid>
        <w:gridCol w:w="413"/>
        <w:gridCol w:w="1271"/>
        <w:gridCol w:w="60"/>
        <w:gridCol w:w="179"/>
        <w:gridCol w:w="1460"/>
        <w:gridCol w:w="60"/>
        <w:gridCol w:w="1325"/>
      </w:tblGrid>
      <w:tr>
        <w:trPr/>
        <w:tc>
          <w:tcPr>
            <w:tcW w:w="1684"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 Number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Warrants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16,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17,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18,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22,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23,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24,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25,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26,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3,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6,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9,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10,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14,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16,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17,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20,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21,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22,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23,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24,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29,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30,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31,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5,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6,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7,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11,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12,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13,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14,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17,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18,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21,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24, 2030</w:t>
            </w:r>
          </w:p>
        </w:tc>
      </w:tr>
      <w:tr>
        <w:trPr/>
        <w:tc>
          <w:tcPr>
            <w:tcW w:w="41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25, 2030</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625" w:type="dxa"/>
        <w:jc w:val="left"/>
        <w:tblInd w:w="0" w:type="dxa"/>
        <w:tblLayout w:type="fixed"/>
        <w:tblCellMar>
          <w:top w:w="0" w:type="dxa"/>
          <w:left w:w="0" w:type="dxa"/>
          <w:bottom w:w="0" w:type="dxa"/>
          <w:right w:w="0" w:type="dxa"/>
        </w:tblCellMar>
      </w:tblPr>
      <w:tblGrid>
        <w:gridCol w:w="75"/>
        <w:gridCol w:w="335"/>
        <w:gridCol w:w="60"/>
        <w:gridCol w:w="60"/>
        <w:gridCol w:w="485"/>
        <w:gridCol w:w="60"/>
        <w:gridCol w:w="1550"/>
      </w:tblGrid>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26,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27,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28,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5,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9,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11,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12,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16,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17,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18,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19,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22,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24,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25,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26,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30,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8,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9,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15,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16,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20,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21,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22,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23,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26,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29,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30,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3,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5, 2030</w:t>
            </w:r>
          </w:p>
        </w:tc>
      </w:tr>
      <w:tr>
        <w:trPr/>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6, 2030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6" w:name="tm243871d1_ex10-12.htm"/>
      <w:bookmarkStart w:id="47" w:name="kstm243871d1_ex1012"/>
      <w:bookmarkEnd w:id="46"/>
      <w:bookmarkEnd w:id="47"/>
      <w:r>
        <w:rPr/>
        <w:t> </w:t>
      </w:r>
      <w:r>
        <w:br w:type="page"/>
      </w:r>
    </w:p>
    <w:p>
      <w:pPr>
        <w:pStyle w:val="TextBody"/>
        <w:bidi w:val="0"/>
        <w:jc w:val="right"/>
        <w:rPr>
          <w:b/>
        </w:rPr>
      </w:pPr>
      <w:r>
        <w:rPr>
          <w:b/>
        </w:rPr>
        <w:t>Exhibit 10.12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Montreal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Bloor Street West,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M4W 1A5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Transaction</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575"/>
        <w:gridCol w:w="3125"/>
      </w:tblGrid>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w:t>
            </w:r>
          </w:p>
        </w:tc>
        <w:tc>
          <w:tcPr>
            <w:tcW w:w="31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Minnesota 55347</w:t>
            </w:r>
          </w:p>
        </w:tc>
      </w:tr>
      <w:tr>
        <w:trPr/>
        <w:tc>
          <w:tcPr>
            <w:tcW w:w="5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From:</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Montreal</w:t>
            </w:r>
          </w:p>
        </w:tc>
      </w:tr>
      <w:tr>
        <w:trPr/>
        <w:tc>
          <w:tcPr>
            <w:tcW w:w="5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Issuer Warrant Transaction</w:t>
            </w:r>
          </w:p>
        </w:tc>
      </w:tr>
      <w:tr>
        <w:trPr/>
        <w:tc>
          <w:tcPr>
            <w:tcW w:w="5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19, 2024</w:t>
            </w:r>
          </w:p>
        </w:tc>
      </w:tr>
      <w:tr>
        <w:trPr/>
        <w:tc>
          <w:tcPr>
            <w:tcW w:w="5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bl>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communication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set forth the terms and conditions of the above-referenced transaction entered into on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between Bank of Montreal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Winnebago Industries, Inc.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Dealer is acting as principal in this Transaction and BMO Capital Markets Corp.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its affiliate, is acting as agent for this Transaction solely in connection with Rule 15a-6 of the Exchange Act (as defined herein), as amended. This communication constitutes a “Confirmation” as referred to in the Agreement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Confirmation is subject to, and incorporates, the definitions and provisions of the 2006 ISDA Definitions (the “</w:t>
      </w:r>
      <w:r>
        <w:rPr>
          <w:rFonts w:ascii="Times New Roman;Times;Serif" w:hAnsi="Times New Roman;Times;Serif"/>
          <w:b/>
          <w:i w:val="false"/>
          <w:caps w:val="false"/>
          <w:smallCaps w:val="false"/>
          <w:sz w:val="20"/>
        </w:rPr>
        <w:t>2006 Definitions</w:t>
      </w:r>
      <w:r>
        <w:rPr>
          <w:rFonts w:ascii="Times New Roman;Times;Serif" w:hAnsi="Times New Roman;Times;Serif"/>
          <w:b w:val="false"/>
          <w:i w:val="false"/>
          <w:caps w:val="false"/>
          <w:smallCaps w:val="false"/>
          <w:sz w:val="20"/>
        </w:rPr>
        <w:t>”) and the definitions and provisions of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together with the 2006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For purposes of the Equity Definitions, each reference herein to a Warrant shall be deemed to be a reference to a Call Option or an Option, as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evidences a complete and binding agreement between Dealer and Counterparty as to the terms of the Transaction to which this Confirmation relates. This Confirmation shall be subject to an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as the Termination Currency, (ii) the replacement of the word “third” in the last line of Section 5(a)(i) of the Agreement with the word “first” and (iii) (a) the election that the “Cross Default” provisions of Section 5(a)(vi) of the Agreement shall apply to Counterparty with a “Threshold Amount” of USD35.0 million), (b)  (b) </w:t>
      </w:r>
      <w:r>
        <w:rPr>
          <w:rFonts w:ascii="Times New Roman;Times;Serif" w:hAnsi="Times New Roman;Times;Serif"/>
          <w:b w:val="false"/>
          <w:i w:val="false"/>
          <w:caps w:val="false"/>
          <w:smallCaps w:val="false"/>
          <w:sz w:val="20"/>
          <w:shd w:fill="FFFFFF" w:val="clear"/>
        </w:rPr>
        <w:t> the phrase “,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is a Warrant Transaction, which shall be considered a Share Option Transaction for purposes of the Equity Definitions. The terms of the particular Transaction to which this Confirmation relates are as follows:</w:t>
      </w:r>
    </w:p>
    <w:p>
      <w:pPr>
        <w:pStyle w:val="TextBody"/>
        <w:bidi w:val="0"/>
        <w:spacing w:before="0" w:after="0"/>
        <w:ind w:left="0" w:right="0" w:hanging="0"/>
        <w:jc w:val="left"/>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1490"/>
      </w:tblGrid>
      <w:tr>
        <w:trPr/>
        <w:tc>
          <w:tcPr>
            <w:tcW w:w="1490" w:type="dxa"/>
            <w:tcBorders/>
            <w:vAlign w:val="center"/>
          </w:tcPr>
          <w:p>
            <w:pPr>
              <w:pStyle w:val="TableContents"/>
              <w:bidi w:val="0"/>
              <w:spacing w:before="0" w:after="283"/>
              <w:jc w:val="both"/>
              <w:rPr/>
            </w:pPr>
            <w:r>
              <w:rPr/>
              <w:t>General Terms:</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865"/>
        <w:gridCol w:w="1655"/>
      </w:tblGrid>
      <w:tr>
        <w:trPr/>
        <w:tc>
          <w:tcPr>
            <w:tcW w:w="1865" w:type="dxa"/>
            <w:tcBorders/>
            <w:vAlign w:val="center"/>
          </w:tcPr>
          <w:p>
            <w:pPr>
              <w:pStyle w:val="TableContents"/>
              <w:bidi w:val="0"/>
              <w:spacing w:before="0" w:after="283"/>
              <w:ind w:left="0" w:right="0" w:firstLine="720"/>
              <w:jc w:val="both"/>
              <w:rPr/>
            </w:pPr>
            <w:r>
              <w:rPr/>
              <w:t>Trade Date:</w:t>
            </w:r>
          </w:p>
        </w:tc>
        <w:tc>
          <w:tcPr>
            <w:tcW w:w="1655" w:type="dxa"/>
            <w:tcBorders/>
            <w:vAlign w:val="center"/>
          </w:tcPr>
          <w:p>
            <w:pPr>
              <w:pStyle w:val="TableContents"/>
              <w:bidi w:val="0"/>
              <w:spacing w:before="0" w:after="283"/>
              <w:jc w:val="both"/>
              <w:rPr/>
            </w:pPr>
            <w:r>
              <w:rPr/>
              <w:t>January 19,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4"/>
        <w:gridCol w:w="8111"/>
      </w:tblGrid>
      <w:tr>
        <w:trPr/>
        <w:tc>
          <w:tcPr>
            <w:tcW w:w="2094" w:type="dxa"/>
            <w:tcBorders/>
            <w:vAlign w:val="center"/>
          </w:tcPr>
          <w:p>
            <w:pPr>
              <w:pStyle w:val="TableContents"/>
              <w:bidi w:val="0"/>
              <w:spacing w:before="0" w:after="283"/>
              <w:ind w:left="0" w:right="0" w:firstLine="720"/>
              <w:jc w:val="both"/>
              <w:rPr/>
            </w:pPr>
            <w:r>
              <w:rPr/>
              <w:t>Effective Date:</w:t>
            </w:r>
          </w:p>
        </w:tc>
        <w:tc>
          <w:tcPr>
            <w:tcW w:w="8111" w:type="dxa"/>
            <w:tcBorders/>
            <w:vAlign w:val="center"/>
          </w:tcPr>
          <w:p>
            <w:pPr>
              <w:pStyle w:val="TableContents"/>
              <w:bidi w:val="0"/>
              <w:spacing w:before="0" w:after="283"/>
              <w:jc w:val="both"/>
              <w:rPr/>
            </w:pPr>
            <w:r>
              <w:rPr/>
              <w:t>January 23, 2024, or such other date as agreed between the parties, subject to Section 8(l)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1"/>
        <w:gridCol w:w="8254"/>
      </w:tblGrid>
      <w:tr>
        <w:trPr/>
        <w:tc>
          <w:tcPr>
            <w:tcW w:w="1951" w:type="dxa"/>
            <w:tcBorders/>
            <w:vAlign w:val="center"/>
          </w:tcPr>
          <w:p>
            <w:pPr>
              <w:pStyle w:val="TableContents"/>
              <w:bidi w:val="0"/>
              <w:spacing w:before="0" w:after="283"/>
              <w:ind w:left="0" w:right="0" w:firstLine="720"/>
              <w:jc w:val="left"/>
              <w:rPr/>
            </w:pPr>
            <w:r>
              <w:rPr/>
              <w:t>Components:</w:t>
            </w:r>
          </w:p>
        </w:tc>
        <w:tc>
          <w:tcPr>
            <w:tcW w:w="8254" w:type="dxa"/>
            <w:tcBorders/>
            <w:vAlign w:val="center"/>
          </w:tcPr>
          <w:p>
            <w:pPr>
              <w:pStyle w:val="TableContents"/>
              <w:bidi w:val="0"/>
              <w:spacing w:before="0" w:after="283"/>
              <w:jc w:val="both"/>
              <w:rPr/>
            </w:pPr>
            <w:r>
              <w:rPr/>
              <w:t>The Transaction will be divided into individual Components, each with the terms set forth in this Confirmation, and, in particular, with the Number of Warrants and Expiration Date set forth in this Confirmation. The payments and deliveries to be made upon settlement of the Transaction will be determined separately for each Component as if each Component were a separate Transaction under the Agreement.</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2105"/>
        <w:gridCol w:w="935"/>
      </w:tblGrid>
      <w:tr>
        <w:trPr/>
        <w:tc>
          <w:tcPr>
            <w:tcW w:w="2105" w:type="dxa"/>
            <w:tcBorders/>
            <w:vAlign w:val="center"/>
          </w:tcPr>
          <w:p>
            <w:pPr>
              <w:pStyle w:val="TableContents"/>
              <w:bidi w:val="0"/>
              <w:spacing w:before="0" w:after="283"/>
              <w:ind w:left="0" w:right="0" w:firstLine="720"/>
              <w:jc w:val="both"/>
              <w:rPr/>
            </w:pPr>
            <w:r>
              <w:rPr/>
              <w:t>Warrant Style:</w:t>
            </w:r>
          </w:p>
        </w:tc>
        <w:tc>
          <w:tcPr>
            <w:tcW w:w="935" w:type="dxa"/>
            <w:tcBorders/>
            <w:vAlign w:val="center"/>
          </w:tcPr>
          <w:p>
            <w:pPr>
              <w:pStyle w:val="TableContents"/>
              <w:bidi w:val="0"/>
              <w:spacing w:before="0" w:after="283"/>
              <w:jc w:val="both"/>
              <w:rPr/>
            </w:pPr>
            <w:r>
              <w:rPr/>
              <w:t>European</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120"/>
        <w:gridCol w:w="410"/>
      </w:tblGrid>
      <w:tr>
        <w:trPr/>
        <w:tc>
          <w:tcPr>
            <w:tcW w:w="2120" w:type="dxa"/>
            <w:tcBorders/>
            <w:vAlign w:val="center"/>
          </w:tcPr>
          <w:p>
            <w:pPr>
              <w:pStyle w:val="TableContents"/>
              <w:bidi w:val="0"/>
              <w:spacing w:before="0" w:after="283"/>
              <w:ind w:left="0" w:right="0" w:firstLine="720"/>
              <w:jc w:val="both"/>
              <w:rPr/>
            </w:pPr>
            <w:r>
              <w:rPr/>
              <w:t>Warrant Type:</w:t>
            </w:r>
          </w:p>
        </w:tc>
        <w:tc>
          <w:tcPr>
            <w:tcW w:w="410" w:type="dxa"/>
            <w:tcBorders/>
            <w:vAlign w:val="center"/>
          </w:tcPr>
          <w:p>
            <w:pPr>
              <w:pStyle w:val="TableContents"/>
              <w:bidi w:val="0"/>
              <w:spacing w:before="0" w:after="283"/>
              <w:jc w:val="both"/>
              <w:rPr/>
            </w:pPr>
            <w:r>
              <w:rPr/>
              <w:t>Call</w:t>
            </w:r>
          </w:p>
        </w:tc>
      </w:tr>
    </w:tbl>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1340"/>
        <w:gridCol w:w="1265"/>
      </w:tblGrid>
      <w:tr>
        <w:trPr/>
        <w:tc>
          <w:tcPr>
            <w:tcW w:w="1340" w:type="dxa"/>
            <w:tcBorders/>
            <w:vAlign w:val="center"/>
          </w:tcPr>
          <w:p>
            <w:pPr>
              <w:pStyle w:val="TableContents"/>
              <w:bidi w:val="0"/>
              <w:spacing w:before="0" w:after="283"/>
              <w:ind w:left="0" w:right="0" w:firstLine="720"/>
              <w:jc w:val="left"/>
              <w:rPr/>
            </w:pPr>
            <w:r>
              <w:rPr/>
              <w:t>Seller:</w:t>
            </w:r>
          </w:p>
        </w:tc>
        <w:tc>
          <w:tcPr>
            <w:tcW w:w="1265" w:type="dxa"/>
            <w:tcBorders/>
            <w:vAlign w:val="center"/>
          </w:tcPr>
          <w:p>
            <w:pPr>
              <w:pStyle w:val="TableContents"/>
              <w:bidi w:val="0"/>
              <w:spacing w:before="0" w:after="283"/>
              <w:jc w:val="both"/>
              <w:rPr/>
            </w:pPr>
            <w:r>
              <w:rPr/>
              <w:t>Counterparty</w:t>
            </w:r>
          </w:p>
        </w:tc>
      </w:tr>
    </w:tbl>
    <w:p>
      <w:pPr>
        <w:pStyle w:val="TextBody"/>
        <w:bidi w:val="0"/>
        <w:spacing w:before="0" w:after="0"/>
        <w:ind w:left="0" w:right="0" w:hanging="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1385"/>
        <w:gridCol w:w="650"/>
      </w:tblGrid>
      <w:tr>
        <w:trPr/>
        <w:tc>
          <w:tcPr>
            <w:tcW w:w="1385" w:type="dxa"/>
            <w:tcBorders/>
            <w:vAlign w:val="center"/>
          </w:tcPr>
          <w:p>
            <w:pPr>
              <w:pStyle w:val="TableContents"/>
              <w:bidi w:val="0"/>
              <w:spacing w:before="0" w:after="283"/>
              <w:ind w:left="0" w:right="0" w:firstLine="720"/>
              <w:jc w:val="left"/>
              <w:rPr/>
            </w:pPr>
            <w:r>
              <w:rPr/>
              <w:t>Buyer:</w:t>
            </w:r>
          </w:p>
        </w:tc>
        <w:tc>
          <w:tcPr>
            <w:tcW w:w="650" w:type="dxa"/>
            <w:tcBorders/>
            <w:vAlign w:val="center"/>
          </w:tcPr>
          <w:p>
            <w:pPr>
              <w:pStyle w:val="TableContents"/>
              <w:bidi w:val="0"/>
              <w:spacing w:before="0" w:after="283"/>
              <w:jc w:val="both"/>
              <w:rPr/>
            </w:pPr>
            <w:r>
              <w:rPr/>
              <w:t>Dealer</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1430"/>
        <w:gridCol w:w="8060"/>
      </w:tblGrid>
      <w:tr>
        <w:trPr/>
        <w:tc>
          <w:tcPr>
            <w:tcW w:w="1430" w:type="dxa"/>
            <w:tcBorders/>
            <w:vAlign w:val="center"/>
          </w:tcPr>
          <w:p>
            <w:pPr>
              <w:pStyle w:val="TableContents"/>
              <w:bidi w:val="0"/>
              <w:spacing w:before="0" w:after="283"/>
              <w:ind w:left="0" w:right="0" w:firstLine="720"/>
              <w:jc w:val="left"/>
              <w:rPr/>
            </w:pPr>
            <w:r>
              <w:rPr/>
              <w:t>Shares:</w:t>
            </w:r>
          </w:p>
        </w:tc>
        <w:tc>
          <w:tcPr>
            <w:tcW w:w="8060" w:type="dxa"/>
            <w:tcBorders/>
            <w:vAlign w:val="center"/>
          </w:tcPr>
          <w:p>
            <w:pPr>
              <w:pStyle w:val="TableContents"/>
              <w:bidi w:val="0"/>
              <w:spacing w:before="0" w:after="283"/>
              <w:jc w:val="both"/>
              <w:rPr/>
            </w:pPr>
            <w:r>
              <w:rPr/>
              <w:t>The Common Stock of Counterparty, par value USD0.50 (Ticker Symbol: “WGO”).</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2750"/>
        <w:gridCol w:w="6425"/>
      </w:tblGrid>
      <w:tr>
        <w:trPr/>
        <w:tc>
          <w:tcPr>
            <w:tcW w:w="2750" w:type="dxa"/>
            <w:tcBorders/>
            <w:vAlign w:val="center"/>
          </w:tcPr>
          <w:p>
            <w:pPr>
              <w:pStyle w:val="TableContents"/>
              <w:bidi w:val="0"/>
              <w:spacing w:before="0" w:after="283"/>
              <w:ind w:left="0" w:right="0" w:firstLine="720"/>
              <w:jc w:val="both"/>
              <w:rPr/>
            </w:pPr>
            <w:r>
              <w:rPr/>
              <w:t>Number of Warrants:</w:t>
            </w:r>
          </w:p>
        </w:tc>
        <w:tc>
          <w:tcPr>
            <w:tcW w:w="6425" w:type="dxa"/>
            <w:tcBorders/>
            <w:vAlign w:val="center"/>
          </w:tcPr>
          <w:p>
            <w:pPr>
              <w:pStyle w:val="TableContents"/>
              <w:bidi w:val="0"/>
              <w:spacing w:before="0" w:after="283"/>
              <w:jc w:val="both"/>
              <w:rPr/>
            </w:pPr>
            <w:r>
              <w:rPr/>
              <w:t>For each Component, as provided in Annex A to this Confirmation.</w:t>
            </w:r>
          </w:p>
        </w:tc>
      </w:tr>
    </w:tbl>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705"/>
        <w:gridCol w:w="2210"/>
      </w:tblGrid>
      <w:tr>
        <w:trPr/>
        <w:tc>
          <w:tcPr>
            <w:tcW w:w="2705" w:type="dxa"/>
            <w:tcBorders/>
            <w:vAlign w:val="center"/>
          </w:tcPr>
          <w:p>
            <w:pPr>
              <w:pStyle w:val="TableContents"/>
              <w:bidi w:val="0"/>
              <w:spacing w:before="0" w:after="283"/>
              <w:ind w:left="0" w:right="0" w:firstLine="720"/>
              <w:jc w:val="both"/>
              <w:rPr/>
            </w:pPr>
            <w:r>
              <w:rPr/>
              <w:t>Warrant Entitlement:</w:t>
            </w:r>
          </w:p>
        </w:tc>
        <w:tc>
          <w:tcPr>
            <w:tcW w:w="2210" w:type="dxa"/>
            <w:tcBorders/>
            <w:vAlign w:val="center"/>
          </w:tcPr>
          <w:p>
            <w:pPr>
              <w:pStyle w:val="TableContents"/>
              <w:bidi w:val="0"/>
              <w:spacing w:before="0" w:after="283"/>
              <w:jc w:val="both"/>
              <w:rPr/>
            </w:pPr>
            <w:r>
              <w:rPr/>
              <w:t>One Share per Warrant</w:t>
            </w:r>
          </w:p>
        </w:tc>
      </w:tr>
    </w:tbl>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1895"/>
        <w:gridCol w:w="1415"/>
      </w:tblGrid>
      <w:tr>
        <w:trPr/>
        <w:tc>
          <w:tcPr>
            <w:tcW w:w="1895" w:type="dxa"/>
            <w:tcBorders/>
            <w:vAlign w:val="center"/>
          </w:tcPr>
          <w:p>
            <w:pPr>
              <w:pStyle w:val="TableContents"/>
              <w:bidi w:val="0"/>
              <w:spacing w:before="0" w:after="283"/>
              <w:ind w:left="0" w:right="0" w:firstLine="720"/>
              <w:jc w:val="both"/>
              <w:rPr/>
            </w:pPr>
            <w:r>
              <w:rPr/>
              <w:t>Strike Price:</w:t>
            </w:r>
          </w:p>
        </w:tc>
        <w:tc>
          <w:tcPr>
            <w:tcW w:w="1415" w:type="dxa"/>
            <w:tcBorders/>
            <w:vAlign w:val="center"/>
          </w:tcPr>
          <w:p>
            <w:pPr>
              <w:pStyle w:val="TableContents"/>
              <w:bidi w:val="0"/>
              <w:spacing w:before="0" w:after="283"/>
              <w:jc w:val="both"/>
              <w:rPr/>
            </w:pPr>
            <w:r>
              <w:rPr/>
              <w:t>USD135.2800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0182" w:type="dxa"/>
            <w:tcBorders/>
            <w:vAlign w:val="center"/>
          </w:tcPr>
          <w:p>
            <w:pPr>
              <w:pStyle w:val="TableContents"/>
              <w:bidi w:val="0"/>
              <w:spacing w:before="0" w:after="283"/>
              <w:jc w:val="both"/>
              <w:rPr/>
            </w:pPr>
            <w:r>
              <w:rPr/>
              <w:t>Notwithstanding anything to the contrary in the Agreement, this Confirmation or the Equity Definitions, in no event shall the Strike Price be subject to adjustment to the extent that, after giving effect to such adjustment, the Strike Price would be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2"/>
        <w:gridCol w:w="9173"/>
      </w:tblGrid>
      <w:tr>
        <w:trPr/>
        <w:tc>
          <w:tcPr>
            <w:tcW w:w="1032" w:type="dxa"/>
            <w:tcBorders/>
            <w:vAlign w:val="center"/>
          </w:tcPr>
          <w:p>
            <w:pPr>
              <w:pStyle w:val="TableContents"/>
              <w:bidi w:val="0"/>
              <w:spacing w:before="0" w:after="283"/>
              <w:ind w:left="0" w:right="0" w:firstLine="720"/>
              <w:jc w:val="both"/>
              <w:rPr/>
            </w:pPr>
            <w:r>
              <w:rPr/>
              <w:t> </w:t>
            </w:r>
          </w:p>
        </w:tc>
        <w:tc>
          <w:tcPr>
            <w:tcW w:w="9173" w:type="dxa"/>
            <w:tcBorders/>
            <w:vAlign w:val="center"/>
          </w:tcPr>
          <w:p>
            <w:pPr>
              <w:pStyle w:val="TableContents"/>
              <w:bidi w:val="0"/>
              <w:spacing w:before="0" w:after="283"/>
              <w:ind w:left="0" w:right="0" w:firstLine="720"/>
              <w:jc w:val="both"/>
              <w:rPr/>
            </w:pPr>
            <w:r>
              <w:rPr/>
              <w:t>less than USD67.2580, except for any adjustment pursuant to the terms of this Confirmation and the Equity Definitions in connection with a stock split or similar change to Counterparty’s capitalization.</w:t>
            </w:r>
          </w:p>
        </w:tc>
      </w:tr>
      <w:tr>
        <w:trPr/>
        <w:tc>
          <w:tcPr>
            <w:tcW w:w="1032" w:type="dxa"/>
            <w:tcBorders/>
            <w:vAlign w:val="center"/>
          </w:tcPr>
          <w:p>
            <w:pPr>
              <w:pStyle w:val="TableContents"/>
              <w:bidi w:val="0"/>
              <w:spacing w:before="0" w:after="283"/>
              <w:jc w:val="both"/>
              <w:rPr/>
            </w:pPr>
            <w:r>
              <w:rPr/>
              <w:t> </w:t>
            </w:r>
          </w:p>
        </w:tc>
        <w:tc>
          <w:tcPr>
            <w:tcW w:w="9173" w:type="dxa"/>
            <w:tcBorders/>
            <w:vAlign w:val="center"/>
          </w:tcPr>
          <w:p>
            <w:pPr>
              <w:pStyle w:val="TableContents"/>
              <w:bidi w:val="0"/>
              <w:spacing w:before="0" w:after="283"/>
              <w:ind w:left="0" w:right="0" w:firstLine="720"/>
              <w:jc w:val="both"/>
              <w:rPr/>
            </w:pPr>
            <w:r>
              <w:rPr/>
              <w:t> </w:t>
            </w:r>
          </w:p>
        </w:tc>
      </w:tr>
      <w:tr>
        <w:trPr/>
        <w:tc>
          <w:tcPr>
            <w:tcW w:w="10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Number of Shares:</w:t>
            </w:r>
          </w:p>
        </w:tc>
        <w:tc>
          <w:tcPr>
            <w:tcW w:w="9173"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As of any date, a number of Shares equal to the product of the Number of Warrants and the Warrant Entitlement.</w:t>
            </w:r>
          </w:p>
        </w:tc>
      </w:tr>
      <w:tr>
        <w:trPr/>
        <w:tc>
          <w:tcPr>
            <w:tcW w:w="1032"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ind w:left="0" w:right="0" w:firstLine="720"/>
              <w:jc w:val="both"/>
              <w:rPr/>
            </w:pPr>
            <w:r>
              <w:rPr/>
              <w:t> </w:t>
            </w:r>
          </w:p>
        </w:tc>
      </w:tr>
      <w:tr>
        <w:trPr/>
        <w:tc>
          <w:tcPr>
            <w:tcW w:w="1032" w:type="dxa"/>
            <w:tcBorders/>
            <w:vAlign w:val="center"/>
          </w:tcPr>
          <w:p>
            <w:pPr>
              <w:pStyle w:val="TableContents"/>
              <w:bidi w:val="0"/>
              <w:spacing w:before="0" w:after="283"/>
              <w:jc w:val="both"/>
              <w:rPr/>
            </w:pPr>
            <w:r>
              <w:rPr/>
              <w:t>Premium:  </w:t>
            </w:r>
          </w:p>
        </w:tc>
        <w:tc>
          <w:tcPr>
            <w:tcW w:w="9173" w:type="dxa"/>
            <w:tcBorders/>
            <w:vAlign w:val="center"/>
          </w:tcPr>
          <w:p>
            <w:pPr>
              <w:pStyle w:val="TableContents"/>
              <w:bidi w:val="0"/>
              <w:spacing w:before="0" w:after="283"/>
              <w:ind w:left="0" w:right="0" w:firstLine="720"/>
              <w:jc w:val="both"/>
              <w:rPr/>
            </w:pPr>
            <w:r>
              <w:rPr/>
              <w:t>USD1,490,000</w:t>
            </w:r>
          </w:p>
        </w:tc>
      </w:tr>
      <w:tr>
        <w:trPr/>
        <w:tc>
          <w:tcPr>
            <w:tcW w:w="1032" w:type="dxa"/>
            <w:tcBorders/>
            <w:vAlign w:val="center"/>
          </w:tcPr>
          <w:p>
            <w:pPr>
              <w:pStyle w:val="TableContents"/>
              <w:bidi w:val="0"/>
              <w:spacing w:before="0" w:after="283"/>
              <w:jc w:val="both"/>
              <w:rPr/>
            </w:pPr>
            <w:r>
              <w:rPr/>
              <w:t> </w:t>
            </w:r>
          </w:p>
        </w:tc>
        <w:tc>
          <w:tcPr>
            <w:tcW w:w="9173" w:type="dxa"/>
            <w:tcBorders/>
            <w:vAlign w:val="center"/>
          </w:tcPr>
          <w:p>
            <w:pPr>
              <w:pStyle w:val="TableContents"/>
              <w:bidi w:val="0"/>
              <w:spacing w:before="0" w:after="283"/>
              <w:ind w:left="0" w:right="0" w:firstLine="720"/>
              <w:jc w:val="both"/>
              <w:rPr/>
            </w:pPr>
            <w:r>
              <w:rPr/>
              <w:t> </w:t>
            </w:r>
          </w:p>
        </w:tc>
      </w:tr>
      <w:tr>
        <w:trPr/>
        <w:tc>
          <w:tcPr>
            <w:tcW w:w="10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Premium Payment Date:</w:t>
            </w:r>
          </w:p>
        </w:tc>
        <w:tc>
          <w:tcPr>
            <w:tcW w:w="9173"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The Effective Date</w:t>
            </w:r>
          </w:p>
        </w:tc>
      </w:tr>
      <w:tr>
        <w:trPr/>
        <w:tc>
          <w:tcPr>
            <w:tcW w:w="1032"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ind w:left="0" w:right="0" w:firstLine="720"/>
              <w:jc w:val="both"/>
              <w:rPr/>
            </w:pPr>
            <w:r>
              <w:rPr/>
              <w:t> </w:t>
            </w:r>
          </w:p>
        </w:tc>
      </w:tr>
      <w:tr>
        <w:trPr/>
        <w:tc>
          <w:tcPr>
            <w:tcW w:w="1032" w:type="dxa"/>
            <w:tcBorders/>
            <w:vAlign w:val="center"/>
          </w:tcPr>
          <w:p>
            <w:pPr>
              <w:pStyle w:val="TableContents"/>
              <w:bidi w:val="0"/>
              <w:spacing w:before="0" w:after="283"/>
              <w:jc w:val="both"/>
              <w:rPr/>
            </w:pPr>
            <w:r>
              <w:rPr/>
              <w:t>Exchange:  </w:t>
            </w:r>
          </w:p>
        </w:tc>
        <w:tc>
          <w:tcPr>
            <w:tcW w:w="9173" w:type="dxa"/>
            <w:tcBorders/>
            <w:vAlign w:val="center"/>
          </w:tcPr>
          <w:p>
            <w:pPr>
              <w:pStyle w:val="TableContents"/>
              <w:bidi w:val="0"/>
              <w:spacing w:before="0" w:after="283"/>
              <w:ind w:left="0" w:right="0" w:firstLine="720"/>
              <w:jc w:val="both"/>
              <w:rPr/>
            </w:pPr>
            <w:r>
              <w:rPr/>
              <w:t>New York Stock Exchange</w:t>
            </w:r>
          </w:p>
        </w:tc>
      </w:tr>
      <w:tr>
        <w:trPr/>
        <w:tc>
          <w:tcPr>
            <w:tcW w:w="1032" w:type="dxa"/>
            <w:tcBorders/>
            <w:vAlign w:val="center"/>
          </w:tcPr>
          <w:p>
            <w:pPr>
              <w:pStyle w:val="TableContents"/>
              <w:bidi w:val="0"/>
              <w:spacing w:before="0" w:after="283"/>
              <w:jc w:val="both"/>
              <w:rPr/>
            </w:pPr>
            <w:r>
              <w:rPr/>
              <w:t> </w:t>
            </w:r>
          </w:p>
        </w:tc>
        <w:tc>
          <w:tcPr>
            <w:tcW w:w="9173" w:type="dxa"/>
            <w:tcBorders/>
            <w:vAlign w:val="center"/>
          </w:tcPr>
          <w:p>
            <w:pPr>
              <w:pStyle w:val="TableContents"/>
              <w:bidi w:val="0"/>
              <w:spacing w:before="0" w:after="283"/>
              <w:ind w:left="0" w:right="0" w:firstLine="720"/>
              <w:jc w:val="both"/>
              <w:rPr/>
            </w:pPr>
            <w:r>
              <w:rPr/>
              <w:t> </w:t>
            </w:r>
          </w:p>
        </w:tc>
      </w:tr>
      <w:tr>
        <w:trPr/>
        <w:tc>
          <w:tcPr>
            <w:tcW w:w="10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Related Exchange:</w:t>
            </w:r>
          </w:p>
        </w:tc>
        <w:tc>
          <w:tcPr>
            <w:tcW w:w="9173"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All Exchanges</w:t>
            </w:r>
          </w:p>
        </w:tc>
      </w:tr>
      <w:tr>
        <w:trPr/>
        <w:tc>
          <w:tcPr>
            <w:tcW w:w="1032"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jc w:val="both"/>
              <w:rPr/>
            </w:pPr>
            <w:r>
              <w:rPr/>
              <w:t> </w:t>
            </w:r>
          </w:p>
        </w:tc>
      </w:tr>
      <w:tr>
        <w:trPr/>
        <w:tc>
          <w:tcPr>
            <w:tcW w:w="10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Procedures for Exercise:</w:t>
            </w:r>
          </w:p>
        </w:tc>
        <w:tc>
          <w:tcPr>
            <w:tcW w:w="9173" w:type="dxa"/>
            <w:tcBorders/>
            <w:vAlign w:val="center"/>
          </w:tcPr>
          <w:p>
            <w:pPr>
              <w:pStyle w:val="TableContents"/>
              <w:bidi w:val="0"/>
              <w:spacing w:before="0" w:after="283"/>
              <w:ind w:left="0" w:right="0" w:firstLine="720"/>
              <w:jc w:val="both"/>
              <w:rPr/>
            </w:pPr>
            <w:r>
              <w:rPr/>
              <w:t> </w:t>
            </w:r>
          </w:p>
        </w:tc>
      </w:tr>
      <w:tr>
        <w:trPr/>
        <w:tc>
          <w:tcPr>
            <w:tcW w:w="1032"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ind w:left="0" w:right="0" w:firstLine="360"/>
              <w:jc w:val="both"/>
              <w:rPr/>
            </w:pPr>
            <w:r>
              <w:rPr/>
              <w:t> </w:t>
            </w:r>
          </w:p>
        </w:tc>
      </w:tr>
      <w:tr>
        <w:trPr/>
        <w:tc>
          <w:tcPr>
            <w:tcW w:w="103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In respect of any Component:</w:t>
            </w:r>
          </w:p>
        </w:tc>
        <w:tc>
          <w:tcPr>
            <w:tcW w:w="9173" w:type="dxa"/>
            <w:tcBorders/>
            <w:vAlign w:val="center"/>
          </w:tcPr>
          <w:p>
            <w:pPr>
              <w:pStyle w:val="TableContents"/>
              <w:bidi w:val="0"/>
              <w:spacing w:before="0" w:after="283"/>
              <w:ind w:left="0" w:right="0" w:firstLine="720"/>
              <w:jc w:val="both"/>
              <w:rPr/>
            </w:pPr>
            <w:r>
              <w:rPr/>
              <w:t> </w:t>
            </w:r>
          </w:p>
        </w:tc>
      </w:tr>
      <w:tr>
        <w:trPr/>
        <w:tc>
          <w:tcPr>
            <w:tcW w:w="1032"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ind w:left="0" w:right="0" w:firstLine="720"/>
              <w:jc w:val="both"/>
              <w:rPr/>
            </w:pPr>
            <w:r>
              <w:rPr/>
              <w:t> </w:t>
            </w:r>
          </w:p>
        </w:tc>
      </w:tr>
      <w:tr>
        <w:trPr/>
        <w:tc>
          <w:tcPr>
            <w:tcW w:w="10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Expiration Time:</w:t>
            </w:r>
          </w:p>
        </w:tc>
        <w:tc>
          <w:tcPr>
            <w:tcW w:w="9173"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Valuation Time</w:t>
            </w:r>
          </w:p>
        </w:tc>
      </w:tr>
      <w:tr>
        <w:trPr/>
        <w:tc>
          <w:tcPr>
            <w:tcW w:w="1032" w:type="dxa"/>
            <w:tcBorders/>
            <w:vAlign w:val="center"/>
          </w:tcPr>
          <w:p>
            <w:pPr>
              <w:pStyle w:val="TableContents"/>
              <w:bidi w:val="0"/>
              <w:spacing w:before="0" w:after="283"/>
              <w:jc w:val="left"/>
              <w:rPr/>
            </w:pPr>
            <w:r>
              <w:rPr/>
              <w:t> </w:t>
            </w:r>
          </w:p>
        </w:tc>
        <w:tc>
          <w:tcPr>
            <w:tcW w:w="9173" w:type="dxa"/>
            <w:tcBorders/>
            <w:vAlign w:val="center"/>
          </w:tcPr>
          <w:p>
            <w:pPr>
              <w:pStyle w:val="TableContents"/>
              <w:bidi w:val="0"/>
              <w:spacing w:before="0" w:after="283"/>
              <w:ind w:left="0" w:right="0" w:firstLine="720"/>
              <w:jc w:val="both"/>
              <w:rPr/>
            </w:pPr>
            <w:r>
              <w:rPr/>
              <w:t> </w:t>
            </w:r>
          </w:p>
        </w:tc>
      </w:tr>
      <w:tr>
        <w:trPr/>
        <w:tc>
          <w:tcPr>
            <w:tcW w:w="10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Expiration Date:</w:t>
            </w:r>
          </w:p>
        </w:tc>
        <w:tc>
          <w:tcPr>
            <w:tcW w:w="91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provided in </w:t>
            </w:r>
            <w:r>
              <w:rPr>
                <w:rFonts w:ascii="Times New Roman;Times;Serif" w:hAnsi="Times New Roman;Times;Serif"/>
                <w:sz w:val="20"/>
                <w:u w:val="single"/>
              </w:rPr>
              <w:t>Annex A</w:t>
            </w:r>
            <w:r>
              <w:rPr>
                <w:rFonts w:ascii="Times New Roman;Times;Serif" w:hAnsi="Times New Roman;Times;Serif"/>
                <w:sz w:val="20"/>
              </w:rPr>
              <w:t xml:space="preserve"> to this Confirmation (or, if such date is not a Scheduled Trading Day, the next following Scheduled Trading Day that is not already an Expiration Date for another Component); </w:t>
            </w:r>
            <w:r>
              <w:rPr>
                <w:rFonts w:ascii="Times New Roman;Times;Serif" w:hAnsi="Times New Roman;Times;Serif"/>
                <w:i/>
                <w:sz w:val="20"/>
              </w:rPr>
              <w:t>provided</w:t>
            </w:r>
            <w:r>
              <w:rPr>
                <w:rFonts w:ascii="Times New Roman;Times;Serif" w:hAnsi="Times New Roman;Times;Serif"/>
                <w:sz w:val="20"/>
              </w:rPr>
              <w:t xml:space="preserve"> that if that date is a Disrupted Day, the Expiration Date for such Component shall be the first succeeding Scheduled Trading Day that is not a Disrupted Day and is not and is not deemed to be an Expiration Date in respect of any other Component of the Transaction hereunder; and </w:t>
            </w:r>
            <w:r>
              <w:rPr>
                <w:rFonts w:ascii="Times New Roman;Times;Serif" w:hAnsi="Times New Roman;Times;Serif"/>
                <w:i/>
                <w:sz w:val="20"/>
              </w:rPr>
              <w:t>provided further</w:t>
            </w:r>
            <w:r>
              <w:rPr>
                <w:rFonts w:ascii="Times New Roman;Times;Serif" w:hAnsi="Times New Roman;Times;Serif"/>
                <w:sz w:val="20"/>
              </w:rPr>
              <w:t xml:space="preserve"> that if the Expiration Date has not occurred pursuant to the preceding proviso as of the Final Disruption Date, the Calculation Agent shall have the right to elect, in its sole discretion, that the Final Disruption Date shall be the Expiration Date (irrespective of whether such date is an Expiration Date in respect of any other Component for the Transaction). Notwithstanding the foregoing and anything to the contrary in the Equity Definitions, if a Market Disruption Event occurs on any Expiration Date, the Calculation Agent may determine that such Expiration Date is a Disrupted Day only in part, in which case the Calculation Agent shall make adjustments to the Number of Warrants for the relevant Component for which such day shall be the Expiration Date, shall designate the Scheduled Trading Day determined in the manner described in the immediately preceding sentence as the Expiration Date for the remaining Warrants for such Component and may determine the VWAP Price for such Expiration Date based on transactions in the Shares taking into account the nature and duration of such Market Disruption Event. Any Scheduled Trading Day on which, as of the date hereof, the Exchange is scheduled to close prior to its normal close of trading shall be deemed not to be a Scheduled Trading Day; if a closure of the Exchange prior to its normal close of trading on any Scheduled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1"/>
        <w:gridCol w:w="8604"/>
      </w:tblGrid>
      <w:tr>
        <w:trPr/>
        <w:tc>
          <w:tcPr>
            <w:tcW w:w="1601" w:type="dxa"/>
            <w:tcBorders/>
            <w:vAlign w:val="center"/>
          </w:tcPr>
          <w:p>
            <w:pPr>
              <w:pStyle w:val="TableContents"/>
              <w:bidi w:val="0"/>
              <w:spacing w:before="0" w:after="283"/>
              <w:ind w:left="0" w:right="0" w:firstLine="720"/>
              <w:jc w:val="both"/>
              <w:rPr/>
            </w:pPr>
            <w:r>
              <w:rPr/>
              <w:t> </w:t>
            </w:r>
          </w:p>
        </w:tc>
        <w:tc>
          <w:tcPr>
            <w:tcW w:w="8604" w:type="dxa"/>
            <w:tcBorders/>
            <w:vAlign w:val="center"/>
          </w:tcPr>
          <w:p>
            <w:pPr>
              <w:pStyle w:val="TableContents"/>
              <w:bidi w:val="0"/>
              <w:spacing w:before="0" w:after="283"/>
              <w:ind w:left="0" w:right="0" w:firstLine="720"/>
              <w:jc w:val="both"/>
              <w:rPr/>
            </w:pPr>
            <w:r>
              <w:rPr/>
              <w:t>Trading Day is scheduled following the date hereof, then such Scheduled Trading Day shall be deemed to be a Disrupted Day in full</w:t>
            </w:r>
            <w:r>
              <w:rPr>
                <w:b/>
              </w:rPr>
              <w:t>.</w:t>
            </w:r>
            <w:r>
              <w:rPr/>
              <w:t xml:space="preserve"> Section 6.6 of the Equity Definitions shall not apply to any Valuation Date occurring on an Expiration Date. “</w:t>
            </w:r>
            <w:r>
              <w:rPr>
                <w:b/>
              </w:rPr>
              <w:t>Final Disruption Date</w:t>
            </w:r>
            <w:r>
              <w:rPr/>
              <w:t>” means September 20, 2030.</w:t>
            </w:r>
          </w:p>
        </w:tc>
      </w:tr>
      <w:tr>
        <w:trPr/>
        <w:tc>
          <w:tcPr>
            <w:tcW w:w="1601" w:type="dxa"/>
            <w:tcBorders/>
            <w:vAlign w:val="center"/>
          </w:tcPr>
          <w:p>
            <w:pPr>
              <w:pStyle w:val="TableContents"/>
              <w:bidi w:val="0"/>
              <w:spacing w:before="0" w:after="283"/>
              <w:jc w:val="both"/>
              <w:rPr/>
            </w:pPr>
            <w:r>
              <w:rPr/>
              <w:t> </w:t>
            </w:r>
          </w:p>
        </w:tc>
        <w:tc>
          <w:tcPr>
            <w:tcW w:w="8604" w:type="dxa"/>
            <w:tcBorders/>
            <w:vAlign w:val="center"/>
          </w:tcPr>
          <w:p>
            <w:pPr>
              <w:pStyle w:val="TableContents"/>
              <w:bidi w:val="0"/>
              <w:spacing w:before="0" w:after="283"/>
              <w:ind w:left="0" w:right="0" w:firstLine="720"/>
              <w:jc w:val="both"/>
              <w:rPr/>
            </w:pPr>
            <w:r>
              <w:rPr/>
              <w:t> </w:t>
            </w:r>
          </w:p>
        </w:tc>
      </w:tr>
      <w:tr>
        <w:trPr/>
        <w:tc>
          <w:tcPr>
            <w:tcW w:w="16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Disruption Event:</w:t>
            </w:r>
          </w:p>
        </w:tc>
        <w:tc>
          <w:tcPr>
            <w:tcW w:w="8604"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Section 6.3(a) of the Equity Definitions is hereby amended by (A) deleting the words “during the one hour period that ends at the relevant Valuation Time, Latest Exercise Time, Knock-in Valuation Time or Knock-out Valuation Time, as the case may be,” in clause (ii) thereof and (B) by replacing the words “or (iii) an Early Closure.” therein with “(iii) an Early Closure, or (iv) a Regulatory Disruption.”</w:t>
            </w:r>
          </w:p>
        </w:tc>
      </w:tr>
      <w:tr>
        <w:trPr/>
        <w:tc>
          <w:tcPr>
            <w:tcW w:w="1601" w:type="dxa"/>
            <w:tcBorders/>
            <w:vAlign w:val="center"/>
          </w:tcPr>
          <w:p>
            <w:pPr>
              <w:pStyle w:val="TableContents"/>
              <w:bidi w:val="0"/>
              <w:spacing w:before="0" w:after="283"/>
              <w:jc w:val="left"/>
              <w:rPr/>
            </w:pPr>
            <w:r>
              <w:rPr/>
              <w:t> </w:t>
            </w:r>
          </w:p>
        </w:tc>
        <w:tc>
          <w:tcPr>
            <w:tcW w:w="8604" w:type="dxa"/>
            <w:tcBorders/>
            <w:vAlign w:val="center"/>
          </w:tcPr>
          <w:p>
            <w:pPr>
              <w:pStyle w:val="TableContents"/>
              <w:bidi w:val="0"/>
              <w:spacing w:before="0" w:after="283"/>
              <w:ind w:left="0" w:right="0" w:firstLine="720"/>
              <w:jc w:val="left"/>
              <w:rPr/>
            </w:pPr>
            <w:r>
              <w:rPr/>
              <w:t> </w:t>
            </w:r>
          </w:p>
        </w:tc>
      </w:tr>
      <w:tr>
        <w:trPr/>
        <w:tc>
          <w:tcPr>
            <w:tcW w:w="1601" w:type="dxa"/>
            <w:tcBorders/>
            <w:vAlign w:val="center"/>
          </w:tcPr>
          <w:p>
            <w:pPr>
              <w:pStyle w:val="TableContents"/>
              <w:bidi w:val="0"/>
              <w:spacing w:before="0" w:after="283"/>
              <w:jc w:val="both"/>
              <w:rPr/>
            </w:pPr>
            <w:r>
              <w:rPr/>
              <w:t> </w:t>
            </w:r>
          </w:p>
        </w:tc>
        <w:tc>
          <w:tcPr>
            <w:tcW w:w="8604" w:type="dxa"/>
            <w:tcBorders/>
            <w:vAlign w:val="center"/>
          </w:tcPr>
          <w:p>
            <w:pPr>
              <w:pStyle w:val="TableContents"/>
              <w:bidi w:val="0"/>
              <w:spacing w:before="0" w:after="283"/>
              <w:ind w:left="0" w:right="0" w:firstLine="720"/>
              <w:jc w:val="both"/>
              <w:rPr/>
            </w:pPr>
            <w:r>
              <w:rPr/>
              <w:t>Section 6.3(d) of the Equity Definitions is hereby amended by deleting the remainder of the provision following the term “Scheduled Closing Time” in the fourth line thereof.</w:t>
            </w:r>
          </w:p>
        </w:tc>
      </w:tr>
      <w:tr>
        <w:trPr/>
        <w:tc>
          <w:tcPr>
            <w:tcW w:w="1601" w:type="dxa"/>
            <w:tcBorders/>
            <w:vAlign w:val="center"/>
          </w:tcPr>
          <w:p>
            <w:pPr>
              <w:pStyle w:val="TableContents"/>
              <w:bidi w:val="0"/>
              <w:spacing w:before="0" w:after="283"/>
              <w:jc w:val="left"/>
              <w:rPr/>
            </w:pPr>
            <w:r>
              <w:rPr/>
              <w:t> </w:t>
            </w:r>
          </w:p>
        </w:tc>
        <w:tc>
          <w:tcPr>
            <w:tcW w:w="8604" w:type="dxa"/>
            <w:tcBorders/>
            <w:vAlign w:val="center"/>
          </w:tcPr>
          <w:p>
            <w:pPr>
              <w:pStyle w:val="TableContents"/>
              <w:bidi w:val="0"/>
              <w:spacing w:before="0" w:after="283"/>
              <w:ind w:left="0" w:right="0" w:firstLine="720"/>
              <w:jc w:val="left"/>
              <w:rPr/>
            </w:pPr>
            <w:r>
              <w:rPr/>
              <w:t> </w:t>
            </w:r>
          </w:p>
        </w:tc>
      </w:tr>
      <w:tr>
        <w:trPr/>
        <w:tc>
          <w:tcPr>
            <w:tcW w:w="1601" w:type="dxa"/>
            <w:tcBorders/>
            <w:vAlign w:val="center"/>
          </w:tcPr>
          <w:p>
            <w:pPr>
              <w:pStyle w:val="TableContents"/>
              <w:bidi w:val="0"/>
              <w:spacing w:before="0" w:after="283"/>
              <w:jc w:val="left"/>
              <w:rPr/>
            </w:pPr>
            <w:r>
              <w:rPr/>
              <w:t>Regulatory Disruption:              </w:t>
            </w:r>
          </w:p>
        </w:tc>
        <w:tc>
          <w:tcPr>
            <w:tcW w:w="8604"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Any event that Dealer, in its reasonable discretion, determines makes it appropriate, with regard to any legal, regulatory or self-regulatory requirements or related policies and procedures (whether or not such requirements or related policies and procedures are imposed by law or have been voluntarily adopted by Dealer and provided any such policies and procedures are related to legal, regulatory or self-regulatory issues generally applicable to the Transaction and are applied to the Transaction in a non-discriminatory manner), for Dealer to refrain from or decrease any market activity connected with the Transaction. Dealer shall notify Counterparty as soon as reasonably practicable that a Regulatory Disruption has occurred and the Expiration Dates affected by it.</w:t>
            </w:r>
          </w:p>
        </w:tc>
      </w:tr>
      <w:tr>
        <w:trPr/>
        <w:tc>
          <w:tcPr>
            <w:tcW w:w="1601" w:type="dxa"/>
            <w:tcBorders/>
            <w:vAlign w:val="center"/>
          </w:tcPr>
          <w:p>
            <w:pPr>
              <w:pStyle w:val="TableContents"/>
              <w:bidi w:val="0"/>
              <w:spacing w:before="0" w:after="283"/>
              <w:jc w:val="left"/>
              <w:rPr/>
            </w:pPr>
            <w:r>
              <w:rPr/>
              <w:t> </w:t>
            </w:r>
          </w:p>
        </w:tc>
        <w:tc>
          <w:tcPr>
            <w:tcW w:w="8604" w:type="dxa"/>
            <w:tcBorders/>
            <w:vAlign w:val="center"/>
          </w:tcPr>
          <w:p>
            <w:pPr>
              <w:pStyle w:val="TableContents"/>
              <w:bidi w:val="0"/>
              <w:spacing w:before="0" w:after="283"/>
              <w:ind w:left="0" w:right="0" w:firstLine="720"/>
              <w:jc w:val="left"/>
              <w:rPr/>
            </w:pPr>
            <w:r>
              <w:rPr/>
              <w:t> </w:t>
            </w:r>
          </w:p>
        </w:tc>
      </w:tr>
      <w:tr>
        <w:trPr/>
        <w:tc>
          <w:tcPr>
            <w:tcW w:w="16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Automatic Exercise:</w:t>
            </w:r>
          </w:p>
        </w:tc>
        <w:tc>
          <w:tcPr>
            <w:tcW w:w="8604" w:type="dxa"/>
            <w:tcBorders/>
            <w:vAlign w:val="center"/>
          </w:tcPr>
          <w:p>
            <w:pPr>
              <w:pStyle w:val="TableContents"/>
              <w:bidi w:val="0"/>
              <w:spacing w:before="0" w:after="283"/>
              <w:ind w:left="0" w:right="0" w:firstLine="720"/>
              <w:jc w:val="both"/>
              <w:rPr>
                <w:rFonts w:ascii="Times New Roman;Times;Serif" w:hAnsi="Times New Roman;Times;Serif"/>
                <w:sz w:val="20"/>
              </w:rPr>
            </w:pPr>
            <w:r>
              <w:rPr>
                <w:rFonts w:ascii="Times New Roman;Times;Serif" w:hAnsi="Times New Roman;Times;Serif"/>
                <w:sz w:val="20"/>
              </w:rPr>
              <w:t>Applicable; and means that the Number of Warrants for the corresponding Expiration Date will be deemed to be automatically exercised at the Expiration Time on such Expiration Date unless Dealer notifies Seller (by telephone or in writing) prior to the Expiration Time on such Expiration Date that it does not wish Automatic Exercise to occur, in which case Automatic Exercise will not apply to such Expiration Date.</w:t>
            </w:r>
          </w:p>
        </w:tc>
      </w:tr>
      <w:tr>
        <w:trPr/>
        <w:tc>
          <w:tcPr>
            <w:tcW w:w="1601" w:type="dxa"/>
            <w:tcBorders/>
            <w:vAlign w:val="center"/>
          </w:tcPr>
          <w:p>
            <w:pPr>
              <w:pStyle w:val="TableContents"/>
              <w:bidi w:val="0"/>
              <w:spacing w:before="0" w:after="283"/>
              <w:jc w:val="left"/>
              <w:rPr/>
            </w:pPr>
            <w:r>
              <w:rPr/>
              <w:t> </w:t>
            </w:r>
          </w:p>
        </w:tc>
        <w:tc>
          <w:tcPr>
            <w:tcW w:w="8604" w:type="dxa"/>
            <w:tcBorders/>
            <w:vAlign w:val="center"/>
          </w:tcPr>
          <w:p>
            <w:pPr>
              <w:pStyle w:val="TableContents"/>
              <w:bidi w:val="0"/>
              <w:spacing w:before="0" w:after="283"/>
              <w:jc w:val="left"/>
              <w:rPr/>
            </w:pPr>
            <w:r>
              <w:rPr/>
              <w:t> </w:t>
            </w:r>
          </w:p>
        </w:tc>
      </w:tr>
      <w:tr>
        <w:trPr/>
        <w:tc>
          <w:tcPr>
            <w:tcW w:w="1601" w:type="dxa"/>
            <w:tcBorders/>
            <w:vAlign w:val="center"/>
          </w:tcPr>
          <w:p>
            <w:pPr>
              <w:pStyle w:val="TableContents"/>
              <w:bidi w:val="0"/>
              <w:spacing w:before="0" w:after="283"/>
              <w:jc w:val="left"/>
              <w:rPr/>
            </w:pPr>
            <w:r>
              <w:rPr>
                <w:rFonts w:ascii="Times New Roman;Times;Serif" w:hAnsi="Times New Roman;Times;Serif"/>
                <w:sz w:val="20"/>
              </w:rPr>
              <w:t xml:space="preserve">Counterparty’s Telephone Number </w:t>
              <w:br/>
            </w:r>
            <w:r>
              <w:rPr/>
              <w:t>and Telex and/or Facsimile Number</w:t>
              <w:br/>
              <w:t>and Contact Details for purpose of Giving Notice:</w:t>
            </w:r>
          </w:p>
        </w:tc>
        <w:tc>
          <w:tcPr>
            <w:tcW w:w="8604" w:type="dxa"/>
            <w:tcBorders/>
            <w:vAlign w:val="center"/>
          </w:tcPr>
          <w:p>
            <w:pPr>
              <w:pStyle w:val="TableContents"/>
              <w:bidi w:val="0"/>
              <w:spacing w:before="0" w:after="283"/>
              <w:ind w:left="0" w:right="0" w:firstLine="720"/>
              <w:jc w:val="left"/>
              <w:rPr>
                <w:rFonts w:ascii="Times New Roman;Times;Serif" w:hAnsi="Times New Roman;Times;Serif"/>
                <w:sz w:val="20"/>
              </w:rPr>
            </w:pPr>
            <w:r>
              <w:rPr>
                <w:rFonts w:ascii="Times New Roman;Times;Serif" w:hAnsi="Times New Roman;Times;Serif"/>
                <w:sz w:val="20"/>
              </w:rPr>
              <w:t>As provided in Section 6(a) below. </w:t>
            </w:r>
          </w:p>
        </w:tc>
      </w:tr>
      <w:tr>
        <w:trPr/>
        <w:tc>
          <w:tcPr>
            <w:tcW w:w="1601" w:type="dxa"/>
            <w:tcBorders/>
            <w:vAlign w:val="center"/>
          </w:tcPr>
          <w:p>
            <w:pPr>
              <w:pStyle w:val="TableContents"/>
              <w:bidi w:val="0"/>
              <w:spacing w:before="0" w:after="283"/>
              <w:jc w:val="left"/>
              <w:rPr/>
            </w:pPr>
            <w:r>
              <w:rPr/>
              <w:t> </w:t>
            </w:r>
          </w:p>
        </w:tc>
        <w:tc>
          <w:tcPr>
            <w:tcW w:w="8604" w:type="dxa"/>
            <w:tcBorders/>
            <w:vAlign w:val="center"/>
          </w:tcPr>
          <w:p>
            <w:pPr>
              <w:pStyle w:val="TableContents"/>
              <w:bidi w:val="0"/>
              <w:spacing w:before="0" w:after="283"/>
              <w:jc w:val="left"/>
              <w:rPr/>
            </w:pPr>
            <w:r>
              <w:rPr/>
              <w:t> </w:t>
            </w:r>
          </w:p>
        </w:tc>
      </w:tr>
      <w:tr>
        <w:trPr/>
        <w:tc>
          <w:tcPr>
            <w:tcW w:w="16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Terms:</w:t>
            </w:r>
          </w:p>
        </w:tc>
        <w:tc>
          <w:tcPr>
            <w:tcW w:w="8604" w:type="dxa"/>
            <w:tcBorders/>
            <w:vAlign w:val="center"/>
          </w:tcPr>
          <w:p>
            <w:pPr>
              <w:pStyle w:val="TableContents"/>
              <w:bidi w:val="0"/>
              <w:spacing w:before="0" w:after="283"/>
              <w:ind w:left="0" w:right="0" w:firstLine="720"/>
              <w:jc w:val="both"/>
              <w:rPr/>
            </w:pPr>
            <w:r>
              <w:rPr/>
              <w:t> </w:t>
            </w:r>
          </w:p>
        </w:tc>
      </w:tr>
      <w:tr>
        <w:trPr/>
        <w:tc>
          <w:tcPr>
            <w:tcW w:w="1601" w:type="dxa"/>
            <w:tcBorders/>
            <w:vAlign w:val="center"/>
          </w:tcPr>
          <w:p>
            <w:pPr>
              <w:pStyle w:val="TableContents"/>
              <w:bidi w:val="0"/>
              <w:spacing w:before="0" w:after="283"/>
              <w:jc w:val="left"/>
              <w:rPr/>
            </w:pPr>
            <w:r>
              <w:rPr/>
              <w:t> </w:t>
            </w:r>
          </w:p>
        </w:tc>
        <w:tc>
          <w:tcPr>
            <w:tcW w:w="8604" w:type="dxa"/>
            <w:tcBorders/>
            <w:vAlign w:val="center"/>
          </w:tcPr>
          <w:p>
            <w:pPr>
              <w:pStyle w:val="TableContents"/>
              <w:bidi w:val="0"/>
              <w:spacing w:before="0" w:after="283"/>
              <w:ind w:left="0" w:right="0" w:firstLine="360"/>
              <w:jc w:val="left"/>
              <w:rPr/>
            </w:pPr>
            <w:r>
              <w:rPr/>
              <w:t> </w:t>
            </w:r>
          </w:p>
        </w:tc>
      </w:tr>
      <w:tr>
        <w:trPr/>
        <w:tc>
          <w:tcPr>
            <w:tcW w:w="1601"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In respect of any Component:</w:t>
            </w:r>
          </w:p>
        </w:tc>
        <w:tc>
          <w:tcPr>
            <w:tcW w:w="8604" w:type="dxa"/>
            <w:tcBorders/>
            <w:vAlign w:val="center"/>
          </w:tcPr>
          <w:p>
            <w:pPr>
              <w:pStyle w:val="TableContents"/>
              <w:bidi w:val="0"/>
              <w:spacing w:before="0" w:after="283"/>
              <w:ind w:left="0" w:right="0" w:firstLine="720"/>
              <w:jc w:val="both"/>
              <w:rPr/>
            </w:pPr>
            <w:r>
              <w:rPr/>
              <w:t> </w:t>
            </w:r>
          </w:p>
        </w:tc>
      </w:tr>
      <w:tr>
        <w:trPr/>
        <w:tc>
          <w:tcPr>
            <w:tcW w:w="1601" w:type="dxa"/>
            <w:tcBorders/>
            <w:vAlign w:val="center"/>
          </w:tcPr>
          <w:p>
            <w:pPr>
              <w:pStyle w:val="TableContents"/>
              <w:bidi w:val="0"/>
              <w:spacing w:before="0" w:after="283"/>
              <w:jc w:val="left"/>
              <w:rPr/>
            </w:pPr>
            <w:r>
              <w:rPr/>
              <w:t> </w:t>
            </w:r>
          </w:p>
        </w:tc>
        <w:tc>
          <w:tcPr>
            <w:tcW w:w="8604" w:type="dxa"/>
            <w:tcBorders/>
            <w:vAlign w:val="center"/>
          </w:tcPr>
          <w:p>
            <w:pPr>
              <w:pStyle w:val="TableContents"/>
              <w:bidi w:val="0"/>
              <w:spacing w:before="0" w:after="283"/>
              <w:ind w:left="0" w:right="0" w:firstLine="720"/>
              <w:jc w:val="left"/>
              <w:rPr/>
            </w:pPr>
            <w:r>
              <w:rPr/>
              <w:t> </w:t>
            </w:r>
          </w:p>
        </w:tc>
      </w:tr>
      <w:tr>
        <w:trPr/>
        <w:tc>
          <w:tcPr>
            <w:tcW w:w="16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Currency:</w:t>
            </w:r>
          </w:p>
        </w:tc>
        <w:tc>
          <w:tcPr>
            <w:tcW w:w="8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2"/>
        <w:gridCol w:w="8373"/>
      </w:tblGrid>
      <w:tr>
        <w:trPr/>
        <w:tc>
          <w:tcPr>
            <w:tcW w:w="1832" w:type="dxa"/>
            <w:tcBorders/>
            <w:vAlign w:val="center"/>
          </w:tcPr>
          <w:p>
            <w:pPr>
              <w:pStyle w:val="TableContents"/>
              <w:bidi w:val="0"/>
              <w:spacing w:before="0" w:after="283"/>
              <w:ind w:left="0" w:right="0" w:firstLine="720"/>
              <w:jc w:val="left"/>
              <w:rPr/>
            </w:pPr>
            <w:r>
              <w:rPr/>
              <w:t>Net Share Settlement:</w:t>
            </w:r>
          </w:p>
        </w:tc>
        <w:tc>
          <w:tcPr>
            <w:tcW w:w="8373" w:type="dxa"/>
            <w:tcBorders/>
            <w:vAlign w:val="center"/>
          </w:tcPr>
          <w:p>
            <w:pPr>
              <w:pStyle w:val="TableContents"/>
              <w:bidi w:val="0"/>
              <w:spacing w:before="0" w:after="283"/>
              <w:jc w:val="both"/>
              <w:rPr/>
            </w:pPr>
            <w:r>
              <w:rPr/>
              <w:t>On each Settlement Date, Counterparty shall deliver to Dealer a number of Shares equal to the Number of Shares to be Delivered for such Settlement Date to the account specified by Dealer and cash in lieu of any fractional Share valued at the Relevant Price on the Valuation Date corresponding to such Settlement Date. If, in the reasonable opinion of Dealer, based on advice of counsel, for any reason, the Shares deliverable upon Net Share Settlement would not be immediately freely transferable by Dealer under Rule 144 under the Securities Act of 1933, as amended (the “</w:t>
            </w:r>
            <w:r>
              <w:rPr>
                <w:b/>
              </w:rPr>
              <w:t>Securities Act</w:t>
            </w:r>
            <w:r>
              <w:rPr/>
              <w:t>”), then Dealer may elect to either (x) accept delivery of such Shares notwithstanding any restriction on transfer or (y) have the provisions set forth in Section 8(c) below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both"/>
              <w:rPr/>
            </w:pPr>
            <w:r>
              <w:rPr/>
              <w:t> </w:t>
            </w:r>
          </w:p>
        </w:tc>
        <w:tc>
          <w:tcPr>
            <w:tcW w:w="10145" w:type="dxa"/>
            <w:tcBorders/>
            <w:vAlign w:val="center"/>
          </w:tcPr>
          <w:p>
            <w:pPr>
              <w:pStyle w:val="TableContents"/>
              <w:bidi w:val="0"/>
              <w:spacing w:before="0" w:after="283"/>
              <w:jc w:val="both"/>
              <w:rPr/>
            </w:pPr>
            <w:r>
              <w:rPr/>
              <w:t>The Number of Shares to be Delivered shall be delivered by Counterparty to Dealer no later than 12:00 noon (local time in New York City) on the relevant Settlement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2"/>
        <w:gridCol w:w="8033"/>
      </w:tblGrid>
      <w:tr>
        <w:trPr/>
        <w:tc>
          <w:tcPr>
            <w:tcW w:w="2172" w:type="dxa"/>
            <w:tcBorders/>
            <w:vAlign w:val="center"/>
          </w:tcPr>
          <w:p>
            <w:pPr>
              <w:pStyle w:val="TableContents"/>
              <w:bidi w:val="0"/>
              <w:spacing w:before="0" w:after="283"/>
              <w:ind w:left="0" w:right="0" w:firstLine="720"/>
              <w:jc w:val="left"/>
              <w:rPr/>
            </w:pPr>
            <w:r>
              <w:rPr/>
              <w:t>Number of Shares to be Delivered:</w:t>
            </w:r>
          </w:p>
        </w:tc>
        <w:tc>
          <w:tcPr>
            <w:tcW w:w="8033" w:type="dxa"/>
            <w:tcBorders/>
            <w:vAlign w:val="center"/>
          </w:tcPr>
          <w:p>
            <w:pPr>
              <w:pStyle w:val="TableContents"/>
              <w:bidi w:val="0"/>
              <w:spacing w:before="0" w:after="283"/>
              <w:jc w:val="both"/>
              <w:rPr/>
            </w:pPr>
            <w:r>
              <w:rPr/>
              <w:t xml:space="preserve">In respect of any Exercise Date, the product of (i) the number of Warrants exercised or deemed exercised on such Exercise Date, (ii) the Warrant Entitlement and (iii) (A) the excess of the VWAP Price on the Valuation Date occurring in respect of such Exercise Date over the Strike Price (or, if there is no such excess, zero) </w:t>
            </w:r>
            <w:r>
              <w:rPr>
                <w:i/>
              </w:rPr>
              <w:t>divided by</w:t>
            </w:r>
            <w:r>
              <w:rPr/>
              <w:t xml:space="preserve"> (B) such VWAP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5"/>
        <w:gridCol w:w="8690"/>
      </w:tblGrid>
      <w:tr>
        <w:trPr/>
        <w:tc>
          <w:tcPr>
            <w:tcW w:w="1515" w:type="dxa"/>
            <w:tcBorders/>
            <w:vAlign w:val="center"/>
          </w:tcPr>
          <w:p>
            <w:pPr>
              <w:pStyle w:val="TableContents"/>
              <w:bidi w:val="0"/>
              <w:spacing w:before="0" w:after="283"/>
              <w:ind w:left="0" w:right="0" w:firstLine="720"/>
              <w:jc w:val="left"/>
              <w:rPr/>
            </w:pPr>
            <w:r>
              <w:rPr/>
              <w:t>VWAP Price:</w:t>
            </w:r>
          </w:p>
        </w:tc>
        <w:tc>
          <w:tcPr>
            <w:tcW w:w="8690" w:type="dxa"/>
            <w:tcBorders/>
            <w:vAlign w:val="center"/>
          </w:tcPr>
          <w:p>
            <w:pPr>
              <w:pStyle w:val="TableContents"/>
              <w:bidi w:val="0"/>
              <w:spacing w:before="0" w:after="283"/>
              <w:jc w:val="both"/>
              <w:rPr/>
            </w:pPr>
            <w:r>
              <w:rPr/>
              <w:t>For any Exchange Business Day, as determined by the Calculation Agent based on the New York Volume Weighted Average Price per Share for the regular trading session (including any extensions thereof) of the Exchange on such Exchange Business Day (without regard to pre-open or after hours trading outside of such regular trading session), as published by Bloomberg at 4:15 P.M., New York City time (or 15 minutes following the end of any extension of the regular trading session), on such Exchange Business Day, on Bloomberg page “WGO.N &lt;Equity&gt; AQR” (or any successor thereto) (or if such published volume weighted average price is unavailable or is manifestly incorrect, the market value of one Share on such Exchange Business Day, as determined by the Calculation Agent using, if practicable, a volume weighted method).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9"/>
        <w:gridCol w:w="8176"/>
      </w:tblGrid>
      <w:tr>
        <w:trPr/>
        <w:tc>
          <w:tcPr>
            <w:tcW w:w="2029" w:type="dxa"/>
            <w:tcBorders/>
            <w:vAlign w:val="center"/>
          </w:tcPr>
          <w:p>
            <w:pPr>
              <w:pStyle w:val="TableContents"/>
              <w:bidi w:val="0"/>
              <w:spacing w:before="0" w:after="283"/>
              <w:ind w:left="0" w:right="0" w:firstLine="720"/>
              <w:jc w:val="left"/>
              <w:rPr/>
            </w:pPr>
            <w:r>
              <w:rPr/>
              <w:t>Other Applicable Provisions:</w:t>
            </w:r>
          </w:p>
        </w:tc>
        <w:tc>
          <w:tcPr>
            <w:tcW w:w="8176" w:type="dxa"/>
            <w:tcBorders/>
            <w:vAlign w:val="center"/>
          </w:tcPr>
          <w:p>
            <w:pPr>
              <w:pStyle w:val="TableContents"/>
              <w:bidi w:val="0"/>
              <w:spacing w:before="0" w:after="283"/>
              <w:jc w:val="both"/>
              <w:rPr/>
            </w:pPr>
            <w:r>
              <w:rPr/>
              <w:t xml:space="preserve">The provisions of Sections 9.1(c), 9.4, 9.8, 9.9, 9.10, 9.11 and 9.12 of the Equity Definitions will be applicable as if “Physical Settlement” applied to the Transaction; </w:t>
            </w:r>
            <w:r>
              <w:rPr>
                <w:i/>
              </w:rPr>
              <w:t>provided</w:t>
            </w:r>
            <w:r>
              <w:rPr/>
              <w:t xml:space="preserve">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of the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respect of any Component: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4"/>
        <w:gridCol w:w="8061"/>
      </w:tblGrid>
      <w:tr>
        <w:trPr/>
        <w:tc>
          <w:tcPr>
            <w:tcW w:w="2144" w:type="dxa"/>
            <w:tcBorders/>
            <w:vAlign w:val="center"/>
          </w:tcPr>
          <w:p>
            <w:pPr>
              <w:pStyle w:val="TableContents"/>
              <w:bidi w:val="0"/>
              <w:spacing w:before="0" w:after="283"/>
              <w:ind w:left="0" w:right="0" w:firstLine="720"/>
              <w:jc w:val="left"/>
              <w:rPr/>
            </w:pPr>
            <w:r>
              <w:rPr/>
              <w:t>Method of Adjustment:</w:t>
            </w:r>
          </w:p>
        </w:tc>
        <w:tc>
          <w:tcPr>
            <w:tcW w:w="8061" w:type="dxa"/>
            <w:tcBorders/>
            <w:vAlign w:val="center"/>
          </w:tcPr>
          <w:p>
            <w:pPr>
              <w:pStyle w:val="TableContents"/>
              <w:bidi w:val="0"/>
              <w:spacing w:before="0" w:after="283"/>
              <w:jc w:val="both"/>
              <w:rPr/>
            </w:pPr>
            <w:r>
              <w:rPr/>
              <w:t>Calculation Agent Adjustment. For the avoidance of doubt, Calculation Agent Adjustment shall continue to apply until the obligations of the parties (including any obligations of Counterparty pursuant to Section 8(f) below) under the Transaction have been satisfied in full.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3"/>
        <w:gridCol w:w="8042"/>
      </w:tblGrid>
      <w:tr>
        <w:trPr/>
        <w:tc>
          <w:tcPr>
            <w:tcW w:w="2163" w:type="dxa"/>
            <w:tcBorders/>
            <w:vAlign w:val="center"/>
          </w:tcPr>
          <w:p>
            <w:pPr>
              <w:pStyle w:val="TableContents"/>
              <w:bidi w:val="0"/>
              <w:spacing w:before="0" w:after="283"/>
              <w:ind w:left="0" w:right="0" w:firstLine="720"/>
              <w:jc w:val="left"/>
              <w:rPr/>
            </w:pPr>
            <w:r>
              <w:rPr/>
              <w:t>Extraordinary Dividend:</w:t>
            </w:r>
          </w:p>
        </w:tc>
        <w:tc>
          <w:tcPr>
            <w:tcW w:w="8042" w:type="dxa"/>
            <w:tcBorders/>
            <w:vAlign w:val="center"/>
          </w:tcPr>
          <w:p>
            <w:pPr>
              <w:pStyle w:val="TableContents"/>
              <w:bidi w:val="0"/>
              <w:spacing w:before="0" w:after="283"/>
              <w:jc w:val="both"/>
              <w:rPr/>
            </w:pPr>
            <w:r>
              <w:rPr/>
              <w:t>For any regular dividend period of Counterparty, any dividend or distribution on the Shares with an ex-dividend date occurring during such regular dividend period (other than any dividend or distribution of the type described in Section 11.2(e)(i) or Section 11.2(e)(ii)(A) of the Equity Definitions) (a “</w:t>
            </w:r>
            <w:r>
              <w:rPr>
                <w:b/>
              </w:rPr>
              <w:t>Dividend</w:t>
            </w:r>
            <w:r>
              <w:rPr/>
              <w:t>”) the amount or value of which (as determined by the Calculation Agent), when aggregated with the amount or value (as determined by the Calculation Agent) of any and all previous Dividends with ex-dividend dates occurring in the same regular dividend period, exceeds the Ordinary Dividend Amount.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6"/>
        <w:gridCol w:w="8109"/>
      </w:tblGrid>
      <w:tr>
        <w:trPr/>
        <w:tc>
          <w:tcPr>
            <w:tcW w:w="2096" w:type="dxa"/>
            <w:tcBorders/>
            <w:vAlign w:val="center"/>
          </w:tcPr>
          <w:p>
            <w:pPr>
              <w:pStyle w:val="TableContents"/>
              <w:bidi w:val="0"/>
              <w:spacing w:before="0" w:after="283"/>
              <w:ind w:left="0" w:right="0" w:firstLine="720"/>
              <w:jc w:val="left"/>
              <w:rPr/>
            </w:pPr>
            <w:r>
              <w:rPr/>
              <w:t>Ordinary Dividend Amount:</w:t>
            </w:r>
          </w:p>
        </w:tc>
        <w:tc>
          <w:tcPr>
            <w:tcW w:w="8109" w:type="dxa"/>
            <w:tcBorders/>
            <w:vAlign w:val="center"/>
          </w:tcPr>
          <w:p>
            <w:pPr>
              <w:pStyle w:val="TableContents"/>
              <w:bidi w:val="0"/>
              <w:spacing w:before="0" w:after="283"/>
              <w:jc w:val="both"/>
              <w:rPr/>
            </w:pPr>
            <w:r>
              <w:rPr/>
              <w:t>For the first Dividend on the Shares for which the ex-dividend date occurs during any regular quarterly dividend period of Counterparty, USD 0.31, and for any other Dividend on the Shares for which the ex-dividend date occurs during the same regular quarterly dividend period, USD 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Extraordinary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0"/>
        <w:gridCol w:w="8735"/>
      </w:tblGrid>
      <w:tr>
        <w:trPr/>
        <w:tc>
          <w:tcPr>
            <w:tcW w:w="1470" w:type="dxa"/>
            <w:tcBorders/>
            <w:vAlign w:val="center"/>
          </w:tcPr>
          <w:p>
            <w:pPr>
              <w:pStyle w:val="TableContents"/>
              <w:bidi w:val="0"/>
              <w:spacing w:before="0" w:after="283"/>
              <w:ind w:left="0" w:right="0" w:firstLine="720"/>
              <w:jc w:val="left"/>
              <w:rPr/>
            </w:pPr>
            <w:r>
              <w:rPr/>
              <w:t>New Shares:</w:t>
            </w:r>
          </w:p>
        </w:tc>
        <w:tc>
          <w:tcPr>
            <w:tcW w:w="8735" w:type="dxa"/>
            <w:tcBorders/>
            <w:vAlign w:val="center"/>
          </w:tcPr>
          <w:p>
            <w:pPr>
              <w:pStyle w:val="TableContents"/>
              <w:bidi w:val="0"/>
              <w:spacing w:before="0" w:after="283"/>
              <w:jc w:val="both"/>
              <w:rPr/>
            </w:pPr>
            <w:r>
              <w:rPr/>
              <w:t>In the definition of New Shares in Section 12.1(i) of the Equity Definitions, the text in clause (i) thereof shall be deleted in its entirety and replaced with “publicly quoted, traded or listed on any of The New York Stock Exchange, The NASDAQ Global Market or The NASDAQ Global Select Market (or their respective successors) and of an entity or person that is a corporation organized under the laws of the United States, any State thereof or the District of Columbia”.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3"/>
        <w:gridCol w:w="8742"/>
      </w:tblGrid>
      <w:tr>
        <w:trPr/>
        <w:tc>
          <w:tcPr>
            <w:tcW w:w="1463" w:type="dxa"/>
            <w:tcBorders/>
            <w:vAlign w:val="center"/>
          </w:tcPr>
          <w:p>
            <w:pPr>
              <w:pStyle w:val="TableContents"/>
              <w:bidi w:val="0"/>
              <w:spacing w:before="0" w:after="283"/>
              <w:ind w:left="0" w:right="0" w:firstLine="720"/>
              <w:jc w:val="left"/>
              <w:rPr>
                <w:rFonts w:ascii="Times New Roman;Times;Serif" w:hAnsi="Times New Roman;Times;Serif"/>
                <w:sz w:val="20"/>
              </w:rPr>
            </w:pPr>
            <w:r>
              <w:rPr>
                <w:rFonts w:ascii="Times New Roman;Times;Serif" w:hAnsi="Times New Roman;Times;Serif"/>
                <w:sz w:val="20"/>
              </w:rPr>
              <w:t>Merger Event:</w:t>
            </w:r>
          </w:p>
        </w:tc>
        <w:tc>
          <w:tcPr>
            <w:tcW w:w="8742" w:type="dxa"/>
            <w:tcBorders/>
            <w:vAlign w:val="center"/>
          </w:tcPr>
          <w:p>
            <w:pPr>
              <w:pStyle w:val="TableContents"/>
              <w:bidi w:val="0"/>
              <w:spacing w:before="0" w:after="283"/>
              <w:jc w:val="both"/>
              <w:rPr/>
            </w:pPr>
            <w:r>
              <w:rPr/>
              <w:t xml:space="preserve">Applicable; </w:t>
            </w:r>
            <w:r>
              <w:rPr>
                <w:i/>
              </w:rPr>
              <w:t>provided</w:t>
            </w:r>
            <w:r>
              <w:rPr/>
              <w:t xml:space="preserve"> that if an event occurs that constitutes both a Merger Event under Section 12.1(b) of the Equity Definitions and an Additional Termination Event under Section 8(k)(iv) of this Confirmation, Dealer may elect, in its sole discretion, whether the provisions of Section 12.2 of the Equity Definitions or Section 8(k)(iv) will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Merger Events:</w:t>
      </w:r>
    </w:p>
    <w:p>
      <w:pPr>
        <w:pStyle w:val="TextBody"/>
        <w:bidi w:val="0"/>
        <w:spacing w:before="0" w:after="0"/>
        <w:ind w:left="0" w:right="0" w:hanging="0"/>
        <w:jc w:val="left"/>
        <w:rPr>
          <w:caps w:val="false"/>
          <w:smallCaps w:val="false"/>
        </w:rPr>
      </w:pPr>
      <w:r>
        <w:rPr>
          <w:caps w:val="false"/>
          <w:smallCaps w:val="false"/>
        </w:rPr>
        <w:t> </w:t>
      </w:r>
    </w:p>
    <w:tbl>
      <w:tblPr>
        <w:tblW w:w="5738" w:type="dxa"/>
        <w:jc w:val="left"/>
        <w:tblInd w:w="0" w:type="dxa"/>
        <w:tblLayout w:type="fixed"/>
        <w:tblCellMar>
          <w:top w:w="0" w:type="dxa"/>
          <w:left w:w="0" w:type="dxa"/>
          <w:bottom w:w="0" w:type="dxa"/>
          <w:right w:w="0" w:type="dxa"/>
        </w:tblCellMar>
      </w:tblPr>
      <w:tblGrid>
        <w:gridCol w:w="38"/>
        <w:gridCol w:w="275"/>
        <w:gridCol w:w="158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580" w:type="dxa"/>
            <w:tcBorders/>
            <w:vAlign w:val="center"/>
          </w:tcPr>
          <w:p>
            <w:pPr>
              <w:pStyle w:val="TableContents"/>
              <w:bidi w:val="0"/>
              <w:spacing w:before="0" w:after="283"/>
              <w:jc w:val="both"/>
              <w:rPr/>
            </w:pPr>
            <w:r>
              <w:rPr/>
              <w:t>Share-for-Share:</w:t>
              <w:tab/>
            </w:r>
          </w:p>
        </w:tc>
        <w:tc>
          <w:tcPr>
            <w:tcW w:w="3845" w:type="dxa"/>
            <w:tcBorders/>
            <w:vAlign w:val="center"/>
          </w:tcPr>
          <w:p>
            <w:pPr>
              <w:pStyle w:val="TableContents"/>
              <w:bidi w:val="0"/>
              <w:spacing w:before="0" w:after="283"/>
              <w:jc w:val="both"/>
              <w:rPr/>
            </w:pPr>
            <w:r>
              <w:rPr/>
              <w:t>Modified Calculation Agent Adjustment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1552"/>
        <w:gridCol w:w="8359"/>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1552" w:type="dxa"/>
            <w:tcBorders/>
            <w:vAlign w:val="center"/>
          </w:tcPr>
          <w:p>
            <w:pPr>
              <w:pStyle w:val="TableContents"/>
              <w:bidi w:val="0"/>
              <w:spacing w:before="0" w:after="283"/>
              <w:jc w:val="both"/>
              <w:rPr/>
            </w:pPr>
            <w:r>
              <w:rPr/>
              <w:t>Share-for-Other:</w:t>
              <w:tab/>
            </w:r>
          </w:p>
        </w:tc>
        <w:tc>
          <w:tcPr>
            <w:tcW w:w="8359" w:type="dxa"/>
            <w:tcBorders/>
            <w:vAlign w:val="center"/>
          </w:tcPr>
          <w:p>
            <w:pPr>
              <w:pStyle w:val="TableContents"/>
              <w:bidi w:val="0"/>
              <w:spacing w:before="0" w:after="283"/>
              <w:jc w:val="both"/>
              <w:rPr/>
            </w:pPr>
            <w:r>
              <w:rPr/>
              <w:t xml:space="preserve">Cancellation and Payment (Calculation Agent Determination); </w:t>
            </w:r>
            <w:r>
              <w:rPr>
                <w:i/>
              </w:rPr>
              <w:t xml:space="preserve">provided </w:t>
            </w:r>
            <w:r>
              <w:rPr/>
              <w:t>that Dealer may elect, in its sole discretion, that Modified Calculation Agent</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525" w:type="dxa"/>
        <w:jc w:val="left"/>
        <w:tblInd w:w="0" w:type="dxa"/>
        <w:tblLayout w:type="fixed"/>
        <w:tblCellMar>
          <w:top w:w="0" w:type="dxa"/>
          <w:left w:w="0" w:type="dxa"/>
          <w:bottom w:w="0" w:type="dxa"/>
          <w:right w:w="0" w:type="dxa"/>
        </w:tblCellMar>
      </w:tblPr>
      <w:tblGrid>
        <w:gridCol w:w="75"/>
        <w:gridCol w:w="60"/>
        <w:gridCol w:w="60"/>
        <w:gridCol w:w="533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330" w:type="dxa"/>
            <w:tcBorders/>
            <w:vAlign w:val="center"/>
          </w:tcPr>
          <w:p>
            <w:pPr>
              <w:pStyle w:val="TableContents"/>
              <w:bidi w:val="0"/>
              <w:spacing w:before="0" w:after="283"/>
              <w:jc w:val="both"/>
              <w:rPr/>
            </w:pPr>
            <w:r>
              <w:rPr/>
              <w:t>Adjustment shall apply for all or part of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1989"/>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(c)</w:t>
            </w:r>
          </w:p>
        </w:tc>
        <w:tc>
          <w:tcPr>
            <w:tcW w:w="1989" w:type="dxa"/>
            <w:tcBorders/>
            <w:vAlign w:val="center"/>
          </w:tcPr>
          <w:p>
            <w:pPr>
              <w:pStyle w:val="TableContents"/>
              <w:bidi w:val="0"/>
              <w:spacing w:before="0" w:after="283"/>
              <w:jc w:val="both"/>
              <w:rPr/>
            </w:pPr>
            <w:r>
              <w:rPr/>
              <w:t>Share-for-Combined:</w:t>
              <w:tab/>
            </w:r>
          </w:p>
        </w:tc>
        <w:tc>
          <w:tcPr>
            <w:tcW w:w="7955" w:type="dxa"/>
            <w:tcBorders/>
            <w:vAlign w:val="center"/>
          </w:tcPr>
          <w:p>
            <w:pPr>
              <w:pStyle w:val="TableContents"/>
              <w:bidi w:val="0"/>
              <w:spacing w:before="0" w:after="283"/>
              <w:jc w:val="both"/>
              <w:rPr/>
            </w:pPr>
            <w:r>
              <w:rPr/>
              <w:t xml:space="preserve">Cancellation and Payment (Calculation Agent Determination); </w:t>
            </w:r>
            <w:r>
              <w:rPr>
                <w:i/>
              </w:rPr>
              <w:t>provided</w:t>
            </w:r>
            <w:r>
              <w:rPr/>
              <w:t xml:space="preserve"> that Dealer may elect, in its sole discretion, that Modified Calculation Agent Adjustment or Component Adjustment shall apply for all or part of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2"/>
        <w:gridCol w:w="8773"/>
      </w:tblGrid>
      <w:tr>
        <w:trPr/>
        <w:tc>
          <w:tcPr>
            <w:tcW w:w="1432" w:type="dxa"/>
            <w:tcBorders/>
            <w:vAlign w:val="center"/>
          </w:tcPr>
          <w:p>
            <w:pPr>
              <w:pStyle w:val="TableContents"/>
              <w:bidi w:val="0"/>
              <w:spacing w:before="0" w:after="283"/>
              <w:ind w:left="0" w:right="0" w:firstLine="720"/>
              <w:jc w:val="left"/>
              <w:rPr>
                <w:rFonts w:ascii="Times New Roman;Times;Serif" w:hAnsi="Times New Roman;Times;Serif"/>
                <w:sz w:val="20"/>
              </w:rPr>
            </w:pPr>
            <w:r>
              <w:rPr>
                <w:rFonts w:ascii="Times New Roman;Times;Serif" w:hAnsi="Times New Roman;Times;Serif"/>
                <w:sz w:val="20"/>
              </w:rPr>
              <w:t>Tender Offer:</w:t>
            </w:r>
          </w:p>
        </w:tc>
        <w:tc>
          <w:tcPr>
            <w:tcW w:w="8773" w:type="dxa"/>
            <w:tcBorders/>
            <w:vAlign w:val="center"/>
          </w:tcPr>
          <w:p>
            <w:pPr>
              <w:pStyle w:val="TableContents"/>
              <w:bidi w:val="0"/>
              <w:spacing w:before="0" w:after="283"/>
              <w:jc w:val="both"/>
              <w:rPr/>
            </w:pPr>
            <w:r>
              <w:rPr>
                <w:rFonts w:ascii="Times New Roman;Times;Serif" w:hAnsi="Times New Roman;Times;Serif"/>
                <w:sz w:val="20"/>
              </w:rPr>
              <w:t>Applicable;</w:t>
            </w:r>
            <w:r>
              <w:rPr/>
              <w:t xml:space="preserve"> </w:t>
            </w:r>
            <w:r>
              <w:rPr>
                <w:i/>
              </w:rPr>
              <w:t xml:space="preserve">provided </w:t>
            </w:r>
            <w:r>
              <w:rPr/>
              <w:t>that if an event occurs that constitutes both a Tender Offer under Section 12.1(d) of the Equity Definitions and an Additional Termination Event under Section 8(k)(iii) of this Confirmation, Dealer may elect, in its sole discretion, whether the provisions of Section 12.3 of the Equity Definitions or Section 8(k)(iii) will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Tender Offers:</w:t>
      </w:r>
    </w:p>
    <w:p>
      <w:pPr>
        <w:pStyle w:val="TextBody"/>
        <w:bidi w:val="0"/>
        <w:spacing w:before="0" w:after="0"/>
        <w:ind w:left="0" w:right="0" w:hanging="0"/>
        <w:jc w:val="left"/>
        <w:rPr>
          <w:caps w:val="false"/>
          <w:smallCaps w:val="false"/>
        </w:rPr>
      </w:pPr>
      <w:r>
        <w:rPr>
          <w:caps w:val="false"/>
          <w:smallCaps w:val="false"/>
        </w:rPr>
        <w:t> </w:t>
      </w:r>
    </w:p>
    <w:tbl>
      <w:tblPr>
        <w:tblW w:w="5738" w:type="dxa"/>
        <w:jc w:val="left"/>
        <w:tblInd w:w="0" w:type="dxa"/>
        <w:tblLayout w:type="fixed"/>
        <w:tblCellMar>
          <w:top w:w="0" w:type="dxa"/>
          <w:left w:w="0" w:type="dxa"/>
          <w:bottom w:w="0" w:type="dxa"/>
          <w:right w:w="0" w:type="dxa"/>
        </w:tblCellMar>
      </w:tblPr>
      <w:tblGrid>
        <w:gridCol w:w="38"/>
        <w:gridCol w:w="275"/>
        <w:gridCol w:w="158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580" w:type="dxa"/>
            <w:tcBorders/>
            <w:vAlign w:val="center"/>
          </w:tcPr>
          <w:p>
            <w:pPr>
              <w:pStyle w:val="TableContents"/>
              <w:bidi w:val="0"/>
              <w:spacing w:before="0" w:after="283"/>
              <w:jc w:val="both"/>
              <w:rPr/>
            </w:pPr>
            <w:r>
              <w:rPr/>
              <w:t>Share-for-Share:</w:t>
            </w:r>
          </w:p>
        </w:tc>
        <w:tc>
          <w:tcPr>
            <w:tcW w:w="3845" w:type="dxa"/>
            <w:tcBorders/>
            <w:vAlign w:val="center"/>
          </w:tcPr>
          <w:p>
            <w:pPr>
              <w:pStyle w:val="TableContents"/>
              <w:bidi w:val="0"/>
              <w:spacing w:before="0" w:after="283"/>
              <w:jc w:val="both"/>
              <w:rPr/>
            </w:pPr>
            <w:r>
              <w:rPr/>
              <w:t>Modified Calculation Agent Adjustment</w:t>
            </w:r>
          </w:p>
        </w:tc>
      </w:tr>
    </w:tbl>
    <w:p>
      <w:pPr>
        <w:pStyle w:val="TextBody"/>
        <w:bidi w:val="0"/>
        <w:spacing w:before="0" w:after="0"/>
        <w:ind w:left="0" w:right="0" w:hanging="0"/>
        <w:jc w:val="left"/>
        <w:rPr>
          <w:caps w:val="false"/>
          <w:smallCaps w:val="false"/>
        </w:rPr>
      </w:pPr>
      <w:r>
        <w:rPr>
          <w:caps w:val="false"/>
          <w:smallCaps w:val="false"/>
        </w:rPr>
        <w:t> </w:t>
      </w:r>
    </w:p>
    <w:tbl>
      <w:tblPr>
        <w:tblW w:w="5753" w:type="dxa"/>
        <w:jc w:val="left"/>
        <w:tblInd w:w="0" w:type="dxa"/>
        <w:tblLayout w:type="fixed"/>
        <w:tblCellMar>
          <w:top w:w="0" w:type="dxa"/>
          <w:left w:w="0" w:type="dxa"/>
          <w:bottom w:w="0" w:type="dxa"/>
          <w:right w:w="0" w:type="dxa"/>
        </w:tblCellMar>
      </w:tblPr>
      <w:tblGrid>
        <w:gridCol w:w="38"/>
        <w:gridCol w:w="290"/>
        <w:gridCol w:w="158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580" w:type="dxa"/>
            <w:tcBorders/>
            <w:vAlign w:val="center"/>
          </w:tcPr>
          <w:p>
            <w:pPr>
              <w:pStyle w:val="TableContents"/>
              <w:bidi w:val="0"/>
              <w:spacing w:before="0" w:after="283"/>
              <w:jc w:val="both"/>
              <w:rPr/>
            </w:pPr>
            <w:r>
              <w:rPr/>
              <w:t>Share-for-Other:</w:t>
            </w:r>
          </w:p>
        </w:tc>
        <w:tc>
          <w:tcPr>
            <w:tcW w:w="3845" w:type="dxa"/>
            <w:tcBorders/>
            <w:vAlign w:val="center"/>
          </w:tcPr>
          <w:p>
            <w:pPr>
              <w:pStyle w:val="TableContents"/>
              <w:bidi w:val="0"/>
              <w:spacing w:before="0" w:after="283"/>
              <w:jc w:val="both"/>
              <w:rPr/>
            </w:pPr>
            <w:r>
              <w:rPr/>
              <w:t>Modified Calculation Agent Adjustment</w:t>
            </w:r>
          </w:p>
        </w:tc>
      </w:tr>
    </w:tbl>
    <w:p>
      <w:pPr>
        <w:pStyle w:val="TextBody"/>
        <w:bidi w:val="0"/>
        <w:spacing w:before="0" w:after="0"/>
        <w:ind w:left="0" w:right="0" w:hanging="0"/>
        <w:jc w:val="left"/>
        <w:rPr>
          <w:caps w:val="false"/>
          <w:smallCaps w:val="false"/>
        </w:rPr>
      </w:pPr>
      <w:r>
        <w:rPr>
          <w:caps w:val="false"/>
          <w:smallCaps w:val="false"/>
        </w:rPr>
        <w:t> </w:t>
      </w:r>
    </w:p>
    <w:tbl>
      <w:tblPr>
        <w:tblW w:w="6188" w:type="dxa"/>
        <w:jc w:val="left"/>
        <w:tblInd w:w="0" w:type="dxa"/>
        <w:tblLayout w:type="fixed"/>
        <w:tblCellMar>
          <w:top w:w="0" w:type="dxa"/>
          <w:left w:w="0" w:type="dxa"/>
          <w:bottom w:w="0" w:type="dxa"/>
          <w:right w:w="0" w:type="dxa"/>
        </w:tblCellMar>
      </w:tblPr>
      <w:tblGrid>
        <w:gridCol w:w="38"/>
        <w:gridCol w:w="275"/>
        <w:gridCol w:w="203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2030" w:type="dxa"/>
            <w:tcBorders/>
            <w:vAlign w:val="center"/>
          </w:tcPr>
          <w:p>
            <w:pPr>
              <w:pStyle w:val="TableContents"/>
              <w:bidi w:val="0"/>
              <w:spacing w:before="0" w:after="283"/>
              <w:jc w:val="both"/>
              <w:rPr/>
            </w:pPr>
            <w:r>
              <w:rPr/>
              <w:t>Share-for-Combined:</w:t>
            </w:r>
          </w:p>
        </w:tc>
        <w:tc>
          <w:tcPr>
            <w:tcW w:w="3845" w:type="dxa"/>
            <w:tcBorders/>
            <w:vAlign w:val="center"/>
          </w:tcPr>
          <w:p>
            <w:pPr>
              <w:pStyle w:val="TableContents"/>
              <w:bidi w:val="0"/>
              <w:spacing w:before="0" w:after="283"/>
              <w:jc w:val="both"/>
              <w:rPr/>
            </w:pPr>
            <w:r>
              <w:rPr/>
              <w:t>Modified Calculation Agent Adjustment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2"/>
        <w:gridCol w:w="8573"/>
      </w:tblGrid>
      <w:tr>
        <w:trPr/>
        <w:tc>
          <w:tcPr>
            <w:tcW w:w="1632" w:type="dxa"/>
            <w:tcBorders/>
            <w:vAlign w:val="center"/>
          </w:tcPr>
          <w:p>
            <w:pPr>
              <w:pStyle w:val="TableContents"/>
              <w:bidi w:val="0"/>
              <w:spacing w:before="0" w:after="283"/>
              <w:jc w:val="left"/>
              <w:rPr/>
            </w:pPr>
            <w:r>
              <w:rPr/>
              <w:t>Consequences of Announcement Events:</w:t>
            </w:r>
          </w:p>
        </w:tc>
        <w:tc>
          <w:tcPr>
            <w:tcW w:w="8573" w:type="dxa"/>
            <w:tcBorders/>
            <w:vAlign w:val="center"/>
          </w:tcPr>
          <w:p>
            <w:pPr>
              <w:pStyle w:val="TableContents"/>
              <w:bidi w:val="0"/>
              <w:spacing w:before="0" w:after="283"/>
              <w:jc w:val="both"/>
              <w:rPr/>
            </w:pPr>
            <w:r>
              <w:rPr/>
              <w:t xml:space="preserve">Modified Calculation Agent Adjustment as set forth in Section 12.3(d) of the Equity Definitions; </w:t>
            </w:r>
            <w:r>
              <w:rPr>
                <w:i/>
              </w:rPr>
              <w:t>provided</w:t>
            </w:r>
            <w:r>
              <w:rPr/>
              <w:t xml:space="preserve"> that, in respect of an Announcement Event, (x) references to “Tender Offer” shall be replaced by references to “Announcement Event” and references to “Tender Offer Date” shall be replaced by references to “date of such Announcement Event”, (y) the word “shall” in the second line shall be replaced with “may”, and (z) for the avoidance of doubt, the Calculation Agent may determine whether the relevant Announcement Event has had an economic effect on any Component (and, if so, adjust the terms of such Component accordingly) on one or more occasions on or after the date of the Announcement Event up to, and including, the Expiration Date, any Early Termination Date and/or any other date of cancellation thereof, it being understood that any adjustment in respect of an Announcement Event shall take into account any earlier adjustment relating to the same Announcement Event. An Announcement Event shall be an “Extraordinary Event” for purposes of the Equity Definitions, to which Article 12 of the Equity Definitions is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8"/>
        <w:gridCol w:w="7917"/>
      </w:tblGrid>
      <w:tr>
        <w:trPr/>
        <w:tc>
          <w:tcPr>
            <w:tcW w:w="2288" w:type="dxa"/>
            <w:tcBorders/>
            <w:vAlign w:val="center"/>
          </w:tcPr>
          <w:p>
            <w:pPr>
              <w:pStyle w:val="TableContents"/>
              <w:bidi w:val="0"/>
              <w:spacing w:before="0" w:after="283"/>
              <w:ind w:left="0" w:right="0" w:firstLine="720"/>
              <w:jc w:val="left"/>
              <w:rPr/>
            </w:pPr>
            <w:r>
              <w:rPr/>
              <w:t>Announcement Event:</w:t>
            </w:r>
          </w:p>
        </w:tc>
        <w:tc>
          <w:tcPr>
            <w:tcW w:w="7917" w:type="dxa"/>
            <w:tcBorders/>
            <w:vAlign w:val="center"/>
          </w:tcPr>
          <w:p>
            <w:pPr>
              <w:pStyle w:val="TableContents"/>
              <w:bidi w:val="0"/>
              <w:spacing w:before="0" w:after="283"/>
              <w:jc w:val="both"/>
              <w:rPr/>
            </w:pPr>
            <w:r>
              <w:rPr/>
              <w:t>(i) The public announcement by any entity of (x) any transaction or event that, if completed, would constitute a Merger Event or Tender Offer, (y) any potential acquisition or disposition by Issuer and/or its subsidiaries where the aggregate consideration paid and/or delivered exceeds 15% of the market capitalization of Issuer as of the date of such announcement (an “</w:t>
            </w:r>
            <w:r>
              <w:rPr>
                <w:b/>
              </w:rPr>
              <w:t>Transformative Transaction</w:t>
            </w:r>
            <w:r>
              <w:rPr/>
              <w:t>”) or (z) the intention to enter into a Merger Event or Tender Offer or an Transformative Transaction, (ii)</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80"/>
        <w:gridCol w:w="9425"/>
      </w:tblGrid>
      <w:tr>
        <w:trPr/>
        <w:tc>
          <w:tcPr>
            <w:tcW w:w="780" w:type="dxa"/>
            <w:tcBorders/>
            <w:vAlign w:val="center"/>
          </w:tcPr>
          <w:p>
            <w:pPr>
              <w:pStyle w:val="TableContents"/>
              <w:bidi w:val="0"/>
              <w:spacing w:before="0" w:after="283"/>
              <w:ind w:left="0" w:right="0" w:firstLine="720"/>
              <w:jc w:val="left"/>
              <w:rPr/>
            </w:pPr>
            <w:r>
              <w:rPr/>
              <w:t> </w:t>
            </w:r>
          </w:p>
        </w:tc>
        <w:tc>
          <w:tcPr>
            <w:tcW w:w="9425" w:type="dxa"/>
            <w:tcBorders/>
            <w:vAlign w:val="center"/>
          </w:tcPr>
          <w:p>
            <w:pPr>
              <w:pStyle w:val="TableContents"/>
              <w:bidi w:val="0"/>
              <w:spacing w:before="0" w:after="283"/>
              <w:jc w:val="both"/>
              <w:rPr/>
            </w:pPr>
            <w:r>
              <w:rPr/>
              <w:t>the public announcement by Issuer of an intention to solicit or enter into, or to explore strategic alternatives or other similar undertaking that may include, a Merger Event or Tender Offer or an Transformative Transaction or (iii) any subsequent public announcement by any entity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the remainder of the definition of “Merger Event” in Section 12.1(b) of the Equity Definitions following the definition of “Reverse Merger” therein shall be disregarded.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9"/>
        <w:gridCol w:w="8946"/>
      </w:tblGrid>
      <w:tr>
        <w:trPr/>
        <w:tc>
          <w:tcPr>
            <w:tcW w:w="1259" w:type="dxa"/>
            <w:tcBorders/>
            <w:vAlign w:val="center"/>
          </w:tcPr>
          <w:p>
            <w:pPr>
              <w:pStyle w:val="TableContents"/>
              <w:bidi w:val="0"/>
              <w:spacing w:before="0" w:after="283"/>
              <w:jc w:val="left"/>
              <w:rPr/>
            </w:pPr>
            <w:r>
              <w:rPr/>
              <w:t>Modified Calculation Agent Adjustment:</w:t>
            </w:r>
          </w:p>
        </w:tc>
        <w:tc>
          <w:tcPr>
            <w:tcW w:w="8946" w:type="dxa"/>
            <w:tcBorders/>
            <w:vAlign w:val="center"/>
          </w:tcPr>
          <w:p>
            <w:pPr>
              <w:pStyle w:val="TableContents"/>
              <w:bidi w:val="0"/>
              <w:spacing w:before="0" w:after="283"/>
              <w:jc w:val="both"/>
              <w:rPr/>
            </w:pPr>
            <w:r>
              <w:rPr/>
              <w:t>If, in respect of a Merger Event, the Counterparty under the Transaction following such Merger Event will not be the issuer of the New Shares, the Dealer may elect (in its sole discretion) for Cancellation and Payment (Calculation Agent Determination) to apply. In addition, if, in respect of any Merger Event to which Modified Calculation Agent Adjustment applies, the adjustments to be made in accordance with Section 12.2(e)(i) of the Equity Definitions would result in Counterparty being different from the issuer of the Shares, then with respect to such Merger Event, as a condition precedent to the adjustments contemplated in Section 12.2(e)(i) of the Equity Definitions, Counterparty and the issuer of the Shares shall, prior to the Merger Date, have entered into such documentation containing representations, warranties and agreements relating to securities law and other issues as requested by Dealer that Dealer has determined, in its reasonable discretion, to be reasonably necessary or appropriate to allow Dealer to continue as a party to the Transaction, as adjusted under Section 12.2(e)(i) of the Equity Definitions, and to preserve its hedging or hedge unwind activities in connection with the Transaction in a manner compliant with applicable legal, regulatory or self-regulatory requirements, or with related policies and procedures applicable to Dealer (whether or not such requirements or related policies and procedures are imposed by law or have been voluntarily adopted by Dealer), and if such conditions are not met or if</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4"/>
        <w:gridCol w:w="8351"/>
      </w:tblGrid>
      <w:tr>
        <w:trPr/>
        <w:tc>
          <w:tcPr>
            <w:tcW w:w="1854" w:type="dxa"/>
            <w:tcBorders/>
            <w:vAlign w:val="center"/>
          </w:tcPr>
          <w:p>
            <w:pPr>
              <w:pStyle w:val="TableContents"/>
              <w:bidi w:val="0"/>
              <w:spacing w:before="0" w:after="283"/>
              <w:jc w:val="left"/>
              <w:rPr/>
            </w:pPr>
            <w:r>
              <w:rPr/>
              <w:t> </w:t>
            </w:r>
          </w:p>
        </w:tc>
        <w:tc>
          <w:tcPr>
            <w:tcW w:w="8351" w:type="dxa"/>
            <w:tcBorders/>
            <w:vAlign w:val="center"/>
          </w:tcPr>
          <w:p>
            <w:pPr>
              <w:pStyle w:val="TableContents"/>
              <w:bidi w:val="0"/>
              <w:spacing w:before="0" w:after="283"/>
              <w:jc w:val="both"/>
              <w:rPr/>
            </w:pPr>
            <w:r>
              <w:rPr/>
              <w:t>the Calculation Agent determines that no adjustment that it could make under Section 12.2(e)(i) of the Equity Definitions will produce a commercially reasonable result, then the consequences set forth in Section 12.2(e)(ii) of the Equity Definitions shall apply.</w:t>
            </w:r>
          </w:p>
        </w:tc>
      </w:tr>
      <w:tr>
        <w:trPr/>
        <w:tc>
          <w:tcPr>
            <w:tcW w:w="1854" w:type="dxa"/>
            <w:tcBorders/>
            <w:vAlign w:val="center"/>
          </w:tcPr>
          <w:p>
            <w:pPr>
              <w:pStyle w:val="TableContents"/>
              <w:bidi w:val="0"/>
              <w:spacing w:before="0" w:after="283"/>
              <w:jc w:val="left"/>
              <w:rPr/>
            </w:pPr>
            <w:r>
              <w:rPr/>
              <w:t> </w:t>
            </w:r>
          </w:p>
        </w:tc>
        <w:tc>
          <w:tcPr>
            <w:tcW w:w="8351" w:type="dxa"/>
            <w:tcBorders/>
            <w:vAlign w:val="center"/>
          </w:tcPr>
          <w:p>
            <w:pPr>
              <w:pStyle w:val="TableContents"/>
              <w:bidi w:val="0"/>
              <w:spacing w:before="0" w:after="283"/>
              <w:jc w:val="both"/>
              <w:rPr/>
            </w:pPr>
            <w:r>
              <w:rPr/>
              <w:t> </w:t>
            </w:r>
          </w:p>
        </w:tc>
      </w:tr>
      <w:tr>
        <w:trPr/>
        <w:tc>
          <w:tcPr>
            <w:tcW w:w="1854" w:type="dxa"/>
            <w:tcBorders/>
            <w:vAlign w:val="center"/>
          </w:tcPr>
          <w:p>
            <w:pPr>
              <w:pStyle w:val="TableContents"/>
              <w:bidi w:val="0"/>
              <w:spacing w:before="0" w:after="283"/>
              <w:jc w:val="left"/>
              <w:rPr/>
            </w:pPr>
            <w:r>
              <w:rPr/>
              <w:t>Composition of Combined Consideration:</w:t>
            </w:r>
          </w:p>
        </w:tc>
        <w:tc>
          <w:tcPr>
            <w:tcW w:w="8351" w:type="dxa"/>
            <w:tcBorders/>
            <w:vAlign w:val="center"/>
          </w:tcPr>
          <w:p>
            <w:pPr>
              <w:pStyle w:val="TableContents"/>
              <w:bidi w:val="0"/>
              <w:spacing w:before="0" w:after="283"/>
              <w:jc w:val="both"/>
              <w:rPr/>
            </w:pPr>
            <w:r>
              <w:rPr/>
              <w:t>Notwithstanding anything to the contrary in the Equity Definitions, if the composition of Combined Consideration in respect of any Share-for-Combined Merger Event could be determined by a holder of Shares, Dealer shall determine the composition of such Combined Consideration assumed for purposes of adjustments and deliveries hereunder in its sole discretion.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2"/>
        <w:gridCol w:w="7453"/>
      </w:tblGrid>
      <w:tr>
        <w:trPr/>
        <w:tc>
          <w:tcPr>
            <w:tcW w:w="2752" w:type="dxa"/>
            <w:tcBorders/>
            <w:vAlign w:val="center"/>
          </w:tcPr>
          <w:p>
            <w:pPr>
              <w:pStyle w:val="TableContents"/>
              <w:bidi w:val="0"/>
              <w:spacing w:before="0" w:after="283"/>
              <w:jc w:val="left"/>
              <w:rPr/>
            </w:pPr>
            <w:r>
              <w:rPr/>
              <w:t>Nationalization, Insolvency or Delisting:</w:t>
            </w:r>
          </w:p>
        </w:tc>
        <w:tc>
          <w:tcPr>
            <w:tcW w:w="7453" w:type="dxa"/>
            <w:tcBorders/>
            <w:vAlign w:val="center"/>
          </w:tcPr>
          <w:p>
            <w:pPr>
              <w:pStyle w:val="TableContents"/>
              <w:bidi w:val="0"/>
              <w:spacing w:before="0" w:after="283"/>
              <w:jc w:val="both"/>
              <w:rPr/>
            </w:pPr>
            <w:r>
              <w:rPr/>
              <w:t xml:space="preserve">Cancellation and Payment (Calculation Agent Determination); </w:t>
            </w:r>
            <w:r>
              <w:rPr>
                <w:i/>
              </w:rPr>
              <w:t>provided</w:t>
            </w:r>
            <w:r>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0"/>
        <w:gridCol w:w="8765"/>
      </w:tblGrid>
      <w:tr>
        <w:trPr/>
        <w:tc>
          <w:tcPr>
            <w:tcW w:w="1440" w:type="dxa"/>
            <w:tcBorders/>
            <w:vAlign w:val="center"/>
          </w:tcPr>
          <w:p>
            <w:pPr>
              <w:pStyle w:val="TableContents"/>
              <w:bidi w:val="0"/>
              <w:spacing w:before="0" w:after="283"/>
              <w:jc w:val="left"/>
              <w:rPr/>
            </w:pPr>
            <w:r>
              <w:rPr/>
              <w:t>Additional Termination Event(s):</w:t>
            </w:r>
          </w:p>
        </w:tc>
        <w:tc>
          <w:tcPr>
            <w:tcW w:w="8765" w:type="dxa"/>
            <w:tcBorders/>
            <w:vAlign w:val="center"/>
          </w:tcPr>
          <w:p>
            <w:pPr>
              <w:pStyle w:val="TableContents"/>
              <w:bidi w:val="0"/>
              <w:spacing w:before="0" w:after="283"/>
              <w:jc w:val="both"/>
              <w:rPr/>
            </w:pPr>
            <w:r>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Disruption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848"/>
        <w:gridCol w:w="9111"/>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848" w:type="dxa"/>
            <w:tcBorders/>
            <w:vAlign w:val="center"/>
          </w:tcPr>
          <w:p>
            <w:pPr>
              <w:pStyle w:val="TableContents"/>
              <w:bidi w:val="0"/>
              <w:spacing w:before="0" w:after="283"/>
              <w:jc w:val="both"/>
              <w:rPr/>
            </w:pPr>
            <w:r>
              <w:rPr/>
              <w:t>Change in Law:</w:t>
            </w:r>
          </w:p>
        </w:tc>
        <w:tc>
          <w:tcPr>
            <w:tcW w:w="9111" w:type="dxa"/>
            <w:tcBorders/>
            <w:vAlign w:val="center"/>
          </w:tcPr>
          <w:p>
            <w:pPr>
              <w:pStyle w:val="TableContents"/>
              <w:bidi w:val="0"/>
              <w:spacing w:before="0" w:after="283"/>
              <w:jc w:val="both"/>
              <w:rPr/>
            </w:pPr>
            <w:r>
              <w:rPr/>
              <w:t>Applicable; provided 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 and provided further that Section 12.9(a)(ii) of the Equity Definitions is hereby amended by (i) replacing the parenthetical beginning after the word “regulation” in the second line thereof with the</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1001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0010" w:type="dxa"/>
            <w:tcBorders/>
            <w:vAlign w:val="center"/>
          </w:tcPr>
          <w:p>
            <w:pPr>
              <w:pStyle w:val="TableContents"/>
              <w:bidi w:val="0"/>
              <w:spacing w:before="0" w:after="283"/>
              <w:jc w:val="both"/>
              <w:rPr/>
            </w:pPr>
            <w:r>
              <w:rPr/>
              <w:t>phrase “(including, for the avoidance of doubt and without limitation, (x) any tax law or (y) adoption or promulgation of new regulations authorized or mandated by existing statute)” and (ii) adding the words “, or holding, acquiring or disposing of Shares or any Hedge Positions relating to,” after the words “obligations under” in clause (Y) thereof.</w:t>
            </w:r>
          </w:p>
        </w:tc>
      </w:tr>
    </w:tbl>
    <w:p>
      <w:pPr>
        <w:pStyle w:val="TextBody"/>
        <w:bidi w:val="0"/>
        <w:spacing w:before="0" w:after="0"/>
        <w:ind w:left="0" w:right="0" w:hanging="0"/>
        <w:jc w:val="left"/>
        <w:rPr>
          <w:caps w:val="false"/>
          <w:smallCaps w:val="false"/>
        </w:rPr>
      </w:pPr>
      <w:r>
        <w:rPr>
          <w:caps w:val="false"/>
          <w:smallCaps w:val="false"/>
        </w:rPr>
        <w:t> </w:t>
      </w:r>
    </w:p>
    <w:tbl>
      <w:tblPr>
        <w:tblW w:w="3563" w:type="dxa"/>
        <w:jc w:val="left"/>
        <w:tblInd w:w="0" w:type="dxa"/>
        <w:tblLayout w:type="fixed"/>
        <w:tblCellMar>
          <w:top w:w="0" w:type="dxa"/>
          <w:left w:w="0" w:type="dxa"/>
          <w:bottom w:w="0" w:type="dxa"/>
          <w:right w:w="0" w:type="dxa"/>
        </w:tblCellMar>
      </w:tblPr>
      <w:tblGrid>
        <w:gridCol w:w="38"/>
        <w:gridCol w:w="290"/>
        <w:gridCol w:w="1745"/>
        <w:gridCol w:w="14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745" w:type="dxa"/>
            <w:tcBorders/>
            <w:vAlign w:val="center"/>
          </w:tcPr>
          <w:p>
            <w:pPr>
              <w:pStyle w:val="TableContents"/>
              <w:bidi w:val="0"/>
              <w:spacing w:before="0" w:after="283"/>
              <w:jc w:val="both"/>
              <w:rPr/>
            </w:pPr>
            <w:r>
              <w:rPr/>
              <w:t>Failure to Deliver:</w:t>
            </w:r>
          </w:p>
        </w:tc>
        <w:tc>
          <w:tcPr>
            <w:tcW w:w="1490"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3113" w:type="dxa"/>
        <w:jc w:val="left"/>
        <w:tblInd w:w="0" w:type="dxa"/>
        <w:tblLayout w:type="fixed"/>
        <w:tblCellMar>
          <w:top w:w="0" w:type="dxa"/>
          <w:left w:w="0" w:type="dxa"/>
          <w:bottom w:w="0" w:type="dxa"/>
          <w:right w:w="0" w:type="dxa"/>
        </w:tblCellMar>
      </w:tblPr>
      <w:tblGrid>
        <w:gridCol w:w="38"/>
        <w:gridCol w:w="275"/>
        <w:gridCol w:w="173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1730" w:type="dxa"/>
            <w:tcBorders/>
            <w:vAlign w:val="center"/>
          </w:tcPr>
          <w:p>
            <w:pPr>
              <w:pStyle w:val="TableContents"/>
              <w:bidi w:val="0"/>
              <w:spacing w:before="0" w:after="283"/>
              <w:jc w:val="both"/>
              <w:rPr/>
            </w:pPr>
            <w:r>
              <w:rPr/>
              <w:t>Insolvency Filing:</w:t>
            </w:r>
          </w:p>
        </w:tc>
        <w:tc>
          <w:tcPr>
            <w:tcW w:w="1070" w:type="dxa"/>
            <w:tcBorders/>
            <w:vAlign w:val="center"/>
          </w:tcPr>
          <w:p>
            <w:pPr>
              <w:pStyle w:val="TableContents"/>
              <w:bidi w:val="0"/>
              <w:spacing w:before="0" w:after="283"/>
              <w:jc w:val="both"/>
              <w:rPr/>
            </w:pPr>
            <w:r>
              <w:rPr/>
              <w:t>Applicable</w:t>
            </w:r>
          </w:p>
        </w:tc>
      </w:tr>
    </w:tbl>
    <w:p>
      <w:pPr>
        <w:pStyle w:val="TextBody"/>
        <w:bidi w:val="0"/>
        <w:spacing w:before="0" w:after="0"/>
        <w:ind w:left="0" w:right="0" w:hanging="0"/>
        <w:jc w:val="left"/>
        <w:rPr>
          <w:caps w:val="false"/>
          <w:smallCaps w:val="false"/>
        </w:rPr>
      </w:pPr>
      <w:r>
        <w:rPr>
          <w:caps w:val="false"/>
          <w:smallCaps w:val="false"/>
        </w:rPr>
        <w:t> </w:t>
      </w:r>
    </w:p>
    <w:tbl>
      <w:tblPr>
        <w:tblW w:w="4793" w:type="dxa"/>
        <w:jc w:val="left"/>
        <w:tblInd w:w="0" w:type="dxa"/>
        <w:tblLayout w:type="fixed"/>
        <w:tblCellMar>
          <w:top w:w="0" w:type="dxa"/>
          <w:left w:w="0" w:type="dxa"/>
          <w:bottom w:w="0" w:type="dxa"/>
          <w:right w:w="0" w:type="dxa"/>
        </w:tblCellMar>
      </w:tblPr>
      <w:tblGrid>
        <w:gridCol w:w="38"/>
        <w:gridCol w:w="290"/>
        <w:gridCol w:w="197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1970" w:type="dxa"/>
            <w:tcBorders/>
            <w:vAlign w:val="center"/>
          </w:tcPr>
          <w:p>
            <w:pPr>
              <w:pStyle w:val="TableContents"/>
              <w:bidi w:val="0"/>
              <w:spacing w:before="0" w:after="283"/>
              <w:jc w:val="both"/>
              <w:rPr/>
            </w:pPr>
            <w:r>
              <w:rPr/>
              <w:t>Hedging Disruption:</w:t>
            </w:r>
          </w:p>
        </w:tc>
        <w:tc>
          <w:tcPr>
            <w:tcW w:w="2495" w:type="dxa"/>
            <w:tcBorders/>
            <w:vAlign w:val="center"/>
          </w:tcPr>
          <w:p>
            <w:pPr>
              <w:pStyle w:val="TableContents"/>
              <w:bidi w:val="0"/>
              <w:spacing w:before="0" w:after="283"/>
              <w:jc w:val="both"/>
              <w:rPr/>
            </w:pPr>
            <w:r>
              <w:rPr/>
              <w:t xml:space="preserve">Applicable; </w:t>
            </w:r>
            <w:r>
              <w:rPr>
                <w:i/>
              </w:rPr>
              <w:t>provided</w:t>
            </w:r>
            <w:r>
              <w:rPr/>
              <w:t xml:space="preserve"> that:</w:t>
            </w:r>
          </w:p>
        </w:tc>
      </w:tr>
    </w:tbl>
    <w:p>
      <w:pPr>
        <w:pStyle w:val="TextBody"/>
        <w:bidi w:val="0"/>
        <w:spacing w:before="0" w:after="0"/>
        <w:ind w:left="0" w:right="0" w:hanging="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6275" w:type="dxa"/>
            <w:tcBorders/>
            <w:vAlign w:val="center"/>
          </w:tcPr>
          <w:p>
            <w:pPr>
              <w:pStyle w:val="TableContents"/>
              <w:bidi w:val="0"/>
              <w:spacing w:before="0" w:after="283"/>
              <w:jc w:val="both"/>
              <w:rPr/>
            </w:pPr>
            <w:r>
              <w:rPr/>
              <w:t>Section 12.9(a)(v) of the Equity Definitions is hereby amended 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(a)</w:t>
            </w:r>
          </w:p>
        </w:tc>
        <w:tc>
          <w:tcPr>
            <w:tcW w:w="9912" w:type="dxa"/>
            <w:tcBorders/>
            <w:vAlign w:val="center"/>
          </w:tcPr>
          <w:p>
            <w:pPr>
              <w:pStyle w:val="TableContents"/>
              <w:bidi w:val="0"/>
              <w:spacing w:before="0" w:after="283"/>
              <w:jc w:val="both"/>
              <w:rPr/>
            </w:pPr>
            <w:r>
              <w:rPr/>
              <w:t>inserting the following words at the end of clause (A) thereof: “in the manner contemplated by the Hedging Party on the Trade Date”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892" w:type="dxa"/>
            <w:tcBorders/>
            <w:vAlign w:val="center"/>
          </w:tcPr>
          <w:p>
            <w:pPr>
              <w:pStyle w:val="TableContents"/>
              <w:bidi w:val="0"/>
              <w:spacing w:before="0" w:after="283"/>
              <w:jc w:val="both"/>
              <w:rPr/>
            </w:pPr>
            <w:r>
              <w:rPr/>
              <w:t>inserting the following paragraphs at the end of such Section:</w:t>
            </w:r>
          </w:p>
        </w:tc>
      </w:tr>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8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892" w:type="dxa"/>
            <w:tcBorders/>
            <w:vAlign w:val="center"/>
          </w:tcPr>
          <w:p>
            <w:pPr>
              <w:pStyle w:val="TableContents"/>
              <w:bidi w:val="0"/>
              <w:spacing w:before="0" w:after="283"/>
              <w:jc w:val="both"/>
              <w:rPr/>
            </w:pPr>
            <w:r>
              <w:rPr/>
              <w:t>“</w:t>
            </w:r>
            <w:r>
              <w:rPr/>
              <w:t>Such inability described in clauses (A) or (B) above shall not constitute a “Hedging Disruption” if such inability results from Hedging Party’s creditworthiness.</w:t>
            </w:r>
          </w:p>
        </w:tc>
      </w:tr>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89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9892" w:type="dxa"/>
            <w:tcBorders/>
            <w:vAlign w:val="center"/>
          </w:tcPr>
          <w:p>
            <w:pPr>
              <w:pStyle w:val="TableContents"/>
              <w:bidi w:val="0"/>
              <w:spacing w:before="0" w:after="283"/>
              <w:jc w:val="both"/>
              <w:rPr/>
            </w:pPr>
            <w:r>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(ii)</w:t>
            </w:r>
          </w:p>
        </w:tc>
        <w:tc>
          <w:tcPr>
            <w:tcW w:w="9921" w:type="dxa"/>
            <w:tcBorders/>
            <w:vAlign w:val="center"/>
          </w:tcPr>
          <w:p>
            <w:pPr>
              <w:pStyle w:val="TableContents"/>
              <w:bidi w:val="0"/>
              <w:spacing w:before="0" w:after="283"/>
              <w:jc w:val="both"/>
              <w:rPr/>
            </w:pPr>
            <w:r>
              <w:rPr/>
              <w:t>Section 12.9(b)(iii) of the Equity Definitions is hereby amended by inserting in the third line thereof, after the words “to terminate the Transaction”, the words “or a portion of the Transaction affected by such Hedging Disruption”.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1131"/>
        <w:gridCol w:w="8827"/>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(e)</w:t>
            </w:r>
          </w:p>
        </w:tc>
        <w:tc>
          <w:tcPr>
            <w:tcW w:w="1131" w:type="dxa"/>
            <w:tcBorders/>
            <w:vAlign w:val="center"/>
          </w:tcPr>
          <w:p>
            <w:pPr>
              <w:pStyle w:val="TableContents"/>
              <w:bidi w:val="0"/>
              <w:spacing w:before="0" w:after="283"/>
              <w:jc w:val="left"/>
              <w:rPr/>
            </w:pPr>
            <w:r>
              <w:rPr/>
              <w:t>Increased Cost of Hedging:</w:t>
            </w:r>
          </w:p>
        </w:tc>
        <w:tc>
          <w:tcPr>
            <w:tcW w:w="8827" w:type="dxa"/>
            <w:tcBorders/>
            <w:vAlign w:val="center"/>
          </w:tcPr>
          <w:p>
            <w:pPr>
              <w:pStyle w:val="TableContents"/>
              <w:bidi w:val="0"/>
              <w:spacing w:before="0" w:after="283"/>
              <w:jc w:val="both"/>
              <w:rPr/>
            </w:pPr>
            <w:r>
              <w:rPr/>
              <w:t xml:space="preserve">Applicable; </w:t>
            </w:r>
            <w:r>
              <w:rPr>
                <w:i/>
              </w:rPr>
              <w:t>provided</w:t>
            </w:r>
            <w:r>
              <w:rPr/>
              <w:t xml:space="preserve"> that (i) that such increased cost described in Section 12.9(vi) of the Equity Definitions shall not constitute an “Increased Cost of Hedging” if such increased cost results from Hedging Party’s creditworthiness or financial position, and (ii) the following parenthetical shall be inserted immediately following the word “expense” in the third line of Section 12.9(a)(vi) of the Equity Definitions: “(including, for the avoidance of doubt, the incurrence of any stock borrow expense in excess of Hedging Party’s expectation as of the Trade Date, other than to the extent resulting from an Increased Cost of Stock Borrow)”.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75"/>
        <w:gridCol w:w="245"/>
        <w:gridCol w:w="2705"/>
        <w:gridCol w:w="1775"/>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2705" w:type="dxa"/>
            <w:tcBorders/>
            <w:vAlign w:val="center"/>
          </w:tcPr>
          <w:p>
            <w:pPr>
              <w:pStyle w:val="TableContents"/>
              <w:bidi w:val="0"/>
              <w:spacing w:before="0" w:after="283"/>
              <w:jc w:val="both"/>
              <w:rPr/>
            </w:pPr>
            <w:r>
              <w:rPr/>
              <w:t>Loss of Stock Borrow:</w:t>
            </w:r>
          </w:p>
        </w:tc>
        <w:tc>
          <w:tcPr>
            <w:tcW w:w="1775" w:type="dxa"/>
            <w:tcBorders/>
            <w:vAlign w:val="center"/>
          </w:tcPr>
          <w:p>
            <w:pPr>
              <w:pStyle w:val="TableContents"/>
              <w:bidi w:val="0"/>
              <w:spacing w:before="0" w:after="283"/>
              <w:jc w:val="both"/>
              <w:rPr/>
            </w:pPr>
            <w:r>
              <w:rPr/>
              <w:t>Applicable</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both"/>
              <w:rPr/>
            </w:pPr>
            <w:r>
              <w:rPr/>
              <w:t> </w:t>
            </w:r>
          </w:p>
        </w:tc>
        <w:tc>
          <w:tcPr>
            <w:tcW w:w="17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283"/>
              <w:jc w:val="left"/>
              <w:rPr/>
            </w:pPr>
            <w:r>
              <w:rPr/>
              <w:t>Maximum Stock Loan Rate:</w:t>
            </w:r>
          </w:p>
        </w:tc>
        <w:tc>
          <w:tcPr>
            <w:tcW w:w="1775" w:type="dxa"/>
            <w:tcBorders/>
            <w:vAlign w:val="center"/>
          </w:tcPr>
          <w:p>
            <w:pPr>
              <w:pStyle w:val="TableContents"/>
              <w:bidi w:val="0"/>
              <w:spacing w:before="0" w:after="283"/>
              <w:jc w:val="both"/>
              <w:rPr/>
            </w:pPr>
            <w:r>
              <w:rPr/>
              <w:t>2.00 % per annum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5"/>
        <w:gridCol w:w="2980"/>
        <w:gridCol w:w="6865"/>
      </w:tblGrid>
      <w:tr>
        <w:trPr/>
        <w:tc>
          <w:tcPr>
            <w:tcW w:w="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(g)</w:t>
            </w:r>
          </w:p>
        </w:tc>
        <w:tc>
          <w:tcPr>
            <w:tcW w:w="2980" w:type="dxa"/>
            <w:tcBorders/>
            <w:vAlign w:val="center"/>
          </w:tcPr>
          <w:p>
            <w:pPr>
              <w:pStyle w:val="TableContents"/>
              <w:bidi w:val="0"/>
              <w:spacing w:before="0" w:after="283"/>
              <w:jc w:val="left"/>
              <w:rPr/>
            </w:pPr>
            <w:r>
              <w:rPr/>
              <w:t>Increased Cost of Stock Borrow:</w:t>
            </w:r>
          </w:p>
        </w:tc>
        <w:tc>
          <w:tcPr>
            <w:tcW w:w="6865" w:type="dxa"/>
            <w:tcBorders/>
            <w:vAlign w:val="center"/>
          </w:tcPr>
          <w:p>
            <w:pPr>
              <w:pStyle w:val="TableContents"/>
              <w:bidi w:val="0"/>
              <w:spacing w:before="0" w:after="283"/>
              <w:jc w:val="both"/>
              <w:rPr/>
            </w:pPr>
            <w:r>
              <w:rPr/>
              <w:t>Applicable</w:t>
            </w:r>
          </w:p>
        </w:tc>
      </w:tr>
      <w:tr>
        <w:trPr/>
        <w:tc>
          <w:tcPr>
            <w:tcW w:w="7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2980" w:type="dxa"/>
            <w:tcBorders/>
            <w:vAlign w:val="center"/>
          </w:tcPr>
          <w:p>
            <w:pPr>
              <w:pStyle w:val="TableContents"/>
              <w:bidi w:val="0"/>
              <w:spacing w:before="0" w:after="283"/>
              <w:jc w:val="left"/>
              <w:rPr/>
            </w:pPr>
            <w:r>
              <w:rPr/>
              <w:t> </w:t>
            </w:r>
          </w:p>
        </w:tc>
        <w:tc>
          <w:tcPr>
            <w:tcW w:w="68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2980" w:type="dxa"/>
            <w:tcBorders/>
            <w:vAlign w:val="center"/>
          </w:tcPr>
          <w:p>
            <w:pPr>
              <w:pStyle w:val="TableContents"/>
              <w:bidi w:val="0"/>
              <w:spacing w:before="0" w:after="283"/>
              <w:jc w:val="left"/>
              <w:rPr/>
            </w:pPr>
            <w:r>
              <w:rPr/>
              <w:t>Initial Stock Loan Rate:</w:t>
            </w:r>
          </w:p>
        </w:tc>
        <w:tc>
          <w:tcPr>
            <w:tcW w:w="6865" w:type="dxa"/>
            <w:tcBorders/>
            <w:vAlign w:val="center"/>
          </w:tcPr>
          <w:p>
            <w:pPr>
              <w:pStyle w:val="TableContents"/>
              <w:bidi w:val="0"/>
              <w:spacing w:before="0" w:after="283"/>
              <w:jc w:val="both"/>
              <w:rPr/>
            </w:pPr>
            <w:r>
              <w:rPr/>
              <w:t>Prior to January 16, 2030, 0% per annum, and thereafter, 0.25 % per annum.</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1460"/>
        <w:gridCol w:w="5180"/>
      </w:tblGrid>
      <w:tr>
        <w:trPr/>
        <w:tc>
          <w:tcPr>
            <w:tcW w:w="1460" w:type="dxa"/>
            <w:tcBorders/>
            <w:vAlign w:val="center"/>
          </w:tcPr>
          <w:p>
            <w:pPr>
              <w:pStyle w:val="TableContents"/>
              <w:bidi w:val="0"/>
              <w:spacing w:before="0" w:after="283"/>
              <w:jc w:val="left"/>
              <w:rPr/>
            </w:pPr>
            <w:r>
              <w:rPr/>
              <w:t>Hedging Party:</w:t>
            </w:r>
          </w:p>
        </w:tc>
        <w:tc>
          <w:tcPr>
            <w:tcW w:w="5180" w:type="dxa"/>
            <w:tcBorders/>
            <w:vAlign w:val="center"/>
          </w:tcPr>
          <w:p>
            <w:pPr>
              <w:pStyle w:val="TableContents"/>
              <w:bidi w:val="0"/>
              <w:spacing w:before="0" w:after="283"/>
              <w:jc w:val="both"/>
              <w:rPr/>
            </w:pPr>
            <w:r>
              <w:rPr/>
              <w:t>Dealer for all applicable Additional Disruption Events.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69"/>
        <w:gridCol w:w="8936"/>
      </w:tblGrid>
      <w:tr>
        <w:trPr/>
        <w:tc>
          <w:tcPr>
            <w:tcW w:w="1269" w:type="dxa"/>
            <w:tcBorders/>
            <w:vAlign w:val="center"/>
          </w:tcPr>
          <w:p>
            <w:pPr>
              <w:pStyle w:val="TableContents"/>
              <w:bidi w:val="0"/>
              <w:spacing w:before="0" w:after="283"/>
              <w:jc w:val="left"/>
              <w:rPr/>
            </w:pPr>
            <w:r>
              <w:rPr/>
              <w:t>Determining Party:</w:t>
            </w:r>
          </w:p>
        </w:tc>
        <w:tc>
          <w:tcPr>
            <w:tcW w:w="8936" w:type="dxa"/>
            <w:tcBorders/>
            <w:vAlign w:val="center"/>
          </w:tcPr>
          <w:p>
            <w:pPr>
              <w:pStyle w:val="TableContents"/>
              <w:bidi w:val="0"/>
              <w:spacing w:before="0" w:after="283"/>
              <w:jc w:val="both"/>
              <w:rPr/>
            </w:pPr>
            <w:r>
              <w:rPr/>
              <w:t xml:space="preserve">Dealer for all applicable Additional Disruption Events. </w:t>
            </w:r>
            <w:r>
              <w:rPr>
                <w:shd w:fill="FFFFFF" w:val="clear"/>
              </w:rPr>
              <w:t xml:space="preserve">All calculations and determinations by the Determining Party shall be made in good faith and in a commercially reasonable manner. Following any calculation by the Determining Party hereunder, upon written request by Counterparty, the Determining Party will, within five Exchange Business Days immediately following such request, provide to Counterparty a report </w:t>
            </w:r>
            <w:r>
              <w:rPr/>
              <w:t xml:space="preserve">(in a commonly used file format for the storage and manipulation of financial data) </w:t>
            </w:r>
            <w:r>
              <w:rPr>
                <w:shd w:fill="FFFFFF" w:val="clear"/>
              </w:rPr>
              <w:t xml:space="preserve">displaying in reasonable detail the basis for such calculation; </w:t>
            </w:r>
            <w:r>
              <w:rPr>
                <w:i/>
                <w:shd w:fill="FFFFFF" w:val="clear"/>
              </w:rPr>
              <w:t>provided, however</w:t>
            </w:r>
            <w:r>
              <w:rPr>
                <w:shd w:fill="FFFFFF" w:val="clear"/>
              </w:rPr>
              <w:t>, that in no event will the Determining Party be obligated to share with Counterparty any proprietary or confidential data or information or any proprietary or confidential models used by it.</w:t>
            </w:r>
          </w:p>
        </w:tc>
      </w:tr>
    </w:tbl>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1400"/>
        <w:gridCol w:w="1055"/>
      </w:tblGrid>
      <w:tr>
        <w:trPr/>
        <w:tc>
          <w:tcPr>
            <w:tcW w:w="1400" w:type="dxa"/>
            <w:tcBorders/>
            <w:vAlign w:val="center"/>
          </w:tcPr>
          <w:p>
            <w:pPr>
              <w:pStyle w:val="TableContents"/>
              <w:bidi w:val="0"/>
              <w:spacing w:before="0" w:after="283"/>
              <w:jc w:val="left"/>
              <w:rPr/>
            </w:pPr>
            <w:r>
              <w:rPr/>
              <w:t>Non-Reliance:</w:t>
            </w:r>
          </w:p>
        </w:tc>
        <w:tc>
          <w:tcPr>
            <w:tcW w:w="1055" w:type="dxa"/>
            <w:tcBorders/>
            <w:vAlign w:val="center"/>
          </w:tcPr>
          <w:p>
            <w:pPr>
              <w:pStyle w:val="TableContents"/>
              <w:bidi w:val="0"/>
              <w:spacing w:before="0" w:after="283"/>
              <w:jc w:val="both"/>
              <w:rPr/>
            </w:pPr>
            <w:r>
              <w:rPr/>
              <w:t>Applicable</w:t>
            </w:r>
          </w:p>
        </w:tc>
      </w:tr>
    </w:tbl>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6365"/>
        <w:gridCol w:w="1055"/>
      </w:tblGrid>
      <w:tr>
        <w:trPr/>
        <w:tc>
          <w:tcPr>
            <w:tcW w:w="6365" w:type="dxa"/>
            <w:tcBorders/>
            <w:vAlign w:val="center"/>
          </w:tcPr>
          <w:p>
            <w:pPr>
              <w:pStyle w:val="TableContents"/>
              <w:bidi w:val="0"/>
              <w:spacing w:before="0" w:after="283"/>
              <w:jc w:val="left"/>
              <w:rPr/>
            </w:pPr>
            <w:r>
              <w:rPr/>
              <w:t>Agreements and Acknowledgments Regarding Hedging Activities:</w:t>
            </w:r>
          </w:p>
        </w:tc>
        <w:tc>
          <w:tcPr>
            <w:tcW w:w="1055" w:type="dxa"/>
            <w:tcBorders/>
            <w:vAlign w:val="center"/>
          </w:tcPr>
          <w:p>
            <w:pPr>
              <w:pStyle w:val="TableContents"/>
              <w:bidi w:val="0"/>
              <w:spacing w:before="0" w:after="283"/>
              <w:jc w:val="both"/>
              <w:rPr/>
            </w:pPr>
            <w:r>
              <w:rPr/>
              <w:t>Applicable</w:t>
            </w:r>
          </w:p>
        </w:tc>
      </w:tr>
    </w:tbl>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2930"/>
        <w:gridCol w:w="1055"/>
      </w:tblGrid>
      <w:tr>
        <w:trPr/>
        <w:tc>
          <w:tcPr>
            <w:tcW w:w="2930" w:type="dxa"/>
            <w:tcBorders/>
            <w:vAlign w:val="center"/>
          </w:tcPr>
          <w:p>
            <w:pPr>
              <w:pStyle w:val="TableContents"/>
              <w:bidi w:val="0"/>
              <w:spacing w:before="0" w:after="283"/>
              <w:jc w:val="left"/>
              <w:rPr/>
            </w:pPr>
            <w:r>
              <w:rPr/>
              <w:t>Additional Acknowledgments:</w:t>
            </w:r>
          </w:p>
        </w:tc>
        <w:tc>
          <w:tcPr>
            <w:tcW w:w="1055" w:type="dxa"/>
            <w:tcBorders/>
            <w:vAlign w:val="center"/>
          </w:tcPr>
          <w:p>
            <w:pPr>
              <w:pStyle w:val="TableContents"/>
              <w:bidi w:val="0"/>
              <w:spacing w:before="0" w:after="283"/>
              <w:jc w:val="both"/>
              <w:rPr/>
            </w:pPr>
            <w:r>
              <w:rPr/>
              <w:t>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151"/>
        <w:gridCol w:w="8872"/>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3.</w:t>
            </w:r>
          </w:p>
        </w:tc>
        <w:tc>
          <w:tcPr>
            <w:tcW w:w="1151" w:type="dxa"/>
            <w:tcBorders/>
            <w:vAlign w:val="center"/>
          </w:tcPr>
          <w:p>
            <w:pPr>
              <w:pStyle w:val="TableContents"/>
              <w:bidi w:val="0"/>
              <w:spacing w:before="0" w:after="283"/>
              <w:jc w:val="both"/>
              <w:rPr/>
            </w:pPr>
            <w:r>
              <w:rPr>
                <w:u w:val="single"/>
              </w:rPr>
              <w:t>Calculation Agent</w:t>
            </w:r>
            <w:r>
              <w:rPr/>
              <w:t>:</w:t>
            </w:r>
          </w:p>
        </w:tc>
        <w:tc>
          <w:tcPr>
            <w:tcW w:w="8872" w:type="dxa"/>
            <w:tcBorders/>
            <w:vAlign w:val="center"/>
          </w:tcPr>
          <w:p>
            <w:pPr>
              <w:pStyle w:val="TableContents"/>
              <w:bidi w:val="0"/>
              <w:spacing w:before="0" w:after="283"/>
              <w:jc w:val="both"/>
              <w:rPr/>
            </w:pPr>
            <w:r>
              <w:rPr/>
              <w:t xml:space="preserve">Dealer; </w:t>
            </w:r>
            <w:r>
              <w:rPr>
                <w:i/>
              </w:rPr>
              <w:t>provided that</w:t>
            </w:r>
            <w:r>
              <w:rPr/>
              <w: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obligations of the Calculation Agent hereunder and such failure continues for five Exchange Business Days following notice to the Calculation Agent by Counterparty of such failure, Counterparty shall have the right to designate a nationally recognize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Calculation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both"/>
              <w:rPr/>
            </w:pPr>
            <w:r>
              <w:rPr/>
              <w:t> </w:t>
            </w:r>
          </w:p>
        </w:tc>
        <w:tc>
          <w:tcPr>
            <w:tcW w:w="10145" w:type="dxa"/>
            <w:tcBorders/>
            <w:vAlign w:val="center"/>
          </w:tcPr>
          <w:p>
            <w:pPr>
              <w:pStyle w:val="TableContents"/>
              <w:bidi w:val="0"/>
              <w:spacing w:before="0" w:after="283"/>
              <w:jc w:val="both"/>
              <w:rPr/>
            </w:pPr>
            <w:r>
              <w:rPr/>
              <w:t xml:space="preserve">Following any calculation by the Calculation Agent hereunder, upon written request by Counterparty, the Calculation Agent will, within five Exchange Business Days immediately following such request, provide to Counterparty by email to the email address provided by Counterparty in such written request a report (in a commonly used file format for the storage and manipulation of financial data) displaying in reasonable detail the basis for such calculation; </w:t>
            </w:r>
            <w:r>
              <w:rPr>
                <w:i/>
              </w:rPr>
              <w:t>provided that</w:t>
            </w:r>
            <w:r>
              <w:rPr/>
              <w:t xml:space="preserve"> in no event will Dealer be obligated to share with Counterparty any proprietary or confidential data or information or any proprietary or confidential models used by it or any information that is subject to an obligation not to disclose such information..</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200"/>
        <w:gridCol w:w="2765"/>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2765" w:type="dxa"/>
            <w:tcBorders/>
            <w:vAlign w:val="center"/>
          </w:tcPr>
          <w:p>
            <w:pPr>
              <w:pStyle w:val="TableContents"/>
              <w:bidi w:val="0"/>
              <w:spacing w:before="0" w:after="283"/>
              <w:jc w:val="both"/>
              <w:rPr/>
            </w:pPr>
            <w:r>
              <w:rPr>
                <w:u w:val="single"/>
              </w:rPr>
              <w:t>Account Details</w:t>
            </w:r>
            <w:r>
              <w:rPr/>
              <w:t>:</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both"/>
              <w:rPr/>
            </w:pPr>
            <w:r>
              <w:rPr/>
              <w:t>Dealer Payment Instructions: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Bank of New York</w:t>
      </w:r>
    </w:p>
    <w:p>
      <w:pPr>
        <w:pStyle w:val="TextBody"/>
        <w:bidi w:val="0"/>
        <w:spacing w:before="0" w:after="0"/>
        <w:ind w:left="4320" w:right="0" w:hanging="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 021000018</w:t>
      </w:r>
    </w:p>
    <w:p>
      <w:pPr>
        <w:pStyle w:val="TextBody"/>
        <w:bidi w:val="0"/>
        <w:spacing w:before="0" w:after="0"/>
        <w:ind w:left="4320" w:right="0" w:hanging="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8661062712</w:t>
      </w:r>
    </w:p>
    <w:p>
      <w:pPr>
        <w:pStyle w:val="TextBody"/>
        <w:bidi w:val="0"/>
        <w:spacing w:before="0" w:after="0"/>
        <w:ind w:left="4320" w:right="0" w:hanging="25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Acct Name – BMO Nesbitt Burns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3"/>
        <w:gridCol w:w="1159"/>
        <w:gridCol w:w="8803"/>
      </w:tblGrid>
      <w:tr>
        <w:trPr/>
        <w:tc>
          <w:tcPr>
            <w:tcW w:w="243" w:type="dxa"/>
            <w:gridSpan w:val="2"/>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Account for delivery of Shares to Dealer: To be provided by Dealer</w:t>
            </w:r>
          </w:p>
        </w:tc>
      </w:tr>
      <w:tr>
        <w:trPr/>
        <w:tc>
          <w:tcPr>
            <w:tcW w:w="243" w:type="dxa"/>
            <w:gridSpan w:val="2"/>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 </w:t>
            </w:r>
          </w:p>
        </w:tc>
      </w:tr>
      <w:tr>
        <w:trPr/>
        <w:tc>
          <w:tcPr>
            <w:tcW w:w="243" w:type="dxa"/>
            <w:gridSpan w:val="2"/>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Counterparty Payment Instructions: To be provided by Counterparty.</w:t>
            </w:r>
          </w:p>
        </w:tc>
      </w:tr>
      <w:tr>
        <w:trPr/>
        <w:tc>
          <w:tcPr>
            <w:tcW w:w="243" w:type="dxa"/>
            <w:gridSpan w:val="2"/>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5.</w:t>
            </w:r>
          </w:p>
        </w:tc>
        <w:tc>
          <w:tcPr>
            <w:tcW w:w="9962" w:type="dxa"/>
            <w:gridSpan w:val="2"/>
            <w:tcBorders/>
            <w:vAlign w:val="center"/>
          </w:tcPr>
          <w:p>
            <w:pPr>
              <w:pStyle w:val="TableContents"/>
              <w:bidi w:val="0"/>
              <w:spacing w:before="0" w:after="283"/>
              <w:jc w:val="both"/>
              <w:rPr/>
            </w:pPr>
            <w:r>
              <w:rPr>
                <w:u w:val="single"/>
              </w:rPr>
              <w:t>Offices</w:t>
            </w:r>
            <w:r>
              <w:rPr/>
              <w:t>:</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Dealer is a Multibranch Party and for purposes of this Confirmation and each Transaction, may act through its London and Toronto Offices.</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The Office of Counterparty for the Transaction is: Inapplicable, Counterparty is not a Multibranch Party.</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6.</w:t>
            </w:r>
          </w:p>
        </w:tc>
        <w:tc>
          <w:tcPr>
            <w:tcW w:w="9962" w:type="dxa"/>
            <w:gridSpan w:val="2"/>
            <w:tcBorders/>
            <w:vAlign w:val="center"/>
          </w:tcPr>
          <w:p>
            <w:pPr>
              <w:pStyle w:val="TableContents"/>
              <w:bidi w:val="0"/>
              <w:spacing w:before="0" w:after="283"/>
              <w:jc w:val="both"/>
              <w:rPr/>
            </w:pPr>
            <w:r>
              <w:rPr/>
              <w:t>Notices: For purposes of this Confirmation:</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(a)      Address for notices or communications to Counterparty:</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Winnebago Industries, Inc.</w:t>
              <w:br/>
              <w:t>13200 Pioneer Trail</w:t>
              <w:br/>
              <w:t>Eden Prairie, MN 55347</w:t>
              <w:br/>
              <w:t>Attention: Kathy Hiebert, Treasurer</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(b)      Address for notices or communications to Dealer:</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9962"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1159" w:type="dxa"/>
            <w:tcBorders/>
            <w:vAlign w:val="center"/>
          </w:tcPr>
          <w:p>
            <w:pPr>
              <w:pStyle w:val="TableContents"/>
              <w:bidi w:val="0"/>
              <w:spacing w:before="0" w:after="283"/>
              <w:jc w:val="both"/>
              <w:rPr/>
            </w:pPr>
            <w:r>
              <w:rPr/>
              <w:t>To:</w:t>
            </w:r>
          </w:p>
        </w:tc>
        <w:tc>
          <w:tcPr>
            <w:tcW w:w="8803" w:type="dxa"/>
            <w:tcBorders/>
            <w:vAlign w:val="center"/>
          </w:tcPr>
          <w:p>
            <w:pPr>
              <w:pStyle w:val="TableContents"/>
              <w:bidi w:val="0"/>
              <w:spacing w:before="0" w:after="283"/>
              <w:jc w:val="both"/>
              <w:rPr/>
            </w:pPr>
            <w:r>
              <w:rPr/>
              <w:t>Bank of Montreal</w:t>
              <w:br/>
              <w:t>55 Bloor Street West, 18</w:t>
            </w:r>
            <w:r>
              <w:rPr>
                <w:position w:val="8"/>
                <w:sz w:val="19"/>
              </w:rPr>
              <w:t>th</w:t>
            </w:r>
            <w:r>
              <w:rPr/>
              <w:t xml:space="preserve"> Floor</w:t>
            </w:r>
          </w:p>
        </w:tc>
      </w:tr>
      <w:tr>
        <w:trPr/>
        <w:tc>
          <w:tcPr>
            <w:tcW w:w="60" w:type="dxa"/>
            <w:tcBorders/>
            <w:vAlign w:val="center"/>
          </w:tcPr>
          <w:p>
            <w:pPr>
              <w:pStyle w:val="TableContents"/>
              <w:bidi w:val="0"/>
              <w:spacing w:before="0" w:after="283"/>
              <w:jc w:val="both"/>
              <w:rPr/>
            </w:pPr>
            <w:r>
              <w:rPr/>
              <w:t> </w:t>
            </w:r>
          </w:p>
        </w:tc>
        <w:tc>
          <w:tcPr>
            <w:tcW w:w="183" w:type="dxa"/>
            <w:tcBorders/>
            <w:vAlign w:val="center"/>
          </w:tcPr>
          <w:p>
            <w:pPr>
              <w:pStyle w:val="TableContents"/>
              <w:bidi w:val="0"/>
              <w:spacing w:before="0" w:after="283"/>
              <w:jc w:val="both"/>
              <w:rPr/>
            </w:pPr>
            <w:r>
              <w:rPr/>
              <w:t> </w:t>
            </w:r>
          </w:p>
        </w:tc>
        <w:tc>
          <w:tcPr>
            <w:tcW w:w="1159" w:type="dxa"/>
            <w:tcBorders/>
            <w:vAlign w:val="center"/>
          </w:tcPr>
          <w:p>
            <w:pPr>
              <w:pStyle w:val="TableContents"/>
              <w:bidi w:val="0"/>
              <w:spacing w:before="0" w:after="283"/>
              <w:jc w:val="both"/>
              <w:rPr/>
            </w:pPr>
            <w:r>
              <w:rPr/>
              <w:t> </w:t>
            </w:r>
          </w:p>
        </w:tc>
        <w:tc>
          <w:tcPr>
            <w:tcW w:w="8803" w:type="dxa"/>
            <w:tcBorders/>
            <w:vAlign w:val="center"/>
          </w:tcPr>
          <w:p>
            <w:pPr>
              <w:pStyle w:val="TableContents"/>
              <w:bidi w:val="0"/>
              <w:spacing w:before="0" w:after="283"/>
              <w:jc w:val="both"/>
              <w:rPr/>
            </w:pPr>
            <w:r>
              <w:rPr/>
              <w:t>Toronto, Ontario M4W 1A5</w:t>
              <w:br/>
              <w:t>Canada</w:t>
            </w:r>
          </w:p>
        </w:tc>
      </w:tr>
    </w:tbl>
    <w:tbl>
      <w:tblPr>
        <w:tblW w:w="3708" w:type="dxa"/>
        <w:jc w:val="left"/>
        <w:tblInd w:w="0" w:type="dxa"/>
        <w:tblLayout w:type="fixed"/>
        <w:tblCellMar>
          <w:top w:w="0" w:type="dxa"/>
          <w:left w:w="0" w:type="dxa"/>
          <w:bottom w:w="0" w:type="dxa"/>
          <w:right w:w="0" w:type="dxa"/>
        </w:tblCellMar>
      </w:tblPr>
      <w:tblGrid>
        <w:gridCol w:w="38"/>
        <w:gridCol w:w="500"/>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Attn:</w:t>
            </w:r>
          </w:p>
        </w:tc>
        <w:tc>
          <w:tcPr>
            <w:tcW w:w="3170" w:type="dxa"/>
            <w:tcBorders/>
            <w:vAlign w:val="center"/>
          </w:tcPr>
          <w:p>
            <w:pPr>
              <w:pStyle w:val="TableContents"/>
              <w:bidi w:val="0"/>
              <w:spacing w:before="0" w:after="283"/>
              <w:jc w:val="both"/>
              <w:rPr/>
            </w:pPr>
            <w:r>
              <w:rPr/>
              <w:t>Manager, Derivatives Operations</w:t>
            </w:r>
          </w:p>
        </w:tc>
      </w:tr>
    </w:tbl>
    <w:tbl>
      <w:tblPr>
        <w:tblW w:w="4165" w:type="dxa"/>
        <w:jc w:val="left"/>
        <w:tblInd w:w="0" w:type="dxa"/>
        <w:tblLayout w:type="fixed"/>
        <w:tblCellMar>
          <w:top w:w="0" w:type="dxa"/>
          <w:left w:w="0" w:type="dxa"/>
          <w:bottom w:w="0" w:type="dxa"/>
          <w:right w:w="0" w:type="dxa"/>
        </w:tblCellMar>
      </w:tblPr>
      <w:tblGrid>
        <w:gridCol w:w="75"/>
        <w:gridCol w:w="1085"/>
        <w:gridCol w:w="3005"/>
      </w:tblGrid>
      <w:tr>
        <w:trPr/>
        <w:tc>
          <w:tcPr>
            <w:tcW w:w="7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pPr>
            <w:r>
              <w:rPr/>
              <w:t>Telephone:</w:t>
            </w:r>
          </w:p>
        </w:tc>
        <w:tc>
          <w:tcPr>
            <w:tcW w:w="3005" w:type="dxa"/>
            <w:tcBorders/>
            <w:vAlign w:val="center"/>
          </w:tcPr>
          <w:p>
            <w:pPr>
              <w:pStyle w:val="TableContents"/>
              <w:bidi w:val="0"/>
              <w:spacing w:before="0" w:after="283"/>
              <w:jc w:val="left"/>
              <w:rPr/>
            </w:pPr>
            <w:r>
              <w:rPr/>
              <w:t>(416) 552-4177</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Email:</w:t>
            </w:r>
          </w:p>
        </w:tc>
        <w:tc>
          <w:tcPr>
            <w:tcW w:w="3005" w:type="dxa"/>
            <w:tcBorders/>
            <w:vAlign w:val="center"/>
          </w:tcPr>
          <w:p>
            <w:pPr>
              <w:pStyle w:val="TableContents"/>
              <w:bidi w:val="0"/>
              <w:spacing w:before="0" w:after="283"/>
              <w:jc w:val="left"/>
              <w:rPr/>
            </w:pPr>
            <w:r>
              <w:rPr/>
              <w:t>BMOEquityLinked@bmo.com</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90" w:type="dxa"/>
            <w:gridSpan w:val="2"/>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To:</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Montreal</w:t>
              <w:br/>
              <w:t>100 King Street West, 20</w:t>
            </w:r>
            <w:r>
              <w:rPr>
                <w:rFonts w:ascii="Times New Roman;Times;Serif" w:hAnsi="Times New Roman;Times;Serif"/>
                <w:position w:val="7"/>
                <w:sz w:val="16"/>
                <w:sz w:val="20"/>
              </w:rPr>
              <w:t>th</w:t>
            </w:r>
            <w:r>
              <w:rPr>
                <w:rFonts w:ascii="Times New Roman;Times;Serif" w:hAnsi="Times New Roman;Times;Serif"/>
                <w:sz w:val="20"/>
              </w:rPr>
              <w:t xml:space="preserve"> Floor</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825" w:type="dxa"/>
        <w:jc w:val="left"/>
        <w:tblInd w:w="0" w:type="dxa"/>
        <w:tblLayout w:type="fixed"/>
        <w:tblCellMar>
          <w:top w:w="0" w:type="dxa"/>
          <w:left w:w="0" w:type="dxa"/>
          <w:bottom w:w="0" w:type="dxa"/>
          <w:right w:w="0" w:type="dxa"/>
        </w:tblCellMar>
      </w:tblPr>
      <w:tblGrid>
        <w:gridCol w:w="75"/>
        <w:gridCol w:w="60"/>
        <w:gridCol w:w="269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Toronto, Ontario M5X 1A1</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Canada</w:t>
            </w:r>
          </w:p>
        </w:tc>
      </w:tr>
    </w:tbl>
    <w:tbl>
      <w:tblPr>
        <w:tblW w:w="7653" w:type="dxa"/>
        <w:jc w:val="left"/>
        <w:tblInd w:w="0" w:type="dxa"/>
        <w:tblLayout w:type="fixed"/>
        <w:tblCellMar>
          <w:top w:w="0" w:type="dxa"/>
          <w:left w:w="0" w:type="dxa"/>
          <w:bottom w:w="0" w:type="dxa"/>
          <w:right w:w="0" w:type="dxa"/>
        </w:tblCellMar>
      </w:tblPr>
      <w:tblGrid>
        <w:gridCol w:w="38"/>
        <w:gridCol w:w="44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Attn:</w:t>
            </w:r>
          </w:p>
        </w:tc>
        <w:tc>
          <w:tcPr>
            <w:tcW w:w="7175" w:type="dxa"/>
            <w:tcBorders/>
            <w:vAlign w:val="center"/>
          </w:tcPr>
          <w:p>
            <w:pPr>
              <w:pStyle w:val="TableContents"/>
              <w:bidi w:val="0"/>
              <w:spacing w:before="0" w:after="283"/>
              <w:jc w:val="left"/>
              <w:rPr/>
            </w:pPr>
            <w:r>
              <w:rPr/>
              <w:t>Associate General Counsel &amp; Managing Director, Derivatives Legal Group</w:t>
            </w:r>
          </w:p>
        </w:tc>
      </w:tr>
    </w:tbl>
    <w:tbl>
      <w:tblPr>
        <w:tblW w:w="4285" w:type="dxa"/>
        <w:jc w:val="left"/>
        <w:tblInd w:w="0" w:type="dxa"/>
        <w:tblLayout w:type="fixed"/>
        <w:tblCellMar>
          <w:top w:w="0" w:type="dxa"/>
          <w:left w:w="0" w:type="dxa"/>
          <w:bottom w:w="0" w:type="dxa"/>
          <w:right w:w="0" w:type="dxa"/>
        </w:tblCellMar>
      </w:tblPr>
      <w:tblGrid>
        <w:gridCol w:w="75"/>
        <w:gridCol w:w="1085"/>
        <w:gridCol w:w="3125"/>
      </w:tblGrid>
      <w:tr>
        <w:trPr/>
        <w:tc>
          <w:tcPr>
            <w:tcW w:w="7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Facsimile:</w:t>
            </w:r>
          </w:p>
        </w:tc>
        <w:tc>
          <w:tcPr>
            <w:tcW w:w="3125" w:type="dxa"/>
            <w:tcBorders/>
            <w:vAlign w:val="center"/>
          </w:tcPr>
          <w:p>
            <w:pPr>
              <w:pStyle w:val="TableContents"/>
              <w:bidi w:val="0"/>
              <w:spacing w:before="0" w:after="283"/>
              <w:jc w:val="left"/>
              <w:rPr/>
            </w:pPr>
            <w:r>
              <w:rPr/>
              <w:t>(416) 956-2318</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10" w:type="dxa"/>
            <w:gridSpan w:val="2"/>
            <w:tcBorders/>
            <w:vAlign w:val="center"/>
          </w:tcPr>
          <w:p>
            <w:pPr>
              <w:pStyle w:val="TableContents"/>
              <w:bidi w:val="0"/>
              <w:spacing w:before="0" w:after="283"/>
              <w:jc w:val="left"/>
              <w:rPr/>
            </w:pPr>
            <w:r>
              <w:rPr/>
              <w:t>And a copy to:</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To:</w:t>
            </w:r>
          </w:p>
        </w:tc>
        <w:tc>
          <w:tcPr>
            <w:tcW w:w="3125" w:type="dxa"/>
            <w:tcBorders/>
            <w:vAlign w:val="center"/>
          </w:tcPr>
          <w:p>
            <w:pPr>
              <w:pStyle w:val="TableContents"/>
              <w:bidi w:val="0"/>
              <w:spacing w:before="0" w:after="283"/>
              <w:jc w:val="left"/>
              <w:rPr/>
            </w:pPr>
            <w:r>
              <w:rPr/>
              <w:t>BMO Capital Markets Corp.</w:t>
              <w:br/>
              <w:t>151 West 42</w:t>
            </w:r>
            <w:r>
              <w:rPr>
                <w:position w:val="8"/>
                <w:sz w:val="19"/>
              </w:rPr>
              <w:t>nd</w:t>
            </w:r>
            <w:r>
              <w:rPr/>
              <w:t xml:space="preserve"> Street 32</w:t>
            </w:r>
            <w:r>
              <w:rPr>
                <w:position w:val="8"/>
                <w:sz w:val="19"/>
              </w:rPr>
              <w:t>nd</w:t>
            </w:r>
            <w:r>
              <w:rPr/>
              <w:t xml:space="preserve"> Floor</w:t>
              <w:br/>
              <w:t>New York, New York 10036</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Attn:</w:t>
            </w:r>
          </w:p>
        </w:tc>
        <w:tc>
          <w:tcPr>
            <w:tcW w:w="3125" w:type="dxa"/>
            <w:tcBorders/>
            <w:vAlign w:val="center"/>
          </w:tcPr>
          <w:p>
            <w:pPr>
              <w:pStyle w:val="TableContents"/>
              <w:bidi w:val="0"/>
              <w:spacing w:before="0" w:after="283"/>
              <w:jc w:val="left"/>
              <w:rPr/>
            </w:pPr>
            <w:r>
              <w:rPr/>
              <w:t>Brian Riley</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Telephone:</w:t>
            </w:r>
          </w:p>
        </w:tc>
        <w:tc>
          <w:tcPr>
            <w:tcW w:w="3125" w:type="dxa"/>
            <w:tcBorders/>
            <w:vAlign w:val="center"/>
          </w:tcPr>
          <w:p>
            <w:pPr>
              <w:pStyle w:val="TableContents"/>
              <w:bidi w:val="0"/>
              <w:spacing w:before="0" w:after="283"/>
              <w:jc w:val="left"/>
              <w:rPr/>
            </w:pPr>
            <w:r>
              <w:rPr/>
              <w:t>(212) 605-1414</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Email:</w:t>
            </w:r>
          </w:p>
        </w:tc>
        <w:tc>
          <w:tcPr>
            <w:tcW w:w="3125" w:type="dxa"/>
            <w:tcBorders/>
            <w:vAlign w:val="center"/>
          </w:tcPr>
          <w:p>
            <w:pPr>
              <w:pStyle w:val="TableContents"/>
              <w:bidi w:val="0"/>
              <w:spacing w:before="0" w:after="283"/>
              <w:jc w:val="left"/>
              <w:rPr/>
            </w:pPr>
            <w:r>
              <w:rPr/>
              <w:t>BMOEquityLinked@bmo.com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Warranties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Trade Date and as of the date of any Notice of Share Termination under (and as defined in) Section 8(b)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or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(or any successor issue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302A.673 of the Minnesota Business Corporations Act as an “interested shareholder”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On the Trade Date and the Premium Payment Date (A) the assets of Counterparty at their fair valuation exceed the liabilities of Counterparty, including contingent liabilities, (B) the capital of Counterparty is adequate to conduct the business of Counterparty and (C) Counterparty has the ability to pay its debts and obligations as such debts mature and does not intend to, or does not believe that it will, incur debt beyond its ability to pay as such debts mature.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Counterparty shall not take any action to decrease the number of Available Shares below the Capped Number (each as defined below, but without giving effect to the limitation on adjustments to the Capped Number set forth in the proviso in the first sentence of Section ‎8(f)).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representations and warranties of Counterparty set forth in Section 3 of the Agreement and Section 1 of the Purchase Agreement dated as of the Trade Date between Goldman Sachs &amp; Co. LLC and BMO Capital Markets Corp. as the representatives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of the Initial Purchasers and Counterparty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are true and correct as of the Trade Date and the Effective Date and are hereby deemed to be repeated to Dealer as if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(x) (A) On the Trade Date, the Shares or securities that are convertible into, or exchangeable or exercisable for Shares, are not, and shall not be, subject to a “restricted period,” as such term is defined in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 and (y)(A) during the period starting on the first Expiration Date and ending on the last Expiration Date (the “</w:t>
      </w:r>
      <w:r>
        <w:rPr>
          <w:rFonts w:ascii="Times New Roman;Times;Serif" w:hAnsi="Times New Roman;Times;Serif"/>
          <w:b/>
          <w:i w:val="false"/>
          <w:caps w:val="false"/>
          <w:smallCaps w:val="false"/>
          <w:sz w:val="20"/>
        </w:rPr>
        <w:t>Settlement Period</w:t>
      </w:r>
      <w:r>
        <w:rPr>
          <w:rFonts w:ascii="Times New Roman;Times;Serif" w:hAnsi="Times New Roman;Times;Serif"/>
          <w:b w:val="false"/>
          <w:i w:val="false"/>
          <w:caps w:val="false"/>
          <w:smallCaps w:val="false"/>
          <w:sz w:val="20"/>
        </w:rPr>
        <w:t>”), the Shares or securities that are convertible into, or exchangeable or exercisable for Shares, are not, and shall not be, subject to a “restricted period,” as defined in Regulation M and (B) Counterparty shall not engage in any “distribution,” as such term is defined in Regulation M until the second Exchange Business Day immediately following the Settlement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(x) On the Trade Date, (y) during the Settlement Period and (z) on any other Exercise Date, neither Counterparty nor any “affiliate” or “affiliated purchaser” (each as defined in Rule 10b-18 of the Exchange Act (“</w:t>
      </w:r>
      <w:r>
        <w:rPr>
          <w:rFonts w:ascii="Times New Roman;Times;Serif" w:hAnsi="Times New Roman;Times;Serif"/>
          <w:b/>
          <w:i w:val="false"/>
          <w:caps w:val="false"/>
          <w:smallCaps w:val="false"/>
          <w:sz w:val="20"/>
        </w:rPr>
        <w:t>Rule 10b-18</w:t>
      </w:r>
      <w:r>
        <w:rPr>
          <w:rFonts w:ascii="Times New Roman;Times;Serif" w:hAnsi="Times New Roman;Times;Serif"/>
          <w:b w:val="false"/>
          <w:i w:val="false"/>
          <w:caps w:val="false"/>
          <w:smallCaps w:val="false"/>
          <w:sz w:val="20"/>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Counterparty agrees that it (A) will not during the Settlement Period make, or permit to be made, any public announcement (as defined in Rule 165(f) under the Securities Act) of any Merger Transaction or potential Merger Transaction unless such public announcement is made prior to the opening or after the close of the regular trading session on the Exchange for the Shares; (B) shall promptly (but in any event prior to the next opening of the regular trading session on the Exchange) notify Dealer following any such announcement that such announcement has been made; and (C) shall promptly (but in any event prior to the next opening of the regular trading session on the Exchange) provide Dealer with written notice specifying (i) Counterparty’s average daily Rule 10b-18 Purchases (as defined in Rule 10b-18) during the three full calendar months immediately preceding the announcement date that were not effected through Dealer or its affiliates and (ii) the number of Shares purchased pursuant to the proviso in Rule 10b-18(b)(4) under the Exchange Act for the three full calendar months preceding the announcement date. Such written notice shall be deemed to be a certification by Counterparty to Dealer that such information is true and correct. In addition, Counterparty shall promptly notify Dealer of the earlier to occur of the completion of such transaction and the completion of the vote by target shareholders. “</w:t>
      </w:r>
      <w:r>
        <w:rPr>
          <w:rFonts w:ascii="Times New Roman;Times;Serif" w:hAnsi="Times New Roman;Times;Serif"/>
          <w:b/>
          <w:i w:val="false"/>
          <w:caps w:val="false"/>
          <w:smallCaps w:val="false"/>
          <w:sz w:val="20"/>
        </w:rPr>
        <w:t>Merger Transaction</w:t>
      </w:r>
      <w:r>
        <w:rPr>
          <w:rFonts w:ascii="Times New Roman;Times;Serif" w:hAnsi="Times New Roman;Times;Serif"/>
          <w:b w:val="false"/>
          <w:i w:val="false"/>
          <w:caps w:val="false"/>
          <w:smallCaps w:val="false"/>
          <w:sz w:val="20"/>
        </w:rPr>
        <w:t>” means any merger, acquisition or similar transaction involving a recapitalization as contemplated by Rule 10b-18(a)(13)(iv)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Any issuance of Shares upon exercise or termination of the Transaction has been, and throughout the Transaction will continue to be, duly authorized and, upon issuance, such Shares will be validly issued, fully paid and non-assessable, and the issuance or delivery thereof shall not be subject to any preemptive or similar rights and such Shares shall, upon issuance, be accepted for listing or quotation on the Exchange; (B) a number of Shares of Counterparty equal to the Capped Number have been reserved for issuance upon exercise or termination of the Warrants by all required corporate action of the Counterparty and (C) the Shares issuable upon exercise of the Warrants shall upon issuance be accepted for listing or quotation on the Exchange, subject to notice that the listing of the Shares issuable upon exercise or termination of the Warrants on the Exchange has been approved by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holding (however defined) or having a right to acquire Shares; provided however, that Counterparty makes no representation or warranty regarding any such requirement that is applicable generally to the ownership of equity securities by Dealer or any of its affiliates as a result of it or any such affiliates being financial institutions or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 (C) has total assets of at least $50 million. Counterparty will notify Dealer if the immediately preceding statement contained in this Section 7(a)(xiv) ceases to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26, 2023,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Dealer and Counterparty acknowledges that the offer and sale of the Transaction to it is intended to be exempt from registration under the Securities Act, by virtue of Section 4(a)(2) thereof. Accordingly, Dealer represents and warrants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Dealer and Counterparty agrees and acknowledges that Dealer is a “financial institution” and “financial participant” within the meaning of Sections 101(22) and 101(22A) of Title 11 of the United States Code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Counterparty shall deliver to Dealer (i) an incumbency certificate, dated as of the Trade Date, of Counterparty in customary form and (ii) an opinion of counsel, dated as of the Trade Date and reasonably acceptable to Dealer in form and substance, with respect to the matters set forth in Section 3(a) of the Agreement and Sections 7(a)(v), 7(a)(xii) and 7(a)(xv) of this Confirmation and such other matters as Dealer may reasonably request and (iii) evidence that the listing of the Shares issuable upon exercise or termination of the Warrants on the Exchange has been approved by the Exchange, subject only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 is acting as principal and is not a fiduciary or advisor in respect of any such transaction, including any entry, exercise, amendment, unwind or termination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Counterparty represents and warrants that it has received, read and understands the </w:t>
      </w:r>
      <w:r>
        <w:rPr>
          <w:rFonts w:ascii="Times New Roman;Times;Serif" w:hAnsi="Times New Roman;Times;Serif"/>
          <w:b/>
          <w:i w:val="false"/>
          <w:caps w:val="false"/>
          <w:smallCaps w:val="false"/>
          <w:sz w:val="20"/>
        </w:rPr>
        <w:t>OTC Options Risk Disclosure Statement</w:t>
      </w:r>
      <w:r>
        <w:rPr>
          <w:rFonts w:ascii="Times New Roman;Times;Serif" w:hAnsi="Times New Roman;Times;Serif"/>
          <w:b w:val="false"/>
          <w:i w:val="false"/>
          <w:caps w:val="false"/>
          <w:smallCaps w:val="false"/>
          <w:sz w:val="20"/>
        </w:rPr>
        <w:t xml:space="preserve"> and a copy of the most recent disclosure pamphlet prepared by The Options Clearing Corporation entitled “</w:t>
      </w:r>
      <w:r>
        <w:rPr>
          <w:rFonts w:ascii="Times New Roman;Times;Serif" w:hAnsi="Times New Roman;Times;Serif"/>
          <w:b/>
          <w:i w:val="false"/>
          <w:caps w:val="false"/>
          <w:smallCaps w:val="false"/>
          <w:sz w:val="20"/>
        </w:rPr>
        <w:t>Characteristics and Risks of Standardized Options”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 acknowledges and agrees to be bound by the Conduct Rules of the Financial Industry Regulatory Authority, Inc. applicable to transactions in options, and further agrees not to violate the position and exercise limits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Right to Extend</w:t>
      </w:r>
      <w:r>
        <w:rPr>
          <w:rFonts w:ascii="Times New Roman;Times;Serif" w:hAnsi="Times New Roman;Times;Serif"/>
          <w:b w:val="false"/>
          <w:i w:val="false"/>
          <w:caps w:val="false"/>
          <w:smallCaps w:val="false"/>
          <w:sz w:val="20"/>
        </w:rPr>
        <w:t>. Dealer may postpone or add, in whole or in part, any Expiration Date or Settlement Date or any other date of valuation or delivery by Counterparty, with respect to some or all of the relevant Warrants (in which event the Calculation Agent shall make appropriate adjustments to the relevant delivery obligation), if Dealer determines, in its commercially reasonable discretion, that such extension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 and in the case of policies or procedures, so long as such policies and procedures are consistently applied to transactions similar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Alternative Calculations and Payment on Early Termination and on Certain Extraordinary Events</w:t>
      </w:r>
      <w:r>
        <w:rPr>
          <w:rFonts w:ascii="Times New Roman;Times;Serif" w:hAnsi="Times New Roman;Times;Serif"/>
          <w:b w:val="false"/>
          <w:i w:val="false"/>
          <w:caps w:val="false"/>
          <w:smallCaps w:val="false"/>
          <w:sz w:val="20"/>
        </w:rPr>
        <w:t>. If Counterparty shall owe Dealer any amount pursuant to Section 6(d)(ii) of the Agreement (a “</w:t>
      </w:r>
      <w:r>
        <w:rPr>
          <w:rFonts w:ascii="Times New Roman;Times;Serif" w:hAnsi="Times New Roman;Times;Serif"/>
          <w:b/>
          <w:i w:val="false"/>
          <w:caps w:val="false"/>
          <w:smallCaps w:val="false"/>
          <w:sz w:val="20"/>
        </w:rPr>
        <w:t>Payment Obligation</w:t>
      </w:r>
      <w:r>
        <w:rPr>
          <w:rFonts w:ascii="Times New Roman;Times;Serif" w:hAnsi="Times New Roman;Times;Serif"/>
          <w:b w:val="false"/>
          <w:i w:val="false"/>
          <w:caps w:val="false"/>
          <w:smallCaps w:val="false"/>
          <w:sz w:val="20"/>
        </w:rPr>
        <w:t>”), Counterparty shall have the right, in its sole discretion,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 A.M., New York City time, on the Merger Date, Tender Offer Date, Announcement Date, Early Termination Date or date of cancellation or termination in respect of an Extraordinary Event, as applicable (“</w:t>
      </w:r>
      <w:r>
        <w:rPr>
          <w:rFonts w:ascii="Times New Roman;Times;Serif" w:hAnsi="Times New Roman;Times;Serif"/>
          <w:b/>
          <w:i w:val="false"/>
          <w:caps w:val="false"/>
          <w:smallCaps w:val="false"/>
          <w:sz w:val="20"/>
        </w:rPr>
        <w:t>Notice of Share Termination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does not elect to satisfy its Payment Obligation by the Share Termination Alternative, Dealer shall have the right, in its sole discretion, to elect to require Counterparty to satisfy its Payment Obligation by the Share Termination Alternative, notwithstanding Counterparty’s failure to elect or election to the contrary;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Merger Date, the Tender Offer Date, Announcement Date, Early Termination Date or date of cancellation or termination in respect of an Extraordinary Event, as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0"/>
        <w:gridCol w:w="8645"/>
      </w:tblGrid>
      <w:tr>
        <w:trPr/>
        <w:tc>
          <w:tcPr>
            <w:tcW w:w="1560" w:type="dxa"/>
            <w:tcBorders/>
            <w:vAlign w:val="center"/>
          </w:tcPr>
          <w:p>
            <w:pPr>
              <w:pStyle w:val="TableContents"/>
              <w:bidi w:val="0"/>
              <w:spacing w:before="0" w:after="283"/>
              <w:jc w:val="both"/>
              <w:rPr/>
            </w:pPr>
            <w:r>
              <w:rPr/>
              <w:t>Share Termination Alternative:</w:t>
            </w:r>
          </w:p>
        </w:tc>
        <w:tc>
          <w:tcPr>
            <w:tcW w:w="8645" w:type="dxa"/>
            <w:tcBorders/>
            <w:vAlign w:val="center"/>
          </w:tcPr>
          <w:p>
            <w:pPr>
              <w:pStyle w:val="TableContents"/>
              <w:bidi w:val="0"/>
              <w:spacing w:before="0" w:after="283"/>
              <w:jc w:val="both"/>
              <w:rPr/>
            </w:pPr>
            <w:r>
              <w:rPr/>
              <w:t>If applicable, means that Counterparty shall deliver to Dealer the Share Termination Delivery Property on the date on which the Payment Obligation would otherwise be due pursuant to Section 6(d)(ii) of the Agreement, or such later date or dates as the Calculation Agent may reasonably determine (the “</w:t>
            </w:r>
            <w:r>
              <w:rPr>
                <w:b/>
              </w:rPr>
              <w:t>Share Termination Payment Date</w:t>
            </w:r>
            <w:r>
              <w:rPr/>
              <w:t>”), in satisfaction of the Payment Obligation.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6"/>
        <w:gridCol w:w="8619"/>
      </w:tblGrid>
      <w:tr>
        <w:trPr/>
        <w:tc>
          <w:tcPr>
            <w:tcW w:w="1586" w:type="dxa"/>
            <w:tcBorders/>
            <w:vAlign w:val="center"/>
          </w:tcPr>
          <w:p>
            <w:pPr>
              <w:pStyle w:val="TableContents"/>
              <w:bidi w:val="0"/>
              <w:spacing w:before="0" w:after="283"/>
              <w:jc w:val="left"/>
              <w:rPr/>
            </w:pPr>
            <w:r>
              <w:rPr/>
              <w:t>Share Termination Delivery Property:</w:t>
            </w:r>
          </w:p>
        </w:tc>
        <w:tc>
          <w:tcPr>
            <w:tcW w:w="8619" w:type="dxa"/>
            <w:tcBorders/>
            <w:vAlign w:val="center"/>
          </w:tcPr>
          <w:p>
            <w:pPr>
              <w:pStyle w:val="TableContents"/>
              <w:bidi w:val="0"/>
              <w:spacing w:before="0" w:after="283"/>
              <w:jc w:val="both"/>
              <w:rPr/>
            </w:pPr>
            <w:r>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in the Settlement Currency equal to the value of such fractional security based on the values used to calculate the Share Termination Unit Price.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8"/>
        <w:gridCol w:w="8607"/>
      </w:tblGrid>
      <w:tr>
        <w:trPr/>
        <w:tc>
          <w:tcPr>
            <w:tcW w:w="1598" w:type="dxa"/>
            <w:tcBorders/>
            <w:vAlign w:val="center"/>
          </w:tcPr>
          <w:p>
            <w:pPr>
              <w:pStyle w:val="TableContents"/>
              <w:bidi w:val="0"/>
              <w:spacing w:before="0" w:after="283"/>
              <w:jc w:val="both"/>
              <w:rPr/>
            </w:pPr>
            <w:r>
              <w:rPr/>
              <w:t>Share Termination Unit Price:</w:t>
            </w:r>
          </w:p>
        </w:tc>
        <w:tc>
          <w:tcPr>
            <w:tcW w:w="8607" w:type="dxa"/>
            <w:tcBorders/>
            <w:vAlign w:val="center"/>
          </w:tcPr>
          <w:p>
            <w:pPr>
              <w:pStyle w:val="TableContents"/>
              <w:bidi w:val="0"/>
              <w:spacing w:before="0" w:after="283"/>
              <w:jc w:val="both"/>
              <w:rPr/>
            </w:pPr>
            <w:r>
              <w:rPr/>
              <w:t>The value of property contained in one Share Termination Delivery Unit on the date such Share Termination Delivery Units are to be delivered as Share Termination Delivery Property, as determined by the Calculation Agent and notified by the Calculation Agent to Counterparty at the time of notification of the Payment Obligation.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5"/>
        <w:gridCol w:w="8800"/>
      </w:tblGrid>
      <w:tr>
        <w:trPr/>
        <w:tc>
          <w:tcPr>
            <w:tcW w:w="1405" w:type="dxa"/>
            <w:tcBorders/>
            <w:vAlign w:val="center"/>
          </w:tcPr>
          <w:p>
            <w:pPr>
              <w:pStyle w:val="TableContents"/>
              <w:bidi w:val="0"/>
              <w:spacing w:before="0" w:after="283"/>
              <w:jc w:val="both"/>
              <w:rPr/>
            </w:pPr>
            <w:r>
              <w:rPr/>
              <w:t>Share Termination Delivery Unit:</w:t>
            </w:r>
          </w:p>
        </w:tc>
        <w:tc>
          <w:tcPr>
            <w:tcW w:w="8800" w:type="dxa"/>
            <w:tcBorders/>
            <w:vAlign w:val="center"/>
          </w:tcPr>
          <w:p>
            <w:pPr>
              <w:pStyle w:val="TableContents"/>
              <w:bidi w:val="0"/>
              <w:spacing w:before="0" w:after="283"/>
              <w:jc w:val="both"/>
              <w:rPr/>
            </w:pPr>
            <w:r>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tc>
      </w:tr>
    </w:tbl>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1760"/>
        <w:gridCol w:w="1490"/>
      </w:tblGrid>
      <w:tr>
        <w:trPr/>
        <w:tc>
          <w:tcPr>
            <w:tcW w:w="1760" w:type="dxa"/>
            <w:tcBorders/>
            <w:vAlign w:val="center"/>
          </w:tcPr>
          <w:p>
            <w:pPr>
              <w:pStyle w:val="TableContents"/>
              <w:bidi w:val="0"/>
              <w:spacing w:before="0" w:after="283"/>
              <w:jc w:val="both"/>
              <w:rPr/>
            </w:pPr>
            <w:r>
              <w:rPr/>
              <w:t>Failure to Deliver:</w:t>
            </w:r>
          </w:p>
        </w:tc>
        <w:tc>
          <w:tcPr>
            <w:tcW w:w="1490"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7"/>
        <w:gridCol w:w="8728"/>
      </w:tblGrid>
      <w:tr>
        <w:trPr/>
        <w:tc>
          <w:tcPr>
            <w:tcW w:w="1477" w:type="dxa"/>
            <w:tcBorders/>
            <w:vAlign w:val="center"/>
          </w:tcPr>
          <w:p>
            <w:pPr>
              <w:pStyle w:val="TableContents"/>
              <w:bidi w:val="0"/>
              <w:spacing w:before="0" w:after="283"/>
              <w:jc w:val="both"/>
              <w:rPr/>
            </w:pPr>
            <w:r>
              <w:rPr/>
              <w:t>Other Applicable Provisions:</w:t>
            </w:r>
          </w:p>
        </w:tc>
        <w:tc>
          <w:tcPr>
            <w:tcW w:w="8728" w:type="dxa"/>
            <w:tcBorders/>
            <w:vAlign w:val="center"/>
          </w:tcPr>
          <w:p>
            <w:pPr>
              <w:pStyle w:val="TableContents"/>
              <w:bidi w:val="0"/>
              <w:spacing w:before="0" w:after="283"/>
              <w:jc w:val="both"/>
              <w:rPr/>
            </w:pPr>
            <w:r>
              <w:rPr/>
              <w:t xml:space="preserve">If Share Termination Alternative is applicable, the provisions of Sections 9.1(c), 9.8, 9.9, 9.11 and 9.12 of the Equity Definitions will be applicable as if “Physical Settlement” applied to the Transaction, except that all references to “Shares” shall be read as references to “Share Termination Delivery Units”; </w:t>
            </w:r>
            <w:r>
              <w:rPr>
                <w:i/>
              </w:rPr>
              <w:t>provided</w:t>
            </w:r>
            <w:r>
              <w:rPr/>
              <w:t xml:space="preserve"> that the Representation</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both"/>
              <w:rPr/>
            </w:pPr>
            <w:r>
              <w:rPr/>
              <w:t> </w:t>
            </w:r>
          </w:p>
        </w:tc>
        <w:tc>
          <w:tcPr>
            <w:tcW w:w="10130" w:type="dxa"/>
            <w:tcBorders/>
            <w:vAlign w:val="center"/>
          </w:tcPr>
          <w:p>
            <w:pPr>
              <w:pStyle w:val="TableContents"/>
              <w:bidi w:val="0"/>
              <w:spacing w:before="0" w:after="283"/>
              <w:jc w:val="both"/>
              <w:rPr/>
            </w:pPr>
            <w:r>
              <w:rPr/>
              <w:t>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security forming a part thereof). If, in the reasonable opinion of Dealer, based on advice of counsel, for any reason, any securities comprising the Share Termination Delivery Units deliverable pursuant to this Section 8(b) would not be immediately freely transferable by Dealer under Rule 144 under the Securities Act, then Dealer may elect to either (x) permit delivery of such securities notwithstanding any restriction on transfer or (y) have the provisions set forth in Section 8(c) below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Registration/Private Placement Procedures</w:t>
      </w:r>
      <w:r>
        <w:rPr>
          <w:rFonts w:ascii="Times New Roman;Times;Serif" w:hAnsi="Times New Roman;Times;Serif"/>
          <w:b w:val="false"/>
          <w:i w:val="false"/>
          <w:caps w:val="false"/>
          <w:smallCaps w:val="false"/>
          <w:sz w:val="20"/>
        </w:rPr>
        <w:t>. (i) With respect to the Transaction, the following provisions shall apply to the extent provided for above opposite the caption “Net Share Settlement” in Section 2 or in paragraph (b) of this Section 8. If so applicable, then, at the election of Counterparty by notice to Dealer within one Exchange Business Day after the relevant delivery obligation arises, but in any event at least one Exchange Business Day prior to the date on which such delivery obligation is due, either (A) all Shares or Share Termination Delivery Units, as the case may be, delivered by Counterparty to Dealer shall be, at the time of such delivery, covered by an effective registration statement of Counterparty for immediate resale by Dealer (such registration statement and the corresponding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(including, without limitation, any sections describing the plan of distribution) in form and content commercially reasonably satisfactory to Dealer) or (B) Counterparty shall deliver additional Shares or Share Termination Delivery Units, as the case may be, so that the value of such Shares or Share Termination Delivery Units, as determined by the Calculation Agent to reflect a commercially reasonable liquidity discount, equals the value of the number of Shares or Share Termination Delivery Units that would otherwise be deliverable if such Shares or Share Termination Delivery Units were freely tradeable (without prospectus delivery) upon receipt by Dealer (such value, the “</w:t>
      </w:r>
      <w:r>
        <w:rPr>
          <w:rFonts w:ascii="Times New Roman;Times;Serif" w:hAnsi="Times New Roman;Times;Serif"/>
          <w:b/>
          <w:i w:val="false"/>
          <w:caps w:val="false"/>
          <w:smallCaps w:val="false"/>
          <w:sz w:val="20"/>
        </w:rPr>
        <w:t>Freely Tradeable Value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requested by Dealer, Counterparty shall make the election described in this clause (B) with respect to Shares delivered on all Settlement Dates no later than one Exchange Business Day prior to the first Exercise Date, and the applicable procedures described below shall apply to all Shares delivered on the Settlement Dates on an aggregate basis. (For the avoidance of doubt, as used in this paragraph (c) only, the term “Counterparty” shall mean the issuer of the relevant securities, as the context shall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shall be a condition to Counterparty’s right to make the election described in clause (c)(i)(A)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an affiliate of Dealer designated by Dealer) shall be afforded a reasonable opportunity to conduct a due diligence investigation with respect to Counterparty that is customary in scope for underwritten offerings of equity securities and that yields results that are satisfactory to Dealer or such affiliate, as the case may be, in its discretion;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Dealer (or an affiliate of Dealer designated by Dealer) and Counterparty shall enter into an agreement (a “</w:t>
      </w:r>
      <w:r>
        <w:rPr>
          <w:rFonts w:ascii="Times New Roman;Times;Serif" w:hAnsi="Times New Roman;Times;Serif"/>
          <w:b/>
          <w:i w:val="false"/>
          <w:caps w:val="false"/>
          <w:smallCaps w:val="false"/>
          <w:sz w:val="20"/>
        </w:rPr>
        <w:t>Registration Agreement</w:t>
      </w:r>
      <w:r>
        <w:rPr>
          <w:rFonts w:ascii="Times New Roman;Times;Serif" w:hAnsi="Times New Roman;Times;Serif"/>
          <w:b w:val="false"/>
          <w:i w:val="false"/>
          <w:caps w:val="false"/>
          <w:smallCaps w:val="false"/>
          <w:sz w:val="20"/>
        </w:rPr>
        <w:t>”) on commercially reasonable terms in connection with the public resale of such Shares or Share Termination Delivery Units, as the case may be, by Dealer or such affiliate substantially similar to underwriting agreements customary for underwritten offerings of equity securities, in form and substance commercially reasonably satisfactory to Dealer or such affiliate and Counterparty, which Registration Agreement shall include, without limitation, provisions substantially similar to those contained in such underwriting agreements relating to the indemnification of, and contribution in connection with the liability of, Dealer and its affiliates and Counterparty, shall provide for the payment by Counterparty of all expenses in connection with such resale, including all registration costs and all fees and expenses of counsel for Dealer, and shall provide for the delivery of accountants’ “comfort letters” to Dealer or such affiliate with respect to the financial statements and certain financial information contained in or incorporated by reference into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Counterparty makes the election described in clause (c)(i)(B)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an affiliate of Dealer designated by Dealer) and any potential institutional purchaser of any such Shares or Share Termination Delivery Units, as the case may be, from Dealer or such affiliate identified by Dealer shall be afforded a commercially reasonable opportunity to conduct a due diligence investigation in compliance with applicable law with respect to Counterparty customary in scope for private placements of equity securities (including, without limitation, the right to have made available to them for inspection all financial and other records, pertinent corporate documents and other information reasonably requested by them), subject to execution by such recipients of customary confidentiality agreements reasonably acceptable to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Dealer (or an affiliate of Dealer designated by Dealer) and Counterparty shall enter into an agreement (a “</w:t>
      </w:r>
      <w:r>
        <w:rPr>
          <w:rFonts w:ascii="Times New Roman;Times;Serif" w:hAnsi="Times New Roman;Times;Serif"/>
          <w:b/>
          <w:i w:val="false"/>
          <w:caps w:val="false"/>
          <w:smallCaps w:val="false"/>
          <w:sz w:val="20"/>
        </w:rPr>
        <w:t>Private Placement Agreement</w:t>
      </w:r>
      <w:r>
        <w:rPr>
          <w:rFonts w:ascii="Times New Roman;Times;Serif" w:hAnsi="Times New Roman;Times;Serif"/>
          <w:b w:val="false"/>
          <w:i w:val="false"/>
          <w:caps w:val="false"/>
          <w:smallCaps w:val="false"/>
          <w:sz w:val="20"/>
        </w:rPr>
        <w:t>”) on commercially reasonable terms in connection with the private placement of such Shares or Share Termination Delivery Units, as the case may be, by Counterparty to Dealer or such affiliate and the private resale of such shares by Dealer or such affiliate, substantially similar to private placement purchase agreements customary for private placements of equity securities, in form and substance commercially reasonably satisfactory to Dealer and Counterparty,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Counterparty, shall provide for the payment by Counterparty of all expenses in connection with such resale, including all fees and expenses of counsel for Dealer, shall contain representations, warranties and agreements of Counterparty reasonably necessary or advisable to establish and maintain the availability of an exemption from the registration requirements of the Securities Act for such resales, and shall use best efforts to provide for the delivery of accountants’ “comfort letters” to Dealer or such affiliate with respect to the financial statements and certain financial information contained in or incorporated by reference into the offering memorandum prepared for the resale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Counterparty agrees that (i) any Shares or Share Termination Delivery Units so delivered to Dealer may be transferred by and among Dealer and its affiliates, and Counterparty shall effect such transfer without any further action by Dealer and (ii) after the minimum “holding period” within the meaning of Rule 144(d) under the Securities Act has elapsed with respect to such Shares or any securities issued by Counterparty comprising such Share Termination Delivery Units, Counterparty shall promptly remove, or cause the transfer agent for such Shares or securities to remove, any legends referring to any such restrictions or requirements from such Shares or securities, without any further requirement for the delivery of any certificate, consent, agreement, opinion of counsel, notice or any other document, any transfer tax stamps or payment of any other amount or any other action by Dealer (or such affiliate of Dealer);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Counterparty shall not take, or cause to be taken, any action that would make unavailable either the exemption pursuant to Section 4(a)(2) of the Securities Act for the sale by Counterparty to Dealer (or any affiliate designated by Dealer) of the Shares or Share Termination Delivery Units, as the case may be, or the exemption pursuant to Section 4(a)(1) or Section 4(a)(3) of the Securities Act for resales of the Shares or Share Termination Delivery Units, as the case may be, by Dealer (or any such affiliate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If Counterparty makes the election described in clause (i)(B) of paragraph (c) of this Section 8, then Dealer or its affiliates may sell (which sale shall be made in a commercially reasonable manner) such Shares or Share Termination Delivery Units, as the case may be, during a period (the “</w:t>
      </w:r>
      <w:r>
        <w:rPr>
          <w:rFonts w:ascii="Times New Roman;Times;Serif" w:hAnsi="Times New Roman;Times;Serif"/>
          <w:b/>
          <w:i w:val="false"/>
          <w:caps w:val="false"/>
          <w:smallCaps w:val="false"/>
          <w:sz w:val="20"/>
        </w:rPr>
        <w:t>Resale Period</w:t>
      </w:r>
      <w:r>
        <w:rPr>
          <w:rFonts w:ascii="Times New Roman;Times;Serif" w:hAnsi="Times New Roman;Times;Serif"/>
          <w:b w:val="false"/>
          <w:i w:val="false"/>
          <w:caps w:val="false"/>
          <w:smallCaps w:val="false"/>
          <w:sz w:val="20"/>
        </w:rPr>
        <w:t>”) commencing on the Exchange Business Day following delivery of such Shares or Share Termination Delivery Units, as the case may be, and ending on the Exchange Business Day on which Dealer or its affiliates completes the sale of a sufficient number of Shares or Share Termination Delivery Units, as the case may be, so that the realized net proceeds of such sales exceed the Freely Tradeable Value. If any of such delivered Shares or Share Termination Delivery Units remain after such realized net proceeds exceed the Freely Tradeable Value, Dealer shall return such remaining Shares or Share Termination Delivery Units to Counterparty. If the Freely Tradeable Value exceeds the realized net proceeds from such resale, Counterparty shall transfer to Dealer by the open of the regular trading session on the Exchange on the Exchange Trading Day immediately following the final day of the Resale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giving effect to any extension thereof pursuant to the immediately succeeding sentence), the amount of such excess (the “</w:t>
      </w:r>
      <w:r>
        <w:rPr>
          <w:rFonts w:ascii="Times New Roman;Times;Serif" w:hAnsi="Times New Roman;Times;Serif"/>
          <w:b/>
          <w:i w:val="false"/>
          <w:caps w:val="false"/>
          <w:smallCaps w:val="false"/>
          <w:sz w:val="20"/>
        </w:rPr>
        <w:t>Additional Amount</w:t>
      </w:r>
      <w:r>
        <w:rPr>
          <w:rFonts w:ascii="Times New Roman;Times;Serif" w:hAnsi="Times New Roman;Times;Serif"/>
          <w:b w:val="false"/>
          <w:i w:val="false"/>
          <w:caps w:val="false"/>
          <w:smallCaps w:val="false"/>
          <w:sz w:val="20"/>
        </w:rPr>
        <w:t>”) in cash or in a number of additional Shares or Share Termination Delivery Units, as the case may be, (“</w:t>
      </w:r>
      <w:r>
        <w:rPr>
          <w:rFonts w:ascii="Times New Roman;Times;Serif" w:hAnsi="Times New Roman;Times;Serif"/>
          <w:b/>
          <w:i w:val="false"/>
          <w:caps w:val="false"/>
          <w:smallCaps w:val="false"/>
          <w:sz w:val="20"/>
        </w:rPr>
        <w:t>Make-whole Shares</w:t>
      </w:r>
      <w:r>
        <w:rPr>
          <w:rFonts w:ascii="Times New Roman;Times;Serif" w:hAnsi="Times New Roman;Times;Serif"/>
          <w:b w:val="false"/>
          <w:i w:val="false"/>
          <w:caps w:val="false"/>
          <w:smallCaps w:val="false"/>
          <w:sz w:val="20"/>
        </w:rPr>
        <w:t>”) in an amount that, based on the Relevant Price on such final day of the Resale Period (as if such day was the “Valuation Date” for purposes of computing such Relevant Price), has a dollar value equal to the Additional Amount. The Resale Period shall continue to enable the sale of the Make-whole Shares in the manner contemplated by this Section 8(d). This provision shall be applied successively until the Additional Amount is equal to zero, subject to Section 8(f).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Beneficial Ownership</w:t>
      </w:r>
      <w:r>
        <w:rPr>
          <w:rFonts w:ascii="Times New Roman;Times;Serif" w:hAnsi="Times New Roman;Times;Serif"/>
          <w:b w:val="false"/>
          <w:i w:val="false"/>
          <w:caps w:val="false"/>
          <w:smallCaps w:val="false"/>
          <w:sz w:val="20"/>
        </w:rPr>
        <w:t>. Notwithstanding anything to the contrary in the Agreement or this Confirmation, in no event shall Dealer be entitled to receive, or shall be deemed to receive, any Shares if, immediately upon giving effect to such receipt of such Shares (and after taking into account any Shares deliverable by Counterparty to Dealer at such time under any transaction or security other than the Transaction), (i) the “beneficial ownership” (within the meaning of Section 13 of the Exchange Act and the rules promulgated thereunder) of Shares by Dealer, any of its affiliates subject to aggregation with Dealer for purposes of the “beneficial ownership” test under Section 13 of the Exchange Act and all persons who may form a “group” (within the meaning of Rule 13d-5(b)(1) under the Exchange Act) with Dealer with respect to “beneficial ownership” of any Shares (collectively, “</w:t>
      </w:r>
      <w:r>
        <w:rPr>
          <w:rFonts w:ascii="Times New Roman;Times;Serif" w:hAnsi="Times New Roman;Times;Serif"/>
          <w:b/>
          <w:i w:val="false"/>
          <w:caps w:val="false"/>
          <w:smallCaps w:val="false"/>
          <w:sz w:val="20"/>
        </w:rPr>
        <w:t>Dealer Group</w:t>
      </w:r>
      <w:r>
        <w:rPr>
          <w:rFonts w:ascii="Times New Roman;Times;Serif" w:hAnsi="Times New Roman;Times;Serif"/>
          <w:b w:val="false"/>
          <w:i w:val="false"/>
          <w:caps w:val="false"/>
          <w:smallCaps w:val="false"/>
          <w:sz w:val="20"/>
        </w:rPr>
        <w:t>”) (or, to the extent that for any reason the equivalent calculation under Section 16 of the Exchange Act and the rules and regulations thereunder results in a higher number, such higher number) would be equal to or greater than 8.0% or more of the outstanding Shares on the date of determination or (ii) Dealer, Dealer Group or any person whose ownership position would be aggregated with that of Dealer or Dealer Group (Dealer, Dealer Group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the Minnesota Business Corporations or other federal, state or local law, rule, regulation or regulatory order or organizational documents or contracts of Counterparty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xml:space="preserve">”), would own, beneficially own, constructively own, control, hold the power to vote or otherwise meet a relevant definition of ownership in excess of a number of Shares equal to (x) the number of Shares that would give rise to reporting or registration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1.0% of the number of Shares outstanding on the date of determination (either such condition described in clause (i) or (ii), an “</w:t>
      </w:r>
      <w:r>
        <w:rPr>
          <w:rFonts w:ascii="Times New Roman;Times;Serif" w:hAnsi="Times New Roman;Times;Serif"/>
          <w:b/>
          <w:i w:val="false"/>
          <w:caps w:val="false"/>
          <w:smallCaps w:val="false"/>
          <w:sz w:val="20"/>
        </w:rPr>
        <w:t>Excess Ownership Position</w:t>
      </w:r>
      <w:r>
        <w:rPr>
          <w:rFonts w:ascii="Times New Roman;Times;Serif" w:hAnsi="Times New Roman;Times;Serif"/>
          <w:b w:val="false"/>
          <w:i w:val="false"/>
          <w:caps w:val="false"/>
          <w:smallCaps w:val="false"/>
          <w:sz w:val="20"/>
        </w:rPr>
        <w:t>”). If any delivery owed to Dealer hereunder is not made, in whole or in part, as a result of this provision, Counterparty’s obligation to make such delivery shall not be extinguished and Counterparty shall make such delivery as promptly as practicable after, but in no event later than one Exchange Business Day after, Dealer gives notice to Counterparty that such delivery would not result in the existence of an Excess Ownership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Limitations on Settlement by Counterparty</w:t>
      </w:r>
      <w:r>
        <w:rPr>
          <w:rFonts w:ascii="Times New Roman;Times;Serif" w:hAnsi="Times New Roman;Times;Serif"/>
          <w:b w:val="false"/>
          <w:i w:val="false"/>
          <w:caps w:val="false"/>
          <w:smallCaps w:val="false"/>
          <w:sz w:val="20"/>
        </w:rPr>
        <w:t xml:space="preserve">. Notwithstanding anything herein or in the Agreement to the contrary (except as set forth in this Section 8(f)), in no event shall Counterparty be required to deliver Shares in connection with the Transaction in excess of 568,620 Shares, as such number may be adjusted from time to time in accordance with the provisions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adjustment shall cause the Capped Number to exceed the Available Shares (as in effect from time to time), other than as a result of actions of Counterparty or events within Counterparty’s control (the “</w:t>
      </w:r>
      <w:r>
        <w:rPr>
          <w:rFonts w:ascii="Times New Roman;Times;Serif" w:hAnsi="Times New Roman;Times;Serif"/>
          <w:b/>
          <w:i w:val="false"/>
          <w:caps w:val="false"/>
          <w:smallCaps w:val="false"/>
          <w:sz w:val="20"/>
        </w:rPr>
        <w:t>Capped Number</w:t>
      </w:r>
      <w:r>
        <w:rPr>
          <w:rFonts w:ascii="Times New Roman;Times;Serif" w:hAnsi="Times New Roman;Times;Serif"/>
          <w:b w:val="false"/>
          <w:i w:val="false"/>
          <w:caps w:val="false"/>
          <w:smallCaps w:val="false"/>
          <w:sz w:val="20"/>
        </w:rPr>
        <w:t>”). Notwithstanding anything to the contrary in the Agreement or the Equity Definitions, such limitation shall not affect the calculation of any Payment Obligation (as defined in Section ‎8(b)), it being understood that if the Share Termination Alternative applies pursuant to Section 8(b), the number of Shares deliverable pursuant to such Section shall not exceed the Capped Number. Counterparty represents and warrants to Dealer (which representation and warranty shall be deemed to be repeated on each day that the Transaction is outstanding) that the Capped Number is equal to or less than the number of authorized but unissued Shares of the Counterparty that are not reserved for future issuance in connection with transactions in the Shares (other than the Transaction) on the date of the determination of the Capped Number (such Shares, the “</w:t>
      </w:r>
      <w:r>
        <w:rPr>
          <w:rFonts w:ascii="Times New Roman;Times;Serif" w:hAnsi="Times New Roman;Times;Serif"/>
          <w:b/>
          <w:i w:val="false"/>
          <w:caps w:val="false"/>
          <w:smallCaps w:val="false"/>
          <w:sz w:val="20"/>
        </w:rPr>
        <w:t>Available Shares</w:t>
      </w:r>
      <w:r>
        <w:rPr>
          <w:rFonts w:ascii="Times New Roman;Times;Serif" w:hAnsi="Times New Roman;Times;Serif"/>
          <w:b w:val="false"/>
          <w:i w:val="false"/>
          <w:caps w:val="false"/>
          <w:smallCaps w:val="false"/>
          <w:sz w:val="20"/>
        </w:rPr>
        <w:t>”). In the event Counterparty shall not have delivered the full number of Shares otherwise deliverable as a result of this Section 8(f) (the resulting deficit, the “</w:t>
      </w:r>
      <w:r>
        <w:rPr>
          <w:rFonts w:ascii="Times New Roman;Times;Serif" w:hAnsi="Times New Roman;Times;Serif"/>
          <w:b/>
          <w:i w:val="false"/>
          <w:caps w:val="false"/>
          <w:smallCaps w:val="false"/>
          <w:sz w:val="20"/>
        </w:rPr>
        <w:t>Deficit Shares</w:t>
      </w:r>
      <w:r>
        <w:rPr>
          <w:rFonts w:ascii="Times New Roman;Times;Serif" w:hAnsi="Times New Roman;Times;Serif"/>
          <w:b w:val="false"/>
          <w:i w:val="false"/>
          <w:caps w:val="false"/>
          <w:smallCaps w:val="false"/>
          <w:sz w:val="20"/>
        </w:rPr>
        <w:t>”), Counterparty shall be continually obligated to deliver Shares, from time to time until the full number of Deficit Shares have been delivered pursuant to this paragraph, when,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to the extent, that (A) Shares are repurchased, acquired or otherwise received by Counterparty or any of its subsidiaries after the Trade Date (whether or not in exchange for cash, fair value or any other consideration), (B) authorized and unissued Shares previously reserved for issuance in respect of other transactions become no longer so reserved or (C) Counterparty additionally authorizes any unissued Shares that are not reserved for other transactions (such events as set forth in clauses (A), (B) and (C) above, collectively, the “</w:t>
      </w:r>
      <w:r>
        <w:rPr>
          <w:rFonts w:ascii="Times New Roman;Times;Serif" w:hAnsi="Times New Roman;Times;Serif"/>
          <w:b/>
          <w:i w:val="false"/>
          <w:caps w:val="false"/>
          <w:smallCaps w:val="false"/>
          <w:sz w:val="20"/>
        </w:rPr>
        <w:t>Share Issuance Events</w:t>
      </w:r>
      <w:r>
        <w:rPr>
          <w:rFonts w:ascii="Times New Roman;Times;Serif" w:hAnsi="Times New Roman;Times;Serif"/>
          <w:b w:val="false"/>
          <w:i w:val="false"/>
          <w:caps w:val="false"/>
          <w:smallCaps w:val="false"/>
          <w:sz w:val="20"/>
        </w:rPr>
        <w:t xml:space="preserve">”). In the event that there are any Deficit Shares or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in the first sentence of this Section 8(f) has prevented any adjustment to the Capped Number, (i) Counterparty shall promptly notify Dealer of the occurrence of any of the Share Issuance Events (including the number of Shares subject to clause (A), (B) or (C) and the corresponding number of Shares to be delivered) and, as promptly as reasonably practicable, deliver such Shares thereafter, (ii) Counterparty shall use its best efforts to cause Share Issuance Events to the extent necessary to deliver the full number of Deficit Shares or cause the Capped Number to equal the Capped Number that would be in effect but for the </w:t>
      </w:r>
      <w:r>
        <w:rPr>
          <w:rFonts w:ascii="Times New Roman;Times;Serif" w:hAnsi="Times New Roman;Times;Serif"/>
          <w:b w:val="false"/>
          <w:i/>
          <w:caps w:val="false"/>
          <w:smallCaps w:val="false"/>
          <w:sz w:val="20"/>
        </w:rPr>
        <w:t xml:space="preserve">proviso </w:t>
      </w:r>
      <w:r>
        <w:rPr>
          <w:rFonts w:ascii="Times New Roman;Times;Serif" w:hAnsi="Times New Roman;Times;Serif"/>
          <w:b w:val="false"/>
          <w:i w:val="false"/>
          <w:caps w:val="false"/>
          <w:smallCaps w:val="false"/>
          <w:sz w:val="20"/>
        </w:rPr>
        <w:t>set forth in the first sentence of this Section 8(f), as the case may be, and (iii) Counterparty shall not, until Counterparty’s obligations under the Transaction have been satisfied in full, use any Shares that become available for potential delivery to Dealer as a result of any Share Issuance Event for the settlement or satisfaction of any transaction or obligation other than the Transaction or any other warrant transaction between Counterparty and Dealer or reserve any such Shares for future issuance for any purpose other than to satisfy Counterparty’s obligations to Dealer under the Transaction or any other warrant transaction between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Equity Rights</w:t>
      </w:r>
      <w:r>
        <w:rPr>
          <w:rFonts w:ascii="Times New Roman;Times;Serif" w:hAnsi="Times New Roman;Times;Serif"/>
          <w:b w:val="false"/>
          <w:i w:val="false"/>
          <w:caps w:val="false"/>
          <w:smallCaps w:val="false"/>
          <w:sz w:val="20"/>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Amendments to Equity Definitions</w:t>
      </w:r>
      <w:r>
        <w:rPr>
          <w:rFonts w:ascii="Times New Roman;Times;Serif" w:hAnsi="Times New Roman;Times;Serif"/>
          <w:b w:val="false"/>
          <w:i w:val="false"/>
          <w:caps w:val="false"/>
          <w:smallCaps w:val="false"/>
          <w:sz w:val="20"/>
        </w:rPr>
        <w:t>. The following amendments shall be made to the Equity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first sentence of Section 11.2(c) of the Equity Definitions, prior to clause (A) thereof, is hereby amended to read as follows: ‘(c)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an effect on the theoretical value of the relevant Shares or options on the Shares and, if so, will (i) make appropriate adjustment(s), if any, to any one or more of:’ and, the portion of such sentence immediately preceding clause (ii) thereof is hereby amended by deleting the words “diluting or concentrative” and the words “(provided that no adjustments will be made to account solely for changes in volatility, expected dividends, stock loan rate or liquidity relative to the relevant Shares)” and replacing such latter phrase with the words “(and, for the avoidance of doubt, adjustments may be made to account solely for changes in volatility, expected dividends, stock loan rate or liquidity relative to the relevant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Sections 11.2(a) and 11.2(e)(vii) of the Equity Definitions are hereby amended by deleting the words “a diluting or concentrative” and, in the case of Section 11.2(e)(vii), replacing them with “an economic” and, in each case, adding the phrase “or options on the Shares” at the end of the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Section 12.7(b) of the Equity Definitions is hereby amended by deleting the words “(and in any event within five Exchange Business Days) by the parties after” appearing after the words “agreed promptly” and replacing with the words “by the parties on or prior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Section 12.9(b)(iv) of the Equity Definitions is hereby amended by (A) deleting (1) subsection (A) in its entirety, (2) the phrase “or (B)” following subsection (A) and (3) the phrase “in each case” in subsection (B); (B) replacing “will lend” with “lends” in subsection (B); and (C) deleting the phrase “neither the Non-Hedging Party nor the Lending Party lends Shares 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Hedging Shares or” in the penultimate sentence; “</w:t>
      </w:r>
      <w:r>
        <w:rPr>
          <w:rFonts w:ascii="Times New Roman;Times;Serif" w:hAnsi="Times New Roman;Times;Serif"/>
          <w:b/>
          <w:i w:val="false"/>
          <w:caps w:val="false"/>
          <w:smallCaps w:val="false"/>
          <w:sz w:val="20"/>
        </w:rPr>
        <w:t>Lending Party</w:t>
      </w:r>
      <w:r>
        <w:rPr>
          <w:rFonts w:ascii="Times New Roman;Times;Serif" w:hAnsi="Times New Roman;Times;Serif"/>
          <w:b w:val="false"/>
          <w:i w:val="false"/>
          <w:caps w:val="false"/>
          <w:smallCaps w:val="false"/>
          <w:sz w:val="20"/>
        </w:rPr>
        <w:t>” means a third party that is not the Counterparty or an affiliate of the Counterparty that Dealer considers to be an acceptable counterparty (acting in good faith and in a reasonable manner in light of (x) other transactions that Dealer (or its agent or affiliate) may have entered into with such party and (y) any legal, regulatory or self-regulatory requirements or related policies and procedures (whether or not such requirements or related policies and procedures are imposed by law or have been voluntarily adopted by Dealer) that apply generally to transactions of a nature and kind similar to the transactions contemplated with such party);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Section 12.9(b)(v) of the Equity Definitions is hereby amended by (A) adding the word “or” immediately before subsection “(B)” and deleting the comma at the end of subsection (A); and (B)(1) deleting subsection (C) in its entirety, (2) deleting the word “or” immediately preceding subsection (C), (3) replacing in the penultimate sentence the words “either party” with “the Hedging Party” and (4) deleting clause (X) in the final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Transfer and Assignment</w:t>
      </w:r>
      <w:r>
        <w:rPr>
          <w:rFonts w:ascii="Times New Roman;Times;Serif" w:hAnsi="Times New Roman;Times;Serif"/>
          <w:b w:val="false"/>
          <w:i w:val="false"/>
          <w:caps w:val="false"/>
          <w:smallCaps w:val="false"/>
          <w:sz w:val="20"/>
        </w:rPr>
        <w:t>. Dealer may transfer or assign its rights and obligations hereunder and under the Agreement, in whole or in part, at any time without the consent of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Additional Termination Events</w:t>
      </w:r>
      <w:r>
        <w:rPr>
          <w:rFonts w:ascii="Times New Roman;Times;Serif" w:hAnsi="Times New Roman;Times;Serif"/>
          <w:b w:val="false"/>
          <w:i w:val="false"/>
          <w:caps w:val="false"/>
          <w:smallCaps w:val="false"/>
          <w:sz w:val="20"/>
        </w:rPr>
        <w:t xml:space="preserve">. The occurrence of any of the following shall constitute an Additional Termination Event with respect to which the Transaction shall be the sole Affected Transaction and Counterparty shall be the sole Affected Party and Dealer shall be the party entitled to designate an Early Termination Date pursuant to Section 6(b) of the Agreement and to determine the amount payable pursuant to Section 6(e) of the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Additional Termination Event, Dealer may choose to treat part of the Transaction as the sole Affected Transaction, and, upon the termination of the Affected Transaction, a Transaction with terms identical to those set forth herein except with a Number of Warrants equal to the unaffected number of Warrants shall be treated for all purposes as the Transaction, which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Dealer reasonably determines that it is advisable to terminate a portion of the Transaction so that Dealer’s related commercially reasonable hedging activities will comply with applicable securities laws, rules or regulations or related policies and procedures of Dealer (whether or not such requirements, policies or procedures are imposed by law or have been voluntarily adopted by Dealer), or Dealer, despite using commercially reasonable efforts, is unable or reasonably determines that it is impractical or illegal to hedge its obligations pursuant to this Transaction in the public market without registration under the Securities Act or as a result of any legal, regulatory or self-regulatory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any time at which any Excess Ownership Position occurs, Dealer, in its discretion, is unable to effect a transfer or assignment to a third party of the Transaction or any other transaction between the parties after using its commercially reasonable efforts on pricing and terms and within a time period reasonably acceptable to Dealer such that an Excess Ownership Position no longer exists;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Dealer shall treat only that portion of the Transaction as the Affected Transaction as necessary so that such Excess Ownership Position would no longer exist following the resulting partial termination of the Transaction (after taking into account commercially reasonable adjustments to Dealer’s commercially reasonable Hedge Positions from such partial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“person” or “group” (within the meaning of Section 13(d) of the Exchange Act), other than Counterparty or its wholly-owned subsidiaries, becomes the direct or indirect ultimate “beneficial owner,” as defined in Rule 13d-3 under the Exchange Act, of the common equity of Counterparty representing more than 50.0% of the voting power of such common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(1) any sale, lease or other transfer, in one transaction or a series of transactions, of all or substantially all of the assets of Counterparty and its subsidiaries, taken as a whole, to 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or (2) any transaction or series of related transactions in connection with which (whether by means of merger, consolidation, share exchange, combination, reclassification, recapitalization, acquisition, liquidation or otherwise) all of the Shares are exchanged for, converted into, acquired for, or constitutes solely the right to receive, other securities, cash or other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notwithstanding the foregoing, any transaction or event set forth in the immediately preceding clause (iv) shall not constitute an Additional Termination Event if at least 90% of the consideration received or to be received by holders of the Shares (excluding cash payments for fractional Shares or pursuant to dissenters rights) in connection with the transaction or transactions that would otherwise constitute an Additional Termination Event pursuant to clause (iv) of this Section 8(k) consists of shares of common stock listed on any of The New York Stock Exchange, The NASDAQ Global Select Market or The NASDAQ Global Market (or any of their respective successors) or that will be so listed when issued or exchanged in connection with such transaction or transactions, and following such transaction or transactions, the Shares will consist of such consideration, excluding cash payments for fractional shares. For the avoidance of doubt, an event that is not considered an Additional Termination Event pursuant to the immediately preceding sentence shall not be an Additional Termination Event solely because such event could also be described by clause (iii)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holders of Shares approve any plan or proposal for Counterparty’s liquidation or dissolution (other than in a transaction described in (iv)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Early Unwind</w:t>
      </w:r>
      <w:r>
        <w:rPr>
          <w:rFonts w:ascii="Times New Roman;Times;Serif" w:hAnsi="Times New Roman;Times;Serif"/>
          <w:b w:val="false"/>
          <w:i w:val="false"/>
          <w:caps w:val="false"/>
          <w:smallCaps w:val="false"/>
          <w:sz w:val="20"/>
        </w:rPr>
        <w:t>. In the event the sale by Counterparty of the Optional Securities (defined under the Purchase Agreement) is not consummated pursuant to the Purchase Agreement for any reason by the close of business in New York on January 23, 2023 (or such later date as agreed upon by the parties (January 23, 2023 or such later date being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on the Early Unwind Date and (i) the Transaction and all of the respective rights and obligations of Dealer and Counterparty thereunder shall be cancelled and terminated and (ii) Counterparty shall pay to Dealer an amount in cash equal to the aggregate amount of actual costs and expenses relating to the unwinding of Dealer’s commercially reasonable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No Netting and Set-off</w:t>
      </w:r>
      <w:r>
        <w:rPr>
          <w:rFonts w:ascii="Times New Roman;Times;Serif" w:hAnsi="Times New Roman;Times;Serif"/>
          <w:b w:val="false"/>
          <w:i w:val="false"/>
          <w:caps w:val="false"/>
          <w:smallCaps w:val="false"/>
          <w:sz w:val="20"/>
        </w:rPr>
        <w:t>. 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Delivery of Cash</w:t>
      </w:r>
      <w:r>
        <w:rPr>
          <w:rFonts w:ascii="Times New Roman;Times;Serif" w:hAnsi="Times New Roman;Times;Serif"/>
          <w:b w:val="false"/>
          <w:i w:val="false"/>
          <w:caps w:val="false"/>
          <w:smallCaps w:val="false"/>
          <w:sz w:val="20"/>
        </w:rPr>
        <w:t>. For the avoidance of doubt, nothing in this Confirmation shall be interpreted as requiring the Counterparty to deliver cash in respect of the settlement of the Transaction, except in circumstances where the required cash settlement thereof is permitted for classification of the contract as equity by ASC 815-40, Derivatives and Hedging – Contracts in Entity’s Own Equity, as in effect on the relevant Trade Date (including, without limitation, where the Counterparty so elects to deliver cash or fails timely to elect to deliver Shares or Share Termination Delivery Property in respect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Agreements and Acknowledgements Regarding Hedging</w:t>
      </w:r>
      <w:r>
        <w:rPr>
          <w:rFonts w:ascii="Times New Roman;Times;Serif" w:hAnsi="Times New Roman;Times;Serif"/>
          <w:b w:val="false"/>
          <w:i w:val="false"/>
          <w:caps w:val="false"/>
          <w:smallCaps w:val="false"/>
          <w:sz w:val="20"/>
        </w:rPr>
        <w:t>. Counterparty understands, acknowledges and agrees that: (A) at any time on and 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what manner any hedging or market activities in securities of Counterparty shall be conducted and shall do so in a manner that it deems appropriate to hedge its price and market risk with respect to the VWAP Prices; (D) any market activities of Dealer and its affiliates with respect to Shares may affect the market price and volatility of Shares, as well as the VWAP Prices,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Wall Street Transparency and Accountability Act</w:t>
      </w:r>
      <w:r>
        <w:rPr>
          <w:rFonts w:ascii="Times New Roman;Times;Serif" w:hAnsi="Times New Roman;Times;Serif"/>
          <w:b w:val="false"/>
          <w:i w:val="false"/>
          <w:caps w:val="false"/>
          <w:smallCaps w:val="false"/>
          <w:sz w:val="20"/>
        </w:rPr>
        <w:t>. In connection with Section 739 of the Wall Street Transparency and Accountability Act of 2010 (the “WSTAA”),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This Confirmation and the Agreement may not be modified, amended or supplemented, except in a written instrument signed by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Confirmation may be executed in several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Withholding Tax imposed on payments to non-US counterparties under the United States Foreign Account Tax Compliance Act.</w:t>
      </w:r>
      <w:r>
        <w:rPr>
          <w:rFonts w:ascii="Times New Roman;Times;Serif" w:hAnsi="Times New Roman;Times;Serif"/>
          <w:b w:val="false"/>
          <w:i w:val="false"/>
          <w:caps w:val="false"/>
          <w:smallCaps w:val="false"/>
          <w:sz w:val="20"/>
        </w:rPr>
        <w:t xml:space="preserve"> “Indemnifiable Tax” as defined in Section 14 of the Agreement, 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Times;Serif" w:hAnsi="Times New Roman;Times;Serif"/>
          <w:b/>
          <w:i w:val="false"/>
          <w:caps w:val="false"/>
          <w:smallCaps w:val="false"/>
          <w:sz w:val="20"/>
        </w:rPr>
        <w:t>FATCA Withholding Tax</w:t>
      </w:r>
      <w:r>
        <w:rPr>
          <w:rFonts w:ascii="Times New Roman;Times;Serif" w:hAnsi="Times New Roman;Times;Serif"/>
          <w:b w:val="false"/>
          <w:i w:val="false"/>
          <w:caps w:val="false"/>
          <w:smallCaps w:val="false"/>
          <w:sz w:val="20"/>
        </w:rPr>
        <w:t>”). For the avoidance of doubt, a FATCA Withholding Tax is a Tax the deduction or withholding of which is required by applicable law for the purposes of Section 2(d)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HIRE Act.</w:t>
      </w:r>
      <w:r>
        <w:rPr>
          <w:rFonts w:ascii="Times New Roman;Times;Serif" w:hAnsi="Times New Roman;Times;Serif"/>
          <w:b w:val="false"/>
          <w:i w:val="false"/>
          <w:caps w:val="false"/>
          <w:smallCaps w:val="false"/>
          <w:sz w:val="20"/>
        </w:rPr>
        <w:t xml:space="preserve">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Times;Serif" w:hAnsi="Times New Roman;Times;Serif"/>
          <w:b/>
          <w:i w:val="false"/>
          <w:caps w:val="false"/>
          <w:smallCaps w:val="false"/>
          <w:sz w:val="20"/>
        </w:rPr>
        <w:t>871(m) Protocol</w:t>
      </w:r>
      <w:r>
        <w:rPr>
          <w:rFonts w:ascii="Times New Roman;Times;Serif" w:hAnsi="Times New Roman;Times;Serif"/>
          <w:b w:val="false"/>
          <w:i w:val="false"/>
          <w:caps w:val="false"/>
          <w:smallCaps w:val="false"/>
          <w:sz w:val="20"/>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Agreement” in the 871(m) Protocol will be deemed to be references to the Master Agreement with respect to this Transaction, and references to the “Implementation Date” in the 871(m) Protocol will be deemed to be references to the Trade Date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Tax documentation</w:t>
      </w:r>
      <w:r>
        <w:rPr>
          <w:rFonts w:ascii="Times New Roman;Times;Serif" w:hAnsi="Times New Roman;Times;Serif"/>
          <w:b w:val="false"/>
          <w:i w:val="false"/>
          <w:caps w:val="false"/>
          <w:smallCaps w:val="false"/>
          <w:sz w:val="20"/>
        </w:rPr>
        <w:t>.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W-8ECI “Certificate of Foreign Person’s Claim That Income Is Effectively Connected With the Conduct of a Trade or Business in the United States”, or any successor thereto, (i) on or before the date of execution of this Confirmation, (ii) upon reasonable request of Counterparty and (iii) promptly upon learning that any such tax form previously provided by Dealer has become obsolete or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 Representations. For the purpose of Section 3(f) of the Agreement, Counterparty is a corporation for U.S. federal income tax purposes and is organized under the laws of the State of Minnesota.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For the purpose of Section 3(f) of the Agreement, Dealer represents to Counterparty that (A)  it is a “foreign person” (as that term is used in section 1.6041-4(a)(4) of the United States Treasury Regulations) for U.S. federal income tax purposes and (B)ach payment received or to be received by it under the Agreement will be effectively connected with its conduct of a trade or business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Role of Agent</w:t>
      </w:r>
      <w:r>
        <w:rPr>
          <w:rFonts w:ascii="Times New Roman;Times;Serif" w:hAnsi="Times New Roman;Times;Serif"/>
          <w:b w:val="false"/>
          <w:i w:val="false"/>
          <w:caps w:val="false"/>
          <w:smallCaps w:val="false"/>
          <w:sz w:val="20"/>
        </w:rPr>
        <w:t>. Each of Dealer and Counterparty acknowledges to and agrees with the other party hereto and to and with the Agent that (i) the Agent is acting as agent for Dealer under the Transactions pursuant to instructions from such party, (ii) the Agent is not a principal or party to the Transactions, and may transfer its rights and obligations with respect to the Transactions, (iii) the Agent shall have no responsibility, obligation or liability, by way of issuance, guaranty, endorsement or otherwise in any manner with respect to the performance of either party under the Transactions, (iv) Dealer and the Agent have not given, and Counterparty is not relying (for purposes of making any investment decision or otherwise) upon, any statements, opinions or representations (whether written or oral) of Dealer or the Agent, other than the representations expressly set forth in this Confirmation or the Agreement, and (v) each party agrees to proceed solely against the other party, and not the Agent, to collect or recover any money or securities owed to it in connection with the Transactions. Each party hereto acknowledges and agrees that the Agent is an intended third party beneficiary hereunder. Counterparty acknowledges that the Agent is an affiliate of Dealer. Dealer will be acting for its own account in respect of this Confirmation and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val="false"/>
          <w:smallCaps w:val="false"/>
          <w:sz w:val="20"/>
          <w:u w:val="single"/>
        </w:rPr>
        <w:t>Arbitration</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All parties to this Confirmation are giving up the right to sue each other in court, including the right to a trial by jury, except as provided by the rules of the arbitration forum in which a claim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Arbitration awards are generally final and binding; a party’s ability to have a court reverse or modify an arbitration award is very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The ability of the parties to obtain documents, witness statements and other discovery is generally more limited in arbitration than in court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The arbitrators do not have to explain the reason(s) for their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The panel of arbitrators will typically include a minority of arbitrators who were or are affiliated with the securities industry, unless Counterparty is a member of the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sponsoring the arbitration facility, in which case all arbitrators may be affiliated with the securities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The rules of some arbitration forums may impose time limits for bringing a claim in arbitration. In some cases, a claim that is ineligible for arbitration may be brought in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The rules of the arbitration forum in which the claim is filed, and any amendments thereto, shall be incorporated into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Counterparty agrees that any and all controversies that may arise between Counterparty and Dealer, including, but not limited to, those arising out of or relating to the Agreement or the Transaction hereunder, shall be determined by arbitration conducted before FINRA Dispute Resolution (“FINRA-DR”), or, if FINRA-DR declines to hear the matter, before the American Arbitration Association, in accordance with their arbitration rules then in force. The award of the arbitrator shall be final, and judgment upon the award rendered may be entered in any court, state or federal, having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No person shall bring a putative or certified class action to arbitration, nor seek to enforce any pre-dispute arbitration agreement against any person who has initiated in court a putative class action or who is a member of a putative class who has not opted out of the class with respect to any claims encompassed by the putative class action until: (i) the class certification is denied; (ii) the class is decertified; or (iii) Counterparty is excluded from the class by the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Such forbearance to enforce an agreement to arbitrate shall not constitute a waiver of any rights under this Confirmation except to the extent stated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 and providing the other information requested herein and immediately returning an executed copy to Bank of Montreal, Associate General Counsel &amp; Managing Director, Derivatives Legal Group, Facsimile No. (416) 956-2318.</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60"/>
        <w:gridCol w:w="650"/>
        <w:gridCol w:w="3905"/>
      </w:tblGrid>
      <w:tr>
        <w:trPr/>
        <w:tc>
          <w:tcPr>
            <w:tcW w:w="60" w:type="dxa"/>
            <w:tcBorders/>
            <w:vAlign w:val="center"/>
          </w:tcPr>
          <w:p>
            <w:pPr>
              <w:pStyle w:val="TableContents"/>
              <w:bidi w:val="0"/>
              <w:spacing w:before="0" w:after="283"/>
              <w:jc w:val="both"/>
              <w:rPr/>
            </w:pPr>
            <w:r>
              <w:rPr/>
              <w:t> </w:t>
            </w:r>
          </w:p>
        </w:tc>
        <w:tc>
          <w:tcPr>
            <w:tcW w:w="4555" w:type="dxa"/>
            <w:gridSpan w:val="2"/>
            <w:tcBorders/>
            <w:vAlign w:val="center"/>
          </w:tcPr>
          <w:p>
            <w:pPr>
              <w:pStyle w:val="TableContents"/>
              <w:bidi w:val="0"/>
              <w:spacing w:before="0" w:after="283"/>
              <w:jc w:val="both"/>
              <w:rPr/>
            </w:pPr>
            <w:r>
              <w:rPr/>
              <w:t>Yours faithfully,</w:t>
            </w:r>
          </w:p>
        </w:tc>
      </w:tr>
      <w:tr>
        <w:trPr/>
        <w:tc>
          <w:tcPr>
            <w:tcW w:w="60" w:type="dxa"/>
            <w:tcBorders/>
            <w:vAlign w:val="center"/>
          </w:tcPr>
          <w:p>
            <w:pPr>
              <w:pStyle w:val="TableContents"/>
              <w:bidi w:val="0"/>
              <w:spacing w:before="0" w:after="283"/>
              <w:jc w:val="both"/>
              <w:rPr/>
            </w:pPr>
            <w:r>
              <w:rPr/>
              <w:t> </w:t>
            </w:r>
          </w:p>
        </w:tc>
        <w:tc>
          <w:tcPr>
            <w:tcW w:w="4555"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555" w:type="dxa"/>
            <w:gridSpan w:val="2"/>
            <w:tcBorders/>
            <w:vAlign w:val="center"/>
          </w:tcPr>
          <w:p>
            <w:pPr>
              <w:pStyle w:val="TableContents"/>
              <w:bidi w:val="0"/>
              <w:spacing w:before="0" w:after="283"/>
              <w:jc w:val="both"/>
              <w:rPr/>
            </w:pPr>
            <w:r>
              <w:rPr>
                <w:b/>
              </w:rPr>
              <w:t xml:space="preserve">BMO CAPITAL MARKETS CORP. </w:t>
              <w:br/>
            </w:r>
            <w:r>
              <w:rPr/>
              <w:t xml:space="preserve">as agent for </w:t>
            </w:r>
            <w:r>
              <w:rPr>
                <w:b/>
              </w:rPr>
              <w:t>BANK OF MONTREAL</w:t>
            </w:r>
          </w:p>
        </w:tc>
      </w:tr>
      <w:tr>
        <w:trPr/>
        <w:tc>
          <w:tcPr>
            <w:tcW w:w="60" w:type="dxa"/>
            <w:tcBorders/>
            <w:vAlign w:val="center"/>
          </w:tcPr>
          <w:p>
            <w:pPr>
              <w:pStyle w:val="TableContents"/>
              <w:bidi w:val="0"/>
              <w:spacing w:before="0" w:after="283"/>
              <w:jc w:val="both"/>
              <w:rPr/>
            </w:pPr>
            <w:r>
              <w:rPr/>
              <w:t> </w:t>
            </w:r>
          </w:p>
        </w:tc>
        <w:tc>
          <w:tcPr>
            <w:tcW w:w="4555"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3905" w:type="dxa"/>
            <w:tcBorders>
              <w:bottom w:val="single" w:sz="8" w:space="0" w:color="000000"/>
            </w:tcBorders>
            <w:tcMar>
              <w:bottom w:w="28" w:type="dxa"/>
            </w:tcMar>
            <w:vAlign w:val="center"/>
          </w:tcPr>
          <w:p>
            <w:pPr>
              <w:pStyle w:val="TableContents"/>
              <w:bidi w:val="0"/>
              <w:spacing w:before="0" w:after="283"/>
              <w:jc w:val="both"/>
              <w:rPr/>
            </w:pPr>
            <w:r>
              <w:rPr/>
              <w:t>/s/ Eric Benedict</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3905" w:type="dxa"/>
            <w:tcBorders/>
            <w:vAlign w:val="center"/>
          </w:tcPr>
          <w:p>
            <w:pPr>
              <w:pStyle w:val="TableContents"/>
              <w:bidi w:val="0"/>
              <w:spacing w:before="0" w:after="283"/>
              <w:jc w:val="both"/>
              <w:rPr/>
            </w:pPr>
            <w:r>
              <w:rPr/>
              <w:t>Eric Benedict</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3905" w:type="dxa"/>
            <w:tcBorders/>
            <w:vAlign w:val="center"/>
          </w:tcPr>
          <w:p>
            <w:pPr>
              <w:pStyle w:val="TableContents"/>
              <w:bidi w:val="0"/>
              <w:spacing w:before="0" w:after="283"/>
              <w:jc w:val="both"/>
              <w:rPr/>
            </w:pPr>
            <w:r>
              <w:rPr/>
              <w:t>Co-Head, Global Equity Capital Markets</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 </w:t>
            </w:r>
          </w:p>
        </w:tc>
        <w:tc>
          <w:tcPr>
            <w:tcW w:w="390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4555" w:type="dxa"/>
            <w:gridSpan w:val="2"/>
            <w:tcBorders/>
            <w:vAlign w:val="center"/>
          </w:tcPr>
          <w:p>
            <w:pPr>
              <w:pStyle w:val="TableContents"/>
              <w:bidi w:val="0"/>
              <w:spacing w:before="0" w:after="283"/>
              <w:jc w:val="both"/>
              <w:rPr>
                <w:b/>
              </w:rPr>
            </w:pPr>
            <w:r>
              <w:rPr>
                <w:b/>
              </w:rPr>
              <w:t>BANK OF MONTREAL</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 </w:t>
            </w:r>
          </w:p>
        </w:tc>
        <w:tc>
          <w:tcPr>
            <w:tcW w:w="390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By:</w:t>
            </w:r>
          </w:p>
        </w:tc>
        <w:tc>
          <w:tcPr>
            <w:tcW w:w="3905" w:type="dxa"/>
            <w:tcBorders>
              <w:bottom w:val="single" w:sz="8" w:space="0" w:color="000000"/>
            </w:tcBorders>
            <w:tcMar>
              <w:bottom w:w="28" w:type="dxa"/>
            </w:tcMar>
            <w:vAlign w:val="center"/>
          </w:tcPr>
          <w:p>
            <w:pPr>
              <w:pStyle w:val="TableContents"/>
              <w:bidi w:val="0"/>
              <w:spacing w:before="0" w:after="283"/>
              <w:jc w:val="both"/>
              <w:rPr/>
            </w:pPr>
            <w:r>
              <w:rPr/>
              <w:t>/s/ Brian Riley</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Name:</w:t>
            </w:r>
          </w:p>
        </w:tc>
        <w:tc>
          <w:tcPr>
            <w:tcW w:w="3905" w:type="dxa"/>
            <w:tcBorders/>
            <w:vAlign w:val="center"/>
          </w:tcPr>
          <w:p>
            <w:pPr>
              <w:pStyle w:val="TableContents"/>
              <w:bidi w:val="0"/>
              <w:spacing w:before="0" w:after="283"/>
              <w:jc w:val="both"/>
              <w:rPr/>
            </w:pPr>
            <w:r>
              <w:rPr/>
              <w:t>Brian Riley</w:t>
            </w:r>
          </w:p>
        </w:tc>
      </w:tr>
      <w:tr>
        <w:trPr/>
        <w:tc>
          <w:tcPr>
            <w:tcW w:w="60"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both"/>
              <w:rPr/>
            </w:pPr>
            <w:r>
              <w:rPr/>
              <w:t>Title:</w:t>
            </w:r>
          </w:p>
        </w:tc>
        <w:tc>
          <w:tcPr>
            <w:tcW w:w="3905" w:type="dxa"/>
            <w:tcBorders/>
            <w:vAlign w:val="center"/>
          </w:tcPr>
          <w:p>
            <w:pPr>
              <w:pStyle w:val="TableContents"/>
              <w:bidi w:val="0"/>
              <w:spacing w:before="0" w:after="283"/>
              <w:jc w:val="both"/>
              <w:rPr/>
            </w:pPr>
            <w:r>
              <w:rPr/>
              <w:t>Managing Director, Global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Additonal Warrant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and Accepted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WINNEBAGO INDUSTRIES, INC.</w:t>
      </w:r>
    </w:p>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380"/>
        <w:gridCol w:w="3170"/>
        <w:gridCol w:w="75"/>
      </w:tblGrid>
      <w:tr>
        <w:trPr/>
        <w:tc>
          <w:tcPr>
            <w:tcW w:w="380" w:type="dxa"/>
            <w:tcBorders/>
            <w:vAlign w:val="center"/>
          </w:tcPr>
          <w:p>
            <w:pPr>
              <w:pStyle w:val="TableContents"/>
              <w:bidi w:val="0"/>
              <w:spacing w:before="0" w:after="283"/>
              <w:jc w:val="left"/>
              <w:rPr/>
            </w:pPr>
            <w:r>
              <w:rPr/>
              <w:t>By:</w:t>
            </w:r>
          </w:p>
        </w:tc>
        <w:tc>
          <w:tcPr>
            <w:tcW w:w="3170" w:type="dxa"/>
            <w:tcBorders>
              <w:bottom w:val="single" w:sz="8" w:space="0" w:color="000000"/>
            </w:tcBorders>
            <w:tcMar>
              <w:bottom w:w="28" w:type="dxa"/>
            </w:tcMar>
            <w:vAlign w:val="center"/>
          </w:tcPr>
          <w:p>
            <w:pPr>
              <w:pStyle w:val="TableContents"/>
              <w:bidi w:val="0"/>
              <w:spacing w:before="0" w:after="283"/>
              <w:jc w:val="both"/>
              <w:rPr/>
            </w:pPr>
            <w:r>
              <w:rPr/>
              <w:t>/s/ Bryan L. Hughes</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both"/>
              <w:rPr/>
            </w:pPr>
            <w:r>
              <w:rPr/>
              <w:t>Name: Bryan L. Hughes</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both"/>
              <w:rPr/>
            </w:pPr>
            <w:r>
              <w:rPr/>
              <w:t>Title: Chief Financial Officer and</w:t>
            </w:r>
          </w:p>
        </w:tc>
        <w:tc>
          <w:tcPr>
            <w:tcW w:w="7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both"/>
              <w:rPr/>
            </w:pPr>
            <w:r>
              <w:rPr/>
              <w:t>Senior Vice President</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BMO Additonal Warrant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Component of the Transaction, the Number of Warrants and Expiration Date is set forth below.</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1685"/>
        <w:gridCol w:w="60"/>
        <w:gridCol w:w="1640"/>
        <w:gridCol w:w="60"/>
        <w:gridCol w:w="1325"/>
      </w:tblGrid>
      <w:tr>
        <w:trPr/>
        <w:tc>
          <w:tcPr>
            <w:tcW w:w="168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Component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Expiration Date</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15,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16,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17,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18,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22,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23,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24,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25,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26,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29,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30,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3,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6,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7,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8,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9,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10,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13,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14,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15,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16,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17,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20,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21,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22,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23,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24,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28,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29,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30,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31,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3,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4,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5,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6,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7,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10,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11,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12,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13,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14,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17,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18,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20,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21,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24,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25, 2030</w:t>
            </w:r>
          </w:p>
        </w:tc>
      </w:tr>
      <w:tr>
        <w:trPr/>
        <w:tc>
          <w:tcPr>
            <w:tcW w:w="168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pPr>
            <w:r>
              <w:rPr/>
              <w:t>1,895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26, 2030</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580" w:type="dxa"/>
        <w:jc w:val="left"/>
        <w:tblInd w:w="0" w:type="dxa"/>
        <w:tblLayout w:type="fixed"/>
        <w:tblCellMar>
          <w:top w:w="0" w:type="dxa"/>
          <w:left w:w="0" w:type="dxa"/>
          <w:bottom w:w="0" w:type="dxa"/>
          <w:right w:w="0" w:type="dxa"/>
        </w:tblCellMar>
      </w:tblPr>
      <w:tblGrid>
        <w:gridCol w:w="350"/>
        <w:gridCol w:w="60"/>
        <w:gridCol w:w="560"/>
        <w:gridCol w:w="60"/>
        <w:gridCol w:w="1550"/>
      </w:tblGrid>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27,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28,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3,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5,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8,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9,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10,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11,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12,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15,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16,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17,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18,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19,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22,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23,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24,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25,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26,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29,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30,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31,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5,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6,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7,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8,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9,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12,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13,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14,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15,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16,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87</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19,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88</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20,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89</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21,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22,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23,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26,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27,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28,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29,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96</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30,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3,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4,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5, 2030</w:t>
            </w:r>
          </w:p>
        </w:tc>
      </w:tr>
      <w:tr>
        <w:trPr/>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t>1,895</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6, 2030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ind w:left="0" w:right="0" w:hanging="0"/>
        <w:jc w:val="left"/>
        <w:rPr/>
      </w:pPr>
      <w:bookmarkStart w:id="48" w:name="tm243871d1_ex10-13.htm"/>
      <w:bookmarkStart w:id="49" w:name="kstm243871d1_ex1013"/>
      <w:bookmarkEnd w:id="48"/>
      <w:bookmarkEnd w:id="49"/>
      <w:r>
        <w:rPr/>
        <w:t> </w:t>
      </w:r>
      <w:r>
        <w:br w:type="page"/>
      </w:r>
    </w:p>
    <w:p>
      <w:pPr>
        <w:pStyle w:val="TextBody"/>
        <w:bidi w:val="0"/>
        <w:jc w:val="right"/>
        <w:rPr>
          <w:b/>
        </w:rPr>
      </w:pPr>
      <w:r>
        <w:rPr>
          <w:b/>
        </w:rPr>
        <w:t>Exhibit 10.13</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National Association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Branch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 Madison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Opening Transaction</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575"/>
        <w:gridCol w:w="3680"/>
      </w:tblGrid>
      <w:tr>
        <w:trPr/>
        <w:tc>
          <w:tcPr>
            <w:tcW w:w="575" w:type="dxa"/>
            <w:tcBorders/>
            <w:vAlign w:val="center"/>
          </w:tcPr>
          <w:p>
            <w:pPr>
              <w:pStyle w:val="TableContents"/>
              <w:bidi w:val="0"/>
              <w:spacing w:before="0" w:after="283"/>
              <w:jc w:val="left"/>
              <w:rPr>
                <w:b/>
                <w:sz w:val="20"/>
              </w:rPr>
            </w:pPr>
            <w:r>
              <w:rPr>
                <w:b/>
                <w:sz w:val="20"/>
              </w:rPr>
              <w:t>To:</w:t>
            </w:r>
          </w:p>
        </w:tc>
        <w:tc>
          <w:tcPr>
            <w:tcW w:w="36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Minnesota 55347</w:t>
            </w:r>
          </w:p>
          <w:p>
            <w:pPr>
              <w:pStyle w:val="TableContents"/>
              <w:bidi w:val="0"/>
              <w:spacing w:before="0" w:after="0"/>
              <w:ind w:left="0" w:right="0" w:hanging="0"/>
              <w:jc w:val="left"/>
              <w:rPr>
                <w:caps w:val="false"/>
                <w:smallCaps w:val="false"/>
              </w:rPr>
            </w:pPr>
            <w:r>
              <w:rPr>
                <w:caps w:val="false"/>
                <w:smallCaps w:val="false"/>
              </w:rPr>
              <w:t> </w:t>
            </w:r>
          </w:p>
        </w:tc>
      </w:tr>
      <w:tr>
        <w:trPr/>
        <w:tc>
          <w:tcPr>
            <w:tcW w:w="575" w:type="dxa"/>
            <w:tcBorders/>
            <w:vAlign w:val="center"/>
          </w:tcPr>
          <w:p>
            <w:pPr>
              <w:pStyle w:val="TableContents"/>
              <w:bidi w:val="0"/>
              <w:spacing w:before="0" w:after="283"/>
              <w:jc w:val="left"/>
              <w:rPr>
                <w:b/>
                <w:sz w:val="20"/>
              </w:rPr>
            </w:pPr>
            <w:r>
              <w:rPr>
                <w:b/>
                <w:sz w:val="20"/>
              </w:rPr>
              <w:t>From:</w:t>
            </w:r>
          </w:p>
        </w:tc>
        <w:tc>
          <w:tcPr>
            <w:tcW w:w="3680" w:type="dxa"/>
            <w:tcBorders/>
            <w:vAlign w:val="center"/>
          </w:tcPr>
          <w:p>
            <w:pPr>
              <w:pStyle w:val="TableContents"/>
              <w:bidi w:val="0"/>
              <w:jc w:val="left"/>
              <w:rPr>
                <w:sz w:val="20"/>
              </w:rPr>
            </w:pPr>
            <w:r>
              <w:rPr>
                <w:sz w:val="20"/>
              </w:rPr>
              <w:t>JPMorgan Chase Bank, National Association</w:t>
            </w:r>
          </w:p>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Re:</w:t>
            </w:r>
          </w:p>
        </w:tc>
        <w:tc>
          <w:tcPr>
            <w:tcW w:w="3680" w:type="dxa"/>
            <w:tcBorders/>
            <w:vAlign w:val="center"/>
          </w:tcPr>
          <w:p>
            <w:pPr>
              <w:pStyle w:val="TableContents"/>
              <w:bidi w:val="0"/>
              <w:jc w:val="left"/>
              <w:rPr>
                <w:sz w:val="20"/>
              </w:rPr>
            </w:pPr>
            <w:r>
              <w:rPr>
                <w:sz w:val="20"/>
              </w:rPr>
              <w:t>Additional Issuer Warrant Transaction</w:t>
            </w:r>
          </w:p>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b/>
                <w:sz w:val="20"/>
              </w:rPr>
            </w:pPr>
            <w:r>
              <w:rPr>
                <w:b/>
                <w:sz w:val="20"/>
              </w:rPr>
              <w:t>Date:</w:t>
            </w:r>
          </w:p>
        </w:tc>
        <w:tc>
          <w:tcPr>
            <w:tcW w:w="3680" w:type="dxa"/>
            <w:tcBorders/>
            <w:vAlign w:val="center"/>
          </w:tcPr>
          <w:p>
            <w:pPr>
              <w:pStyle w:val="TableContents"/>
              <w:bidi w:val="0"/>
              <w:spacing w:before="0" w:after="283"/>
              <w:jc w:val="left"/>
              <w:rPr>
                <w:sz w:val="20"/>
              </w:rPr>
            </w:pPr>
            <w:r>
              <w:rPr>
                <w:sz w:val="20"/>
              </w:rPr>
              <w:t>January 19, 2024</w:t>
            </w:r>
          </w:p>
        </w:tc>
      </w:tr>
    </w:tbl>
    <w:p>
      <w:pPr>
        <w:pStyle w:val="TextBody"/>
        <w:bidi w:val="0"/>
        <w:spacing w:before="0" w:after="283"/>
        <w:jc w:val="left"/>
        <w:rPr/>
      </w:pPr>
      <w:r>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communication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set forth the terms and conditions of the above-referenced transaction entered into on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between JPMorgan Chase Bank, National Association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Winnebago Industries, Inc.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This communication constitutes a “Confirmation” as referred to in the Agreement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Confirmation is subject to, and incorporates, the definitions and provisions of the 2006 ISDA Definitions (the “</w:t>
      </w:r>
      <w:r>
        <w:rPr>
          <w:rFonts w:ascii="Times New Roman;Times;Serif" w:hAnsi="Times New Roman;Times;Serif"/>
          <w:b/>
          <w:i w:val="false"/>
          <w:caps w:val="false"/>
          <w:smallCaps w:val="false"/>
          <w:sz w:val="20"/>
        </w:rPr>
        <w:t>2006 Definitions</w:t>
      </w:r>
      <w:r>
        <w:rPr>
          <w:rFonts w:ascii="Times New Roman;Times;Serif" w:hAnsi="Times New Roman;Times;Serif"/>
          <w:b w:val="false"/>
          <w:i w:val="false"/>
          <w:caps w:val="false"/>
          <w:smallCaps w:val="false"/>
          <w:sz w:val="20"/>
        </w:rPr>
        <w:t>”) and the definitions and provisions of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together with the 2006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For purposes of the Equity Definitions, each reference herein to a Warrant shall be deemed to be a reference to a Call Option or an Option, as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is hereby advised, and Counterparty acknowledges, that Dealer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evidences a complete and binding agreement between Dealer and Counterparty as to the terms of the Transaction to which this Confirmation relates. This Confirmation shall be subject to an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the form of the 1992 ISDA Master Agreement (Multicurrency—Cross Border) as if Dealer and Counterparty had executed an agreement in such form on the date hereof (but without any Schedule except for (i) the election of Loss and Second Method and US Dollars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as the Termination Currency, (ii) the replacement of the word “third” in the last line of Section 5(a)(i) of the Agreement with the word “first” and (iii) (a) the election that the “Cross Default” provisions of Section 5(a)(vi) of the Agreement shall apply to Counterparty with a “Threshold Amount” of USD35.0 million), (b)  (b) </w:t>
      </w:r>
      <w:r>
        <w:rPr>
          <w:rFonts w:ascii="Times New Roman;Times;Serif" w:hAnsi="Times New Roman;Times;Serif"/>
          <w:b w:val="false"/>
          <w:i w:val="false"/>
          <w:caps w:val="false"/>
          <w:smallCaps w:val="false"/>
          <w:sz w:val="20"/>
          <w:shd w:fill="FFFFFF" w:val="clear"/>
        </w:rPr>
        <w:t> the phrase “, or becoming capable at such time of being declared,” shall be deleted from clause (1) of such Section 5(a)(vi),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contained in, or incorporated by reference to, the Agreement will govern this Confirmation except as expressly modified herein. In the event of any inconsistency among this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is a Warrant Transaction, which shall be considered a Share Option Transaction for purposes of the Equity Definitions. The terms of the particular Transaction to which this Confirmation relates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9"/>
        <w:gridCol w:w="60"/>
        <w:gridCol w:w="8916"/>
      </w:tblGrid>
      <w:tr>
        <w:trPr/>
        <w:tc>
          <w:tcPr>
            <w:tcW w:w="1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19, 2024</w:t>
            </w:r>
          </w:p>
        </w:tc>
      </w:tr>
      <w:tr>
        <w:trPr/>
        <w:tc>
          <w:tcPr>
            <w:tcW w:w="12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pPr>
            <w:r>
              <w:rPr/>
              <w:t> </w:t>
            </w:r>
          </w:p>
        </w:tc>
      </w:tr>
      <w:tr>
        <w:trPr/>
        <w:tc>
          <w:tcPr>
            <w:tcW w:w="1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23, 2024, or such other date as agreed between the parties, subject to Section 8(l) below</w:t>
            </w:r>
          </w:p>
        </w:tc>
      </w:tr>
      <w:tr>
        <w:trPr/>
        <w:tc>
          <w:tcPr>
            <w:tcW w:w="12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pPr>
            <w:r>
              <w:rPr/>
              <w:t> </w:t>
            </w:r>
          </w:p>
        </w:tc>
      </w:tr>
      <w:tr>
        <w:trPr/>
        <w:tc>
          <w:tcPr>
            <w:tcW w:w="1229" w:type="dxa"/>
            <w:tcBorders/>
            <w:vAlign w:val="center"/>
          </w:tcPr>
          <w:p>
            <w:pPr>
              <w:pStyle w:val="TableContents"/>
              <w:bidi w:val="0"/>
              <w:spacing w:before="0" w:after="283"/>
              <w:jc w:val="left"/>
              <w:rPr>
                <w:sz w:val="20"/>
              </w:rPr>
            </w:pPr>
            <w:r>
              <w:rPr>
                <w:sz w:val="20"/>
              </w:rPr>
              <w:t>Components:</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both"/>
              <w:rPr>
                <w:sz w:val="20"/>
              </w:rPr>
            </w:pPr>
            <w:r>
              <w:rPr>
                <w:sz w:val="20"/>
              </w:rPr>
              <w:t>The Transaction will be divided into individual Components, each with the terms set forth in this Confirmation, and, in particular, with the Number of Warrants and Expiration Date set forth in this Confirmation. The payments and deliveries to be made upon settlement of the Transaction will be determined separately for each Component as if each Component were a separate Transaction under the Agreement.</w:t>
            </w:r>
          </w:p>
        </w:tc>
      </w:tr>
      <w:tr>
        <w:trPr/>
        <w:tc>
          <w:tcPr>
            <w:tcW w:w="12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pPr>
            <w:r>
              <w:rPr/>
              <w:t> </w:t>
            </w:r>
          </w:p>
        </w:tc>
      </w:tr>
      <w:tr>
        <w:trPr/>
        <w:tc>
          <w:tcPr>
            <w:tcW w:w="1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Style: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w:t>
            </w:r>
          </w:p>
        </w:tc>
      </w:tr>
      <w:tr>
        <w:trPr/>
        <w:tc>
          <w:tcPr>
            <w:tcW w:w="12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pPr>
            <w:r>
              <w:rPr/>
              <w:t> </w:t>
            </w:r>
          </w:p>
        </w:tc>
      </w:tr>
      <w:tr>
        <w:trPr/>
        <w:tc>
          <w:tcPr>
            <w:tcW w:w="1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Type: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w:t>
            </w:r>
          </w:p>
        </w:tc>
      </w:tr>
      <w:tr>
        <w:trPr/>
        <w:tc>
          <w:tcPr>
            <w:tcW w:w="12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pPr>
            <w:r>
              <w:rPr/>
              <w:t> </w:t>
            </w:r>
          </w:p>
        </w:tc>
      </w:tr>
      <w:tr>
        <w:trPr/>
        <w:tc>
          <w:tcPr>
            <w:tcW w:w="1229" w:type="dxa"/>
            <w:tcBorders/>
            <w:vAlign w:val="center"/>
          </w:tcPr>
          <w:p>
            <w:pPr>
              <w:pStyle w:val="TableContents"/>
              <w:bidi w:val="0"/>
              <w:spacing w:before="0" w:after="283"/>
              <w:jc w:val="left"/>
              <w:rPr>
                <w:sz w:val="20"/>
              </w:rPr>
            </w:pPr>
            <w:r>
              <w:rPr>
                <w:sz w:val="20"/>
              </w:rPr>
              <w:t>Seller:</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20"/>
              </w:rPr>
            </w:pPr>
            <w:r>
              <w:rPr>
                <w:sz w:val="20"/>
              </w:rPr>
              <w:t>Counterparty</w:t>
            </w:r>
          </w:p>
        </w:tc>
      </w:tr>
      <w:tr>
        <w:trPr/>
        <w:tc>
          <w:tcPr>
            <w:tcW w:w="12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pPr>
            <w:r>
              <w:rPr/>
              <w:t> </w:t>
            </w:r>
          </w:p>
        </w:tc>
      </w:tr>
      <w:tr>
        <w:trPr/>
        <w:tc>
          <w:tcPr>
            <w:tcW w:w="1229" w:type="dxa"/>
            <w:tcBorders/>
            <w:vAlign w:val="center"/>
          </w:tcPr>
          <w:p>
            <w:pPr>
              <w:pStyle w:val="TableContents"/>
              <w:bidi w:val="0"/>
              <w:spacing w:before="0" w:after="283"/>
              <w:jc w:val="left"/>
              <w:rPr>
                <w:sz w:val="20"/>
              </w:rPr>
            </w:pPr>
            <w:r>
              <w:rPr>
                <w:sz w:val="20"/>
              </w:rPr>
              <w:t>Buyer:</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20"/>
              </w:rPr>
            </w:pPr>
            <w:r>
              <w:rPr>
                <w:sz w:val="20"/>
              </w:rPr>
              <w:t>Dealer</w:t>
            </w:r>
          </w:p>
        </w:tc>
      </w:tr>
      <w:tr>
        <w:trPr/>
        <w:tc>
          <w:tcPr>
            <w:tcW w:w="12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pPr>
            <w:r>
              <w:rPr/>
              <w:t> </w:t>
            </w:r>
          </w:p>
        </w:tc>
      </w:tr>
      <w:tr>
        <w:trPr/>
        <w:tc>
          <w:tcPr>
            <w:tcW w:w="1229" w:type="dxa"/>
            <w:tcBorders/>
            <w:vAlign w:val="center"/>
          </w:tcPr>
          <w:p>
            <w:pPr>
              <w:pStyle w:val="TableContents"/>
              <w:bidi w:val="0"/>
              <w:spacing w:before="0" w:after="283"/>
              <w:jc w:val="left"/>
              <w:rPr>
                <w:sz w:val="20"/>
              </w:rPr>
            </w:pPr>
            <w:r>
              <w:rPr>
                <w:sz w:val="20"/>
              </w:rPr>
              <w:t>Shares:</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20"/>
              </w:rPr>
            </w:pPr>
            <w:r>
              <w:rPr>
                <w:sz w:val="20"/>
              </w:rPr>
              <w:t>The Common Stock of Counterparty, par value USD0.50 (Ticker Symbol: “WGO”).</w:t>
            </w:r>
          </w:p>
        </w:tc>
      </w:tr>
      <w:tr>
        <w:trPr/>
        <w:tc>
          <w:tcPr>
            <w:tcW w:w="12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pPr>
            <w:r>
              <w:rPr/>
              <w:t> </w:t>
            </w:r>
          </w:p>
        </w:tc>
      </w:tr>
      <w:tr>
        <w:trPr/>
        <w:tc>
          <w:tcPr>
            <w:tcW w:w="1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Component, as provided in Annex A to this Confirmation.</w:t>
            </w:r>
          </w:p>
        </w:tc>
      </w:tr>
      <w:tr>
        <w:trPr/>
        <w:tc>
          <w:tcPr>
            <w:tcW w:w="12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pPr>
            <w:r>
              <w:rPr/>
              <w:t> </w:t>
            </w:r>
          </w:p>
        </w:tc>
      </w:tr>
      <w:tr>
        <w:trPr/>
        <w:tc>
          <w:tcPr>
            <w:tcW w:w="1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Entitlement: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Share per Warrant</w:t>
            </w:r>
          </w:p>
        </w:tc>
      </w:tr>
      <w:tr>
        <w:trPr/>
        <w:tc>
          <w:tcPr>
            <w:tcW w:w="12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pPr>
            <w:r>
              <w:rPr/>
              <w:t> </w:t>
            </w:r>
          </w:p>
        </w:tc>
      </w:tr>
      <w:tr>
        <w:trPr/>
        <w:tc>
          <w:tcPr>
            <w:tcW w:w="1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Strike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USD135.2800</w:t>
            </w:r>
          </w:p>
        </w:tc>
      </w:tr>
      <w:tr>
        <w:trPr/>
        <w:tc>
          <w:tcPr>
            <w:tcW w:w="12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pPr>
            <w:r>
              <w:rPr/>
              <w:t> </w:t>
            </w:r>
          </w:p>
        </w:tc>
      </w:tr>
      <w:tr>
        <w:trPr/>
        <w:tc>
          <w:tcPr>
            <w:tcW w:w="122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Agreement, this Confirmation or the Equity Definitions, in no event shall the Strike Price be subject to adjustment to the extent that, after giving effect to such adjustment, the Strike Price would be less than USD 67.2580, except for any adjustment pursuant to the terms of this Confirmation and the</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49"/>
        <w:gridCol w:w="60"/>
        <w:gridCol w:w="9096"/>
      </w:tblGrid>
      <w:tr>
        <w:trPr/>
        <w:tc>
          <w:tcPr>
            <w:tcW w:w="10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Definitions in connection with a stock split or similar change to Counterparty’s capitalization.</w:t>
            </w:r>
          </w:p>
        </w:tc>
      </w:tr>
      <w:tr>
        <w:trPr/>
        <w:tc>
          <w:tcPr>
            <w:tcW w:w="10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any date, a number of Shares equal to the product of the Number of Warrants and the Warrant Entitlement.</w:t>
            </w:r>
          </w:p>
        </w:tc>
      </w:tr>
      <w:tr>
        <w:trPr/>
        <w:tc>
          <w:tcPr>
            <w:tcW w:w="10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left"/>
              <w:rPr>
                <w:sz w:val="20"/>
              </w:rPr>
            </w:pPr>
            <w:r>
              <w:rPr>
                <w:sz w:val="20"/>
              </w:rPr>
              <w:t>Premium:</w:t>
            </w:r>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sz w:val="20"/>
              </w:rPr>
            </w:pPr>
            <w:r>
              <w:rPr>
                <w:sz w:val="20"/>
              </w:rPr>
              <w:t>USD1,490,000</w:t>
            </w:r>
          </w:p>
        </w:tc>
      </w:tr>
      <w:tr>
        <w:trPr/>
        <w:tc>
          <w:tcPr>
            <w:tcW w:w="10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 Payment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w:t>
            </w:r>
          </w:p>
        </w:tc>
      </w:tr>
      <w:tr>
        <w:trPr/>
        <w:tc>
          <w:tcPr>
            <w:tcW w:w="10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left"/>
              <w:rPr>
                <w:sz w:val="20"/>
              </w:rPr>
            </w:pPr>
            <w:r>
              <w:rPr>
                <w:sz w:val="20"/>
              </w:rPr>
              <w:t>Exchange:</w:t>
            </w:r>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sz w:val="20"/>
              </w:rPr>
            </w:pPr>
            <w:r>
              <w:rPr>
                <w:sz w:val="20"/>
              </w:rPr>
              <w:t>New York Stock Exchange</w:t>
            </w:r>
          </w:p>
        </w:tc>
      </w:tr>
      <w:tr>
        <w:trPr/>
        <w:tc>
          <w:tcPr>
            <w:tcW w:w="10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Exchange: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Exchanges</w:t>
            </w:r>
          </w:p>
        </w:tc>
      </w:tr>
      <w:tr>
        <w:trPr/>
        <w:tc>
          <w:tcPr>
            <w:tcW w:w="10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Procedures for Exercise:</w:t>
            </w:r>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respect of any Component:</w:t>
            </w:r>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Time: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Time</w:t>
            </w:r>
          </w:p>
        </w:tc>
      </w:tr>
      <w:tr>
        <w:trPr/>
        <w:tc>
          <w:tcPr>
            <w:tcW w:w="10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provided in Annex A to this Confirmation (or, if such date is not a Scheduled Trading Day, the next following Scheduled Trading Day that is not already an Expiration Date for another Component); provided that if that date is a Disrupted Day, the Expiration Date for such Component shall be the first succeeding Scheduled Trading Day that is not a Disrupted Day and is not and is not deemed to be an Expiration Date in respect of any other Component of the Transaction hereunder; and provided further that if the Expiration Date has not occurred pursuant to the preceding proviso as of the Final Disruption Date, the Calculation Agent shall have the right to elect, in its sole discretion, that the Final Disruption Date shall be the Expiration Date (irrespective of whether such date is an Expiration Date in respect of any other Component for the Transaction). Notwithstanding the foregoing and anything to the contrary in the Equity Definitions, if a Market Disruption Event occurs on any Expiration Date, the Calculation Agent may determine that such Expiration Date is a Disrupted Day only in part, in which case the Calculation Agent shall make adjustments to the Number of Warrants for the relevant Component for which such day shall be the Expiration Date, shall designate the Scheduled Trading Day determined in the manner described in the immediately preceding sentence as the Expiration Date for the remaining Warrants for such Component and may determine the VWAP Price for such Expiration Date based on transactions in the Shares taking into account the nature and duration of such Market Disruption Event. Any Scheduled Trading Day on which, as of the date hereof, the Exchange is scheduled to close prior to its normal close of trading shall be deemed not to be a Scheduled Trading Day; if a closure of the Exchange prior to its normal close of trading on any Scheduled Trading Day is scheduled following the date hereof, then such Scheduled Trading Day shall be deemed to </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1"/>
        <w:gridCol w:w="60"/>
        <w:gridCol w:w="7984"/>
      </w:tblGrid>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a Disrupted Day in full. Section 6.6 of the Equity Definitions shall not apply to any Valuation Date occurring on an Expiration Date. “</w:t>
            </w:r>
            <w:r>
              <w:rPr>
                <w:rFonts w:ascii="Times New Roman;Times;Serif" w:hAnsi="Times New Roman;Times;Serif"/>
                <w:b/>
                <w:i w:val="false"/>
                <w:caps w:val="false"/>
                <w:smallCaps w:val="false"/>
                <w:sz w:val="20"/>
              </w:rPr>
              <w:t>Final Disruption Date</w:t>
            </w:r>
            <w:r>
              <w:rPr>
                <w:rFonts w:ascii="Times New Roman;Times;Serif" w:hAnsi="Times New Roman;Times;Serif"/>
                <w:b w:val="false"/>
                <w:i w:val="false"/>
                <w:caps w:val="false"/>
                <w:smallCaps w:val="false"/>
                <w:sz w:val="20"/>
              </w:rPr>
              <w:t>” means September 20, 2030.</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984" w:type="dxa"/>
            <w:tcBorders/>
            <w:vAlign w:val="center"/>
          </w:tcPr>
          <w:p>
            <w:pPr>
              <w:pStyle w:val="TableContents"/>
              <w:bidi w:val="0"/>
              <w:spacing w:before="0" w:after="283"/>
              <w:jc w:val="left"/>
              <w:rPr/>
            </w:pPr>
            <w:r>
              <w:rPr/>
              <w:t> </w:t>
            </w:r>
          </w:p>
        </w:tc>
      </w:tr>
      <w:tr>
        <w:trPr/>
        <w:tc>
          <w:tcPr>
            <w:tcW w:w="2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Disruption Event: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6.3(a) of the Equity Definitions is hereby amended by (A) deleting the words “during the one hour period that ends at the relevant Valuation Time, Latest Exercise Time, Knock-in Valuation Time or Knock-out Valuation Time, as the case may be,” in clause (ii) thereof and (B) by replacing the words “or (iii) an Early Closure.” therein with “(iii) an Early Closure, or (iv) a Regulatory Disruption.”</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984" w:type="dxa"/>
            <w:tcBorders/>
            <w:vAlign w:val="center"/>
          </w:tcPr>
          <w:p>
            <w:pPr>
              <w:pStyle w:val="TableContents"/>
              <w:bidi w:val="0"/>
              <w:spacing w:before="0" w:after="283"/>
              <w:jc w:val="left"/>
              <w:rPr/>
            </w:pPr>
            <w:r>
              <w:rPr/>
              <w:t> </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6.3(d) of the Equity Definitions is hereby amended by deleting the remainder of the provision following the term “Scheduled Closing Time” in the fourth line thereof.</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984" w:type="dxa"/>
            <w:tcBorders/>
            <w:vAlign w:val="center"/>
          </w:tcPr>
          <w:p>
            <w:pPr>
              <w:pStyle w:val="TableContents"/>
              <w:bidi w:val="0"/>
              <w:spacing w:before="0" w:after="283"/>
              <w:jc w:val="left"/>
              <w:rPr/>
            </w:pPr>
            <w:r>
              <w:rPr/>
              <w:t> </w:t>
            </w:r>
          </w:p>
        </w:tc>
      </w:tr>
      <w:tr>
        <w:trPr/>
        <w:tc>
          <w:tcPr>
            <w:tcW w:w="2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Disruption: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that Dealer, in its reasonable discretion, determines makes it appropriate, with regard to any legal, regulatory or self-regulatory requirements or related policies and procedures (whether or not such requirements or related policies and procedures are imposed by law or have been voluntarily adopted by Dealer and provided any such policies and procedures are related to legal, regulatory or self-regulatory issues generally applicable to the Transaction and are applied to the Transaction in a non-discriminatory manner), for Dealer to refrain from or decrease any market activity connected with the Transaction. Dealer shall notify Counterparty as soon as reasonably practicable that a Regulatory Disruption has occurred and the Expiration Dates affected by it.</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984" w:type="dxa"/>
            <w:tcBorders/>
            <w:vAlign w:val="center"/>
          </w:tcPr>
          <w:p>
            <w:pPr>
              <w:pStyle w:val="TableContents"/>
              <w:bidi w:val="0"/>
              <w:spacing w:before="0" w:after="283"/>
              <w:jc w:val="left"/>
              <w:rPr/>
            </w:pPr>
            <w:r>
              <w:rPr/>
              <w:t> </w:t>
            </w:r>
          </w:p>
        </w:tc>
      </w:tr>
      <w:tr>
        <w:trPr/>
        <w:tc>
          <w:tcPr>
            <w:tcW w:w="2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Automatic Exercise: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and means that the Number of Warrants for the corresponding Expiration Date will be deemed to be automatically exercised at the Expiration Time on such Expiration Date unless Dealer notifies Seller (by telephone or in writing) prior to the Expiration Time on such Expiration Date that it does not wish Automatic Exercise to occur, in which case Automatic Exercise will not apply to such Expiration Date.</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984" w:type="dxa"/>
            <w:tcBorders/>
            <w:vAlign w:val="center"/>
          </w:tcPr>
          <w:p>
            <w:pPr>
              <w:pStyle w:val="TableContents"/>
              <w:bidi w:val="0"/>
              <w:spacing w:before="0" w:after="283"/>
              <w:jc w:val="left"/>
              <w:rPr/>
            </w:pPr>
            <w:r>
              <w:rPr/>
              <w:t> </w:t>
            </w:r>
          </w:p>
        </w:tc>
      </w:tr>
      <w:tr>
        <w:trPr/>
        <w:tc>
          <w:tcPr>
            <w:tcW w:w="2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Counterparty’s Telephone Number and Telex and/or Facsimile Number and Contact Details for purpose of Giving Notice:</w:t>
            </w:r>
          </w:p>
        </w:tc>
        <w:tc>
          <w:tcPr>
            <w:tcW w:w="60" w:type="dxa"/>
            <w:tcBorders/>
            <w:vAlign w:val="center"/>
          </w:tcPr>
          <w:p>
            <w:pPr>
              <w:pStyle w:val="TableContents"/>
              <w:bidi w:val="0"/>
              <w:spacing w:before="0" w:after="283"/>
              <w:jc w:val="left"/>
              <w:rPr/>
            </w:pPr>
            <w:r>
              <w:rPr/>
              <w:t> </w:t>
            </w:r>
          </w:p>
        </w:tc>
        <w:tc>
          <w:tcPr>
            <w:tcW w:w="7984" w:type="dxa"/>
            <w:tcBorders/>
            <w:vAlign w:val="center"/>
          </w:tcPr>
          <w:p>
            <w:pPr>
              <w:pStyle w:val="TableContents"/>
              <w:bidi w:val="0"/>
              <w:spacing w:before="0" w:after="283"/>
              <w:jc w:val="left"/>
              <w:rPr>
                <w:sz w:val="20"/>
              </w:rPr>
            </w:pPr>
            <w:r>
              <w:rPr>
                <w:sz w:val="20"/>
              </w:rPr>
              <w:t>As provided in Section 6(a) below.</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984" w:type="dxa"/>
            <w:tcBorders/>
            <w:vAlign w:val="center"/>
          </w:tcPr>
          <w:p>
            <w:pPr>
              <w:pStyle w:val="TableContents"/>
              <w:bidi w:val="0"/>
              <w:spacing w:before="0" w:after="283"/>
              <w:jc w:val="left"/>
              <w:rPr/>
            </w:pPr>
            <w:r>
              <w:rPr/>
              <w:t> </w:t>
            </w:r>
          </w:p>
        </w:tc>
      </w:tr>
      <w:tr>
        <w:trPr/>
        <w:tc>
          <w:tcPr>
            <w:tcW w:w="2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Terms:</w:t>
            </w:r>
          </w:p>
        </w:tc>
        <w:tc>
          <w:tcPr>
            <w:tcW w:w="60" w:type="dxa"/>
            <w:tcBorders/>
            <w:vAlign w:val="center"/>
          </w:tcPr>
          <w:p>
            <w:pPr>
              <w:pStyle w:val="TableContents"/>
              <w:bidi w:val="0"/>
              <w:spacing w:before="0" w:after="283"/>
              <w:jc w:val="left"/>
              <w:rPr/>
            </w:pPr>
            <w:r>
              <w:rPr/>
              <w:t> </w:t>
            </w:r>
          </w:p>
        </w:tc>
        <w:tc>
          <w:tcPr>
            <w:tcW w:w="7984" w:type="dxa"/>
            <w:tcBorders/>
            <w:vAlign w:val="center"/>
          </w:tcPr>
          <w:p>
            <w:pPr>
              <w:pStyle w:val="TableContents"/>
              <w:bidi w:val="0"/>
              <w:spacing w:before="0" w:after="283"/>
              <w:jc w:val="left"/>
              <w:rPr/>
            </w:pPr>
            <w:r>
              <w:rPr/>
              <w:t> </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984" w:type="dxa"/>
            <w:tcBorders/>
            <w:vAlign w:val="center"/>
          </w:tcPr>
          <w:p>
            <w:pPr>
              <w:pStyle w:val="TableContents"/>
              <w:bidi w:val="0"/>
              <w:spacing w:before="0" w:after="283"/>
              <w:jc w:val="left"/>
              <w:rPr/>
            </w:pPr>
            <w:r>
              <w:rPr/>
              <w:t> </w:t>
            </w:r>
          </w:p>
        </w:tc>
      </w:tr>
      <w:tr>
        <w:trPr/>
        <w:tc>
          <w:tcPr>
            <w:tcW w:w="2161"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respect of any Component:</w:t>
            </w:r>
          </w:p>
        </w:tc>
        <w:tc>
          <w:tcPr>
            <w:tcW w:w="60" w:type="dxa"/>
            <w:tcBorders/>
            <w:vAlign w:val="center"/>
          </w:tcPr>
          <w:p>
            <w:pPr>
              <w:pStyle w:val="TableContents"/>
              <w:bidi w:val="0"/>
              <w:spacing w:before="0" w:after="283"/>
              <w:jc w:val="left"/>
              <w:rPr/>
            </w:pPr>
            <w:r>
              <w:rPr/>
              <w:t> </w:t>
            </w:r>
          </w:p>
        </w:tc>
        <w:tc>
          <w:tcPr>
            <w:tcW w:w="7984" w:type="dxa"/>
            <w:tcBorders/>
            <w:vAlign w:val="center"/>
          </w:tcPr>
          <w:p>
            <w:pPr>
              <w:pStyle w:val="TableContents"/>
              <w:bidi w:val="0"/>
              <w:spacing w:before="0" w:after="283"/>
              <w:jc w:val="left"/>
              <w:rPr/>
            </w:pPr>
            <w:r>
              <w:rPr/>
              <w:t> </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984" w:type="dxa"/>
            <w:tcBorders/>
            <w:vAlign w:val="center"/>
          </w:tcPr>
          <w:p>
            <w:pPr>
              <w:pStyle w:val="TableContents"/>
              <w:bidi w:val="0"/>
              <w:spacing w:before="0" w:after="283"/>
              <w:jc w:val="left"/>
              <w:rPr/>
            </w:pPr>
            <w:r>
              <w:rPr/>
              <w:t> </w:t>
            </w:r>
          </w:p>
        </w:tc>
      </w:tr>
      <w:tr>
        <w:trPr/>
        <w:tc>
          <w:tcPr>
            <w:tcW w:w="2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Currency: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w:t>
            </w:r>
          </w:p>
        </w:tc>
      </w:tr>
      <w:tr>
        <w:trPr/>
        <w:tc>
          <w:tcPr>
            <w:tcW w:w="216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984" w:type="dxa"/>
            <w:tcBorders/>
            <w:vAlign w:val="center"/>
          </w:tcPr>
          <w:p>
            <w:pPr>
              <w:pStyle w:val="TableContents"/>
              <w:bidi w:val="0"/>
              <w:spacing w:before="0" w:after="283"/>
              <w:jc w:val="left"/>
              <w:rPr/>
            </w:pPr>
            <w:r>
              <w:rPr/>
              <w:t> </w:t>
            </w:r>
          </w:p>
        </w:tc>
      </w:tr>
      <w:tr>
        <w:trPr/>
        <w:tc>
          <w:tcPr>
            <w:tcW w:w="2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Share Settlement: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Settlement Date, Counterparty shall deliver to Dealer a number of Shares equal to the Number of Shares to be Delivered for such Settlement Date to</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2"/>
        <w:gridCol w:w="60"/>
        <w:gridCol w:w="8893"/>
      </w:tblGrid>
      <w:tr>
        <w:trPr/>
        <w:tc>
          <w:tcPr>
            <w:tcW w:w="12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 specified by Dealer and cash in lieu of any fractional Share valued at the Relevant Price on the Valuation Date corresponding to such Settlement Date. If, in the reasonable opinion of Dealer, based on advice of counsel, for any reason, the Shares deliverable upon Net Share Settlement would not be immediately freely transferable by Dealer under Rule 144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then Dealer may elect to either (x) accept delivery of such Shares notwithstanding any restriction on transfer or (y) have the provisions set forth in Section 8(c) below apply.</w:t>
            </w:r>
          </w:p>
        </w:tc>
      </w:tr>
      <w:tr>
        <w:trPr/>
        <w:tc>
          <w:tcPr>
            <w:tcW w:w="12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pPr>
            <w:r>
              <w:rPr/>
              <w:t> </w:t>
            </w:r>
          </w:p>
        </w:tc>
      </w:tr>
      <w:tr>
        <w:trPr/>
        <w:tc>
          <w:tcPr>
            <w:tcW w:w="12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to be Delivered shall be delivered by Counterparty to Dealer no later than 12:00 noon (local time in New York City) on the relevant Settlement Date.</w:t>
            </w:r>
          </w:p>
        </w:tc>
      </w:tr>
      <w:tr>
        <w:trPr/>
        <w:tc>
          <w:tcPr>
            <w:tcW w:w="12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pPr>
            <w:r>
              <w:rPr/>
              <w:t> </w:t>
            </w:r>
          </w:p>
        </w:tc>
      </w:tr>
      <w:tr>
        <w:trPr/>
        <w:tc>
          <w:tcPr>
            <w:tcW w:w="1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to be Delivered: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any Exercise Date, the product of (i) the number of Warrants exercised or deemed exercised on such Exercise Date, (ii) the Warrant Entitlement and (iii) (A) the excess of the VWAP Price on the Valuation Date occurring in respect of such Exercise Date over the Strike Price (or, if there is no such excess, zero) divided by (B) such VWAP Price.</w:t>
            </w:r>
          </w:p>
        </w:tc>
      </w:tr>
      <w:tr>
        <w:trPr/>
        <w:tc>
          <w:tcPr>
            <w:tcW w:w="12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pPr>
            <w:r>
              <w:rPr/>
              <w:t> </w:t>
            </w:r>
          </w:p>
        </w:tc>
      </w:tr>
      <w:tr>
        <w:trPr/>
        <w:tc>
          <w:tcPr>
            <w:tcW w:w="1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VWAP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Exchange Business Day, as determined by the Calculation Agent based on the New York Volume Weighted Average Price per Share for the regular trading session (including any extensions thereof) of the Exchange on such Exchange Business Day (without regard to pre-open or after hours trading outside of such regular trading session), as published by Bloomberg at 4:15 P.M., New York City time (or 15 minutes following the end of any extension of the regular trading session), on such Exchange Business Day, on Bloomberg page “WGO.N &lt;Equity&gt; AQR” (or any successor thereto) (or if such published volume weighted average price is unavailable or is manifestly incorrect, the market value of one Share on such Exchange Business Day, as determined by the Calculation Agent using, if practicable, a volume weighted method).</w:t>
            </w:r>
          </w:p>
        </w:tc>
      </w:tr>
      <w:tr>
        <w:trPr/>
        <w:tc>
          <w:tcPr>
            <w:tcW w:w="12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pPr>
            <w:r>
              <w:rPr/>
              <w:t> </w:t>
            </w:r>
          </w:p>
        </w:tc>
      </w:tr>
      <w:tr>
        <w:trPr/>
        <w:tc>
          <w:tcPr>
            <w:tcW w:w="1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Applicable Provisions: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9.1(c), 9.4, 9.8, 9.9, 9.10, 9.11 and 9.12 of the Equity Definitions will be applicable as if “Physical Settlement” applied to the Transaction; provided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of the Shares.</w:t>
            </w:r>
          </w:p>
        </w:tc>
      </w:tr>
      <w:tr>
        <w:trPr/>
        <w:tc>
          <w:tcPr>
            <w:tcW w:w="12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pPr>
            <w:r>
              <w:rPr/>
              <w:t> </w:t>
            </w:r>
          </w:p>
        </w:tc>
      </w:tr>
      <w:tr>
        <w:trPr/>
        <w:tc>
          <w:tcPr>
            <w:tcW w:w="1252" w:type="dxa"/>
            <w:tcBorders/>
            <w:vAlign w:val="center"/>
          </w:tcPr>
          <w:p>
            <w:pPr>
              <w:pStyle w:val="TableContents"/>
              <w:bidi w:val="0"/>
              <w:spacing w:before="0" w:after="283"/>
              <w:jc w:val="left"/>
              <w:rPr>
                <w:sz w:val="20"/>
              </w:rPr>
            </w:pPr>
            <w:r>
              <w:rPr>
                <w:sz w:val="20"/>
              </w:rPr>
              <w:t>Adjustments:</w:t>
            </w:r>
          </w:p>
        </w:tc>
        <w:tc>
          <w:tcPr>
            <w:tcW w:w="60"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pPr>
            <w:r>
              <w:rPr/>
              <w:t> </w:t>
            </w:r>
          </w:p>
        </w:tc>
      </w:tr>
      <w:tr>
        <w:trPr/>
        <w:tc>
          <w:tcPr>
            <w:tcW w:w="125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pPr>
            <w:r>
              <w:rPr/>
              <w:t> </w:t>
            </w:r>
          </w:p>
        </w:tc>
      </w:tr>
      <w:tr>
        <w:trPr/>
        <w:tc>
          <w:tcPr>
            <w:tcW w:w="1252"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respect of any Component:</w:t>
            </w:r>
          </w:p>
        </w:tc>
        <w:tc>
          <w:tcPr>
            <w:tcW w:w="60"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4"/>
        <w:gridCol w:w="60"/>
        <w:gridCol w:w="8711"/>
      </w:tblGrid>
      <w:tr>
        <w:trPr/>
        <w:tc>
          <w:tcPr>
            <w:tcW w:w="1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Adjustment: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Agent Adjustment. For the avoidance of doubt, Calculation Agent Adjustment shall continue to apply until the obligations of the parties (including any obligations of Counterparty pursuant to Section 8(f) below) under the Transaction have been satisfied in full.</w:t>
            </w:r>
          </w:p>
        </w:tc>
      </w:tr>
      <w:tr>
        <w:trPr/>
        <w:tc>
          <w:tcPr>
            <w:tcW w:w="14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283"/>
              <w:jc w:val="left"/>
              <w:rPr/>
            </w:pPr>
            <w:r>
              <w:rPr/>
              <w:t> </w:t>
            </w:r>
          </w:p>
        </w:tc>
      </w:tr>
      <w:tr>
        <w:trPr/>
        <w:tc>
          <w:tcPr>
            <w:tcW w:w="1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Extraordinary Dividend: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regular dividend period of Counterparty, any dividend or distribution on the Shares with an ex-dividend date occurring during such regular dividend period (other than any dividend or distribution of the type described in Section 11.2(e)(i) or Section 11.2(e)(ii)(A) of the Equity Definitions) (a “</w:t>
            </w:r>
            <w:r>
              <w:rPr>
                <w:rFonts w:ascii="Times New Roman;Times;Serif" w:hAnsi="Times New Roman;Times;Serif"/>
                <w:b/>
                <w:i w:val="false"/>
                <w:caps w:val="false"/>
                <w:smallCaps w:val="false"/>
                <w:sz w:val="20"/>
              </w:rPr>
              <w:t>Dividend</w:t>
            </w:r>
            <w:r>
              <w:rPr>
                <w:rFonts w:ascii="Times New Roman;Times;Serif" w:hAnsi="Times New Roman;Times;Serif"/>
                <w:b w:val="false"/>
                <w:i w:val="false"/>
                <w:caps w:val="false"/>
                <w:smallCaps w:val="false"/>
                <w:sz w:val="20"/>
              </w:rPr>
              <w:t>”) the amount or value of which (as determined by the Calculation Agent), when aggregated with the amount or value (as determined by the Calculation Agent) of any and all previous Dividends with ex-dividend dates occurring in the same regular dividend period, exceeds the Ordinary Dividend Amount.</w:t>
            </w:r>
          </w:p>
        </w:tc>
      </w:tr>
      <w:tr>
        <w:trPr/>
        <w:tc>
          <w:tcPr>
            <w:tcW w:w="14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283"/>
              <w:jc w:val="left"/>
              <w:rPr/>
            </w:pPr>
            <w:r>
              <w:rPr/>
              <w:t> </w:t>
            </w:r>
          </w:p>
        </w:tc>
      </w:tr>
      <w:tr>
        <w:trPr/>
        <w:tc>
          <w:tcPr>
            <w:tcW w:w="1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Dividend 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first Dividend on the Shares for which the ex-dividend date occurs during any regular quarterly dividend period of Counterparty, USD 0.31, and for any other Dividend on the Shares for which the ex-dividend date occurs during the same regular quarterly dividend period, USD 0.00.</w:t>
            </w:r>
          </w:p>
        </w:tc>
      </w:tr>
      <w:tr>
        <w:trPr/>
        <w:tc>
          <w:tcPr>
            <w:tcW w:w="14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283"/>
              <w:jc w:val="left"/>
              <w:rPr/>
            </w:pPr>
            <w:r>
              <w:rPr/>
              <w:t> </w:t>
            </w:r>
          </w:p>
        </w:tc>
      </w:tr>
      <w:tr>
        <w:trPr/>
        <w:tc>
          <w:tcPr>
            <w:tcW w:w="1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Extraordinary Events:</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283"/>
              <w:jc w:val="left"/>
              <w:rPr/>
            </w:pPr>
            <w:r>
              <w:rPr/>
              <w:t> </w:t>
            </w:r>
          </w:p>
        </w:tc>
      </w:tr>
      <w:tr>
        <w:trPr/>
        <w:tc>
          <w:tcPr>
            <w:tcW w:w="14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283"/>
              <w:jc w:val="left"/>
              <w:rPr/>
            </w:pPr>
            <w:r>
              <w:rPr/>
              <w:t> </w:t>
            </w:r>
          </w:p>
        </w:tc>
      </w:tr>
      <w:tr>
        <w:trPr/>
        <w:tc>
          <w:tcPr>
            <w:tcW w:w="1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definition of New Shares in Section 12.1(i) of the Equity Definitions, the text in clause (i) thereof shall be deleted in its entirety and replaced with “publicly quoted, traded or listed on any of The New York Stock Exchange, The NASDAQ Global Market or The NASDAQ Global Select Market (or their respective successors) and of an entity or person that is a corporation organized under the laws of the United States, any State thereof or the District of Columbia”.</w:t>
            </w:r>
          </w:p>
        </w:tc>
      </w:tr>
      <w:tr>
        <w:trPr/>
        <w:tc>
          <w:tcPr>
            <w:tcW w:w="14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283"/>
              <w:jc w:val="left"/>
              <w:rPr/>
            </w:pPr>
            <w:r>
              <w:rPr/>
              <w:t> </w:t>
            </w:r>
          </w:p>
        </w:tc>
      </w:tr>
      <w:tr>
        <w:trPr/>
        <w:tc>
          <w:tcPr>
            <w:tcW w:w="1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Event: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11" w:type="dxa"/>
            <w:tcBorders/>
            <w:vAlign w:val="center"/>
          </w:tcPr>
          <w:p>
            <w:pPr>
              <w:pStyle w:val="TableContents"/>
              <w:bidi w:val="0"/>
              <w:spacing w:before="0" w:after="283"/>
              <w:jc w:val="both"/>
              <w:rPr>
                <w:sz w:val="20"/>
              </w:rPr>
            </w:pPr>
            <w:r>
              <w:rPr>
                <w:sz w:val="20"/>
              </w:rPr>
              <w:t>Applicable; provided that if an event occurs that constitutes both a Merger Event under Section 12.1(b) of the Equity Definitions and an Additional Termination Event under Section 8(k)(iv) of this Confirmation, Dealer may elect, in its sole discretion, whether the provisions of Section 12.2 of the Equity Definitions or Section 8(k)(iv) will apply.</w:t>
            </w:r>
          </w:p>
        </w:tc>
      </w:tr>
      <w:tr>
        <w:trPr/>
        <w:tc>
          <w:tcPr>
            <w:tcW w:w="14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283"/>
              <w:jc w:val="left"/>
              <w:rPr/>
            </w:pPr>
            <w:r>
              <w:rPr/>
              <w:t> </w:t>
            </w:r>
          </w:p>
        </w:tc>
      </w:tr>
      <w:tr>
        <w:trPr/>
        <w:tc>
          <w:tcPr>
            <w:tcW w:w="14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Merger Events:</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283"/>
              <w:jc w:val="left"/>
              <w:rPr/>
            </w:pPr>
            <w:r>
              <w:rPr/>
              <w:t> </w:t>
            </w:r>
          </w:p>
        </w:tc>
      </w:tr>
      <w:tr>
        <w:trPr/>
        <w:tc>
          <w:tcPr>
            <w:tcW w:w="14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283"/>
              <w:jc w:val="left"/>
              <w:rPr/>
            </w:pPr>
            <w:r>
              <w:rPr/>
              <w:t> </w:t>
            </w:r>
          </w:p>
        </w:tc>
      </w:tr>
      <w:tr>
        <w:trPr/>
        <w:tc>
          <w:tcPr>
            <w:tcW w:w="1434" w:type="dxa"/>
            <w:tcBorders/>
            <w:vAlign w:val="center"/>
          </w:tcPr>
          <w:p>
            <w:pPr>
              <w:pStyle w:val="TableContents"/>
              <w:bidi w:val="0"/>
              <w:spacing w:before="0" w:after="283"/>
              <w:jc w:val="left"/>
              <w:rPr>
                <w:sz w:val="20"/>
              </w:rPr>
            </w:pPr>
            <w:r>
              <w:rPr>
                <w:sz w:val="20"/>
              </w:rPr>
              <w:t>(a) Share-for-Share:</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283"/>
              <w:jc w:val="left"/>
              <w:rPr>
                <w:sz w:val="20"/>
              </w:rPr>
            </w:pPr>
            <w:r>
              <w:rPr>
                <w:sz w:val="20"/>
              </w:rPr>
              <w:t>Modified Calculation Agent Adjustment</w:t>
            </w:r>
          </w:p>
        </w:tc>
      </w:tr>
      <w:tr>
        <w:trPr/>
        <w:tc>
          <w:tcPr>
            <w:tcW w:w="14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283"/>
              <w:jc w:val="left"/>
              <w:rPr/>
            </w:pPr>
            <w:r>
              <w:rPr/>
              <w:t> </w:t>
            </w:r>
          </w:p>
        </w:tc>
      </w:tr>
      <w:tr>
        <w:trPr/>
        <w:tc>
          <w:tcPr>
            <w:tcW w:w="1434" w:type="dxa"/>
            <w:tcBorders/>
            <w:vAlign w:val="center"/>
          </w:tcPr>
          <w:p>
            <w:pPr>
              <w:pStyle w:val="TableContents"/>
              <w:bidi w:val="0"/>
              <w:spacing w:before="0" w:after="283"/>
              <w:jc w:val="left"/>
              <w:rPr>
                <w:sz w:val="20"/>
              </w:rPr>
            </w:pPr>
            <w:r>
              <w:rPr>
                <w:sz w:val="20"/>
              </w:rPr>
              <w:t>(b) Share-for-Other:</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283"/>
              <w:jc w:val="both"/>
              <w:rPr>
                <w:sz w:val="20"/>
              </w:rPr>
            </w:pPr>
            <w:r>
              <w:rPr>
                <w:sz w:val="20"/>
              </w:rPr>
              <w:t>Cancellation and Payment (Calculation Agent Determination); provided that Dealer may elect, in its sole discretion, that Modified Calculation Agent Adjustment shall apply for all or part of the Transaction.</w:t>
            </w:r>
          </w:p>
        </w:tc>
      </w:tr>
      <w:tr>
        <w:trPr/>
        <w:tc>
          <w:tcPr>
            <w:tcW w:w="14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11"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4"/>
        <w:gridCol w:w="60"/>
        <w:gridCol w:w="8701"/>
      </w:tblGrid>
      <w:tr>
        <w:trPr/>
        <w:tc>
          <w:tcPr>
            <w:tcW w:w="1444" w:type="dxa"/>
            <w:tcBorders/>
            <w:vAlign w:val="center"/>
          </w:tcPr>
          <w:p>
            <w:pPr>
              <w:pStyle w:val="TableContents"/>
              <w:bidi w:val="0"/>
              <w:spacing w:before="0" w:after="283"/>
              <w:jc w:val="left"/>
              <w:rPr>
                <w:sz w:val="20"/>
              </w:rPr>
            </w:pPr>
            <w:r>
              <w:rPr>
                <w:sz w:val="20"/>
              </w:rPr>
              <w:t>(c) Share-for-Combined:</w:t>
            </w:r>
          </w:p>
        </w:tc>
        <w:tc>
          <w:tcPr>
            <w:tcW w:w="60" w:type="dxa"/>
            <w:tcBorders/>
            <w:vAlign w:val="center"/>
          </w:tcPr>
          <w:p>
            <w:pPr>
              <w:pStyle w:val="TableContents"/>
              <w:bidi w:val="0"/>
              <w:spacing w:before="0" w:after="283"/>
              <w:jc w:val="left"/>
              <w:rPr/>
            </w:pPr>
            <w:r>
              <w:rPr/>
              <w:t> </w:t>
            </w:r>
          </w:p>
        </w:tc>
        <w:tc>
          <w:tcPr>
            <w:tcW w:w="8701" w:type="dxa"/>
            <w:tcBorders/>
            <w:vAlign w:val="center"/>
          </w:tcPr>
          <w:p>
            <w:pPr>
              <w:pStyle w:val="TableContents"/>
              <w:bidi w:val="0"/>
              <w:spacing w:before="0" w:after="283"/>
              <w:jc w:val="both"/>
              <w:rPr>
                <w:sz w:val="20"/>
              </w:rPr>
            </w:pPr>
            <w:r>
              <w:rPr>
                <w:sz w:val="20"/>
              </w:rPr>
              <w:t>Cancellation and Payment (Calculation Agent Determination); provided that Dealer may elect, in its sole discretion, that Modified Calculation Agent Adjustment or Component Adjustment shall apply for all or part of the Transaction.</w:t>
            </w:r>
          </w:p>
        </w:tc>
      </w:tr>
      <w:tr>
        <w:trPr/>
        <w:tc>
          <w:tcPr>
            <w:tcW w:w="14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Tender Offer: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provided that if an event occurs that constitutes both a Tender Offer under Section 12.1(d) of the Equity Definitions and an Additional Termination Event under Section 8(k)(iii) of this Confirmation, Dealer may elect, in its sole discretion, whether the provisions of Section 12.3 of the Equity Definitions or Section 8(k)(iii) will apply.</w:t>
            </w:r>
          </w:p>
        </w:tc>
      </w:tr>
      <w:tr>
        <w:trPr/>
        <w:tc>
          <w:tcPr>
            <w:tcW w:w="14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01" w:type="dxa"/>
            <w:tcBorders/>
            <w:vAlign w:val="center"/>
          </w:tcPr>
          <w:p>
            <w:pPr>
              <w:pStyle w:val="TableContents"/>
              <w:bidi w:val="0"/>
              <w:spacing w:before="0" w:after="283"/>
              <w:jc w:val="left"/>
              <w:rPr/>
            </w:pPr>
            <w:r>
              <w:rPr/>
              <w:t> </w:t>
            </w:r>
          </w:p>
        </w:tc>
      </w:tr>
      <w:tr>
        <w:trPr/>
        <w:tc>
          <w:tcPr>
            <w:tcW w:w="14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Tender Offers:</w:t>
            </w:r>
          </w:p>
        </w:tc>
        <w:tc>
          <w:tcPr>
            <w:tcW w:w="60" w:type="dxa"/>
            <w:tcBorders/>
            <w:vAlign w:val="center"/>
          </w:tcPr>
          <w:p>
            <w:pPr>
              <w:pStyle w:val="TableContents"/>
              <w:bidi w:val="0"/>
              <w:spacing w:before="0" w:after="283"/>
              <w:jc w:val="left"/>
              <w:rPr/>
            </w:pPr>
            <w:r>
              <w:rPr/>
              <w:t> </w:t>
            </w:r>
          </w:p>
        </w:tc>
        <w:tc>
          <w:tcPr>
            <w:tcW w:w="8701" w:type="dxa"/>
            <w:tcBorders/>
            <w:vAlign w:val="center"/>
          </w:tcPr>
          <w:p>
            <w:pPr>
              <w:pStyle w:val="TableContents"/>
              <w:bidi w:val="0"/>
              <w:spacing w:before="0" w:after="283"/>
              <w:jc w:val="left"/>
              <w:rPr/>
            </w:pPr>
            <w:r>
              <w:rPr/>
              <w:t> </w:t>
            </w:r>
          </w:p>
        </w:tc>
      </w:tr>
      <w:tr>
        <w:trPr/>
        <w:tc>
          <w:tcPr>
            <w:tcW w:w="14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01" w:type="dxa"/>
            <w:tcBorders/>
            <w:vAlign w:val="center"/>
          </w:tcPr>
          <w:p>
            <w:pPr>
              <w:pStyle w:val="TableContents"/>
              <w:bidi w:val="0"/>
              <w:spacing w:before="0" w:after="283"/>
              <w:jc w:val="left"/>
              <w:rPr/>
            </w:pPr>
            <w:r>
              <w:rPr/>
              <w:t> </w:t>
            </w:r>
          </w:p>
        </w:tc>
      </w:tr>
      <w:tr>
        <w:trPr/>
        <w:tc>
          <w:tcPr>
            <w:tcW w:w="1444" w:type="dxa"/>
            <w:tcBorders/>
            <w:vAlign w:val="center"/>
          </w:tcPr>
          <w:p>
            <w:pPr>
              <w:pStyle w:val="TableContents"/>
              <w:bidi w:val="0"/>
              <w:spacing w:before="0" w:after="283"/>
              <w:jc w:val="left"/>
              <w:rPr>
                <w:sz w:val="20"/>
              </w:rPr>
            </w:pPr>
            <w:r>
              <w:rPr>
                <w:sz w:val="20"/>
              </w:rPr>
              <w:t>(a) Share-for-Share:</w:t>
            </w:r>
          </w:p>
        </w:tc>
        <w:tc>
          <w:tcPr>
            <w:tcW w:w="60" w:type="dxa"/>
            <w:tcBorders/>
            <w:vAlign w:val="center"/>
          </w:tcPr>
          <w:p>
            <w:pPr>
              <w:pStyle w:val="TableContents"/>
              <w:bidi w:val="0"/>
              <w:spacing w:before="0" w:after="283"/>
              <w:jc w:val="left"/>
              <w:rPr/>
            </w:pPr>
            <w:r>
              <w:rPr/>
              <w:t> </w:t>
            </w:r>
          </w:p>
        </w:tc>
        <w:tc>
          <w:tcPr>
            <w:tcW w:w="8701" w:type="dxa"/>
            <w:tcBorders/>
            <w:vAlign w:val="center"/>
          </w:tcPr>
          <w:p>
            <w:pPr>
              <w:pStyle w:val="TableContents"/>
              <w:bidi w:val="0"/>
              <w:spacing w:before="0" w:after="283"/>
              <w:jc w:val="left"/>
              <w:rPr>
                <w:sz w:val="20"/>
              </w:rPr>
            </w:pPr>
            <w:r>
              <w:rPr>
                <w:sz w:val="20"/>
              </w:rPr>
              <w:t>Modified Calculation Agent Adjustment</w:t>
            </w:r>
          </w:p>
        </w:tc>
      </w:tr>
      <w:tr>
        <w:trPr/>
        <w:tc>
          <w:tcPr>
            <w:tcW w:w="14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01" w:type="dxa"/>
            <w:tcBorders/>
            <w:vAlign w:val="center"/>
          </w:tcPr>
          <w:p>
            <w:pPr>
              <w:pStyle w:val="TableContents"/>
              <w:bidi w:val="0"/>
              <w:spacing w:before="0" w:after="283"/>
              <w:jc w:val="left"/>
              <w:rPr/>
            </w:pPr>
            <w:r>
              <w:rPr/>
              <w:t> </w:t>
            </w:r>
          </w:p>
        </w:tc>
      </w:tr>
      <w:tr>
        <w:trPr/>
        <w:tc>
          <w:tcPr>
            <w:tcW w:w="1444" w:type="dxa"/>
            <w:tcBorders/>
            <w:vAlign w:val="center"/>
          </w:tcPr>
          <w:p>
            <w:pPr>
              <w:pStyle w:val="TableContents"/>
              <w:bidi w:val="0"/>
              <w:spacing w:before="0" w:after="283"/>
              <w:jc w:val="left"/>
              <w:rPr>
                <w:sz w:val="20"/>
              </w:rPr>
            </w:pPr>
            <w:r>
              <w:rPr>
                <w:sz w:val="20"/>
              </w:rPr>
              <w:t>(b) Share-for-Other:</w:t>
            </w:r>
          </w:p>
        </w:tc>
        <w:tc>
          <w:tcPr>
            <w:tcW w:w="60" w:type="dxa"/>
            <w:tcBorders/>
            <w:vAlign w:val="center"/>
          </w:tcPr>
          <w:p>
            <w:pPr>
              <w:pStyle w:val="TableContents"/>
              <w:bidi w:val="0"/>
              <w:spacing w:before="0" w:after="283"/>
              <w:jc w:val="left"/>
              <w:rPr/>
            </w:pPr>
            <w:r>
              <w:rPr/>
              <w:t> </w:t>
            </w:r>
          </w:p>
        </w:tc>
        <w:tc>
          <w:tcPr>
            <w:tcW w:w="8701" w:type="dxa"/>
            <w:tcBorders/>
            <w:vAlign w:val="center"/>
          </w:tcPr>
          <w:p>
            <w:pPr>
              <w:pStyle w:val="TableContents"/>
              <w:bidi w:val="0"/>
              <w:spacing w:before="0" w:after="283"/>
              <w:jc w:val="left"/>
              <w:rPr>
                <w:sz w:val="20"/>
              </w:rPr>
            </w:pPr>
            <w:r>
              <w:rPr>
                <w:sz w:val="20"/>
              </w:rPr>
              <w:t>Modified Calculation Agent Adjustment</w:t>
            </w:r>
          </w:p>
        </w:tc>
      </w:tr>
      <w:tr>
        <w:trPr/>
        <w:tc>
          <w:tcPr>
            <w:tcW w:w="14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01" w:type="dxa"/>
            <w:tcBorders/>
            <w:vAlign w:val="center"/>
          </w:tcPr>
          <w:p>
            <w:pPr>
              <w:pStyle w:val="TableContents"/>
              <w:bidi w:val="0"/>
              <w:spacing w:before="0" w:after="283"/>
              <w:jc w:val="left"/>
              <w:rPr/>
            </w:pPr>
            <w:r>
              <w:rPr/>
              <w:t> </w:t>
            </w:r>
          </w:p>
        </w:tc>
      </w:tr>
      <w:tr>
        <w:trPr/>
        <w:tc>
          <w:tcPr>
            <w:tcW w:w="1444" w:type="dxa"/>
            <w:tcBorders/>
            <w:vAlign w:val="center"/>
          </w:tcPr>
          <w:p>
            <w:pPr>
              <w:pStyle w:val="TableContents"/>
              <w:bidi w:val="0"/>
              <w:spacing w:before="0" w:after="283"/>
              <w:jc w:val="left"/>
              <w:rPr>
                <w:sz w:val="20"/>
              </w:rPr>
            </w:pPr>
            <w:r>
              <w:rPr>
                <w:sz w:val="20"/>
              </w:rPr>
              <w:t>(c) Share-for-Combined:</w:t>
            </w:r>
          </w:p>
        </w:tc>
        <w:tc>
          <w:tcPr>
            <w:tcW w:w="60" w:type="dxa"/>
            <w:tcBorders/>
            <w:vAlign w:val="center"/>
          </w:tcPr>
          <w:p>
            <w:pPr>
              <w:pStyle w:val="TableContents"/>
              <w:bidi w:val="0"/>
              <w:spacing w:before="0" w:after="283"/>
              <w:jc w:val="left"/>
              <w:rPr/>
            </w:pPr>
            <w:r>
              <w:rPr/>
              <w:t> </w:t>
            </w:r>
          </w:p>
        </w:tc>
        <w:tc>
          <w:tcPr>
            <w:tcW w:w="8701" w:type="dxa"/>
            <w:tcBorders/>
            <w:vAlign w:val="center"/>
          </w:tcPr>
          <w:p>
            <w:pPr>
              <w:pStyle w:val="TableContents"/>
              <w:bidi w:val="0"/>
              <w:spacing w:before="0" w:after="283"/>
              <w:jc w:val="left"/>
              <w:rPr>
                <w:sz w:val="20"/>
              </w:rPr>
            </w:pPr>
            <w:r>
              <w:rPr>
                <w:sz w:val="20"/>
              </w:rPr>
              <w:t>Modified Calculation Agent Adjustment</w:t>
            </w:r>
          </w:p>
        </w:tc>
      </w:tr>
      <w:tr>
        <w:trPr/>
        <w:tc>
          <w:tcPr>
            <w:tcW w:w="14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01" w:type="dxa"/>
            <w:tcBorders/>
            <w:vAlign w:val="center"/>
          </w:tcPr>
          <w:p>
            <w:pPr>
              <w:pStyle w:val="TableContents"/>
              <w:bidi w:val="0"/>
              <w:spacing w:before="0" w:after="283"/>
              <w:jc w:val="left"/>
              <w:rPr/>
            </w:pPr>
            <w:r>
              <w:rPr/>
              <w:t> </w:t>
            </w:r>
          </w:p>
        </w:tc>
      </w:tr>
      <w:tr>
        <w:trPr/>
        <w:tc>
          <w:tcPr>
            <w:tcW w:w="14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Announcement Events: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Calculation Agent Adjustment as set forth in Section 12.3(d) of the Equity Definitions; provided that, in respect of an Announcement Event, (x) references to “Tender Offer” shall be replaced by references to “Announcement Event” and references to “Tender Offer Date” shall be replaced by references to “date of such Announcement Event”, (y) the word “shall” in the second line shall be replaced with “may”, and (z) for the avoidance of doubt, the Calculation Agent may determine whether the relevant Announcement Event has had an economic effect on any Component (and, if so, adjust the terms of such Component accordingly) on one or more occasions on or after the date of the Announcement Event up to, and including, the Expiration Date, any Early Termination Date and/or any other date of cancellation thereof, it being understood that any adjustment in respect of an Announcement Event shall take into account any earlier adjustment relating to the same Announcement Event. An Announcement Event shall be an “Extraordinary Event” for purposes of the Equity Definitions, to which Article 12 of the Equity Definitions is applicable.</w:t>
            </w:r>
          </w:p>
        </w:tc>
      </w:tr>
      <w:tr>
        <w:trPr/>
        <w:tc>
          <w:tcPr>
            <w:tcW w:w="14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701" w:type="dxa"/>
            <w:tcBorders/>
            <w:vAlign w:val="center"/>
          </w:tcPr>
          <w:p>
            <w:pPr>
              <w:pStyle w:val="TableContents"/>
              <w:bidi w:val="0"/>
              <w:spacing w:before="0" w:after="283"/>
              <w:jc w:val="left"/>
              <w:rPr/>
            </w:pPr>
            <w:r>
              <w:rPr/>
              <w:t> </w:t>
            </w:r>
          </w:p>
        </w:tc>
      </w:tr>
      <w:tr>
        <w:trPr/>
        <w:tc>
          <w:tcPr>
            <w:tcW w:w="14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 Event: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public announcement by any entity of (x) any transaction or event that, if completed, would constitute a Merger Event or Tender Offer, (y) any potential acquisition or disposition by Issuer and/or its subsidiaries where the aggregate consideration paid and/or delivered exceeds 15% of the market capitalization of Issuer as of the date of such announcement (an “</w:t>
            </w:r>
            <w:r>
              <w:rPr>
                <w:rFonts w:ascii="Times New Roman;Times;Serif" w:hAnsi="Times New Roman;Times;Serif"/>
                <w:b/>
                <w:i w:val="false"/>
                <w:caps w:val="false"/>
                <w:smallCaps w:val="false"/>
                <w:sz w:val="20"/>
              </w:rPr>
              <w:t>Transformative Transaction</w:t>
            </w:r>
            <w:r>
              <w:rPr>
                <w:rFonts w:ascii="Times New Roman;Times;Serif" w:hAnsi="Times New Roman;Times;Serif"/>
                <w:b w:val="false"/>
                <w:i w:val="false"/>
                <w:caps w:val="false"/>
                <w:smallCaps w:val="false"/>
                <w:sz w:val="20"/>
              </w:rPr>
              <w:t xml:space="preserve">”) or (z) the intention to enter into a Merger Event or Tender Offer or an Transformative Transaction, (ii) the public announcement by Issuer of an intention to solicit or enter into, or to explore strategic </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4"/>
        <w:gridCol w:w="60"/>
        <w:gridCol w:w="9011"/>
      </w:tblGrid>
      <w:tr>
        <w:trPr/>
        <w:tc>
          <w:tcPr>
            <w:tcW w:w="11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alternatives or other similar undertaking that may include, a Merger Event or Tender Offer or an Transformative Transaction or (iii) any subsequent public announcement by any entity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the remainder of the definition of “Merger Event” in Section 12.1(b) of the Equity Definitions following the definition of “Reverse Merger” therein shall be disregarded.</w:t>
            </w:r>
          </w:p>
        </w:tc>
      </w:tr>
      <w:tr>
        <w:trPr/>
        <w:tc>
          <w:tcPr>
            <w:tcW w:w="113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11" w:type="dxa"/>
            <w:tcBorders/>
            <w:vAlign w:val="center"/>
          </w:tcPr>
          <w:p>
            <w:pPr>
              <w:pStyle w:val="TableContents"/>
              <w:bidi w:val="0"/>
              <w:spacing w:before="0" w:after="283"/>
              <w:jc w:val="left"/>
              <w:rPr/>
            </w:pPr>
            <w:r>
              <w:rPr/>
              <w:t> </w:t>
            </w:r>
          </w:p>
        </w:tc>
      </w:tr>
      <w:tr>
        <w:trPr/>
        <w:tc>
          <w:tcPr>
            <w:tcW w:w="1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Calculation Agent Adjustment: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respect of a Merger Event, the Counterparty under the Transaction following such Merger Event will not be the issuer of the New Shares, the Dealer may elect (in its sole discretion) for Cancellation and Payment (Calculation Agent Determination) to apply. In addition, if, in respect of any Merger Event to which Modified Calculation Agent Adjustment applies, the adjustments to be made in accordance with Section 12.2(e)(i) of the Equity Definitions would result in Counterparty being different from the issuer of the Shares, then with respect to such Merger Event, as a condition precedent to the adjustments contemplated in Section 12.2(e)(i) of the Equity Definitions, Counterparty and the issuer of the Shares shall, prior to the Merger Date, have entered into such documentation containing representations, warranties and agreements relating to securities law and other issues as requested by Dealer that Dealer has determined, in its reasonable discretion, to be reasonably necessary or appropriate to allow Dealer to continue as a party to the Transaction, as adjusted under Section 12.2(e)(i) of the Equity Definitions, and to preserve its hedging or hedge unwind activities in connection with the Transaction in a manner compliant with applicable legal, regulatory or self-regulatory requirements, or with related policies and procedures applicable to Dealer (whether or not such requirements or related policies and procedures are imposed by law or have been voluntarily adopted by Dealer), and if such conditions are not met or if the Calculation Agent determines that no adjustment that it could make under Section 12.2(e)(i) of the</w:t>
            </w:r>
          </w:p>
        </w:tc>
      </w:tr>
    </w:tbl>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0"/>
        <w:gridCol w:w="60"/>
        <w:gridCol w:w="7735"/>
      </w:tblGrid>
      <w:tr>
        <w:trPr/>
        <w:tc>
          <w:tcPr>
            <w:tcW w:w="2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Definitions will produce a commercially reasonable result, then the consequences set forth in Section 12.2(e)(ii) of the Equity Definitions shall apply.</w:t>
            </w:r>
          </w:p>
        </w:tc>
      </w:tr>
      <w:tr>
        <w:trPr/>
        <w:tc>
          <w:tcPr>
            <w:tcW w:w="2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735" w:type="dxa"/>
            <w:tcBorders/>
            <w:vAlign w:val="center"/>
          </w:tcPr>
          <w:p>
            <w:pPr>
              <w:pStyle w:val="TableContents"/>
              <w:bidi w:val="0"/>
              <w:spacing w:before="0" w:after="283"/>
              <w:jc w:val="left"/>
              <w:rPr/>
            </w:pPr>
            <w:r>
              <w:rPr/>
              <w:t> </w:t>
            </w:r>
          </w:p>
        </w:tc>
      </w:tr>
      <w:tr>
        <w:trPr/>
        <w:tc>
          <w:tcPr>
            <w:tcW w:w="2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of Combined Consideration: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Equity Definitions, if the composition of Combined Consideration in respect of any Share-for-Combined Merger Event could be determined by a holder of Shares, Dealer shall determine the composition of such Combined Consideration assumed for purposes of adjustments and deliveries hereunder in its sole discretion.</w:t>
            </w:r>
          </w:p>
        </w:tc>
      </w:tr>
      <w:tr>
        <w:trPr/>
        <w:tc>
          <w:tcPr>
            <w:tcW w:w="2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735" w:type="dxa"/>
            <w:tcBorders/>
            <w:vAlign w:val="center"/>
          </w:tcPr>
          <w:p>
            <w:pPr>
              <w:pStyle w:val="TableContents"/>
              <w:bidi w:val="0"/>
              <w:spacing w:before="0" w:after="283"/>
              <w:jc w:val="left"/>
              <w:rPr/>
            </w:pPr>
            <w:r>
              <w:rPr/>
              <w:t> </w:t>
            </w:r>
          </w:p>
        </w:tc>
      </w:tr>
      <w:tr>
        <w:trPr/>
        <w:tc>
          <w:tcPr>
            <w:tcW w:w="2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Nationalization, Insolvency or Delisting: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and Payment (Calculation Agent Determination); provided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r>
        <w:trPr/>
        <w:tc>
          <w:tcPr>
            <w:tcW w:w="2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735" w:type="dxa"/>
            <w:tcBorders/>
            <w:vAlign w:val="center"/>
          </w:tcPr>
          <w:p>
            <w:pPr>
              <w:pStyle w:val="TableContents"/>
              <w:bidi w:val="0"/>
              <w:spacing w:before="0" w:after="283"/>
              <w:jc w:val="left"/>
              <w:rPr/>
            </w:pPr>
            <w:r>
              <w:rPr/>
              <w:t> </w:t>
            </w:r>
          </w:p>
        </w:tc>
      </w:tr>
      <w:tr>
        <w:trPr/>
        <w:tc>
          <w:tcPr>
            <w:tcW w:w="2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Termination Event(s):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w:t>
            </w:r>
          </w:p>
        </w:tc>
      </w:tr>
      <w:tr>
        <w:trPr/>
        <w:tc>
          <w:tcPr>
            <w:tcW w:w="2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735" w:type="dxa"/>
            <w:tcBorders/>
            <w:vAlign w:val="center"/>
          </w:tcPr>
          <w:p>
            <w:pPr>
              <w:pStyle w:val="TableContents"/>
              <w:bidi w:val="0"/>
              <w:spacing w:before="0" w:after="283"/>
              <w:jc w:val="left"/>
              <w:rPr/>
            </w:pPr>
            <w:r>
              <w:rPr/>
              <w:t> </w:t>
            </w:r>
          </w:p>
        </w:tc>
      </w:tr>
      <w:tr>
        <w:trPr/>
        <w:tc>
          <w:tcPr>
            <w:tcW w:w="2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Disruption Events:</w:t>
            </w:r>
          </w:p>
        </w:tc>
        <w:tc>
          <w:tcPr>
            <w:tcW w:w="60" w:type="dxa"/>
            <w:tcBorders/>
            <w:vAlign w:val="center"/>
          </w:tcPr>
          <w:p>
            <w:pPr>
              <w:pStyle w:val="TableContents"/>
              <w:bidi w:val="0"/>
              <w:spacing w:before="0" w:after="283"/>
              <w:jc w:val="left"/>
              <w:rPr/>
            </w:pPr>
            <w:r>
              <w:rPr/>
              <w:t> </w:t>
            </w:r>
          </w:p>
        </w:tc>
        <w:tc>
          <w:tcPr>
            <w:tcW w:w="7735" w:type="dxa"/>
            <w:tcBorders/>
            <w:vAlign w:val="center"/>
          </w:tcPr>
          <w:p>
            <w:pPr>
              <w:pStyle w:val="TableContents"/>
              <w:bidi w:val="0"/>
              <w:spacing w:before="0" w:after="283"/>
              <w:jc w:val="left"/>
              <w:rPr/>
            </w:pPr>
            <w:r>
              <w:rPr/>
              <w:t> </w:t>
            </w:r>
          </w:p>
        </w:tc>
      </w:tr>
      <w:tr>
        <w:trPr/>
        <w:tc>
          <w:tcPr>
            <w:tcW w:w="2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735" w:type="dxa"/>
            <w:tcBorders/>
            <w:vAlign w:val="center"/>
          </w:tcPr>
          <w:p>
            <w:pPr>
              <w:pStyle w:val="TableContents"/>
              <w:bidi w:val="0"/>
              <w:spacing w:before="0" w:after="283"/>
              <w:jc w:val="left"/>
              <w:rPr/>
            </w:pPr>
            <w:r>
              <w:rPr/>
              <w:t> </w:t>
            </w:r>
          </w:p>
        </w:tc>
      </w:tr>
      <w:tr>
        <w:trPr/>
        <w:tc>
          <w:tcPr>
            <w:tcW w:w="2410" w:type="dxa"/>
            <w:tcBorders/>
            <w:vAlign w:val="center"/>
          </w:tcPr>
          <w:p>
            <w:pPr>
              <w:pStyle w:val="TableContents"/>
              <w:bidi w:val="0"/>
              <w:spacing w:before="0" w:after="283"/>
              <w:jc w:val="left"/>
              <w:rPr>
                <w:sz w:val="20"/>
              </w:rPr>
            </w:pPr>
            <w:r>
              <w:rPr>
                <w:sz w:val="20"/>
              </w:rPr>
              <w:t>(a) Change in Law:</w:t>
            </w:r>
          </w:p>
        </w:tc>
        <w:tc>
          <w:tcPr>
            <w:tcW w:w="60" w:type="dxa"/>
            <w:tcBorders/>
            <w:vAlign w:val="center"/>
          </w:tcPr>
          <w:p>
            <w:pPr>
              <w:pStyle w:val="TableContents"/>
              <w:bidi w:val="0"/>
              <w:spacing w:before="0" w:after="283"/>
              <w:jc w:val="left"/>
              <w:rPr/>
            </w:pPr>
            <w:r>
              <w:rPr/>
              <w:t> </w:t>
            </w:r>
          </w:p>
        </w:tc>
        <w:tc>
          <w:tcPr>
            <w:tcW w:w="7735" w:type="dxa"/>
            <w:tcBorders/>
            <w:vAlign w:val="center"/>
          </w:tcPr>
          <w:p>
            <w:pPr>
              <w:pStyle w:val="TableContents"/>
              <w:bidi w:val="0"/>
              <w:spacing w:before="0" w:after="283"/>
              <w:jc w:val="both"/>
              <w:rPr>
                <w:sz w:val="20"/>
              </w:rPr>
            </w:pPr>
            <w:r>
              <w:rPr>
                <w:sz w:val="20"/>
              </w:rPr>
              <w:t>Applicable; provided 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 and provided further that Section 12.9(a)(ii) of the Equity Definitions is hereby amended by (i) replacing the parenthetical beginning after the word “regulation” in the second line thereof with the phrase “(including, for the avoidance of doubt and without limitation, (x) any tax law or (y) adoption or</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44"/>
        <w:gridCol w:w="60"/>
        <w:gridCol w:w="250"/>
        <w:gridCol w:w="232"/>
        <w:gridCol w:w="8519"/>
      </w:tblGrid>
      <w:tr>
        <w:trPr/>
        <w:tc>
          <w:tcPr>
            <w:tcW w:w="1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both"/>
              <w:rPr>
                <w:sz w:val="20"/>
              </w:rPr>
            </w:pPr>
            <w:r>
              <w:rPr>
                <w:sz w:val="20"/>
              </w:rPr>
              <w:t>promulgation of new regulations authorized or mandated by existing statute)” and (ii) adding the words “, or holding, acquiring or disposing of Shares or any Hedge Positions relating to,” after the words “obligations under” in clause (Y) thereof.</w:t>
            </w:r>
          </w:p>
        </w:tc>
      </w:tr>
      <w:tr>
        <w:trPr/>
        <w:tc>
          <w:tcPr>
            <w:tcW w:w="11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pPr>
            <w:r>
              <w:rPr/>
              <w:t> </w:t>
            </w:r>
          </w:p>
        </w:tc>
      </w:tr>
      <w:tr>
        <w:trPr/>
        <w:tc>
          <w:tcPr>
            <w:tcW w:w="1144" w:type="dxa"/>
            <w:tcBorders/>
            <w:vAlign w:val="center"/>
          </w:tcPr>
          <w:p>
            <w:pPr>
              <w:pStyle w:val="TableContents"/>
              <w:bidi w:val="0"/>
              <w:spacing w:before="0" w:after="283"/>
              <w:jc w:val="left"/>
              <w:rPr>
                <w:sz w:val="20"/>
              </w:rPr>
            </w:pPr>
            <w:r>
              <w:rPr>
                <w:sz w:val="20"/>
              </w:rPr>
              <w:t>(b) Failure to Deliver:</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sz w:val="20"/>
              </w:rPr>
            </w:pPr>
            <w:r>
              <w:rPr>
                <w:sz w:val="20"/>
              </w:rPr>
              <w:t>Not Applicable</w:t>
            </w:r>
          </w:p>
        </w:tc>
      </w:tr>
      <w:tr>
        <w:trPr/>
        <w:tc>
          <w:tcPr>
            <w:tcW w:w="11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pPr>
            <w:r>
              <w:rPr/>
              <w:t> </w:t>
            </w:r>
          </w:p>
        </w:tc>
      </w:tr>
      <w:tr>
        <w:trPr/>
        <w:tc>
          <w:tcPr>
            <w:tcW w:w="1144" w:type="dxa"/>
            <w:tcBorders/>
            <w:vAlign w:val="center"/>
          </w:tcPr>
          <w:p>
            <w:pPr>
              <w:pStyle w:val="TableContents"/>
              <w:bidi w:val="0"/>
              <w:spacing w:before="0" w:after="283"/>
              <w:jc w:val="left"/>
              <w:rPr>
                <w:sz w:val="20"/>
              </w:rPr>
            </w:pPr>
            <w:r>
              <w:rPr>
                <w:sz w:val="20"/>
              </w:rPr>
              <w:t>(c) Insolvency Filing:</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sz w:val="20"/>
              </w:rPr>
            </w:pPr>
            <w:r>
              <w:rPr>
                <w:sz w:val="20"/>
              </w:rPr>
              <w:t>Applicable</w:t>
            </w:r>
          </w:p>
        </w:tc>
      </w:tr>
      <w:tr>
        <w:trPr/>
        <w:tc>
          <w:tcPr>
            <w:tcW w:w="11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pPr>
            <w:r>
              <w:rPr/>
              <w:t> </w:t>
            </w:r>
          </w:p>
        </w:tc>
      </w:tr>
      <w:tr>
        <w:trPr/>
        <w:tc>
          <w:tcPr>
            <w:tcW w:w="1144" w:type="dxa"/>
            <w:tcBorders/>
            <w:vAlign w:val="center"/>
          </w:tcPr>
          <w:p>
            <w:pPr>
              <w:pStyle w:val="TableContents"/>
              <w:bidi w:val="0"/>
              <w:spacing w:before="0" w:after="283"/>
              <w:jc w:val="left"/>
              <w:rPr>
                <w:sz w:val="20"/>
              </w:rPr>
            </w:pPr>
            <w:r>
              <w:rPr>
                <w:sz w:val="20"/>
              </w:rPr>
              <w:t>(d) Hedging Disruption:</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sz w:val="20"/>
              </w:rPr>
            </w:pPr>
            <w:r>
              <w:rPr>
                <w:sz w:val="20"/>
              </w:rPr>
              <w:t>Applicable; provided that:</w:t>
            </w:r>
          </w:p>
        </w:tc>
      </w:tr>
      <w:tr>
        <w:trPr/>
        <w:tc>
          <w:tcPr>
            <w:tcW w:w="11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pPr>
            <w:r>
              <w:rPr/>
              <w:t> </w:t>
            </w:r>
          </w:p>
        </w:tc>
      </w:tr>
      <w:tr>
        <w:trPr/>
        <w:tc>
          <w:tcPr>
            <w:tcW w:w="1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both"/>
              <w:rPr>
                <w:sz w:val="20"/>
              </w:rPr>
            </w:pPr>
            <w:r>
              <w:rPr>
                <w:sz w:val="20"/>
              </w:rPr>
              <w:t>(i)</w:t>
            </w:r>
          </w:p>
        </w:tc>
        <w:tc>
          <w:tcPr>
            <w:tcW w:w="8751" w:type="dxa"/>
            <w:gridSpan w:val="2"/>
            <w:tcBorders/>
            <w:vAlign w:val="center"/>
          </w:tcPr>
          <w:p>
            <w:pPr>
              <w:pStyle w:val="TableContents"/>
              <w:bidi w:val="0"/>
              <w:spacing w:before="0" w:after="283"/>
              <w:jc w:val="both"/>
              <w:rPr>
                <w:sz w:val="20"/>
              </w:rPr>
            </w:pPr>
            <w:r>
              <w:rPr>
                <w:sz w:val="20"/>
              </w:rPr>
              <w:t>Section 12.9(a)(v) of the Equity Definitions is hereby amended by</w:t>
            </w:r>
          </w:p>
        </w:tc>
      </w:tr>
      <w:tr>
        <w:trPr/>
        <w:tc>
          <w:tcPr>
            <w:tcW w:w="11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pPr>
            <w:r>
              <w:rPr/>
              <w:t> </w:t>
            </w:r>
          </w:p>
        </w:tc>
      </w:tr>
      <w:tr>
        <w:trPr/>
        <w:tc>
          <w:tcPr>
            <w:tcW w:w="1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both"/>
              <w:rPr/>
            </w:pPr>
            <w:r>
              <w:rPr/>
              <w:t> </w:t>
            </w:r>
          </w:p>
        </w:tc>
        <w:tc>
          <w:tcPr>
            <w:tcW w:w="232" w:type="dxa"/>
            <w:tcBorders/>
            <w:vAlign w:val="center"/>
          </w:tcPr>
          <w:p>
            <w:pPr>
              <w:pStyle w:val="TableContents"/>
              <w:bidi w:val="0"/>
              <w:spacing w:before="0" w:after="283"/>
              <w:jc w:val="left"/>
              <w:rPr>
                <w:sz w:val="20"/>
              </w:rPr>
            </w:pPr>
            <w:r>
              <w:rPr>
                <w:sz w:val="20"/>
              </w:rPr>
              <w:t>(a)</w:t>
            </w:r>
          </w:p>
        </w:tc>
        <w:tc>
          <w:tcPr>
            <w:tcW w:w="8519" w:type="dxa"/>
            <w:tcBorders/>
            <w:vAlign w:val="center"/>
          </w:tcPr>
          <w:p>
            <w:pPr>
              <w:pStyle w:val="TableContents"/>
              <w:bidi w:val="0"/>
              <w:spacing w:before="0" w:after="283"/>
              <w:jc w:val="both"/>
              <w:rPr>
                <w:sz w:val="20"/>
              </w:rPr>
            </w:pPr>
            <w:r>
              <w:rPr>
                <w:sz w:val="20"/>
              </w:rPr>
              <w:t>inserting the following words at the end of clause (A) thereof: “in the manner contemplated by the Hedging Party on the Trade Date” and</w:t>
            </w:r>
          </w:p>
        </w:tc>
      </w:tr>
      <w:tr>
        <w:trPr/>
        <w:tc>
          <w:tcPr>
            <w:tcW w:w="11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pPr>
            <w:r>
              <w:rPr/>
              <w:t> </w:t>
            </w:r>
          </w:p>
        </w:tc>
      </w:tr>
      <w:tr>
        <w:trPr/>
        <w:tc>
          <w:tcPr>
            <w:tcW w:w="1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both"/>
              <w:rPr/>
            </w:pPr>
            <w:r>
              <w:rPr/>
              <w:t> </w:t>
            </w:r>
          </w:p>
        </w:tc>
        <w:tc>
          <w:tcPr>
            <w:tcW w:w="232" w:type="dxa"/>
            <w:tcBorders/>
            <w:vAlign w:val="center"/>
          </w:tcPr>
          <w:p>
            <w:pPr>
              <w:pStyle w:val="TableContents"/>
              <w:bidi w:val="0"/>
              <w:spacing w:before="0" w:after="283"/>
              <w:jc w:val="both"/>
              <w:rPr>
                <w:sz w:val="20"/>
              </w:rPr>
            </w:pPr>
            <w:r>
              <w:rPr>
                <w:sz w:val="20"/>
              </w:rPr>
              <w:t>(b)</w:t>
            </w:r>
          </w:p>
        </w:tc>
        <w:tc>
          <w:tcPr>
            <w:tcW w:w="8519" w:type="dxa"/>
            <w:tcBorders/>
            <w:vAlign w:val="center"/>
          </w:tcPr>
          <w:p>
            <w:pPr>
              <w:pStyle w:val="TableContents"/>
              <w:bidi w:val="0"/>
              <w:spacing w:before="0" w:after="283"/>
              <w:jc w:val="both"/>
              <w:rPr>
                <w:sz w:val="20"/>
              </w:rPr>
            </w:pPr>
            <w:r>
              <w:rPr>
                <w:sz w:val="20"/>
              </w:rPr>
              <w:t>inserting the following paragraphs at the end of such Section:</w:t>
            </w:r>
          </w:p>
        </w:tc>
      </w:tr>
      <w:tr>
        <w:trPr/>
        <w:tc>
          <w:tcPr>
            <w:tcW w:w="11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pPr>
            <w:r>
              <w:rPr/>
              <w:t> </w:t>
            </w:r>
          </w:p>
        </w:tc>
      </w:tr>
      <w:tr>
        <w:trPr/>
        <w:tc>
          <w:tcPr>
            <w:tcW w:w="11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 w:type="dxa"/>
            <w:tcBorders/>
            <w:vAlign w:val="center"/>
          </w:tcPr>
          <w:p>
            <w:pPr>
              <w:pStyle w:val="TableContents"/>
              <w:bidi w:val="0"/>
              <w:spacing w:before="0" w:after="283"/>
              <w:jc w:val="both"/>
              <w:rPr>
                <w:caps w:val="false"/>
                <w:smallCaps w:val="false"/>
              </w:rPr>
            </w:pPr>
            <w:r>
              <w:rPr>
                <w:caps w:val="false"/>
                <w:smallCaps w:val="false"/>
              </w:rPr>
              <w:t> </w:t>
            </w:r>
          </w:p>
        </w:tc>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8519"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Such inability described in clauses (A) or (B) above shall not constitute a “Hedging Disruption” if such inability results from Hedging Party’s creditworthiness.</w:t>
            </w:r>
          </w:p>
        </w:tc>
      </w:tr>
      <w:tr>
        <w:trPr/>
        <w:tc>
          <w:tcPr>
            <w:tcW w:w="11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pPr>
            <w:r>
              <w:rPr/>
              <w:t> </w:t>
            </w:r>
          </w:p>
        </w:tc>
      </w:tr>
      <w:tr>
        <w:trPr/>
        <w:tc>
          <w:tcPr>
            <w:tcW w:w="11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 w:type="dxa"/>
            <w:tcBorders/>
            <w:vAlign w:val="center"/>
          </w:tcPr>
          <w:p>
            <w:pPr>
              <w:pStyle w:val="TableContents"/>
              <w:bidi w:val="0"/>
              <w:spacing w:before="0" w:after="283"/>
              <w:jc w:val="both"/>
              <w:rPr>
                <w:caps w:val="false"/>
                <w:smallCaps w:val="false"/>
              </w:rPr>
            </w:pPr>
            <w:r>
              <w:rPr>
                <w:caps w:val="false"/>
                <w:smallCaps w:val="false"/>
              </w:rPr>
              <w:t> </w:t>
            </w:r>
          </w:p>
        </w:tc>
        <w:tc>
          <w:tcPr>
            <w:tcW w:w="232" w:type="dxa"/>
            <w:tcBorders/>
            <w:vAlign w:val="center"/>
          </w:tcPr>
          <w:p>
            <w:pPr>
              <w:pStyle w:val="TableContents"/>
              <w:bidi w:val="0"/>
              <w:spacing w:before="0" w:after="283"/>
              <w:jc w:val="both"/>
              <w:rPr>
                <w:caps w:val="false"/>
                <w:smallCaps w:val="false"/>
              </w:rPr>
            </w:pPr>
            <w:r>
              <w:rPr>
                <w:caps w:val="false"/>
                <w:smallCaps w:val="false"/>
              </w:rPr>
              <w:t> </w:t>
            </w:r>
          </w:p>
        </w:tc>
        <w:tc>
          <w:tcPr>
            <w:tcW w:w="85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tc>
      </w:tr>
      <w:tr>
        <w:trPr/>
        <w:tc>
          <w:tcPr>
            <w:tcW w:w="11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pPr>
            <w:r>
              <w:rPr/>
              <w:t> </w:t>
            </w:r>
          </w:p>
        </w:tc>
      </w:tr>
      <w:tr>
        <w:trPr/>
        <w:tc>
          <w:tcPr>
            <w:tcW w:w="1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20"/>
              </w:rPr>
            </w:pPr>
            <w:r>
              <w:rPr>
                <w:sz w:val="20"/>
              </w:rPr>
              <w:t>(ii)</w:t>
            </w:r>
          </w:p>
        </w:tc>
        <w:tc>
          <w:tcPr>
            <w:tcW w:w="8751" w:type="dxa"/>
            <w:gridSpan w:val="2"/>
            <w:tcBorders/>
            <w:vAlign w:val="center"/>
          </w:tcPr>
          <w:p>
            <w:pPr>
              <w:pStyle w:val="TableContents"/>
              <w:bidi w:val="0"/>
              <w:spacing w:before="0" w:after="283"/>
              <w:jc w:val="both"/>
              <w:rPr>
                <w:sz w:val="20"/>
              </w:rPr>
            </w:pPr>
            <w:r>
              <w:rPr>
                <w:sz w:val="20"/>
              </w:rPr>
              <w:t>Section 12.9(b)(iii) of the Equity Definitions is hereby amended by inserting in the third line thereof, after the words “to terminate the Transaction”, the words “or a portion of the Transaction affected by such Hedging Disruption”.</w:t>
            </w:r>
          </w:p>
        </w:tc>
      </w:tr>
      <w:tr>
        <w:trPr/>
        <w:tc>
          <w:tcPr>
            <w:tcW w:w="11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pPr>
            <w:r>
              <w:rPr/>
              <w:t> </w:t>
            </w:r>
          </w:p>
        </w:tc>
      </w:tr>
      <w:tr>
        <w:trPr/>
        <w:tc>
          <w:tcPr>
            <w:tcW w:w="1144" w:type="dxa"/>
            <w:tcBorders/>
            <w:vAlign w:val="center"/>
          </w:tcPr>
          <w:p>
            <w:pPr>
              <w:pStyle w:val="TableContents"/>
              <w:bidi w:val="0"/>
              <w:spacing w:before="0" w:after="283"/>
              <w:jc w:val="left"/>
              <w:rPr>
                <w:sz w:val="20"/>
              </w:rPr>
            </w:pPr>
            <w:r>
              <w:rPr>
                <w:sz w:val="20"/>
              </w:rPr>
              <w:t>(e) Increased Cost of Hedging:</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both"/>
              <w:rPr>
                <w:sz w:val="20"/>
              </w:rPr>
            </w:pPr>
            <w:r>
              <w:rPr>
                <w:sz w:val="20"/>
              </w:rPr>
              <w:t xml:space="preserve">Applicable; </w:t>
            </w:r>
            <w:r>
              <w:rPr>
                <w:i/>
                <w:sz w:val="20"/>
              </w:rPr>
              <w:t>provided</w:t>
            </w:r>
            <w:r>
              <w:rPr>
                <w:sz w:val="20"/>
              </w:rPr>
              <w:t xml:space="preserve"> that (i) that such increased cost described in Section 12.9(vi) of the Equity Definitions shall not constitute an “Increased Cost of Hedging” if such increased cost results from Hedging Party’s creditworthiness, and (ii) the following parenthetical shall be inserted immediately following the word “expense” in the third line of Section 12.9(a)(vi) of the Equity Definitions: “(including, for the avoidance of doubt, the incurrence of any stock borrow expense in excess of Hedging Party’s expectation as of the Trade Date, other than to the extent resulting from an Increased Cost of Stock Borrow)”.</w:t>
            </w:r>
          </w:p>
        </w:tc>
      </w:tr>
      <w:tr>
        <w:trPr/>
        <w:tc>
          <w:tcPr>
            <w:tcW w:w="11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pPr>
            <w:r>
              <w:rPr/>
              <w:t> </w:t>
            </w:r>
          </w:p>
        </w:tc>
      </w:tr>
      <w:tr>
        <w:trPr/>
        <w:tc>
          <w:tcPr>
            <w:tcW w:w="1144" w:type="dxa"/>
            <w:tcBorders/>
            <w:vAlign w:val="center"/>
          </w:tcPr>
          <w:p>
            <w:pPr>
              <w:pStyle w:val="TableContents"/>
              <w:bidi w:val="0"/>
              <w:spacing w:before="0" w:after="283"/>
              <w:jc w:val="left"/>
              <w:rPr>
                <w:sz w:val="20"/>
              </w:rPr>
            </w:pPr>
            <w:r>
              <w:rPr>
                <w:sz w:val="20"/>
              </w:rPr>
              <w:t>(f) Loss of Stock Borrow:</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sz w:val="20"/>
              </w:rPr>
            </w:pPr>
            <w:r>
              <w:rPr>
                <w:sz w:val="20"/>
              </w:rPr>
              <w:t>Applicable</w:t>
            </w:r>
          </w:p>
        </w:tc>
      </w:tr>
      <w:tr>
        <w:trPr/>
        <w:tc>
          <w:tcPr>
            <w:tcW w:w="11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01" w:type="dxa"/>
            <w:gridSpan w:val="3"/>
            <w:tcBorders/>
            <w:vAlign w:val="center"/>
          </w:tcPr>
          <w:p>
            <w:pPr>
              <w:pStyle w:val="TableContents"/>
              <w:bidi w:val="0"/>
              <w:spacing w:before="0" w:after="283"/>
              <w:jc w:val="left"/>
              <w:rPr/>
            </w:pPr>
            <w:r>
              <w:rPr/>
              <w:t> </w:t>
            </w:r>
          </w:p>
        </w:tc>
      </w:tr>
    </w:tbl>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63"/>
        <w:gridCol w:w="60"/>
        <w:gridCol w:w="8282"/>
      </w:tblGrid>
      <w:tr>
        <w:trPr/>
        <w:tc>
          <w:tcPr>
            <w:tcW w:w="1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Stock Loan Rate: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 per annum</w:t>
            </w:r>
          </w:p>
        </w:tc>
      </w:tr>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sz w:val="20"/>
              </w:rPr>
            </w:pPr>
            <w:r>
              <w:rPr>
                <w:sz w:val="20"/>
              </w:rPr>
              <w:t>(g) Increased Cost of Stock Borrow:</w:t>
            </w:r>
          </w:p>
        </w:tc>
        <w:tc>
          <w:tcPr>
            <w:tcW w:w="60"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sz w:val="20"/>
              </w:rPr>
            </w:pPr>
            <w:r>
              <w:rPr>
                <w:sz w:val="20"/>
              </w:rPr>
              <w:t>Applicable</w:t>
            </w:r>
          </w:p>
        </w:tc>
      </w:tr>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Stock Loan Rate: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January 16, 2030, 0% per annum, and thereafter, 0.25 % per annum.</w:t>
            </w:r>
          </w:p>
        </w:tc>
      </w:tr>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Party: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for all applicable Additional Disruption Events.</w:t>
            </w:r>
          </w:p>
        </w:tc>
      </w:tr>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Party: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Dealer for all applicable Additional Disruption Events. All calculations and determinations by the Determining Party shall be made in good faith and in a commercially reasonable manner. Following any calculation by the Determining Party hereunder, upon written request by Counterparty, the Determining Party will, within five Exchange Business Days immediately following such request, provide to Counterparty a report (in a commonly used file format for the storage and manipulation of financial data) displaying in reasonable detail the basis for such calculation;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no event will the Determining Party be obligated to share with Counterparty any proprietary or confidential data or information or any proprietary or confidential models used by it.</w:t>
            </w:r>
          </w:p>
        </w:tc>
      </w:tr>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sz w:val="20"/>
              </w:rPr>
            </w:pPr>
            <w:r>
              <w:rPr>
                <w:sz w:val="20"/>
              </w:rPr>
              <w:t>Non-Reliance:</w:t>
            </w:r>
          </w:p>
        </w:tc>
        <w:tc>
          <w:tcPr>
            <w:tcW w:w="60"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sz w:val="20"/>
              </w:rPr>
            </w:pPr>
            <w:r>
              <w:rPr>
                <w:sz w:val="20"/>
              </w:rPr>
              <w:t>Applicable</w:t>
            </w:r>
          </w:p>
        </w:tc>
      </w:tr>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and Acknowledgments Regarding Hedging Activities: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Acknowledgments: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w:t>
            </w:r>
          </w:p>
        </w:tc>
      </w:tr>
      <w:tr>
        <w:trPr/>
        <w:tc>
          <w:tcPr>
            <w:tcW w:w="18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left"/>
              <w:rPr/>
            </w:pPr>
            <w:r>
              <w:rPr/>
              <w:t> </w:t>
            </w:r>
          </w:p>
        </w:tc>
      </w:tr>
      <w:tr>
        <w:trPr/>
        <w:tc>
          <w:tcPr>
            <w:tcW w:w="1863" w:type="dxa"/>
            <w:tcBorders/>
            <w:vAlign w:val="center"/>
          </w:tcPr>
          <w:p>
            <w:pPr>
              <w:pStyle w:val="TableContents"/>
              <w:bidi w:val="0"/>
              <w:spacing w:before="0" w:after="283"/>
              <w:jc w:val="left"/>
              <w:rPr>
                <w:sz w:val="20"/>
              </w:rPr>
            </w:pPr>
            <w:r>
              <w:rPr>
                <w:sz w:val="20"/>
              </w:rPr>
              <w:t xml:space="preserve">3. </w:t>
            </w:r>
            <w:r>
              <w:rPr>
                <w:sz w:val="20"/>
                <w:u w:val="single"/>
              </w:rPr>
              <w:t>Calculation Agent</w:t>
            </w:r>
            <w:r>
              <w:rPr>
                <w:sz w:val="20"/>
              </w:rPr>
              <w:t>:</w:t>
            </w:r>
          </w:p>
        </w:tc>
        <w:tc>
          <w:tcPr>
            <w:tcW w:w="60" w:type="dxa"/>
            <w:tcBorders/>
            <w:vAlign w:val="center"/>
          </w:tcPr>
          <w:p>
            <w:pPr>
              <w:pStyle w:val="TableContents"/>
              <w:bidi w:val="0"/>
              <w:spacing w:before="0" w:after="283"/>
              <w:jc w:val="left"/>
              <w:rPr/>
            </w:pPr>
            <w:r>
              <w:rPr/>
              <w:t> </w:t>
            </w:r>
          </w:p>
        </w:tc>
        <w:tc>
          <w:tcPr>
            <w:tcW w:w="8282" w:type="dxa"/>
            <w:tcBorders/>
            <w:vAlign w:val="center"/>
          </w:tcPr>
          <w:p>
            <w:pPr>
              <w:pStyle w:val="TableContents"/>
              <w:bidi w:val="0"/>
              <w:spacing w:before="0" w:after="283"/>
              <w:jc w:val="both"/>
              <w:rPr>
                <w:sz w:val="20"/>
              </w:rPr>
            </w:pPr>
            <w:r>
              <w:rPr>
                <w:sz w:val="20"/>
              </w:rPr>
              <w:t xml:space="preserve">Dealer; </w:t>
            </w:r>
            <w:r>
              <w:rPr>
                <w:i/>
                <w:sz w:val="20"/>
              </w:rPr>
              <w:t>provided</w:t>
            </w:r>
            <w:r>
              <w:rPr>
                <w:sz w:val="20"/>
              </w:rPr>
              <w:t xml:space="preserve"> that,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obligations of the Calculation Agent hereunder and such failure continues for five Exchange Business Days following notice to the Calculation Agent by Counterparty of such failure, Counterparty shall have the right to designate a nationally recognize third-party dealer in over-the-counter corporate equity derivatives to act, during the period commencing on the first date the Calculation Agent fails to timely make such calculation, adjustment or determination or to perform such obligation, as the case may be, and ending on the earlier of the Early Termination Date with respect to such Event of Default and the date on which such Event of Default is no longer continuing, as Calculation Agent.</w:t>
            </w:r>
          </w:p>
        </w:tc>
      </w:tr>
    </w:tbl>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any calculation by the Calculation Agent hereunder, upon written request by Counterparty, the Calculation Agent will, within five Exchange Business Days immediately following such request, provide to Counterparty by email to the email address provided by Counterparty in such written request a report (in a commonly used file format for the storage and manipulation of financial data) displaying in reasonable detail the basis for such calculation; provided that in no event will Dealer be obligated to share with Counterparty any proprietary or confidential data or information or any proprietary or confidential models used by it or any information that is subject to an obligation not to disclose such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Account Details</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Payment Instructions:</w:t>
      </w:r>
    </w:p>
    <w:p>
      <w:pPr>
        <w:pStyle w:val="TextBody"/>
        <w:bidi w:val="0"/>
        <w:spacing w:before="0" w:after="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1085"/>
        <w:gridCol w:w="3185"/>
      </w:tblGrid>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w:t>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JPMorgan Chase Bank, N.A.</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ABA#:</w:t>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021000021</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Acct No.:</w:t>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099997979</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Beneficiary: </w:t>
            </w:r>
          </w:p>
        </w:tc>
        <w:tc>
          <w:tcPr>
            <w:tcW w:w="3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JPMorgan Chase Bank, N.A. New York</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w:t>
            </w:r>
          </w:p>
        </w:tc>
        <w:tc>
          <w:tcPr>
            <w:tcW w:w="3185" w:type="dxa"/>
            <w:tcBorders/>
            <w:vAlign w:val="center"/>
          </w:tcPr>
          <w:p>
            <w:pPr>
              <w:pStyle w:val="TableContents"/>
              <w:bidi w:val="0"/>
              <w:spacing w:before="0" w:after="283"/>
              <w:jc w:val="left"/>
              <w:rPr/>
            </w:pPr>
            <w:r>
              <w:rPr/>
              <w:t> </w:t>
            </w:r>
            <w:r>
              <w:rPr>
                <w:rFonts w:ascii="Times New Roman;Times;Serif" w:hAnsi="Times New Roman;Times;Serif"/>
                <w:sz w:val="20"/>
              </w:rPr>
              <w:t>Derivatives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for delivery of Shares to Dealer: To be provided by Dealer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Payment Instructions: To be provided by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6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Dealer for the Transaction is: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National Association </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Branch</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 Madison Avenue</w:t>
      </w:r>
    </w:p>
    <w:p>
      <w:pPr>
        <w:pStyle w:val="TextBody"/>
        <w:bidi w:val="0"/>
        <w:spacing w:before="0" w:after="0"/>
        <w:ind w:left="144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Counterparty for the Transaction is: Inapplicable, Counterparty is not a Multibranch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For purposes of this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Address for notices or communications to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 Pioneer Trail</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MN 55347</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Kathy Hiebert,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Address for notices or communications to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National Association</w:t>
      </w:r>
    </w:p>
    <w:p>
      <w:pPr>
        <w:pStyle w:val="TextBody"/>
        <w:bidi w:val="0"/>
        <w:spacing w:before="0" w:after="0"/>
        <w:ind w:left="288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EDG Marketing Support</w:t>
      </w:r>
    </w:p>
    <w:tbl>
      <w:tblPr>
        <w:tblW w:w="3460" w:type="dxa"/>
        <w:jc w:val="left"/>
        <w:tblInd w:w="0" w:type="dxa"/>
        <w:tblLayout w:type="fixed"/>
        <w:tblCellMar>
          <w:top w:w="0" w:type="dxa"/>
          <w:left w:w="0" w:type="dxa"/>
          <w:bottom w:w="0" w:type="dxa"/>
          <w:right w:w="0" w:type="dxa"/>
        </w:tblCellMar>
      </w:tblPr>
      <w:tblGrid>
        <w:gridCol w:w="75"/>
        <w:gridCol w:w="635"/>
        <w:gridCol w:w="2750"/>
      </w:tblGrid>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Email:</w:t>
            </w:r>
          </w:p>
        </w:tc>
        <w:tc>
          <w:tcPr>
            <w:tcW w:w="2750" w:type="dxa"/>
            <w:tcBorders/>
            <w:vAlign w:val="center"/>
          </w:tcPr>
          <w:p>
            <w:pPr>
              <w:pStyle w:val="TableContents"/>
              <w:bidi w:val="0"/>
              <w:spacing w:before="0" w:after="283"/>
              <w:jc w:val="both"/>
              <w:rPr/>
            </w:pPr>
            <w:r>
              <w:rPr/>
              <w:t>edg_notices@jpmorgan.com</w:t>
            </w:r>
          </w:p>
        </w:tc>
      </w:tr>
    </w:tbl>
    <w:p>
      <w:pPr>
        <w:pStyle w:val="TextBody"/>
        <w:bidi w:val="0"/>
        <w:ind w:left="1440" w:right="0" w:firstLine="2160"/>
        <w:jc w:val="left"/>
        <w:rPr/>
      </w:pPr>
      <w:r>
        <w:rPr/>
        <w:t>edg.us.flow.corporates.mo@jpmorgan.com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Mr. Gaurav Maria</w:t>
      </w:r>
    </w:p>
    <w:p>
      <w:pPr>
        <w:pStyle w:val="TextBody"/>
        <w:bidi w:val="0"/>
        <w:spacing w:before="0" w:after="0"/>
        <w:ind w:left="2880" w:right="0" w:hanging="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p>
      <w:pPr>
        <w:pStyle w:val="TextBody"/>
        <w:bidi w:val="0"/>
        <w:ind w:left="0" w:right="0" w:firstLine="1440"/>
        <w:jc w:val="left"/>
        <w:rPr/>
      </w:pPr>
      <w:r>
        <w:rPr/>
        <w:t>Email: gaurav.x.maria@jpmorgan.com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Representations, Warranties and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Trade Date and as of the date of any Notice of Share Termination under (and as defined in) Section 8(b) below,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or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(or any successor issue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Prior to the Trade Date, Counterparty shall deliver to Dealer a resolution of Counterparty’s board of directors authorizing the Transaction and such other certificate or certificates as Dealer shall reasonably request. Based on such resolutions, neither Dealer nor any of its affiliates shall be subject to the restrictions under Section 302A.673 of the Minnesota Business Corporations Act as an “interested shareholder” of Counterparty by virtue of (A) its role as initial purchaser of, or market-maker in, any securities of Counterparty convertible into the Shares, (B) its entry into the Transaction and/or (C) any hedging transactions in Counterparty’s securities in connection with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Counterparty is not entering into this Confirmation to create actual or apparent trading activity in the Shares (or any security convertible into or exchangeable for Shares) or to raise or depress or otherwise manipulate the price of the Shares (or any security convertible into or exchangeable for Shares) or otherwise in violation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On the Trade Date and the Premium Payment Date (A) the assets of Counterparty at their fair valuation exceed the liabilities of Counterparty, including contingent liabilities, (B) the capital of Counterparty is adequate to conduct the business of Counterparty and (C) Counterparty has the ability to pay its debts and obligations as such debts mature and does not intend to, or does not believe that it will, incur debt beyond its ability to pay as such debts mature.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Counterparty shall not take any action to decrease the number of Available Shares below the Capped Number (each as defined below, but without giving effect to the limitation on adjustments to the Capped Number set forth in the proviso in the first sentence of Section ‎8(f)).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representations and warranties of Counterparty set forth in Section 3 of the Agreement and Section 1 of the Purchase Agreement dated as of the Trade Date between Goldman</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Sachs &amp; Co. LLC and BMO Capital Markets Corp. as the representatives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of the Initial Purchasers and Counterparty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are true and correct as of the Trade Date and the Effective Date and are hereby deemed to be repeated to Dealer as if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(x) (A) On the Trade Date, the Shares or securities that are convertible into, or exchangeable or exercisable for Shares, are not, and shall not be, subject to a “restricted period,” as such term is defined in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and (B) Counterparty shall not engage in any “distribution,” as such term is defined in Regulation M, other than a distribution meeting the requirements of the exceptions set forth in sections 101(b)(10) and 102(b)(7) of Regulation M, until the second Exchange Business Day immediately following the Trade Date, and (y)(A) during the period starting on the first Expiration Date and ending on the last Expiration Date (the “</w:t>
      </w:r>
      <w:r>
        <w:rPr>
          <w:rFonts w:ascii="Times New Roman;Times;Serif" w:hAnsi="Times New Roman;Times;Serif"/>
          <w:b/>
          <w:i w:val="false"/>
          <w:caps w:val="false"/>
          <w:smallCaps w:val="false"/>
          <w:sz w:val="20"/>
        </w:rPr>
        <w:t>Settlement Period</w:t>
      </w:r>
      <w:r>
        <w:rPr>
          <w:rFonts w:ascii="Times New Roman;Times;Serif" w:hAnsi="Times New Roman;Times;Serif"/>
          <w:b w:val="false"/>
          <w:i w:val="false"/>
          <w:caps w:val="false"/>
          <w:smallCaps w:val="false"/>
          <w:sz w:val="20"/>
        </w:rPr>
        <w:t>”), the Shares or securities that are convertible into, or exchangeable or exercisable for Shares, are not, and shall not be, subject to a “restricted period,” as defined in Regulation M and (B) Counterparty shall not engage in any “distribution,” as such term is defined in Regulation M until the second Exchange Business Day immediately following the Settlement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(x) On the Trade Date, (y) during the Settlement Period and (z) on any other Exercise Date, neither Counterparty nor any “affiliate” or “affiliated purchaser” (each as defined in Rule 10b-18 of the Exchange Act (“</w:t>
      </w:r>
      <w:r>
        <w:rPr>
          <w:rFonts w:ascii="Times New Roman;Times;Serif" w:hAnsi="Times New Roman;Times;Serif"/>
          <w:b/>
          <w:i w:val="false"/>
          <w:caps w:val="false"/>
          <w:smallCaps w:val="false"/>
          <w:sz w:val="20"/>
        </w:rPr>
        <w:t>Rule 10b-18</w:t>
      </w:r>
      <w:r>
        <w:rPr>
          <w:rFonts w:ascii="Times New Roman;Times;Serif" w:hAnsi="Times New Roman;Times;Serif"/>
          <w:b w:val="false"/>
          <w:i w:val="false"/>
          <w:caps w:val="false"/>
          <w:smallCaps w:val="false"/>
          <w:sz w:val="20"/>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Counterparty agrees that it (A) will not during the Settlement Period make, or permit to be made, any public announcement (as defined in Rule 165(f) under the Securities Act) of any Merger Transaction or potential Merger Transaction unless such public announcement is made prior to the opening or after the close of the regular trading session on the Exchange for the Shares; (B) shall promptly (but in any event prior to the next opening of the regular trading session on the Exchange) notify Dealer following any such announcement that such announcement has been made; and (C) shall promptly (but in any event prior to the next opening of the regular trading session on the Exchange) provide Dealer with written notice specifying (i) Counterparty’s average daily Rule 10b-18 Purchases (as defined in Rule 10b-18) during the three full calendar months immediately preceding the announcement date that were not effected through Dealer or its affiliates and (ii) the number of Shares purchased pursuant to the proviso in Rule 10b-18(b)(4) under the Exchange Act for the three full calendar months preceding the announcement date. Such written notice shall be deemed to be a certification by Counterparty to Dealer that such information is true and correct. In addition, Counterparty shall promptly notify Dealer of the earlier to occur of the completion of such transaction and the completion of the vote by target shareholders. “</w:t>
      </w:r>
      <w:r>
        <w:rPr>
          <w:rFonts w:ascii="Times New Roman;Times;Serif" w:hAnsi="Times New Roman;Times;Serif"/>
          <w:b/>
          <w:i w:val="false"/>
          <w:caps w:val="false"/>
          <w:smallCaps w:val="false"/>
          <w:sz w:val="20"/>
        </w:rPr>
        <w:t>Merger Transaction</w:t>
      </w:r>
      <w:r>
        <w:rPr>
          <w:rFonts w:ascii="Times New Roman;Times;Serif" w:hAnsi="Times New Roman;Times;Serif"/>
          <w:b w:val="false"/>
          <w:i w:val="false"/>
          <w:caps w:val="false"/>
          <w:smallCaps w:val="false"/>
          <w:sz w:val="20"/>
        </w:rPr>
        <w:t>” means any merger, acquisition or similar transaction involving a recapitalization as contemplated by Rule 10b-18(a)(13)(iv)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Any issuance of Shares upon exercise or termination of the Transaction has been, and throughout the Transaction will continue to be, duly authorized and, upon issuance, such Shares will be validly issued, fully paid and non-assessable, and the issuance or delivery thereof shall not be subject to any preemptive or similar rights and such Shares shall, upon issuance, be accepted for listing or quotation on the Exchange; (B) a number of Shares of Counterparty equal to the Capped Number have been reserved for issuance upon exercise or termination of the Warrants by all required corporate action of the Counterparty and (C) the Shares issuable upon exercise of the Warrants shall upon issuance be accepted for listing or quotation on the Exchange, subject to notice that the listing of the Shares issuable upon exercise or termination of the Warrants on the Exchange has been approved by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No state or local (including non-U.S. jurisdictions) law, rule, regulation or regulatory order applicable to the Shares would give rise to any reporting, consent, registration or</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requirement (including without limitation a requirement to obtain prior approval from any person or entity) as a result of Dealer or its affiliates owning, holding (however defined) or having a right to acquire Shares; provided however, that Counterparty makes no representation or warranty regarding any such requirement that is applicable generally to the ownership of equity securities by Dealer or any of its affiliates as a result of it or any such affiliates being financial institutions or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Counterparty (A) is capable of evaluating investment risks independently, both in general and with regard to all transactions and investment strategies involving a security or securities, including, without limitation, the transaction that is the subject of this confirmation and any transactions related hereto or contemplated hereby; (B) will exercise independent judgment in evaluating the recommendations of Dealer and its affiliates or associated persons with regard to any such securities transactions or strategies unless it has otherwise notified Dealer in writing; and (C) has total assets of at least $50 million. Counterparty will notify Dealer if the immediately preceding statement contained in this Section 7(a)(xiv) ceases to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Without limiting the generality of Section 3(a) of the Agreement, neither the execution and delivery of this Confirmation nor the incurrence or performance of obligations of Counterparty hereunder will conflict with or result in a breach of the certificate of incorporation or by-laws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August 26, 2023,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Dealer and Counterparty acknowledges that the offer and sale of the Transaction to it is intended to be exempt from registration under the Securities Act, by virtue of Section 4(a)(2) thereof. Accordingly, Dealer represents and warrants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Dealer and Counterparty agrees and acknowledges that Dealer is a “financial institution” and “financial participant” within the meaning of Sections 101(22) and 101(22A) of Title 11 of the United States Code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Counterparty shall deliver to Dealer (i) an incumbency certificate, dated as of the Trade Date, of Counterparty in customary form and (ii) an opinion of counsel, dated as of the Trade Date and reasonably acceptable to Dealer in form and substance, with respect to the matters set forth in Section 3(a) of the Agreement and Sections 7(a)(v), 7(a)(xii) and 7(a)(xv) of this Confirmation and such other matters as Dealer may reasonably request and (iii) evidence that the listing of the Shares issuable upon exercise or termination of the Warrants on the Exchange has been approved by the Exchange, subject only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 is acting as principal and is not a fiduciary or advisor in respect of any such transaction, including any entry, exercise, amendment, unwind or termination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Right to Extend</w:t>
      </w:r>
      <w:r>
        <w:rPr>
          <w:rFonts w:ascii="Times New Roman;Times;Serif" w:hAnsi="Times New Roman;Times;Serif"/>
          <w:b w:val="false"/>
          <w:i w:val="false"/>
          <w:caps w:val="false"/>
          <w:smallCaps w:val="false"/>
          <w:sz w:val="20"/>
        </w:rPr>
        <w:t>. Dealer may postpone or add, in whole or in part, any Expiration Date or Settlement Date or any other date of valuation or delivery by Counterparty, with respect to some or all of the relevant Warrants (in which event the Calculation Agent shall make appropriate adjustments to the relevant delivery obligation), if Dealer determines, in its commercially reasonable discretion, that such extension is reasonably necessary or appropriate to preserve Dealer’s commercially reasonable hedging or hedge unwind activity hereunder in light of existing liquidity conditions in the cash market, the stock borrow market or other relevant market or to enable Dealer to effect transactions with respect to Shares or Share Termination Delivery Units in connection with its commercially reasonable hedging, hedge unwind or settlement activity hereunder in a manner that would, if Dealer were Counterparty or an affiliated purchaser of Counterparty, be in compliance with applicable legal, regulatory or self-regulatory requirements, or with related policies and procedures (whether or not such requirements, policies or procedures are imposed by law or have been voluntarily adopted by Dealer, and in the case of policies or procedures, so long as such policies and procedures are consistently applied to transactions similar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Alternative Calculations and Payment on Early Termination and on Certain Extraordinary Events</w:t>
      </w:r>
      <w:r>
        <w:rPr>
          <w:rFonts w:ascii="Times New Roman;Times;Serif" w:hAnsi="Times New Roman;Times;Serif"/>
          <w:b w:val="false"/>
          <w:i w:val="false"/>
          <w:caps w:val="false"/>
          <w:smallCaps w:val="false"/>
          <w:sz w:val="20"/>
        </w:rPr>
        <w:t>. If Counterparty shall owe Dealer any amount pursuant to Section 6(d)(ii) of the Agreement (a “</w:t>
      </w:r>
      <w:r>
        <w:rPr>
          <w:rFonts w:ascii="Times New Roman;Times;Serif" w:hAnsi="Times New Roman;Times;Serif"/>
          <w:b/>
          <w:i w:val="false"/>
          <w:caps w:val="false"/>
          <w:smallCaps w:val="false"/>
          <w:sz w:val="20"/>
        </w:rPr>
        <w:t>Payment Obligation</w:t>
      </w:r>
      <w:r>
        <w:rPr>
          <w:rFonts w:ascii="Times New Roman;Times;Serif" w:hAnsi="Times New Roman;Times;Serif"/>
          <w:b w:val="false"/>
          <w:i w:val="false"/>
          <w:caps w:val="false"/>
          <w:smallCaps w:val="false"/>
          <w:sz w:val="20"/>
        </w:rPr>
        <w:t>”), Counterparty shall have the right, in its sole discretion, to satisfy any such Payment Obligation by the Share Termination Alternative (as defined below) by giving irrevocable telephonic notice to Dealer, confirmed in writing within one Scheduled Trading Day (which written confirmation shall contain the representation and warranty set forth in Section 7(a)(i)), no later than 9:30 A.M., New York City time, on the Merger Date, Tender Offer Date, Announcement Date, Early Termination Date or date of cancellation or termination in respect of an Extraordinary Event, as applicable (“</w:t>
      </w:r>
      <w:r>
        <w:rPr>
          <w:rFonts w:ascii="Times New Roman;Times;Serif" w:hAnsi="Times New Roman;Times;Serif"/>
          <w:b/>
          <w:i w:val="false"/>
          <w:caps w:val="false"/>
          <w:smallCaps w:val="false"/>
          <w:sz w:val="20"/>
        </w:rPr>
        <w:t>Notice of Share Termination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Counterparty does not elect to satisfy its Payment Obligation by the Share Termination Alternative, Dealer shall have the right, in its sole discretion, to elect to require Counterparty to satisfy its Payment Obligation by the Share Termination Alternative, notwithstanding Counterparty’s failure to elect or election to the contrary;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Counterparty shall not have the right to so elect (but, for the avoidance of doubt, Dealer shall have the right to so elect) in the event of (i) an Insolvency, a Nationalization or a Merger Event, in each case, in which the consideration or proceeds to be paid to holders of Shares consists solely of cash or (ii) an Event of Default in which Counterparty is the Defaulting Party or a Termination Event in which Counterparty is the Affected Party or an Extraordinary Event, which Event of Default, Termination Event or Extraordinary Event resulted from an event or events within Counterparty’s control. Upon such Notice of Share Termination, the following provisions shall apply on the Scheduled Trading Day immediately following the Merger Date, the Tender Offer Date, Announcement Date, Early Termination Date or date of cancellation or termination in respect of an Extraordinary Event, as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9"/>
        <w:gridCol w:w="60"/>
        <w:gridCol w:w="8676"/>
      </w:tblGrid>
      <w:tr>
        <w:trPr/>
        <w:tc>
          <w:tcPr>
            <w:tcW w:w="14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Termination Alternative: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means that Counterparty shall deliver to Dealer the Share Termination Delivery Property on the date on which the Payment Obligation would otherwise be due pursuant to Section 6(d)(ii) of the Agreement, or such later date or dates as the Calculation Agent may reasonably determine (the “</w:t>
            </w:r>
            <w:r>
              <w:rPr>
                <w:rFonts w:ascii="Times New Roman;Times;Serif" w:hAnsi="Times New Roman;Times;Serif"/>
                <w:b/>
                <w:i w:val="false"/>
                <w:caps w:val="false"/>
                <w:smallCaps w:val="false"/>
                <w:sz w:val="20"/>
              </w:rPr>
              <w:t>Share Termination Payment Date</w:t>
            </w:r>
            <w:r>
              <w:rPr>
                <w:rFonts w:ascii="Times New Roman;Times;Serif" w:hAnsi="Times New Roman;Times;Serif"/>
                <w:b w:val="false"/>
                <w:i w:val="false"/>
                <w:caps w:val="false"/>
                <w:smallCaps w:val="false"/>
                <w:sz w:val="20"/>
              </w:rPr>
              <w:t>”), in</w:t>
            </w:r>
          </w:p>
        </w:tc>
      </w:tr>
    </w:tbl>
    <w:p>
      <w:pPr>
        <w:pStyle w:val="TextBody"/>
        <w:bidi w:val="0"/>
        <w:spacing w:before="0" w:after="0"/>
        <w:ind w:left="2880" w:right="0" w:hanging="28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2880" w:right="0" w:hanging="28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7"/>
        <w:gridCol w:w="60"/>
        <w:gridCol w:w="8938"/>
      </w:tblGrid>
      <w:tr>
        <w:trPr/>
        <w:tc>
          <w:tcPr>
            <w:tcW w:w="1207" w:type="dxa"/>
            <w:tcBorders/>
            <w:vAlign w:val="center"/>
          </w:tcPr>
          <w:p>
            <w:pPr>
              <w:pStyle w:val="TableContents"/>
              <w:bidi w:val="0"/>
              <w:spacing w:before="0" w:after="283"/>
              <w:ind w:left="0" w:right="0" w:hanging="28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8" w:type="dxa"/>
            <w:tcBorders/>
            <w:vAlign w:val="center"/>
          </w:tcPr>
          <w:p>
            <w:pPr>
              <w:pStyle w:val="TableContents"/>
              <w:bidi w:val="0"/>
              <w:spacing w:before="0" w:after="283"/>
              <w:ind w:left="0" w:right="0" w:hanging="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satisfaction of the Payment Obligation.</w:t>
            </w:r>
          </w:p>
        </w:tc>
      </w:tr>
      <w:tr>
        <w:trPr/>
        <w:tc>
          <w:tcPr>
            <w:tcW w:w="12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ind w:left="0" w:right="0" w:hanging="2880"/>
              <w:jc w:val="left"/>
              <w:rPr/>
            </w:pPr>
            <w:r>
              <w:rPr/>
              <w:t> </w:t>
            </w:r>
          </w:p>
        </w:tc>
      </w:tr>
      <w:tr>
        <w:trPr/>
        <w:tc>
          <w:tcPr>
            <w:tcW w:w="1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Termination Delivery Property: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the aggregate amount of a security therein with an amount of cash in the Settlement Currency equal to the value of such fractional security based on the values used to calculate the Share Termination Unit Price.</w:t>
            </w:r>
          </w:p>
        </w:tc>
      </w:tr>
      <w:tr>
        <w:trPr/>
        <w:tc>
          <w:tcPr>
            <w:tcW w:w="12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ind w:left="0" w:right="0" w:hanging="2880"/>
              <w:jc w:val="left"/>
              <w:rPr/>
            </w:pPr>
            <w:r>
              <w:rPr/>
              <w:t> </w:t>
            </w:r>
          </w:p>
        </w:tc>
      </w:tr>
      <w:tr>
        <w:trPr/>
        <w:tc>
          <w:tcPr>
            <w:tcW w:w="1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Termination Unit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property contained in one Share Termination Delivery Unit on the date such Share Termination Delivery Units are to be delivered as Share Termination Delivery Property, as determined by the Calculation Agent and notified by the Calculation Agent to Counterparty at the time of notification of the Payment Obligation.</w:t>
            </w:r>
          </w:p>
        </w:tc>
      </w:tr>
      <w:tr>
        <w:trPr/>
        <w:tc>
          <w:tcPr>
            <w:tcW w:w="12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ind w:left="0" w:right="0" w:hanging="2880"/>
              <w:jc w:val="left"/>
              <w:rPr/>
            </w:pPr>
            <w:r>
              <w:rPr/>
              <w:t> </w:t>
            </w:r>
          </w:p>
        </w:tc>
      </w:tr>
      <w:tr>
        <w:trPr/>
        <w:tc>
          <w:tcPr>
            <w:tcW w:w="1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Termination Delivery Unit: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the maximum possible amount of cash.</w:t>
            </w:r>
          </w:p>
        </w:tc>
      </w:tr>
      <w:tr>
        <w:trPr/>
        <w:tc>
          <w:tcPr>
            <w:tcW w:w="12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ind w:left="0" w:right="0" w:hanging="2880"/>
              <w:jc w:val="left"/>
              <w:rPr/>
            </w:pPr>
            <w:r>
              <w:rPr/>
              <w:t> </w:t>
            </w:r>
          </w:p>
        </w:tc>
      </w:tr>
      <w:tr>
        <w:trPr/>
        <w:tc>
          <w:tcPr>
            <w:tcW w:w="1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Deliver: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120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ind w:left="0" w:right="0" w:hanging="2880"/>
              <w:jc w:val="left"/>
              <w:rPr/>
            </w:pPr>
            <w:r>
              <w:rPr/>
              <w:t> </w:t>
            </w:r>
          </w:p>
        </w:tc>
      </w:tr>
      <w:tr>
        <w:trPr/>
        <w:tc>
          <w:tcPr>
            <w:tcW w:w="1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Applicable Provisions: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Share Termination Alternative is applicable, the provisions of Sections 9.1(c), 9.8, 9.9, 9.11 and 9.12 of the Equity Definitions will be applicable as if “Physical Settlement” applied to the Transaction, except that all references to “Shares” shall be read as references to “Share Termination Delivery Units”;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security forming a part thereof). If, in the reasonable opinion of Dealer, based on advice of counsel, for any reason, any securities comprising the Share Termination Delivery Units deliverable pursuant to this Section 8(b) would not be immediately freely transferable by Dealer under Rule 144 under the Securities Act, then Dealer may elect to either (x) permit delivery of such securities notwithstanding any restriction on transfer or (y) have the provisions set forth in Section 8(c) below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Registration/Private Placement Procedures</w:t>
      </w:r>
      <w:r>
        <w:rPr>
          <w:rFonts w:ascii="Times New Roman;Times;Serif" w:hAnsi="Times New Roman;Times;Serif"/>
          <w:b w:val="false"/>
          <w:i w:val="false"/>
          <w:caps w:val="false"/>
          <w:smallCaps w:val="false"/>
          <w:sz w:val="20"/>
        </w:rPr>
        <w:t>. (i) With respect to the Transaction, the following provisions shall apply to the extent provided for above opposite the caption “Net Share Settlement” in Section 2 or in paragraph (b) of this Section 8. If so applicable, then, at the election of Counterparty by notice to Dealer within one Exchange Business Day after the relevant delivery obligation arises, but in any event at least one Exchange Business Day prior to the date on which such delivery obligation is due, either (A) all Shares or Share Termination Delivery Units, as the case may be, delivered by Counterparty to Dealer shall be, at the time of such delivery, covered by an effective registration statement of Counterparty for immediate resale by Dealer (such registration statement and the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corresponding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(including, without limitation, any sections describing the plan of distribution) in form and content commercially reasonably satisfactory to Dealer) or (B) Counterparty shall deliver additional Shares or Share Termination Delivery Units, as the case may be, so that the value of such Shares or Share Termination Delivery Units, as determined by the Calculation Agent to reflect a commercially reasonable liquidity discount, equals the value of the number of Shares or Share Termination Delivery Units that would otherwise be deliverable if such Shares or Share Termination Delivery Units were freely tradeable (without prospectus delivery) upon receipt by Dealer (such value, the “</w:t>
      </w:r>
      <w:r>
        <w:rPr>
          <w:rFonts w:ascii="Times New Roman;Times;Serif" w:hAnsi="Times New Roman;Times;Serif"/>
          <w:b/>
          <w:i w:val="false"/>
          <w:caps w:val="false"/>
          <w:smallCaps w:val="false"/>
          <w:sz w:val="20"/>
        </w:rPr>
        <w:t>Freely Tradeable Value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requested by Dealer, Counterparty shall make the election described in this clause (B) with respect to Shares delivered on all Settlement Dates no later than one Exchange Business Day prior to the first Exercise Date, and the applicable procedures described below shall apply to all Shares delivered on the Settlement Dates on an aggregate basis. (For the avoidance of doubt, as used in this paragraph (c) only, the term “Counterparty” shall mean the issuer of the relevant securities, as the context shall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shall be a condition to Counterparty’s right to make the election described in clause (c)(i)(A)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an affiliate of Dealer designated by Dealer) shall be afforded a reasonable opportunity to conduct a due diligence investigation with respect to Counterparty that is customary in scope for underwritten offerings of equity securities and that yields results that are satisfactory to Dealer or such affiliate, as the case may be, in its discretion;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Dealer (or an affiliate of Dealer designated by Dealer) and Counterparty shall enter into an agreement (a “</w:t>
      </w:r>
      <w:r>
        <w:rPr>
          <w:rFonts w:ascii="Times New Roman;Times;Serif" w:hAnsi="Times New Roman;Times;Serif"/>
          <w:b/>
          <w:i w:val="false"/>
          <w:caps w:val="false"/>
          <w:smallCaps w:val="false"/>
          <w:sz w:val="20"/>
        </w:rPr>
        <w:t>Registration Agreement</w:t>
      </w:r>
      <w:r>
        <w:rPr>
          <w:rFonts w:ascii="Times New Roman;Times;Serif" w:hAnsi="Times New Roman;Times;Serif"/>
          <w:b w:val="false"/>
          <w:i w:val="false"/>
          <w:caps w:val="false"/>
          <w:smallCaps w:val="false"/>
          <w:sz w:val="20"/>
        </w:rPr>
        <w:t>”) on commercially reasonable terms in connection with the public resale of such Shares or Share Termination Delivery Units, as the case may be, by Dealer or such affiliate substantially similar to underwriting agreements customary for underwritten offerings of equity securities, in form and substance commercially reasonably satisfactory to Dealer or such affiliate and Counterparty, which Registration Agreement shall include, without limitation, provisions substantially similar to those contained in such underwriting agreements relating to the indemnification of, and contribution in connection with the liability of, Dealer and its affiliates and Counterparty, shall provide for the payment by Counterparty of all expenses in connection with such resale, including all registration costs and all fees and expenses of counsel for Dealer, and shall provide for the delivery of accountants’ “comfort letters” to Dealer or such affiliate with respect to the financial statements and certain financial information contained in or incorporated by reference into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Counterparty makes the election described in clause (c)(i)(B)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(or an affiliate of Dealer designated by Dealer) and any potential institutional purchaser of any such Shares or Share Termination Delivery Units, as the case may be, from Dealer or such affiliate identified by Dealer shall be afforded a commercially reasonable opportunity to conduct a due diligence investigation in compliance with applicable law with respect to Counterparty customary in scope for private placements of equity securities (including, without limitation, the right to have made available to them for inspection all financial and other records, pertinent corporate documents and other information reasonably requested by them), subject to execution by such recipients of customary confidentiality agreements reasonably acceptable to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Dealer (or an affiliate of Dealer designated by Dealer) and Counterparty shall enter into an agreement (a “</w:t>
      </w:r>
      <w:r>
        <w:rPr>
          <w:rFonts w:ascii="Times New Roman;Times;Serif" w:hAnsi="Times New Roman;Times;Serif"/>
          <w:b/>
          <w:i w:val="false"/>
          <w:caps w:val="false"/>
          <w:smallCaps w:val="false"/>
          <w:sz w:val="20"/>
        </w:rPr>
        <w:t>Private Placement Agreement</w:t>
      </w:r>
      <w:r>
        <w:rPr>
          <w:rFonts w:ascii="Times New Roman;Times;Serif" w:hAnsi="Times New Roman;Times;Serif"/>
          <w:b w:val="false"/>
          <w:i w:val="false"/>
          <w:caps w:val="false"/>
          <w:smallCaps w:val="false"/>
          <w:sz w:val="20"/>
        </w:rPr>
        <w:t>”) on commercially reasonable terms in connection with the private placement of such Shares or Share Termination Delivery Units, as the case may be, by Counterparty to Dealer or such affiliate and the private resale of such shares by Dealer or such affiliate, substantially similar to private placement purchase agreements customary for private placements of equity securities, in form and substance commercially reasonably satisfactory to Dealer and Counterparty, which Private Placement Agreement shall include, without limitation, provisions substantially similar to those contained in such private placement purchase agreements relating to the indemnification of, and contribution in connection with the liability of, Dealer and its affiliates and Counterparty, shall provide for the payment by Counterparty of all expenses in connection with such resale, including all fees and expenses of</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counsel for Dealer, shall contain representations, warranties and agreements of Counterparty reasonably necessary or advisable to establish and maintain the availability of an exemption from the registration requirements of the Securities Act for such resales, and shall use best efforts to provide for the delivery of accountants’ “comfort letters” to Dealer or such affiliate with respect to the financial statements and certain financial information contained in or incorporated by reference into the offering memorandum prepared for the resale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Counterparty agrees that (i) any Shares or Share Termination Delivery Units so delivered to Dealer may be transferred by and among Dealer and its affiliates, and Counterparty shall effect such transfer without any further action by Dealer and (ii) after the minimum “holding period” within the meaning of Rule 144(d) under the Securities Act has elapsed with respect to such Shares or any securities issued by Counterparty comprising such Share Termination Delivery Units, Counterparty shall promptly remove, or cause the transfer agent for such Shares or securities to remove, any legends referring to any such restrictions or requirements from such Shares or securities, without any further requirement for the delivery of any certificate, consent, agreement, opinion of counsel, notice or any other document, any transfer tax stamps or payment of any other amount or any other action by Dealer (or such affiliate of Dealer);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Counterparty shall not take, or cause to be taken, any action that would make unavailable either the exemption pursuant to Section 4(a)(2) of the Securities Act for the sale by Counterparty to Dealer (or any affiliate designated by Dealer) of the Shares or Share Termination Delivery Units, as the case may be, or the exemption pursuant to Section 4(a)(1) or Section 4(a)(3) of the Securities Act for resales of the Shares or Share Termination Delivery Units, as the case may be, by Dealer (or any such affiliate of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If Counterparty makes the election described in clause (i)(B) of paragraph (c) of this Section 8, then Dealer or its affiliates may sell (which sale shall be made in a commercially reasonable manner) such Shares or Share Termination Delivery Units, as the case may be, during a period (the “</w:t>
      </w:r>
      <w:r>
        <w:rPr>
          <w:rFonts w:ascii="Times New Roman;Times;Serif" w:hAnsi="Times New Roman;Times;Serif"/>
          <w:b/>
          <w:i w:val="false"/>
          <w:caps w:val="false"/>
          <w:smallCaps w:val="false"/>
          <w:sz w:val="20"/>
        </w:rPr>
        <w:t>Resale Period</w:t>
      </w:r>
      <w:r>
        <w:rPr>
          <w:rFonts w:ascii="Times New Roman;Times;Serif" w:hAnsi="Times New Roman;Times;Serif"/>
          <w:b w:val="false"/>
          <w:i w:val="false"/>
          <w:caps w:val="false"/>
          <w:smallCaps w:val="false"/>
          <w:sz w:val="20"/>
        </w:rPr>
        <w:t>”) commencing on the Exchange Business Day following delivery of such Shares or Share Termination Delivery Units, as the case may be, and ending on the Exchange Business Day on which Dealer or its affiliates completes the sale of a sufficient number of Shares or Share Termination Delivery Units, as the case may be, so that the realized net proceeds of such sales exceed the Freely Tradeable Value. If any of such delivered Shares or Share Termination Delivery Units remain after such realized net proceeds exceed the Freely Tradeable Value, Dealer shall return such remaining Shares or Share Termination Delivery Units to Counterparty. If the Freely Tradeable Value exceeds the realized net proceeds from such resale, Counterparty shall transfer to Dealer by the open of the regular trading session on the Exchange on the Exchange Trading Day immediately following the final day of the Resale Period (without giving effect to any extension thereof pursuant to the immediately succeeding sentence), the amount of such excess (the “</w:t>
      </w:r>
      <w:r>
        <w:rPr>
          <w:rFonts w:ascii="Times New Roman;Times;Serif" w:hAnsi="Times New Roman;Times;Serif"/>
          <w:b/>
          <w:i w:val="false"/>
          <w:caps w:val="false"/>
          <w:smallCaps w:val="false"/>
          <w:sz w:val="20"/>
        </w:rPr>
        <w:t>Additional Amount</w:t>
      </w:r>
      <w:r>
        <w:rPr>
          <w:rFonts w:ascii="Times New Roman;Times;Serif" w:hAnsi="Times New Roman;Times;Serif"/>
          <w:b w:val="false"/>
          <w:i w:val="false"/>
          <w:caps w:val="false"/>
          <w:smallCaps w:val="false"/>
          <w:sz w:val="20"/>
        </w:rPr>
        <w:t>”) in cash or in a number of additional Shares or Share Termination Delivery Units, as the case may be, (“</w:t>
      </w:r>
      <w:r>
        <w:rPr>
          <w:rFonts w:ascii="Times New Roman;Times;Serif" w:hAnsi="Times New Roman;Times;Serif"/>
          <w:b/>
          <w:i w:val="false"/>
          <w:caps w:val="false"/>
          <w:smallCaps w:val="false"/>
          <w:sz w:val="20"/>
        </w:rPr>
        <w:t>Make-whole Shares</w:t>
      </w:r>
      <w:r>
        <w:rPr>
          <w:rFonts w:ascii="Times New Roman;Times;Serif" w:hAnsi="Times New Roman;Times;Serif"/>
          <w:b w:val="false"/>
          <w:i w:val="false"/>
          <w:caps w:val="false"/>
          <w:smallCaps w:val="false"/>
          <w:sz w:val="20"/>
        </w:rPr>
        <w:t>”) in an amount that, based on the Relevant Price on such final day of the Resale Period (as if such day was the “Valuation Date” for purposes of computing such Relevant Price), has a dollar value equal to the Additional Amount. The Resale Period shall continue to enable the sale of the Make-whole Shares in the manner contemplated by this Section 8(d). This provision shall be applied successively until the Additional Amount is equal to zero, subject to Section 8(f).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Beneficial Ownership</w:t>
      </w:r>
      <w:r>
        <w:rPr>
          <w:rFonts w:ascii="Times New Roman;Times;Serif" w:hAnsi="Times New Roman;Times;Serif"/>
          <w:b w:val="false"/>
          <w:i w:val="false"/>
          <w:caps w:val="false"/>
          <w:smallCaps w:val="false"/>
          <w:sz w:val="20"/>
        </w:rPr>
        <w:t>. Notwithstanding anything to the contrary in the Agreement or this Confirmation, in no event shall Dealer be entitled to receive, or shall be deemed to receive, any Shares if, immediately upon giving effect to such receipt of such Shares (and after taking into account any Shares deliverable by Counterparty to Dealer at such time under any transaction or security other than the Transaction), (i) the “beneficial ownership” (within the meaning of Section 13 of the Exchange Act and the rules promulgated thereunder) of Shares by Dealer, any of its affiliates subject to aggregation with Dealer for purposes of the “beneficial ownership” test under Section 13 of the Exchange Act and all persons who may form a “group” (within the meaning of Rule 13d-5(b)(1) under the Exchange Act) with Dealer with respect to “beneficial ownership” of any Shares (collectively, “</w:t>
      </w:r>
      <w:r>
        <w:rPr>
          <w:rFonts w:ascii="Times New Roman;Times;Serif" w:hAnsi="Times New Roman;Times;Serif"/>
          <w:b/>
          <w:i w:val="false"/>
          <w:caps w:val="false"/>
          <w:smallCaps w:val="false"/>
          <w:sz w:val="20"/>
        </w:rPr>
        <w:t>Dealer Group</w:t>
      </w:r>
      <w:r>
        <w:rPr>
          <w:rFonts w:ascii="Times New Roman;Times;Serif" w:hAnsi="Times New Roman;Times;Serif"/>
          <w:b w:val="false"/>
          <w:i w:val="false"/>
          <w:caps w:val="false"/>
          <w:smallCaps w:val="false"/>
          <w:sz w:val="20"/>
        </w:rPr>
        <w:t>”) (or, to the extent that for any reason the equivalent calculation under Section 16 of the Exchange Act and the rules and regulations thereunder results in a higher number, such higher number) would be equal to or greater than 8.0% or more of the outstanding Shares on the date of determination or (ii) Dealer, Dealer Group or any person whose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position would be aggregated with that of Dealer or Dealer Group (Dealer, Dealer Group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the Minnesota Business Corporations or other federal, state or local law, rule, regulation or regulatory order or organizational documents or contracts of Counterparty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xml:space="preserve">”), would own, beneficially own, constructively own, control, hold the power to vote or otherwise meet a relevant definition of ownership in excess of a number of Shares equal to (x) the number of Shares that would give rise to reporting or registration obligations or other requirements (including obtaining prior approval by a state or federal regulator) of a Dealer Person under Applicable Restrictions and with respect to which such requirements have not been met or the relevant approval has not been received or that would subject a Dealer Person to restrictions (including restrictions relating to business combinations or other designated transactions) or have any other adverse effect on a Dealer Person under Applicable Restrictions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1.0% of the number of Shares outstanding on the date of determination (either such condition described in clause (i) or (ii), an “</w:t>
      </w:r>
      <w:r>
        <w:rPr>
          <w:rFonts w:ascii="Times New Roman;Times;Serif" w:hAnsi="Times New Roman;Times;Serif"/>
          <w:b/>
          <w:i w:val="false"/>
          <w:caps w:val="false"/>
          <w:smallCaps w:val="false"/>
          <w:sz w:val="20"/>
        </w:rPr>
        <w:t>Excess Ownership Position</w:t>
      </w:r>
      <w:r>
        <w:rPr>
          <w:rFonts w:ascii="Times New Roman;Times;Serif" w:hAnsi="Times New Roman;Times;Serif"/>
          <w:b w:val="false"/>
          <w:i w:val="false"/>
          <w:caps w:val="false"/>
          <w:smallCaps w:val="false"/>
          <w:sz w:val="20"/>
        </w:rPr>
        <w:t>”). If any delivery owed to Dealer hereunder is not made, in whole or in part, as a result of this provision, Counterparty’s obligation to make such delivery shall not be extinguished and Counterparty shall make such delivery as promptly as practicable after, but in no event later than one Exchange Business Day after, Dealer gives notice to Counterparty that such delivery would not result in the existence of an Excess Ownership Position.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Limitations on Settlement by Counterparty</w:t>
      </w:r>
      <w:r>
        <w:rPr>
          <w:rFonts w:ascii="Times New Roman;Times;Serif" w:hAnsi="Times New Roman;Times;Serif"/>
          <w:b w:val="false"/>
          <w:i w:val="false"/>
          <w:caps w:val="false"/>
          <w:smallCaps w:val="false"/>
          <w:sz w:val="20"/>
        </w:rPr>
        <w:t xml:space="preserve">. Notwithstanding anything herein or in the Agreement to the contrary (except as set forth in this Section 8(f)), in no event shall Counterparty be required to deliver Shares in connection with the Transaction in excess of 568,620 Shares, as such number may be adjusted from time to time in accordance with the provisions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adjustment shall cause the Capped Number to exceed the Available Shares (as in effect from time to time), other than as a result of actions of Counterparty or events within Counterparty’s control (the “</w:t>
      </w:r>
      <w:r>
        <w:rPr>
          <w:rFonts w:ascii="Times New Roman;Times;Serif" w:hAnsi="Times New Roman;Times;Serif"/>
          <w:b/>
          <w:i w:val="false"/>
          <w:caps w:val="false"/>
          <w:smallCaps w:val="false"/>
          <w:sz w:val="20"/>
        </w:rPr>
        <w:t>Capped Number</w:t>
      </w:r>
      <w:r>
        <w:rPr>
          <w:rFonts w:ascii="Times New Roman;Times;Serif" w:hAnsi="Times New Roman;Times;Serif"/>
          <w:b w:val="false"/>
          <w:i w:val="false"/>
          <w:caps w:val="false"/>
          <w:smallCaps w:val="false"/>
          <w:sz w:val="20"/>
        </w:rPr>
        <w:t>”). Notwithstanding anything to the contrary in the Agreement or the Equity Definitions, such limitation shall not affect the calculation of any Payment Obligation (as defined in Section ‎8(b)), it being understood that if the Share Termination Alternative applies pursuant to Section 8(b), the number of Shares deliverable pursuant to such Section shall not exceed the Capped Number. Counterparty represents and warrants to Dealer (which representation and warranty shall be deemed to be repeated on each day that the Transaction is outstanding) that the Capped Number is equal to or less than the number of authorized but unissued Shares of the Counterparty that are not reserved for future issuance in connection with transactions in the Shares (other than the Transaction) on the date of the determination of the Capped Number (such Shares, the “</w:t>
      </w:r>
      <w:r>
        <w:rPr>
          <w:rFonts w:ascii="Times New Roman;Times;Serif" w:hAnsi="Times New Roman;Times;Serif"/>
          <w:b/>
          <w:i w:val="false"/>
          <w:caps w:val="false"/>
          <w:smallCaps w:val="false"/>
          <w:sz w:val="20"/>
        </w:rPr>
        <w:t>Available Shares</w:t>
      </w:r>
      <w:r>
        <w:rPr>
          <w:rFonts w:ascii="Times New Roman;Times;Serif" w:hAnsi="Times New Roman;Times;Serif"/>
          <w:b w:val="false"/>
          <w:i w:val="false"/>
          <w:caps w:val="false"/>
          <w:smallCaps w:val="false"/>
          <w:sz w:val="20"/>
        </w:rPr>
        <w:t>”). In the event Counterparty shall not have delivered the full number of Shares otherwise deliverable as a result of this Section 8(f) (the resulting deficit, the “</w:t>
      </w:r>
      <w:r>
        <w:rPr>
          <w:rFonts w:ascii="Times New Roman;Times;Serif" w:hAnsi="Times New Roman;Times;Serif"/>
          <w:b/>
          <w:i w:val="false"/>
          <w:caps w:val="false"/>
          <w:smallCaps w:val="false"/>
          <w:sz w:val="20"/>
        </w:rPr>
        <w:t>Deficit Shares</w:t>
      </w:r>
      <w:r>
        <w:rPr>
          <w:rFonts w:ascii="Times New Roman;Times;Serif" w:hAnsi="Times New Roman;Times;Serif"/>
          <w:b w:val="false"/>
          <w:i w:val="false"/>
          <w:caps w:val="false"/>
          <w:smallCaps w:val="false"/>
          <w:sz w:val="20"/>
        </w:rPr>
        <w:t>”), Counterparty shall be continually obligated to deliver Shares, from time to time until the full number of Deficit Shares have been delivered pursuant to this paragraph, when, and to the extent, that (A) Shares are repurchased, acquired or otherwise received by Counterparty or any of its subsidiaries after the Trade Date (whether or not in exchange for cash, fair value or any other consideration), (B) authorized and unissued Shares previously reserved for issuance in respect of other transactions become no longer so reserved or (C) Counterparty additionally authorizes any unissued Shares that are not reserved for other transactions (such events as set forth in clauses (A), (B) and (C) above, collectively, the “</w:t>
      </w:r>
      <w:r>
        <w:rPr>
          <w:rFonts w:ascii="Times New Roman;Times;Serif" w:hAnsi="Times New Roman;Times;Serif"/>
          <w:b/>
          <w:i w:val="false"/>
          <w:caps w:val="false"/>
          <w:smallCaps w:val="false"/>
          <w:sz w:val="20"/>
        </w:rPr>
        <w:t>Share Issuance Events</w:t>
      </w:r>
      <w:r>
        <w:rPr>
          <w:rFonts w:ascii="Times New Roman;Times;Serif" w:hAnsi="Times New Roman;Times;Serif"/>
          <w:b w:val="false"/>
          <w:i w:val="false"/>
          <w:caps w:val="false"/>
          <w:smallCaps w:val="false"/>
          <w:sz w:val="20"/>
        </w:rPr>
        <w:t xml:space="preserve">”). In the event that there are any Deficit Shares or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in the first sentence of this Section 8(f) has prevented any adjustment to the Capped Number, (i) Counterparty shall promptly notify Dealer of the occurrence of any of the Share Issuance Events (including the number of Shares subject to clause (A), (B) or (C) and the corresponding number of Shares to be delivered) and, as promptly as reasonably practicable, deliver such Shares thereafter, (ii) Counterparty shall use its best efforts to cause Share Issuance Events to the extent necessary to deliver the full number of Deficit Shares or cause the Capped Number to equal the Capped Number that would be in effect but for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set forth in the first sentence of this Section 8(f), as the case may be, and (iii) Counterparty shall not, until Counterparty’s obligations under the Transaction have been satisfied in full, use any Shares that become available for potential delivery to Dealer as a result of any Share Issuance Event for the settlement or satisfaction of any transaction or obligation other than the Transaction or any other warrant transaction between Counterparty and Dealer or reserve any such Shares for future issuance for any purpose other than to satisfy Counterparty’s obligations to Dealer under the Transaction or any other warrant transaction between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Equity Rights</w:t>
      </w:r>
      <w:r>
        <w:rPr>
          <w:rFonts w:ascii="Times New Roman;Times;Serif" w:hAnsi="Times New Roman;Times;Serif"/>
          <w:b w:val="false"/>
          <w:i w:val="false"/>
          <w:caps w:val="false"/>
          <w:smallCaps w:val="false"/>
          <w:sz w:val="20"/>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Amendments to Equity Definitions</w:t>
      </w:r>
      <w:r>
        <w:rPr>
          <w:rFonts w:ascii="Times New Roman;Times;Serif" w:hAnsi="Times New Roman;Times;Serif"/>
          <w:b w:val="false"/>
          <w:i w:val="false"/>
          <w:caps w:val="false"/>
          <w:smallCaps w:val="false"/>
          <w:sz w:val="20"/>
        </w:rPr>
        <w:t>. The following amendments shall be made to the Equity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first sentence of Section 11.2(c) of the Equity Definitions, prior to clause (A) thereof, is hereby amended to read as follows: ‘(c)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an effect on the theoretical value of the relevant Shares or options on the Shares and, if so, will (i) make appropriate adjustment(s), if any, to any one or more of:’ and, the portion of such sentence</w:t>
      </w:r>
    </w:p>
    <w:p>
      <w:pPr>
        <w:pStyle w:val="TextBody"/>
        <w:bidi w:val="0"/>
        <w:spacing w:before="0" w:after="0"/>
        <w:ind w:left="72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preceding clause (ii) thereof is hereby amended by deleting the words “diluting or concentrative” and the words “(provided that no adjustments will be made to account solely for changes in volatility, expected dividends, stock loan rate or liquidity relative to the relevant Shares)” and replacing such latter phrase with the words “(and, for the avoidance of doubt, adjustments may be made to account solely for changes in volatility, expected dividends, stock loan rate or liquidity relative to the relevant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Sections 11.2(a) and 11.2(e)(vii) of the Equity Definitions are hereby amended by deleting the words “a diluting or concentrative” and, in the case of Section 11.2(e)(vii), replacing them with “an economic” and, in each case, adding the phrase “or options on the Shares” at the end of the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Section 12.7(b) of the Equity Definitions is hereby amended by deleting the words “(and in any event within five Exchange Business Days) by the parties after” appearing after the words “agreed promptly” and replacing with the words “by the parties on or prior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Section 12.9(b)(iv) of the Equity Definitions is hereby amended by (A) deleting (1) subsection (A) in its entirety, (2) the phrase “or (B)” following subsection (A) and (3) the phrase “in each case” in subsection (B); (B) replacing “will lend” with “lends” in subsection (B); and (C) deleting the phrase “neither the Non-Hedging Party nor the Lending Party lends Shares in the amount of the Hedging Shares or” in the penultimate sentence; “</w:t>
      </w:r>
      <w:r>
        <w:rPr>
          <w:rFonts w:ascii="Times New Roman;Times;Serif" w:hAnsi="Times New Roman;Times;Serif"/>
          <w:b/>
          <w:i w:val="false"/>
          <w:caps w:val="false"/>
          <w:smallCaps w:val="false"/>
          <w:sz w:val="20"/>
        </w:rPr>
        <w:t>Lending Party</w:t>
      </w:r>
      <w:r>
        <w:rPr>
          <w:rFonts w:ascii="Times New Roman;Times;Serif" w:hAnsi="Times New Roman;Times;Serif"/>
          <w:b w:val="false"/>
          <w:i w:val="false"/>
          <w:caps w:val="false"/>
          <w:smallCaps w:val="false"/>
          <w:sz w:val="20"/>
        </w:rPr>
        <w:t>” means a third party that is not the Counterparty or an affiliate of the Counterparty that Dealer considers to be an acceptable counterparty (acting in good faith and in a reasonable manner in light of (x) other transactions that Dealer (or its agent or affiliate) may have entered into with such party and (y) any legal, regulatory or self-regulatory requirements or related policies and procedures (whether or not such requirements or related policies and procedures are imposed by law or have been voluntarily adopted by Dealer) that apply generally to transactions of a nature and kind similar to the transactions contemplated with such party);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Section 12.9(b)(v) of the Equity Definitions is hereby amended by (A) adding the word “or” immediately before subsection “(B)” and deleting the comma at the end of subsection (A); and (B)(1) deleting subsection (C) in its entirety, (2) deleting the word “or” immediately preceding subsection (C), (3) replacing in the penultimate sentence the words “either party” with “the Hedging Party” and (4) deleting clause (X) in the final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Transfer and Assignment</w:t>
      </w:r>
      <w:r>
        <w:rPr>
          <w:rFonts w:ascii="Times New Roman;Times;Serif" w:hAnsi="Times New Roman;Times;Serif"/>
          <w:b w:val="false"/>
          <w:i w:val="false"/>
          <w:caps w:val="false"/>
          <w:smallCaps w:val="false"/>
          <w:sz w:val="20"/>
        </w:rPr>
        <w:t>. Dealer may transfer or assign its rights and obligations hereunder and under the Agreement, in whole or in part, at any time without the consent of Counterparty. 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Additional Termination Events</w:t>
      </w:r>
      <w:r>
        <w:rPr>
          <w:rFonts w:ascii="Times New Roman;Times;Serif" w:hAnsi="Times New Roman;Times;Serif"/>
          <w:b w:val="false"/>
          <w:i w:val="false"/>
          <w:caps w:val="false"/>
          <w:smallCaps w:val="false"/>
          <w:sz w:val="20"/>
        </w:rPr>
        <w:t xml:space="preserve">. The occurrence of any of the following shall constitute an Additional Termination Event with respect to which the Transaction shall be the sole Affected Transaction and Counterparty shall be the sole Affected Party and Dealer shall be the party entitled to designate an Early Termination Date pursuant to Section 6(b) of the Agreement and to determine the amount payable pursuant to Section 6(e) of the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Additional Termination Event, Dealer may choose to treat part of the Transaction as the sole Affected Transaction, and, upon the termination of the Affected Transaction, a Transaction with terms identical to those set forth herein except with a Number of Warrants equal to the unaffected number of Warrants shall be treated for all purposes as the Transaction, which shall remain in full force and effect: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Dealer reasonably determines that it is advisable to terminate a portion of the Transaction so that Dealer’s related commercially reasonable hedging activities will comply with applicable securities laws, rules or regulations or related policies and procedures of Dealer (whether or not such requirements, policies or procedures are imposed by law or have been voluntarily adopted by Dealer), or Dealer, despite using commercially reasonable efforts, is unable or reasonably determines that it is impractical or illegal to hedge its obligations pursuant to this Transaction in the public market without registration under the Securities Act or as a result of any legal, regulatory or self-regulatory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at any time at which any Excess Ownership Position occurs, Dealer, in its discretion, is unable to effect a transfer or assignment to a third party of the Transaction or any other transaction between the parties after using its commercially reasonable efforts on pricing and terms and within a time period reasonably acceptable to Dealer such that an Excess Ownership Position no longer exists;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Dealer shall treat only that portion of the Transaction as the Affected Transaction as necessary so that such Excess Ownership Position would no longer exist following the resulting partial termination of the Transaction (after taking into account commercially reasonable adjustments to Dealer’s commercially reasonable Hedge Positions from such partial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“person” or “group” (within the meaning of Section 13(d) of the Exchange Act), other than Counterparty or its wholly-owned subsidiaries, becomes the direct or indirect ultimate “beneficial owner,” as defined in Rule 13d-3 under the Exchange Act, of the common equity of Counterparty representing more than 50.0% of the voting power of such common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(1) any sale, lease or other transfer, in one transaction or a series of transactions, of all or substantially all of the assets of Counterparty and its subsidiaries, taken as a whole, to any person; or (2) any transaction or series of related transactions in connection with which (whether by means of merger, consolidation, share exchange, combination, reclassification, recapitalization, acquisition, liquidation or otherwise) all of the Shares are exchanged for, converted into, acquired for, or constitutes solely the right to receive, other securities, cash or other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any transaction or event set forth in the immediately preceding clause (iv) shall not constitute an Additional Termination Event if at least 90% of the consideration received or to be received by holders of the Shares (excluding cash payments for fractional Shares or pursuant to dissenters rights) in connection with the transaction or transactions that would otherwise constitute an Additional Termination Event pursuant to clause (iv) of this Section 8(k) consists of shares of common stock listed on any of The New York Stock Exchange, The NASDAQ Global Select Market or The NASDAQ Global Market (or any of their respective successors) or that will be so listed when issued or exchanged in connection with such transaction or transactions, and following such transaction or transactions, the Shares will consist of such consideration, excluding cash payments for fractional shares. For the avoidance of doubt, an event that is not considered an Additional Termination Event pursuant to the immediately preceding sentence shall not be an Additional Termination Event solely because such event could also be described by clause (iii)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holders of Shares approve any plan or proposal for Counterparty’s liquidation or dissolution (other than in a transaction described in (iv)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Early Unwind</w:t>
      </w:r>
      <w:r>
        <w:rPr>
          <w:rFonts w:ascii="Times New Roman;Times;Serif" w:hAnsi="Times New Roman;Times;Serif"/>
          <w:b w:val="false"/>
          <w:i w:val="false"/>
          <w:caps w:val="false"/>
          <w:smallCaps w:val="false"/>
          <w:sz w:val="20"/>
        </w:rPr>
        <w:t>. In the event the sale by Counterparty of the Optional Securities (defined under the Purchase Agreement) is not consummated pursuant to the Purchase Agreement for any reason by the close of business in New York on January 23, 2023 (or such later date as agreed upon by the parties (January 23, 2023 or such later date being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on the Early Unwind Date and (i) the Transaction and all of the respective rights and obligations of Dealer and Counterparty thereunder shall be cancelled and terminated and (ii) Counterparty shall pay to Dealer an amount in cash equal to the aggregate amount of actual costs and expenses relating to the unwinding of Dealer’s commercially reasonable hedging activities in respect of the Transaction (including market losses incurred in reselling any Shares purchased by Dealer or its affiliates in connection with such hedging activities, unless Counterparty agrees to purchase any such Shares at the cost at which Dealer purchased such Shares). Following such termination, cancellation and payment, each party</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and following the payment referred to above, all obligations with respect to the Transaction shall be deemed fully and finally discharged.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No Netting and Set-off</w:t>
      </w:r>
      <w:r>
        <w:rPr>
          <w:rFonts w:ascii="Times New Roman;Times;Serif" w:hAnsi="Times New Roman;Times;Serif"/>
          <w:b w:val="false"/>
          <w:i w:val="false"/>
          <w:caps w:val="false"/>
          <w:smallCaps w:val="false"/>
          <w:sz w:val="20"/>
        </w:rPr>
        <w:t>. 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Delivery of Cash</w:t>
      </w:r>
      <w:r>
        <w:rPr>
          <w:rFonts w:ascii="Times New Roman;Times;Serif" w:hAnsi="Times New Roman;Times;Serif"/>
          <w:b w:val="false"/>
          <w:i w:val="false"/>
          <w:caps w:val="false"/>
          <w:smallCaps w:val="false"/>
          <w:sz w:val="20"/>
        </w:rPr>
        <w:t>. For the avoidance of doubt, nothing in this Confirmation shall be interpreted as requiring the Counterparty to deliver cash in respect of the settlement of the Transaction, except in circumstances where the required cash settlement thereof is permitted for classification of the contract as equity by ASC 815-40, Derivatives and Hedging – Contracts in Entity’s Own Equity, as in effect on the relevant Trade Date (including, without limitation, where the Counterparty so elects to deliver cash or fails timely to elect to deliver Shares or Share Termination Delivery Property in respect of such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Agreements and Acknowledgements Regarding Hedging</w:t>
      </w:r>
      <w:r>
        <w:rPr>
          <w:rFonts w:ascii="Times New Roman;Times;Serif" w:hAnsi="Times New Roman;Times;Serif"/>
          <w:b w:val="false"/>
          <w:i w:val="false"/>
          <w:caps w:val="false"/>
          <w:smallCaps w:val="false"/>
          <w:sz w:val="20"/>
        </w:rPr>
        <w:t>. Counterparty understands, acknowledges and agrees that: (A) at any time on and 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Counterparty shall be conducted and shall do so in a manner that it deems appropriate to hedge its price and market risk with respect to the VWAP Prices; (D) any market activities of Dealer and its affiliates with respect to Shares may affect the market price and volatility of Shares, as well as the VWAP Prices,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Wall Street Transparency and Accountability Act</w:t>
      </w:r>
      <w:r>
        <w:rPr>
          <w:rFonts w:ascii="Times New Roman;Times;Serif" w:hAnsi="Times New Roman;Times;Serif"/>
          <w:b w:val="false"/>
          <w:i w:val="false"/>
          <w:caps w:val="false"/>
          <w:smallCaps w:val="false"/>
          <w:sz w:val="20"/>
        </w:rPr>
        <w:t>. In connection with Section 739 of the Wall Street Transparency and Accountability Act of 2010 (the “WSTAA”),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This Confirmation and the Agreement may not be modified, amended or supplemented, except in a written instrument signed by Counterparty and Dealer.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Confirmation may be executed in several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Withholding Tax imposed on payments to non-US counterparties under the United States Foreign Account Tax Compliance Act.</w:t>
      </w:r>
      <w:r>
        <w:rPr>
          <w:rFonts w:ascii="Times New Roman;Times;Serif" w:hAnsi="Times New Roman;Times;Serif"/>
          <w:b w:val="false"/>
          <w:i w:val="false"/>
          <w:caps w:val="false"/>
          <w:smallCaps w:val="false"/>
          <w:sz w:val="20"/>
        </w:rPr>
        <w:t xml:space="preserve"> “Indemnifiable Tax” as defined in Section 14 of the Agreement, shall not include any withholding tax imposed or collected pursuant to Sections 1471 through 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Times;Serif" w:hAnsi="Times New Roman;Times;Serif"/>
          <w:b/>
          <w:i w:val="false"/>
          <w:caps w:val="false"/>
          <w:smallCaps w:val="false"/>
          <w:sz w:val="20"/>
        </w:rPr>
        <w:t>FATCA Withholding Tax</w:t>
      </w:r>
      <w:r>
        <w:rPr>
          <w:rFonts w:ascii="Times New Roman;Times;Serif" w:hAnsi="Times New Roman;Times;Serif"/>
          <w:b w:val="false"/>
          <w:i w:val="false"/>
          <w:caps w:val="false"/>
          <w:smallCaps w:val="false"/>
          <w:sz w:val="20"/>
        </w:rPr>
        <w:t>”). For the avoidance of doubt, a FATCA Withholding Tax is a Tax the deduction or withholding of which is required by applicable law for the purposes of Section 2(d)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HIRE Act.</w:t>
      </w:r>
      <w:r>
        <w:rPr>
          <w:rFonts w:ascii="Times New Roman;Times;Serif" w:hAnsi="Times New Roman;Times;Serif"/>
          <w:b w:val="false"/>
          <w:i w:val="false"/>
          <w:caps w:val="false"/>
          <w:smallCaps w:val="false"/>
          <w:sz w:val="20"/>
        </w:rPr>
        <w:t xml:space="preserve"> To the extent that either party to the Agreement with respect to this Transaction is not an adhering party to the ISDA 2015 Section 871(m) Protocol published by the International Swaps and Derivatives Association, Inc. on November 2, 2015 and available at www.isda.org, as may be amended, supplemented, replaced or superseded from time to time (the “</w:t>
      </w:r>
      <w:r>
        <w:rPr>
          <w:rFonts w:ascii="Times New Roman;Times;Serif" w:hAnsi="Times New Roman;Times;Serif"/>
          <w:b/>
          <w:i w:val="false"/>
          <w:caps w:val="false"/>
          <w:smallCaps w:val="false"/>
          <w:sz w:val="20"/>
        </w:rPr>
        <w:t>871(m) Protocol</w:t>
      </w:r>
      <w:r>
        <w:rPr>
          <w:rFonts w:ascii="Times New Roman;Times;Serif" w:hAnsi="Times New Roman;Times;Serif"/>
          <w:b w:val="false"/>
          <w:i w:val="false"/>
          <w:caps w:val="false"/>
          <w:smallCaps w:val="false"/>
          <w:sz w:val="20"/>
        </w:rPr>
        <w:t>”), the parties agree that the provisions and amendments contained in the Attachment to the 871(m) Protocol are incorporated into and apply to the Agreement with respect to this Transaction as if set forth in full herein. The parties further agree that, solely for purposes of applying such provisions and amendments to the Agreement with respect to this Transaction, references to “each Covered Agreement” in the 871(m) Protocol will be deemed to be references to the Master Agreement with respect to this Transaction, and references to the “Implementation Date” in the 871(m) Protocol will be deemed to be references to the Trade Date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Tax documentation</w:t>
      </w:r>
      <w:r>
        <w:rPr>
          <w:rFonts w:ascii="Times New Roman;Times;Serif" w:hAnsi="Times New Roman;Times;Serif"/>
          <w:b w:val="false"/>
          <w:i w:val="false"/>
          <w:caps w:val="false"/>
          <w:smallCaps w:val="false"/>
          <w:sz w:val="20"/>
        </w:rPr>
        <w:t>. Counterparty shall provide to Dealer a valid U.S. Internal Revenue Service Form W-9, or any successor thereto, (i) on or before the date of execution of this Confirmation, (ii) upon reasonable request of Dealer and (iii) promptly upon learning that any such tax form previously provided by Counterparty has become obsolete or incorrect. Dealer shall provide to Counterparty a valid U.S. Internal Revenue Service Form W-9 or any successor thereto, (i) on or before the date of execution of this Confirmation, (ii) upon reasonable request of Counterparty and (iii) promptly upon learning that any such tax form previously provided by Dealer has become obsolete or incorrect.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Tax Representations. For the purpose of Section 3(f) of the Agreement, Counterparty is a corporation for U.S. federal income tax purposes and is organized under the laws of the State of Minnesota. Counterparty represents to Dealer that for U.S. federal income tax purposes it is a “U.S. person” (as that term is used in section 1.1441-4(a)(3)(ii) of the United States Treasury Regulations) and an “exempt recipient” (as that term is used in section 1.6049-4(c)(1) of the United States Treasury Regulations). For the purpose of Section 3(f) of the Agreement, Dealer represents to Counterparty that Dealer is a national banking association organized and existing under the laws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QFC Stay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In the event that Dealer becomes subject to a proceeding under (i) the Federal Deposit Insurance Act and the regulations promulgated thereunder or (ii) Title II of the Dodd-Frank Wall Street Reform and Consumer Protection Act and the regulations promulgated thereunder (a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the transfer from Dealer of this Confirmation, and any interest and obligation in or under, and any property securing, this Confirmation, will be effective to the same extent as the transfer would be effective under the U.S. Special Resolution Regime if this Confirmation, and any interest and obligation in or under, and any property securing, this Confirmation were governed by the laws of the United States or a state of the United States. (B) In the event that Dealer or an Affiliate becomes subject to a proceeding under a U.S. Special Resolution Regime, any Default Rights (as defined in 12 C.F.R. §§ 252.81, 47.2 or 382.1, as applicable (“Default Right”)) under this Confirmation that may be exercised against</w:t>
      </w:r>
    </w:p>
    <w:p>
      <w:pPr>
        <w:pStyle w:val="TextBody"/>
        <w:bidi w:val="0"/>
        <w:spacing w:before="0" w:after="0"/>
        <w:ind w:left="144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are permitted to be exercised to no greater extent than such Default Rights could be exercised under the U.S. Special Resolution Regime if this Confirmation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anything to the contrary in this Confirmation, the parties expressly acknowledge and agree that: (A) Counterparty shall not be permitted to exercise any Default Right with respect to this Confirmation or any Affiliate Credit Enhancement that is related, directly or indirectly, to an Affiliate of Dealer becoming subject to receivership, insolvency, liquidation, resolution, or similar proceeding (an “</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except to the extent that the exercise of such Default Right would be permitted under the provisions of 12 C.F.R. 252.84, 12 C.F.R. 47.5 or 12 C.F.R. 382.4, as applicable; and (B) Nothing in this Confirmation shall prohibit the transfer of any Affiliate Credit Enhancement, any interest or obligation in or under such Affiliate Credit Enhancement, or any property securing such Affiliate Credit Enhancement, to a transferee upon or following an Affiliate of Dealer becoming subject to an Insolvency Proceeding, unless the transfer would result in the Counterparty being the beneficiary of such Affiliate Credit Enhancement in violation of any law applicable to the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Counterparty has previously adhered to, or subsequently adheres to, the ISDA 2018 U.S. Resolution Stay Protocol as published by the International Swaps and Derivatives Association, Inc. as of July 31, 2018 (the “</w:t>
      </w:r>
      <w:r>
        <w:rPr>
          <w:rFonts w:ascii="Times New Roman;Times;Serif" w:hAnsi="Times New Roman;Times;Serif"/>
          <w:b/>
          <w:i w:val="false"/>
          <w:caps w:val="false"/>
          <w:smallCaps w:val="false"/>
          <w:sz w:val="20"/>
        </w:rPr>
        <w:t>ISDA U.S. Protocol</w:t>
      </w:r>
      <w:r>
        <w:rPr>
          <w:rFonts w:ascii="Times New Roman;Times;Serif" w:hAnsi="Times New Roman;Times;Serif"/>
          <w:b w:val="false"/>
          <w:i w:val="false"/>
          <w:caps w:val="false"/>
          <w:smallCaps w:val="false"/>
          <w:sz w:val="20"/>
        </w:rPr>
        <w:t>”), the terms of such protocol shall be incorporated into and form a part of this Confirmation and the terms of the ISDA U.S. Protocol shall supersede and replace the terms of this Section 8(r). For purposes of incorporating the ISDA U.S. Protocol, Dealer shall be deemed to be a Regulated Entity, Counterparty shall be deemed to be an Adhering Party, and this Confirmation shall be deemed to be a Protocol Covered Agreement. Capitalized terms used but not defined in this paragraph shall have the meanings given to them in the ISDA U.S. Protocol.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Dealer and Counterparty agree that to the extent there are any outstanding “in-scope QFCs,” as defined in 12 C.F.R. § 252.82(d), that are not excluded under 12 C.F.R. § 252.88, between Dealer and Counterparty that do not otherwise comply with the requirements of 12 C.F.R. § 252.2, 252.81–8 (each such agreement, a “</w:t>
      </w:r>
      <w:r>
        <w:rPr>
          <w:rFonts w:ascii="Times New Roman;Times;Serif" w:hAnsi="Times New Roman;Times;Serif"/>
          <w:b/>
          <w:i w:val="false"/>
          <w:caps w:val="false"/>
          <w:smallCaps w:val="false"/>
          <w:sz w:val="20"/>
        </w:rPr>
        <w:t>Preexisting In-Scope Agreement</w:t>
      </w:r>
      <w:r>
        <w:rPr>
          <w:rFonts w:ascii="Times New Roman;Times;Serif" w:hAnsi="Times New Roman;Times;Serif"/>
          <w:b w:val="false"/>
          <w:i w:val="false"/>
          <w:caps w:val="false"/>
          <w:smallCaps w:val="false"/>
          <w:sz w:val="20"/>
        </w:rPr>
        <w:t>”), then each such Preexisting In-Scope Agreement is hereby amended to include the foregoing provisions in this Section 8(r), with references to “this Confirmation” being understood to be references to the applicable Preexisting In-Scope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Section 8(r):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is defined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Enhancement</w:t>
      </w:r>
      <w:r>
        <w:rPr>
          <w:rFonts w:ascii="Times New Roman;Times;Serif" w:hAnsi="Times New Roman;Times;Serif"/>
          <w:b w:val="false"/>
          <w:i w:val="false"/>
          <w:caps w:val="false"/>
          <w:smallCaps w:val="false"/>
          <w:sz w:val="20"/>
        </w:rPr>
        <w:t>” means any credit enhancement or credit support arrangement in support of the obligations of Dealer under or with respect to this Confirmation, including any guarantee, collateral arrangement (including any pledge, charge, mortgage or other security interest in collateral or title transfer arrangement), trust or similar arrangement, letter of credit, transfer of margin or any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Exclusive Jurisdiction; Waiver of Jury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Section 13(b) of the Agreement is deleted in its entirety and replaced by the following: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The courts of the United States of America for the Southern District of New York and appellate courts from thereof will have the sole and exclusive jurisdiction over any and all claims, disputes or causes of action arising out of, in connection with, or relating to this Agreement or the transactions and relationships between the parties contemplated by this Agreement. If such courts lack federal subject matter jurisdiction, the Supreme Court of the State of New York, sitting in New York County and any appellate court from thereof, will have sole and exclusive jurisdiction. Subject to the foregoing, either of these courts will be the proper venue and the parties waive any objection to venue or their convenience as a forum. The parties agree to submit to the jurisdiction of any of the courts specified and to accept service of process to vest personal jurisdiction over them in any of these courts.”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EACH OF COUNTERPARTY AND DEALER HEREBY IRREVOCABLY WAIVES (ON ITS OWN BEHALF AND, TO THE EXTENT PERMITTED BY APPLICABLE LAW, ON BEHALF OF ITS STOCKHOLDERS) ALL RIGHT TO TRIAL BY JURY IN ANY ACTION, PROCEEDING OR COUNTERCLAIM (WHETHER BASED ON CONTRACT, TORT OR OTHERWISE) ARISING OUT OF OR RELATING TO THIS CONFIRMATION OR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rPr>
        <w:t>Communications with Employees of J.P. Morgan Securities LLC</w:t>
      </w:r>
      <w:r>
        <w:rPr>
          <w:rFonts w:ascii="Times New Roman;Times;Serif" w:hAnsi="Times New Roman;Times;Serif"/>
          <w:b w:val="false"/>
          <w:i w:val="false"/>
          <w:caps w:val="false"/>
          <w:smallCaps w:val="false"/>
          <w:sz w:val="20"/>
        </w:rPr>
        <w:t>. If Counterparty interacts with any employee of J.P. Morgan Securities LLC with respect to the Transaction, Counterparty is hereby notified that such employee will act solely as an authorized representative of JPMorgan Chase Bank, N.A. (and not as a representative of J.P. Morgan Securities LLC) in connection with the Transaction.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the terms of our agreement by executing this Confirmation and returning it to J.P. Morgan Securities LLC, 383 Madison Ave, New York, NY 10179, and by email to EDG_Notices@jpmorgan.com and edg.us.flow.corporates.mo@jpmorgan.com.</w:t>
      </w:r>
    </w:p>
    <w:p>
      <w:pPr>
        <w:pStyle w:val="TextBody"/>
        <w:bidi w:val="0"/>
        <w:spacing w:before="0" w:after="0"/>
        <w:ind w:left="0" w:right="0" w:hanging="0"/>
        <w:jc w:val="left"/>
        <w:rPr>
          <w:caps w:val="false"/>
          <w:smallCaps w:val="false"/>
        </w:rPr>
      </w:pPr>
      <w:r>
        <w:rPr>
          <w:caps w:val="false"/>
          <w:smallCaps w:val="false"/>
        </w:rPr>
        <w:t> </w:t>
      </w:r>
    </w:p>
    <w:tbl>
      <w:tblPr>
        <w:tblW w:w="3919" w:type="dxa"/>
        <w:jc w:val="left"/>
        <w:tblInd w:w="0" w:type="dxa"/>
        <w:tblLayout w:type="fixed"/>
        <w:tblCellMar>
          <w:top w:w="0" w:type="dxa"/>
          <w:left w:w="0" w:type="dxa"/>
          <w:bottom w:w="0" w:type="dxa"/>
          <w:right w:w="0" w:type="dxa"/>
        </w:tblCellMar>
      </w:tblPr>
      <w:tblGrid>
        <w:gridCol w:w="75"/>
        <w:gridCol w:w="575"/>
        <w:gridCol w:w="3269"/>
      </w:tblGrid>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National Association</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20"/>
              </w:rPr>
            </w:pPr>
            <w:r>
              <w:rPr>
                <w:sz w:val="20"/>
              </w:rPr>
              <w:t xml:space="preserve">By: </w:t>
            </w:r>
          </w:p>
        </w:tc>
        <w:tc>
          <w:tcPr>
            <w:tcW w:w="3269"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Gaurav Maria</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3269" w:type="dxa"/>
            <w:tcBorders/>
            <w:vAlign w:val="center"/>
          </w:tcPr>
          <w:p>
            <w:pPr>
              <w:pStyle w:val="TableContents"/>
              <w:bidi w:val="0"/>
              <w:spacing w:before="0" w:after="283"/>
              <w:jc w:val="left"/>
              <w:rPr>
                <w:sz w:val="20"/>
              </w:rPr>
            </w:pPr>
            <w:r>
              <w:rPr>
                <w:sz w:val="20"/>
              </w:rPr>
              <w:t>Name: Gaurav Maria</w:t>
            </w:r>
          </w:p>
        </w:tc>
      </w:tr>
      <w:tr>
        <w:trPr/>
        <w:tc>
          <w:tcPr>
            <w:tcW w:w="7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3269" w:type="dxa"/>
            <w:tcBorders/>
            <w:vAlign w:val="center"/>
          </w:tcPr>
          <w:p>
            <w:pPr>
              <w:pStyle w:val="TableContents"/>
              <w:bidi w:val="0"/>
              <w:spacing w:before="0" w:after="283"/>
              <w:jc w:val="left"/>
              <w:rPr>
                <w:sz w:val="20"/>
              </w:rPr>
            </w:pPr>
            <w:r>
              <w:rPr>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Additional Bond Hedge Side Letter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35"/>
        <w:gridCol w:w="4505"/>
        <w:gridCol w:w="75"/>
      </w:tblGrid>
      <w:tr>
        <w:trPr/>
        <w:tc>
          <w:tcPr>
            <w:tcW w:w="4840" w:type="dxa"/>
            <w:gridSpan w:val="2"/>
            <w:tcBorders/>
            <w:vAlign w:val="center"/>
          </w:tcPr>
          <w:p>
            <w:pPr>
              <w:pStyle w:val="TableContents"/>
              <w:bidi w:val="0"/>
              <w:spacing w:before="0" w:after="283"/>
              <w:jc w:val="left"/>
              <w:rPr>
                <w:sz w:val="20"/>
              </w:rPr>
            </w:pPr>
            <w:r>
              <w:rPr>
                <w:sz w:val="20"/>
              </w:rPr>
              <w:t>Agreed and Accepted By:</w:t>
            </w:r>
          </w:p>
        </w:tc>
        <w:tc>
          <w:tcPr>
            <w:tcW w:w="75" w:type="dxa"/>
            <w:tcBorders/>
            <w:vAlign w:val="center"/>
          </w:tcPr>
          <w:p>
            <w:pPr>
              <w:pStyle w:val="TableContents"/>
              <w:bidi w:val="0"/>
              <w:spacing w:before="0" w:after="283"/>
              <w:jc w:val="left"/>
              <w:rPr/>
            </w:pPr>
            <w:r>
              <w:rPr/>
              <w:t> </w:t>
            </w:r>
          </w:p>
        </w:tc>
      </w:tr>
      <w:tr>
        <w:trPr/>
        <w:tc>
          <w:tcPr>
            <w:tcW w:w="48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40" w:type="dxa"/>
            <w:gridSpan w:val="2"/>
            <w:tcBorders/>
            <w:vAlign w:val="center"/>
          </w:tcPr>
          <w:p>
            <w:pPr>
              <w:pStyle w:val="TableContents"/>
              <w:bidi w:val="0"/>
              <w:spacing w:before="0" w:after="283"/>
              <w:jc w:val="left"/>
              <w:rPr>
                <w:b/>
                <w:sz w:val="20"/>
              </w:rPr>
            </w:pPr>
            <w:r>
              <w:rPr>
                <w:b/>
                <w:sz w:val="20"/>
              </w:rPr>
              <w:t>WINNEBAGO INDUSTRIES, INC.</w:t>
            </w:r>
          </w:p>
        </w:tc>
        <w:tc>
          <w:tcPr>
            <w:tcW w:w="75" w:type="dxa"/>
            <w:tcBorders/>
            <w:vAlign w:val="center"/>
          </w:tcPr>
          <w:p>
            <w:pPr>
              <w:pStyle w:val="TableContents"/>
              <w:bidi w:val="0"/>
              <w:spacing w:before="0" w:after="283"/>
              <w:jc w:val="left"/>
              <w:rPr/>
            </w:pPr>
            <w:r>
              <w:rPr/>
              <w:t> </w:t>
            </w:r>
          </w:p>
        </w:tc>
      </w:tr>
      <w:tr>
        <w:trPr/>
        <w:tc>
          <w:tcPr>
            <w:tcW w:w="48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45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Bryan L. Hughes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0"/>
              </w:rPr>
            </w:pPr>
            <w:r>
              <w:rPr>
                <w:sz w:val="20"/>
              </w:rPr>
              <w:t>Name: Bryan L. Hughes</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sz w:val="20"/>
              </w:rPr>
            </w:pPr>
            <w:r>
              <w:rPr>
                <w:sz w:val="20"/>
              </w:rPr>
              <w:t>Title: Chief Financial Officer and Senior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JPM Additional Warrant Confirmation]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Component of the Transaction, the Number of Warrants and Expiration Date is set forth below.</w:t>
      </w:r>
    </w:p>
    <w:p>
      <w:pPr>
        <w:pStyle w:val="TextBody"/>
        <w:bidi w:val="0"/>
        <w:spacing w:before="0" w:after="0"/>
        <w:ind w:left="0" w:right="0" w:hanging="0"/>
        <w:jc w:val="left"/>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1985"/>
        <w:gridCol w:w="1970"/>
        <w:gridCol w:w="1535"/>
      </w:tblGrid>
      <w:tr>
        <w:trPr/>
        <w:tc>
          <w:tcPr>
            <w:tcW w:w="1985" w:type="dxa"/>
            <w:tcBorders/>
            <w:vAlign w:val="center"/>
          </w:tcPr>
          <w:p>
            <w:pPr>
              <w:pStyle w:val="TableContents"/>
              <w:bidi w:val="0"/>
              <w:spacing w:before="0" w:after="283"/>
              <w:jc w:val="center"/>
              <w:rPr>
                <w:u w:val="single"/>
              </w:rPr>
            </w:pPr>
            <w:r>
              <w:rPr>
                <w:u w:val="single"/>
              </w:rPr>
              <w:t>Component Number</w:t>
            </w:r>
          </w:p>
        </w:tc>
        <w:tc>
          <w:tcPr>
            <w:tcW w:w="1970" w:type="dxa"/>
            <w:tcBorders/>
            <w:vAlign w:val="center"/>
          </w:tcPr>
          <w:p>
            <w:pPr>
              <w:pStyle w:val="TableContents"/>
              <w:bidi w:val="0"/>
              <w:spacing w:before="0" w:after="283"/>
              <w:jc w:val="center"/>
              <w:rPr>
                <w:u w:val="single"/>
              </w:rPr>
            </w:pPr>
            <w:r>
              <w:rPr>
                <w:u w:val="single"/>
              </w:rPr>
              <w:t>Number of Warrants</w:t>
            </w:r>
          </w:p>
        </w:tc>
        <w:tc>
          <w:tcPr>
            <w:tcW w:w="1535" w:type="dxa"/>
            <w:tcBorders/>
            <w:vAlign w:val="center"/>
          </w:tcPr>
          <w:p>
            <w:pPr>
              <w:pStyle w:val="TableContents"/>
              <w:bidi w:val="0"/>
              <w:spacing w:before="0" w:after="283"/>
              <w:jc w:val="center"/>
              <w:rPr>
                <w:u w:val="single"/>
              </w:rPr>
            </w:pPr>
            <w:r>
              <w:rPr>
                <w:u w:val="single"/>
              </w:rPr>
              <w:t>Expiration Date</w:t>
            </w:r>
          </w:p>
        </w:tc>
      </w:tr>
      <w:tr>
        <w:trPr/>
        <w:tc>
          <w:tcPr>
            <w:tcW w:w="1985" w:type="dxa"/>
            <w:tcBorders/>
            <w:vAlign w:val="center"/>
          </w:tcPr>
          <w:p>
            <w:pPr>
              <w:pStyle w:val="TableContents"/>
              <w:bidi w:val="0"/>
              <w:spacing w:before="0" w:after="283"/>
              <w:jc w:val="center"/>
              <w:rPr/>
            </w:pPr>
            <w:r>
              <w:rPr/>
              <w:t>1</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April 15, 2030</w:t>
            </w:r>
          </w:p>
        </w:tc>
      </w:tr>
      <w:tr>
        <w:trPr/>
        <w:tc>
          <w:tcPr>
            <w:tcW w:w="1985" w:type="dxa"/>
            <w:tcBorders/>
            <w:vAlign w:val="center"/>
          </w:tcPr>
          <w:p>
            <w:pPr>
              <w:pStyle w:val="TableContents"/>
              <w:bidi w:val="0"/>
              <w:spacing w:before="0" w:after="283"/>
              <w:jc w:val="center"/>
              <w:rPr/>
            </w:pPr>
            <w:r>
              <w:rPr/>
              <w:t>2</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April 16, 2030</w:t>
            </w:r>
          </w:p>
        </w:tc>
      </w:tr>
      <w:tr>
        <w:trPr/>
        <w:tc>
          <w:tcPr>
            <w:tcW w:w="1985" w:type="dxa"/>
            <w:tcBorders/>
            <w:vAlign w:val="center"/>
          </w:tcPr>
          <w:p>
            <w:pPr>
              <w:pStyle w:val="TableContents"/>
              <w:bidi w:val="0"/>
              <w:spacing w:before="0" w:after="283"/>
              <w:jc w:val="center"/>
              <w:rPr/>
            </w:pPr>
            <w:r>
              <w:rPr/>
              <w:t>3</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April 17, 2030</w:t>
            </w:r>
          </w:p>
        </w:tc>
      </w:tr>
      <w:tr>
        <w:trPr/>
        <w:tc>
          <w:tcPr>
            <w:tcW w:w="1985" w:type="dxa"/>
            <w:tcBorders/>
            <w:vAlign w:val="center"/>
          </w:tcPr>
          <w:p>
            <w:pPr>
              <w:pStyle w:val="TableContents"/>
              <w:bidi w:val="0"/>
              <w:spacing w:before="0" w:after="283"/>
              <w:jc w:val="center"/>
              <w:rPr/>
            </w:pPr>
            <w:r>
              <w:rPr/>
              <w:t>4</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April 18, 2030</w:t>
            </w:r>
          </w:p>
        </w:tc>
      </w:tr>
      <w:tr>
        <w:trPr/>
        <w:tc>
          <w:tcPr>
            <w:tcW w:w="1985" w:type="dxa"/>
            <w:tcBorders/>
            <w:vAlign w:val="center"/>
          </w:tcPr>
          <w:p>
            <w:pPr>
              <w:pStyle w:val="TableContents"/>
              <w:bidi w:val="0"/>
              <w:spacing w:before="0" w:after="283"/>
              <w:jc w:val="center"/>
              <w:rPr/>
            </w:pPr>
            <w:r>
              <w:rPr/>
              <w:t>5</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April 22, 2030</w:t>
            </w:r>
          </w:p>
        </w:tc>
      </w:tr>
      <w:tr>
        <w:trPr/>
        <w:tc>
          <w:tcPr>
            <w:tcW w:w="1985" w:type="dxa"/>
            <w:tcBorders/>
            <w:vAlign w:val="center"/>
          </w:tcPr>
          <w:p>
            <w:pPr>
              <w:pStyle w:val="TableContents"/>
              <w:bidi w:val="0"/>
              <w:spacing w:before="0" w:after="283"/>
              <w:jc w:val="center"/>
              <w:rPr/>
            </w:pPr>
            <w:r>
              <w:rPr/>
              <w:t>6</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April 23, 2030</w:t>
            </w:r>
          </w:p>
        </w:tc>
      </w:tr>
      <w:tr>
        <w:trPr/>
        <w:tc>
          <w:tcPr>
            <w:tcW w:w="1985" w:type="dxa"/>
            <w:tcBorders/>
            <w:vAlign w:val="center"/>
          </w:tcPr>
          <w:p>
            <w:pPr>
              <w:pStyle w:val="TableContents"/>
              <w:bidi w:val="0"/>
              <w:spacing w:before="0" w:after="283"/>
              <w:jc w:val="center"/>
              <w:rPr/>
            </w:pPr>
            <w:r>
              <w:rPr/>
              <w:t>7</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April 24, 2030</w:t>
            </w:r>
          </w:p>
        </w:tc>
      </w:tr>
      <w:tr>
        <w:trPr/>
        <w:tc>
          <w:tcPr>
            <w:tcW w:w="1985" w:type="dxa"/>
            <w:tcBorders/>
            <w:vAlign w:val="center"/>
          </w:tcPr>
          <w:p>
            <w:pPr>
              <w:pStyle w:val="TableContents"/>
              <w:bidi w:val="0"/>
              <w:spacing w:before="0" w:after="283"/>
              <w:jc w:val="center"/>
              <w:rPr/>
            </w:pPr>
            <w:r>
              <w:rPr/>
              <w:t>8</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April 25, 2030</w:t>
            </w:r>
          </w:p>
        </w:tc>
      </w:tr>
      <w:tr>
        <w:trPr/>
        <w:tc>
          <w:tcPr>
            <w:tcW w:w="1985" w:type="dxa"/>
            <w:tcBorders/>
            <w:vAlign w:val="center"/>
          </w:tcPr>
          <w:p>
            <w:pPr>
              <w:pStyle w:val="TableContents"/>
              <w:bidi w:val="0"/>
              <w:spacing w:before="0" w:after="283"/>
              <w:jc w:val="center"/>
              <w:rPr/>
            </w:pPr>
            <w:r>
              <w:rPr/>
              <w:t>9</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April 26, 2030</w:t>
            </w:r>
          </w:p>
        </w:tc>
      </w:tr>
      <w:tr>
        <w:trPr/>
        <w:tc>
          <w:tcPr>
            <w:tcW w:w="1985" w:type="dxa"/>
            <w:tcBorders/>
            <w:vAlign w:val="center"/>
          </w:tcPr>
          <w:p>
            <w:pPr>
              <w:pStyle w:val="TableContents"/>
              <w:bidi w:val="0"/>
              <w:spacing w:before="0" w:after="283"/>
              <w:jc w:val="center"/>
              <w:rPr/>
            </w:pPr>
            <w:r>
              <w:rPr/>
              <w:t>10</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April 29, 2030</w:t>
            </w:r>
          </w:p>
        </w:tc>
      </w:tr>
      <w:tr>
        <w:trPr/>
        <w:tc>
          <w:tcPr>
            <w:tcW w:w="1985" w:type="dxa"/>
            <w:tcBorders/>
            <w:vAlign w:val="center"/>
          </w:tcPr>
          <w:p>
            <w:pPr>
              <w:pStyle w:val="TableContents"/>
              <w:bidi w:val="0"/>
              <w:spacing w:before="0" w:after="283"/>
              <w:jc w:val="center"/>
              <w:rPr/>
            </w:pPr>
            <w:r>
              <w:rPr/>
              <w:t>11</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April 30, 2030</w:t>
            </w:r>
          </w:p>
        </w:tc>
      </w:tr>
      <w:tr>
        <w:trPr/>
        <w:tc>
          <w:tcPr>
            <w:tcW w:w="1985" w:type="dxa"/>
            <w:tcBorders/>
            <w:vAlign w:val="center"/>
          </w:tcPr>
          <w:p>
            <w:pPr>
              <w:pStyle w:val="TableContents"/>
              <w:bidi w:val="0"/>
              <w:spacing w:before="0" w:after="283"/>
              <w:jc w:val="center"/>
              <w:rPr/>
            </w:pPr>
            <w:r>
              <w:rPr/>
              <w:t>12</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1, 2030</w:t>
            </w:r>
          </w:p>
        </w:tc>
      </w:tr>
      <w:tr>
        <w:trPr/>
        <w:tc>
          <w:tcPr>
            <w:tcW w:w="1985" w:type="dxa"/>
            <w:tcBorders/>
            <w:vAlign w:val="center"/>
          </w:tcPr>
          <w:p>
            <w:pPr>
              <w:pStyle w:val="TableContents"/>
              <w:bidi w:val="0"/>
              <w:spacing w:before="0" w:after="283"/>
              <w:jc w:val="center"/>
              <w:rPr/>
            </w:pPr>
            <w:r>
              <w:rPr/>
              <w:t>13</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2, 2030</w:t>
            </w:r>
          </w:p>
        </w:tc>
      </w:tr>
      <w:tr>
        <w:trPr/>
        <w:tc>
          <w:tcPr>
            <w:tcW w:w="1985" w:type="dxa"/>
            <w:tcBorders/>
            <w:vAlign w:val="center"/>
          </w:tcPr>
          <w:p>
            <w:pPr>
              <w:pStyle w:val="TableContents"/>
              <w:bidi w:val="0"/>
              <w:spacing w:before="0" w:after="283"/>
              <w:jc w:val="center"/>
              <w:rPr/>
            </w:pPr>
            <w:r>
              <w:rPr/>
              <w:t>14</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3, 2030</w:t>
            </w:r>
          </w:p>
        </w:tc>
      </w:tr>
      <w:tr>
        <w:trPr/>
        <w:tc>
          <w:tcPr>
            <w:tcW w:w="1985" w:type="dxa"/>
            <w:tcBorders/>
            <w:vAlign w:val="center"/>
          </w:tcPr>
          <w:p>
            <w:pPr>
              <w:pStyle w:val="TableContents"/>
              <w:bidi w:val="0"/>
              <w:spacing w:before="0" w:after="283"/>
              <w:jc w:val="center"/>
              <w:rPr/>
            </w:pPr>
            <w:r>
              <w:rPr/>
              <w:t>15</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6, 2030</w:t>
            </w:r>
          </w:p>
        </w:tc>
      </w:tr>
      <w:tr>
        <w:trPr/>
        <w:tc>
          <w:tcPr>
            <w:tcW w:w="1985" w:type="dxa"/>
            <w:tcBorders/>
            <w:vAlign w:val="center"/>
          </w:tcPr>
          <w:p>
            <w:pPr>
              <w:pStyle w:val="TableContents"/>
              <w:bidi w:val="0"/>
              <w:spacing w:before="0" w:after="283"/>
              <w:jc w:val="center"/>
              <w:rPr/>
            </w:pPr>
            <w:r>
              <w:rPr/>
              <w:t>16</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7, 2030</w:t>
            </w:r>
          </w:p>
        </w:tc>
      </w:tr>
      <w:tr>
        <w:trPr/>
        <w:tc>
          <w:tcPr>
            <w:tcW w:w="1985" w:type="dxa"/>
            <w:tcBorders/>
            <w:vAlign w:val="center"/>
          </w:tcPr>
          <w:p>
            <w:pPr>
              <w:pStyle w:val="TableContents"/>
              <w:bidi w:val="0"/>
              <w:spacing w:before="0" w:after="283"/>
              <w:jc w:val="center"/>
              <w:rPr/>
            </w:pPr>
            <w:r>
              <w:rPr/>
              <w:t>17</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8, 2030</w:t>
            </w:r>
          </w:p>
        </w:tc>
      </w:tr>
      <w:tr>
        <w:trPr/>
        <w:tc>
          <w:tcPr>
            <w:tcW w:w="1985" w:type="dxa"/>
            <w:tcBorders/>
            <w:vAlign w:val="center"/>
          </w:tcPr>
          <w:p>
            <w:pPr>
              <w:pStyle w:val="TableContents"/>
              <w:bidi w:val="0"/>
              <w:spacing w:before="0" w:after="283"/>
              <w:jc w:val="center"/>
              <w:rPr/>
            </w:pPr>
            <w:r>
              <w:rPr/>
              <w:t>18</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9, 2030</w:t>
            </w:r>
          </w:p>
        </w:tc>
      </w:tr>
      <w:tr>
        <w:trPr/>
        <w:tc>
          <w:tcPr>
            <w:tcW w:w="1985" w:type="dxa"/>
            <w:tcBorders/>
            <w:vAlign w:val="center"/>
          </w:tcPr>
          <w:p>
            <w:pPr>
              <w:pStyle w:val="TableContents"/>
              <w:bidi w:val="0"/>
              <w:spacing w:before="0" w:after="283"/>
              <w:jc w:val="center"/>
              <w:rPr/>
            </w:pPr>
            <w:r>
              <w:rPr/>
              <w:t>19</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10, 2030</w:t>
            </w:r>
          </w:p>
        </w:tc>
      </w:tr>
      <w:tr>
        <w:trPr/>
        <w:tc>
          <w:tcPr>
            <w:tcW w:w="1985" w:type="dxa"/>
            <w:tcBorders/>
            <w:vAlign w:val="center"/>
          </w:tcPr>
          <w:p>
            <w:pPr>
              <w:pStyle w:val="TableContents"/>
              <w:bidi w:val="0"/>
              <w:spacing w:before="0" w:after="283"/>
              <w:jc w:val="center"/>
              <w:rPr/>
            </w:pPr>
            <w:r>
              <w:rPr/>
              <w:t>20</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13, 2030</w:t>
            </w:r>
          </w:p>
        </w:tc>
      </w:tr>
      <w:tr>
        <w:trPr/>
        <w:tc>
          <w:tcPr>
            <w:tcW w:w="1985" w:type="dxa"/>
            <w:tcBorders/>
            <w:vAlign w:val="center"/>
          </w:tcPr>
          <w:p>
            <w:pPr>
              <w:pStyle w:val="TableContents"/>
              <w:bidi w:val="0"/>
              <w:spacing w:before="0" w:after="283"/>
              <w:jc w:val="center"/>
              <w:rPr/>
            </w:pPr>
            <w:r>
              <w:rPr/>
              <w:t>21</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14, 2030</w:t>
            </w:r>
          </w:p>
        </w:tc>
      </w:tr>
      <w:tr>
        <w:trPr/>
        <w:tc>
          <w:tcPr>
            <w:tcW w:w="1985" w:type="dxa"/>
            <w:tcBorders/>
            <w:vAlign w:val="center"/>
          </w:tcPr>
          <w:p>
            <w:pPr>
              <w:pStyle w:val="TableContents"/>
              <w:bidi w:val="0"/>
              <w:spacing w:before="0" w:after="283"/>
              <w:jc w:val="center"/>
              <w:rPr/>
            </w:pPr>
            <w:r>
              <w:rPr/>
              <w:t>22</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15, 2030</w:t>
            </w:r>
          </w:p>
        </w:tc>
      </w:tr>
      <w:tr>
        <w:trPr/>
        <w:tc>
          <w:tcPr>
            <w:tcW w:w="1985" w:type="dxa"/>
            <w:tcBorders/>
            <w:vAlign w:val="center"/>
          </w:tcPr>
          <w:p>
            <w:pPr>
              <w:pStyle w:val="TableContents"/>
              <w:bidi w:val="0"/>
              <w:spacing w:before="0" w:after="283"/>
              <w:jc w:val="center"/>
              <w:rPr/>
            </w:pPr>
            <w:r>
              <w:rPr/>
              <w:t>23</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16, 2030</w:t>
            </w:r>
          </w:p>
        </w:tc>
      </w:tr>
      <w:tr>
        <w:trPr/>
        <w:tc>
          <w:tcPr>
            <w:tcW w:w="1985" w:type="dxa"/>
            <w:tcBorders/>
            <w:vAlign w:val="center"/>
          </w:tcPr>
          <w:p>
            <w:pPr>
              <w:pStyle w:val="TableContents"/>
              <w:bidi w:val="0"/>
              <w:spacing w:before="0" w:after="283"/>
              <w:jc w:val="center"/>
              <w:rPr/>
            </w:pPr>
            <w:r>
              <w:rPr/>
              <w:t>24</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17, 2030</w:t>
            </w:r>
          </w:p>
        </w:tc>
      </w:tr>
      <w:tr>
        <w:trPr/>
        <w:tc>
          <w:tcPr>
            <w:tcW w:w="1985" w:type="dxa"/>
            <w:tcBorders/>
            <w:vAlign w:val="center"/>
          </w:tcPr>
          <w:p>
            <w:pPr>
              <w:pStyle w:val="TableContents"/>
              <w:bidi w:val="0"/>
              <w:spacing w:before="0" w:after="283"/>
              <w:jc w:val="center"/>
              <w:rPr/>
            </w:pPr>
            <w:r>
              <w:rPr/>
              <w:t>25</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20, 2030</w:t>
            </w:r>
          </w:p>
        </w:tc>
      </w:tr>
      <w:tr>
        <w:trPr/>
        <w:tc>
          <w:tcPr>
            <w:tcW w:w="1985" w:type="dxa"/>
            <w:tcBorders/>
            <w:vAlign w:val="center"/>
          </w:tcPr>
          <w:p>
            <w:pPr>
              <w:pStyle w:val="TableContents"/>
              <w:bidi w:val="0"/>
              <w:spacing w:before="0" w:after="283"/>
              <w:jc w:val="center"/>
              <w:rPr/>
            </w:pPr>
            <w:r>
              <w:rPr/>
              <w:t>26</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21, 2030</w:t>
            </w:r>
          </w:p>
        </w:tc>
      </w:tr>
      <w:tr>
        <w:trPr/>
        <w:tc>
          <w:tcPr>
            <w:tcW w:w="1985" w:type="dxa"/>
            <w:tcBorders/>
            <w:vAlign w:val="center"/>
          </w:tcPr>
          <w:p>
            <w:pPr>
              <w:pStyle w:val="TableContents"/>
              <w:bidi w:val="0"/>
              <w:spacing w:before="0" w:after="283"/>
              <w:jc w:val="center"/>
              <w:rPr/>
            </w:pPr>
            <w:r>
              <w:rPr/>
              <w:t>27</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22, 2030</w:t>
            </w:r>
          </w:p>
        </w:tc>
      </w:tr>
      <w:tr>
        <w:trPr/>
        <w:tc>
          <w:tcPr>
            <w:tcW w:w="1985" w:type="dxa"/>
            <w:tcBorders/>
            <w:vAlign w:val="center"/>
          </w:tcPr>
          <w:p>
            <w:pPr>
              <w:pStyle w:val="TableContents"/>
              <w:bidi w:val="0"/>
              <w:spacing w:before="0" w:after="283"/>
              <w:jc w:val="center"/>
              <w:rPr/>
            </w:pPr>
            <w:r>
              <w:rPr/>
              <w:t>28</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23, 2030</w:t>
            </w:r>
          </w:p>
        </w:tc>
      </w:tr>
      <w:tr>
        <w:trPr/>
        <w:tc>
          <w:tcPr>
            <w:tcW w:w="1985" w:type="dxa"/>
            <w:tcBorders/>
            <w:vAlign w:val="center"/>
          </w:tcPr>
          <w:p>
            <w:pPr>
              <w:pStyle w:val="TableContents"/>
              <w:bidi w:val="0"/>
              <w:spacing w:before="0" w:after="283"/>
              <w:jc w:val="center"/>
              <w:rPr/>
            </w:pPr>
            <w:r>
              <w:rPr/>
              <w:t>29</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24, 2030</w:t>
            </w:r>
          </w:p>
        </w:tc>
      </w:tr>
      <w:tr>
        <w:trPr/>
        <w:tc>
          <w:tcPr>
            <w:tcW w:w="1985" w:type="dxa"/>
            <w:tcBorders/>
            <w:vAlign w:val="center"/>
          </w:tcPr>
          <w:p>
            <w:pPr>
              <w:pStyle w:val="TableContents"/>
              <w:bidi w:val="0"/>
              <w:spacing w:before="0" w:after="283"/>
              <w:jc w:val="center"/>
              <w:rPr/>
            </w:pPr>
            <w:r>
              <w:rPr/>
              <w:t>30</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28, 2030</w:t>
            </w:r>
          </w:p>
        </w:tc>
      </w:tr>
      <w:tr>
        <w:trPr/>
        <w:tc>
          <w:tcPr>
            <w:tcW w:w="1985" w:type="dxa"/>
            <w:tcBorders/>
            <w:vAlign w:val="center"/>
          </w:tcPr>
          <w:p>
            <w:pPr>
              <w:pStyle w:val="TableContents"/>
              <w:bidi w:val="0"/>
              <w:spacing w:before="0" w:after="283"/>
              <w:jc w:val="center"/>
              <w:rPr/>
            </w:pPr>
            <w:r>
              <w:rPr/>
              <w:t>31</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29, 2030</w:t>
            </w:r>
          </w:p>
        </w:tc>
      </w:tr>
      <w:tr>
        <w:trPr/>
        <w:tc>
          <w:tcPr>
            <w:tcW w:w="1985" w:type="dxa"/>
            <w:tcBorders/>
            <w:vAlign w:val="center"/>
          </w:tcPr>
          <w:p>
            <w:pPr>
              <w:pStyle w:val="TableContents"/>
              <w:bidi w:val="0"/>
              <w:spacing w:before="0" w:after="283"/>
              <w:jc w:val="center"/>
              <w:rPr/>
            </w:pPr>
            <w:r>
              <w:rPr/>
              <w:t>32</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30, 2030</w:t>
            </w:r>
          </w:p>
        </w:tc>
      </w:tr>
      <w:tr>
        <w:trPr/>
        <w:tc>
          <w:tcPr>
            <w:tcW w:w="1985" w:type="dxa"/>
            <w:tcBorders/>
            <w:vAlign w:val="center"/>
          </w:tcPr>
          <w:p>
            <w:pPr>
              <w:pStyle w:val="TableContents"/>
              <w:bidi w:val="0"/>
              <w:spacing w:before="0" w:after="283"/>
              <w:jc w:val="center"/>
              <w:rPr/>
            </w:pPr>
            <w:r>
              <w:rPr/>
              <w:t>33</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May 31, 2030</w:t>
            </w:r>
          </w:p>
        </w:tc>
      </w:tr>
      <w:tr>
        <w:trPr/>
        <w:tc>
          <w:tcPr>
            <w:tcW w:w="1985" w:type="dxa"/>
            <w:tcBorders/>
            <w:vAlign w:val="center"/>
          </w:tcPr>
          <w:p>
            <w:pPr>
              <w:pStyle w:val="TableContents"/>
              <w:bidi w:val="0"/>
              <w:spacing w:before="0" w:after="283"/>
              <w:jc w:val="center"/>
              <w:rPr/>
            </w:pPr>
            <w:r>
              <w:rPr/>
              <w:t>34</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June 3, 2030</w:t>
            </w:r>
          </w:p>
        </w:tc>
      </w:tr>
      <w:tr>
        <w:trPr/>
        <w:tc>
          <w:tcPr>
            <w:tcW w:w="1985" w:type="dxa"/>
            <w:tcBorders/>
            <w:vAlign w:val="center"/>
          </w:tcPr>
          <w:p>
            <w:pPr>
              <w:pStyle w:val="TableContents"/>
              <w:bidi w:val="0"/>
              <w:spacing w:before="0" w:after="283"/>
              <w:jc w:val="center"/>
              <w:rPr/>
            </w:pPr>
            <w:r>
              <w:rPr/>
              <w:t>35</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June 4, 2030</w:t>
            </w:r>
          </w:p>
        </w:tc>
      </w:tr>
      <w:tr>
        <w:trPr/>
        <w:tc>
          <w:tcPr>
            <w:tcW w:w="1985" w:type="dxa"/>
            <w:tcBorders/>
            <w:vAlign w:val="center"/>
          </w:tcPr>
          <w:p>
            <w:pPr>
              <w:pStyle w:val="TableContents"/>
              <w:bidi w:val="0"/>
              <w:spacing w:before="0" w:after="283"/>
              <w:jc w:val="center"/>
              <w:rPr/>
            </w:pPr>
            <w:r>
              <w:rPr/>
              <w:t>36</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June 5, 2030</w:t>
            </w:r>
          </w:p>
        </w:tc>
      </w:tr>
      <w:tr>
        <w:trPr/>
        <w:tc>
          <w:tcPr>
            <w:tcW w:w="1985" w:type="dxa"/>
            <w:tcBorders/>
            <w:vAlign w:val="center"/>
          </w:tcPr>
          <w:p>
            <w:pPr>
              <w:pStyle w:val="TableContents"/>
              <w:bidi w:val="0"/>
              <w:spacing w:before="0" w:after="283"/>
              <w:jc w:val="center"/>
              <w:rPr/>
            </w:pPr>
            <w:r>
              <w:rPr/>
              <w:t>37</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June 6, 2030</w:t>
            </w:r>
          </w:p>
        </w:tc>
      </w:tr>
      <w:tr>
        <w:trPr/>
        <w:tc>
          <w:tcPr>
            <w:tcW w:w="1985" w:type="dxa"/>
            <w:tcBorders/>
            <w:vAlign w:val="center"/>
          </w:tcPr>
          <w:p>
            <w:pPr>
              <w:pStyle w:val="TableContents"/>
              <w:bidi w:val="0"/>
              <w:spacing w:before="0" w:after="283"/>
              <w:jc w:val="center"/>
              <w:rPr/>
            </w:pPr>
            <w:r>
              <w:rPr/>
              <w:t>38</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June 7, 2030</w:t>
            </w:r>
          </w:p>
        </w:tc>
      </w:tr>
      <w:tr>
        <w:trPr/>
        <w:tc>
          <w:tcPr>
            <w:tcW w:w="1985" w:type="dxa"/>
            <w:tcBorders/>
            <w:vAlign w:val="center"/>
          </w:tcPr>
          <w:p>
            <w:pPr>
              <w:pStyle w:val="TableContents"/>
              <w:bidi w:val="0"/>
              <w:spacing w:before="0" w:after="283"/>
              <w:jc w:val="center"/>
              <w:rPr/>
            </w:pPr>
            <w:r>
              <w:rPr/>
              <w:t>39</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June 10, 2030</w:t>
            </w:r>
          </w:p>
        </w:tc>
      </w:tr>
      <w:tr>
        <w:trPr/>
        <w:tc>
          <w:tcPr>
            <w:tcW w:w="1985" w:type="dxa"/>
            <w:tcBorders/>
            <w:vAlign w:val="center"/>
          </w:tcPr>
          <w:p>
            <w:pPr>
              <w:pStyle w:val="TableContents"/>
              <w:bidi w:val="0"/>
              <w:spacing w:before="0" w:after="283"/>
              <w:jc w:val="center"/>
              <w:rPr/>
            </w:pPr>
            <w:r>
              <w:rPr/>
              <w:t>40</w:t>
            </w:r>
          </w:p>
        </w:tc>
        <w:tc>
          <w:tcPr>
            <w:tcW w:w="1970" w:type="dxa"/>
            <w:tcBorders/>
            <w:vAlign w:val="center"/>
          </w:tcPr>
          <w:p>
            <w:pPr>
              <w:pStyle w:val="TableContents"/>
              <w:bidi w:val="0"/>
              <w:spacing w:before="0" w:after="283"/>
              <w:jc w:val="center"/>
              <w:rPr/>
            </w:pPr>
            <w:r>
              <w:rPr/>
              <w:t>1,896</w:t>
            </w:r>
          </w:p>
        </w:tc>
        <w:tc>
          <w:tcPr>
            <w:tcW w:w="1535" w:type="dxa"/>
            <w:tcBorders/>
            <w:vAlign w:val="center"/>
          </w:tcPr>
          <w:p>
            <w:pPr>
              <w:pStyle w:val="TableContents"/>
              <w:bidi w:val="0"/>
              <w:spacing w:before="0" w:after="283"/>
              <w:jc w:val="left"/>
              <w:rPr/>
            </w:pPr>
            <w:r>
              <w:rPr/>
              <w:t>June 11, 2030</w:t>
            </w:r>
          </w:p>
        </w:tc>
      </w:tr>
      <w:tr>
        <w:trPr/>
        <w:tc>
          <w:tcPr>
            <w:tcW w:w="1985" w:type="dxa"/>
            <w:tcBorders/>
            <w:vAlign w:val="center"/>
          </w:tcPr>
          <w:p>
            <w:pPr>
              <w:pStyle w:val="TableContents"/>
              <w:bidi w:val="0"/>
              <w:spacing w:before="0" w:after="283"/>
              <w:jc w:val="center"/>
              <w:rPr/>
            </w:pPr>
            <w:r>
              <w:rPr/>
              <w:t>41</w:t>
            </w:r>
          </w:p>
        </w:tc>
        <w:tc>
          <w:tcPr>
            <w:tcW w:w="1970" w:type="dxa"/>
            <w:tcBorders/>
            <w:vAlign w:val="center"/>
          </w:tcPr>
          <w:p>
            <w:pPr>
              <w:pStyle w:val="TableContents"/>
              <w:bidi w:val="0"/>
              <w:spacing w:before="0" w:after="283"/>
              <w:jc w:val="center"/>
              <w:rPr/>
            </w:pPr>
            <w:r>
              <w:rPr/>
              <w:t>1,895</w:t>
            </w:r>
          </w:p>
        </w:tc>
        <w:tc>
          <w:tcPr>
            <w:tcW w:w="1535" w:type="dxa"/>
            <w:tcBorders/>
            <w:vAlign w:val="center"/>
          </w:tcPr>
          <w:p>
            <w:pPr>
              <w:pStyle w:val="TableContents"/>
              <w:bidi w:val="0"/>
              <w:spacing w:before="0" w:after="283"/>
              <w:jc w:val="left"/>
              <w:rPr/>
            </w:pPr>
            <w:r>
              <w:rPr/>
              <w:t>June 12, 2030</w:t>
            </w:r>
          </w:p>
        </w:tc>
      </w:tr>
      <w:tr>
        <w:trPr/>
        <w:tc>
          <w:tcPr>
            <w:tcW w:w="1985" w:type="dxa"/>
            <w:tcBorders/>
            <w:vAlign w:val="center"/>
          </w:tcPr>
          <w:p>
            <w:pPr>
              <w:pStyle w:val="TableContents"/>
              <w:bidi w:val="0"/>
              <w:spacing w:before="0" w:after="283"/>
              <w:jc w:val="center"/>
              <w:rPr/>
            </w:pPr>
            <w:r>
              <w:rPr/>
              <w:t>42</w:t>
            </w:r>
          </w:p>
        </w:tc>
        <w:tc>
          <w:tcPr>
            <w:tcW w:w="1970" w:type="dxa"/>
            <w:tcBorders/>
            <w:vAlign w:val="center"/>
          </w:tcPr>
          <w:p>
            <w:pPr>
              <w:pStyle w:val="TableContents"/>
              <w:bidi w:val="0"/>
              <w:spacing w:before="0" w:after="283"/>
              <w:jc w:val="center"/>
              <w:rPr/>
            </w:pPr>
            <w:r>
              <w:rPr/>
              <w:t>1,895</w:t>
            </w:r>
          </w:p>
        </w:tc>
        <w:tc>
          <w:tcPr>
            <w:tcW w:w="1535" w:type="dxa"/>
            <w:tcBorders/>
            <w:vAlign w:val="center"/>
          </w:tcPr>
          <w:p>
            <w:pPr>
              <w:pStyle w:val="TableContents"/>
              <w:bidi w:val="0"/>
              <w:spacing w:before="0" w:after="283"/>
              <w:jc w:val="left"/>
              <w:rPr/>
            </w:pPr>
            <w:r>
              <w:rPr/>
              <w:t>June 13, 2030</w:t>
            </w:r>
          </w:p>
        </w:tc>
      </w:tr>
      <w:tr>
        <w:trPr/>
        <w:tc>
          <w:tcPr>
            <w:tcW w:w="1985" w:type="dxa"/>
            <w:tcBorders/>
            <w:vAlign w:val="center"/>
          </w:tcPr>
          <w:p>
            <w:pPr>
              <w:pStyle w:val="TableContents"/>
              <w:bidi w:val="0"/>
              <w:spacing w:before="0" w:after="283"/>
              <w:jc w:val="center"/>
              <w:rPr/>
            </w:pPr>
            <w:r>
              <w:rPr/>
              <w:t>43</w:t>
            </w:r>
          </w:p>
        </w:tc>
        <w:tc>
          <w:tcPr>
            <w:tcW w:w="1970" w:type="dxa"/>
            <w:tcBorders/>
            <w:vAlign w:val="center"/>
          </w:tcPr>
          <w:p>
            <w:pPr>
              <w:pStyle w:val="TableContents"/>
              <w:bidi w:val="0"/>
              <w:spacing w:before="0" w:after="283"/>
              <w:jc w:val="center"/>
              <w:rPr/>
            </w:pPr>
            <w:r>
              <w:rPr/>
              <w:t>1,895</w:t>
            </w:r>
          </w:p>
        </w:tc>
        <w:tc>
          <w:tcPr>
            <w:tcW w:w="1535" w:type="dxa"/>
            <w:tcBorders/>
            <w:vAlign w:val="center"/>
          </w:tcPr>
          <w:p>
            <w:pPr>
              <w:pStyle w:val="TableContents"/>
              <w:bidi w:val="0"/>
              <w:spacing w:before="0" w:after="283"/>
              <w:jc w:val="left"/>
              <w:rPr/>
            </w:pPr>
            <w:r>
              <w:rPr/>
              <w:t>June 14, 2030</w:t>
            </w:r>
          </w:p>
        </w:tc>
      </w:tr>
      <w:tr>
        <w:trPr/>
        <w:tc>
          <w:tcPr>
            <w:tcW w:w="1985" w:type="dxa"/>
            <w:tcBorders/>
            <w:vAlign w:val="center"/>
          </w:tcPr>
          <w:p>
            <w:pPr>
              <w:pStyle w:val="TableContents"/>
              <w:bidi w:val="0"/>
              <w:spacing w:before="0" w:after="283"/>
              <w:jc w:val="center"/>
              <w:rPr/>
            </w:pPr>
            <w:r>
              <w:rPr/>
              <w:t>44</w:t>
            </w:r>
          </w:p>
        </w:tc>
        <w:tc>
          <w:tcPr>
            <w:tcW w:w="1970" w:type="dxa"/>
            <w:tcBorders/>
            <w:vAlign w:val="center"/>
          </w:tcPr>
          <w:p>
            <w:pPr>
              <w:pStyle w:val="TableContents"/>
              <w:bidi w:val="0"/>
              <w:spacing w:before="0" w:after="283"/>
              <w:jc w:val="center"/>
              <w:rPr/>
            </w:pPr>
            <w:r>
              <w:rPr/>
              <w:t>1,895</w:t>
            </w:r>
          </w:p>
        </w:tc>
        <w:tc>
          <w:tcPr>
            <w:tcW w:w="1535" w:type="dxa"/>
            <w:tcBorders/>
            <w:vAlign w:val="center"/>
          </w:tcPr>
          <w:p>
            <w:pPr>
              <w:pStyle w:val="TableContents"/>
              <w:bidi w:val="0"/>
              <w:spacing w:before="0" w:after="283"/>
              <w:jc w:val="left"/>
              <w:rPr/>
            </w:pPr>
            <w:r>
              <w:rPr/>
              <w:t>June 17, 2030</w:t>
            </w:r>
          </w:p>
        </w:tc>
      </w:tr>
      <w:tr>
        <w:trPr/>
        <w:tc>
          <w:tcPr>
            <w:tcW w:w="1985" w:type="dxa"/>
            <w:tcBorders/>
            <w:vAlign w:val="center"/>
          </w:tcPr>
          <w:p>
            <w:pPr>
              <w:pStyle w:val="TableContents"/>
              <w:bidi w:val="0"/>
              <w:spacing w:before="0" w:after="283"/>
              <w:jc w:val="center"/>
              <w:rPr/>
            </w:pPr>
            <w:r>
              <w:rPr/>
              <w:t>45</w:t>
            </w:r>
          </w:p>
        </w:tc>
        <w:tc>
          <w:tcPr>
            <w:tcW w:w="1970" w:type="dxa"/>
            <w:tcBorders/>
            <w:vAlign w:val="center"/>
          </w:tcPr>
          <w:p>
            <w:pPr>
              <w:pStyle w:val="TableContents"/>
              <w:bidi w:val="0"/>
              <w:spacing w:before="0" w:after="283"/>
              <w:jc w:val="center"/>
              <w:rPr/>
            </w:pPr>
            <w:r>
              <w:rPr/>
              <w:t>1,895</w:t>
            </w:r>
          </w:p>
        </w:tc>
        <w:tc>
          <w:tcPr>
            <w:tcW w:w="1535" w:type="dxa"/>
            <w:tcBorders/>
            <w:vAlign w:val="center"/>
          </w:tcPr>
          <w:p>
            <w:pPr>
              <w:pStyle w:val="TableContents"/>
              <w:bidi w:val="0"/>
              <w:spacing w:before="0" w:after="283"/>
              <w:jc w:val="left"/>
              <w:rPr/>
            </w:pPr>
            <w:r>
              <w:rPr/>
              <w:t>June 18, 2030</w:t>
            </w:r>
          </w:p>
        </w:tc>
      </w:tr>
      <w:tr>
        <w:trPr/>
        <w:tc>
          <w:tcPr>
            <w:tcW w:w="1985" w:type="dxa"/>
            <w:tcBorders/>
            <w:vAlign w:val="center"/>
          </w:tcPr>
          <w:p>
            <w:pPr>
              <w:pStyle w:val="TableContents"/>
              <w:bidi w:val="0"/>
              <w:spacing w:before="0" w:after="283"/>
              <w:jc w:val="center"/>
              <w:rPr/>
            </w:pPr>
            <w:r>
              <w:rPr/>
              <w:t>46</w:t>
            </w:r>
          </w:p>
        </w:tc>
        <w:tc>
          <w:tcPr>
            <w:tcW w:w="1970" w:type="dxa"/>
            <w:tcBorders/>
            <w:vAlign w:val="center"/>
          </w:tcPr>
          <w:p>
            <w:pPr>
              <w:pStyle w:val="TableContents"/>
              <w:bidi w:val="0"/>
              <w:spacing w:before="0" w:after="283"/>
              <w:jc w:val="center"/>
              <w:rPr/>
            </w:pPr>
            <w:r>
              <w:rPr/>
              <w:t>1,895</w:t>
            </w:r>
          </w:p>
        </w:tc>
        <w:tc>
          <w:tcPr>
            <w:tcW w:w="1535" w:type="dxa"/>
            <w:tcBorders/>
            <w:vAlign w:val="center"/>
          </w:tcPr>
          <w:p>
            <w:pPr>
              <w:pStyle w:val="TableContents"/>
              <w:bidi w:val="0"/>
              <w:spacing w:before="0" w:after="283"/>
              <w:jc w:val="left"/>
              <w:rPr/>
            </w:pPr>
            <w:r>
              <w:rPr/>
              <w:t>June 20, 2030</w:t>
            </w:r>
          </w:p>
        </w:tc>
      </w:tr>
      <w:tr>
        <w:trPr/>
        <w:tc>
          <w:tcPr>
            <w:tcW w:w="1985" w:type="dxa"/>
            <w:tcBorders/>
            <w:vAlign w:val="center"/>
          </w:tcPr>
          <w:p>
            <w:pPr>
              <w:pStyle w:val="TableContents"/>
              <w:bidi w:val="0"/>
              <w:spacing w:before="0" w:after="283"/>
              <w:jc w:val="center"/>
              <w:rPr/>
            </w:pPr>
            <w:r>
              <w:rPr/>
              <w:t>47</w:t>
            </w:r>
          </w:p>
        </w:tc>
        <w:tc>
          <w:tcPr>
            <w:tcW w:w="1970" w:type="dxa"/>
            <w:tcBorders/>
            <w:vAlign w:val="center"/>
          </w:tcPr>
          <w:p>
            <w:pPr>
              <w:pStyle w:val="TableContents"/>
              <w:bidi w:val="0"/>
              <w:spacing w:before="0" w:after="283"/>
              <w:jc w:val="center"/>
              <w:rPr/>
            </w:pPr>
            <w:r>
              <w:rPr/>
              <w:t>1,895</w:t>
            </w:r>
          </w:p>
        </w:tc>
        <w:tc>
          <w:tcPr>
            <w:tcW w:w="1535" w:type="dxa"/>
            <w:tcBorders/>
            <w:vAlign w:val="center"/>
          </w:tcPr>
          <w:p>
            <w:pPr>
              <w:pStyle w:val="TableContents"/>
              <w:bidi w:val="0"/>
              <w:spacing w:before="0" w:after="283"/>
              <w:jc w:val="left"/>
              <w:rPr/>
            </w:pPr>
            <w:r>
              <w:rPr/>
              <w:t>June 21, 2030</w:t>
            </w:r>
          </w:p>
        </w:tc>
      </w:tr>
      <w:tr>
        <w:trPr/>
        <w:tc>
          <w:tcPr>
            <w:tcW w:w="1985" w:type="dxa"/>
            <w:tcBorders/>
            <w:vAlign w:val="center"/>
          </w:tcPr>
          <w:p>
            <w:pPr>
              <w:pStyle w:val="TableContents"/>
              <w:bidi w:val="0"/>
              <w:spacing w:before="0" w:after="283"/>
              <w:jc w:val="center"/>
              <w:rPr/>
            </w:pPr>
            <w:r>
              <w:rPr/>
              <w:t>48</w:t>
            </w:r>
          </w:p>
        </w:tc>
        <w:tc>
          <w:tcPr>
            <w:tcW w:w="1970" w:type="dxa"/>
            <w:tcBorders/>
            <w:vAlign w:val="center"/>
          </w:tcPr>
          <w:p>
            <w:pPr>
              <w:pStyle w:val="TableContents"/>
              <w:bidi w:val="0"/>
              <w:spacing w:before="0" w:after="283"/>
              <w:jc w:val="center"/>
              <w:rPr/>
            </w:pPr>
            <w:r>
              <w:rPr/>
              <w:t>1,895</w:t>
            </w:r>
          </w:p>
        </w:tc>
        <w:tc>
          <w:tcPr>
            <w:tcW w:w="1535" w:type="dxa"/>
            <w:tcBorders/>
            <w:vAlign w:val="center"/>
          </w:tcPr>
          <w:p>
            <w:pPr>
              <w:pStyle w:val="TableContents"/>
              <w:bidi w:val="0"/>
              <w:spacing w:before="0" w:after="283"/>
              <w:jc w:val="left"/>
              <w:rPr/>
            </w:pPr>
            <w:r>
              <w:rPr/>
              <w:t>June 24, 2030</w:t>
            </w:r>
          </w:p>
        </w:tc>
      </w:tr>
      <w:tr>
        <w:trPr/>
        <w:tc>
          <w:tcPr>
            <w:tcW w:w="1985" w:type="dxa"/>
            <w:tcBorders/>
            <w:vAlign w:val="center"/>
          </w:tcPr>
          <w:p>
            <w:pPr>
              <w:pStyle w:val="TableContents"/>
              <w:bidi w:val="0"/>
              <w:spacing w:before="0" w:after="283"/>
              <w:jc w:val="center"/>
              <w:rPr/>
            </w:pPr>
            <w:r>
              <w:rPr/>
              <w:t>49</w:t>
            </w:r>
          </w:p>
        </w:tc>
        <w:tc>
          <w:tcPr>
            <w:tcW w:w="1970" w:type="dxa"/>
            <w:tcBorders/>
            <w:vAlign w:val="center"/>
          </w:tcPr>
          <w:p>
            <w:pPr>
              <w:pStyle w:val="TableContents"/>
              <w:bidi w:val="0"/>
              <w:spacing w:before="0" w:after="283"/>
              <w:jc w:val="center"/>
              <w:rPr/>
            </w:pPr>
            <w:r>
              <w:rPr/>
              <w:t>1,895</w:t>
            </w:r>
          </w:p>
        </w:tc>
        <w:tc>
          <w:tcPr>
            <w:tcW w:w="1535" w:type="dxa"/>
            <w:tcBorders/>
            <w:vAlign w:val="center"/>
          </w:tcPr>
          <w:p>
            <w:pPr>
              <w:pStyle w:val="TableContents"/>
              <w:bidi w:val="0"/>
              <w:spacing w:before="0" w:after="283"/>
              <w:jc w:val="left"/>
              <w:rPr/>
            </w:pPr>
            <w:r>
              <w:rPr/>
              <w:t>June 25, 2030</w:t>
            </w:r>
          </w:p>
        </w:tc>
      </w:tr>
      <w:tr>
        <w:trPr/>
        <w:tc>
          <w:tcPr>
            <w:tcW w:w="1985" w:type="dxa"/>
            <w:tcBorders/>
            <w:vAlign w:val="center"/>
          </w:tcPr>
          <w:p>
            <w:pPr>
              <w:pStyle w:val="TableContents"/>
              <w:bidi w:val="0"/>
              <w:spacing w:before="0" w:after="283"/>
              <w:jc w:val="center"/>
              <w:rPr/>
            </w:pPr>
            <w:r>
              <w:rPr/>
              <w:t>50</w:t>
            </w:r>
          </w:p>
        </w:tc>
        <w:tc>
          <w:tcPr>
            <w:tcW w:w="1970" w:type="dxa"/>
            <w:tcBorders/>
            <w:vAlign w:val="center"/>
          </w:tcPr>
          <w:p>
            <w:pPr>
              <w:pStyle w:val="TableContents"/>
              <w:bidi w:val="0"/>
              <w:spacing w:before="0" w:after="283"/>
              <w:jc w:val="center"/>
              <w:rPr/>
            </w:pPr>
            <w:r>
              <w:rPr/>
              <w:t>1,895</w:t>
            </w:r>
          </w:p>
        </w:tc>
        <w:tc>
          <w:tcPr>
            <w:tcW w:w="1535" w:type="dxa"/>
            <w:tcBorders/>
            <w:vAlign w:val="center"/>
          </w:tcPr>
          <w:p>
            <w:pPr>
              <w:pStyle w:val="TableContents"/>
              <w:bidi w:val="0"/>
              <w:spacing w:before="0" w:after="283"/>
              <w:jc w:val="left"/>
              <w:rPr/>
            </w:pPr>
            <w:r>
              <w:rPr/>
              <w:t>June 26, 2030</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775" w:type="dxa"/>
        <w:jc w:val="left"/>
        <w:tblInd w:w="0" w:type="dxa"/>
        <w:tblLayout w:type="fixed"/>
        <w:tblCellMar>
          <w:top w:w="0" w:type="dxa"/>
          <w:left w:w="0" w:type="dxa"/>
          <w:bottom w:w="0" w:type="dxa"/>
          <w:right w:w="0" w:type="dxa"/>
        </w:tblCellMar>
      </w:tblPr>
      <w:tblGrid>
        <w:gridCol w:w="395"/>
        <w:gridCol w:w="560"/>
        <w:gridCol w:w="1820"/>
      </w:tblGrid>
      <w:tr>
        <w:trPr/>
        <w:tc>
          <w:tcPr>
            <w:tcW w:w="395" w:type="dxa"/>
            <w:tcBorders/>
            <w:vAlign w:val="center"/>
          </w:tcPr>
          <w:p>
            <w:pPr>
              <w:pStyle w:val="TableContents"/>
              <w:bidi w:val="0"/>
              <w:spacing w:before="0" w:after="283"/>
              <w:jc w:val="center"/>
              <w:rPr/>
            </w:pPr>
            <w:r>
              <w:rPr/>
              <w:t>51</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June 27, 2030</w:t>
            </w:r>
          </w:p>
        </w:tc>
      </w:tr>
      <w:tr>
        <w:trPr/>
        <w:tc>
          <w:tcPr>
            <w:tcW w:w="395" w:type="dxa"/>
            <w:tcBorders/>
            <w:vAlign w:val="center"/>
          </w:tcPr>
          <w:p>
            <w:pPr>
              <w:pStyle w:val="TableContents"/>
              <w:bidi w:val="0"/>
              <w:spacing w:before="0" w:after="283"/>
              <w:jc w:val="center"/>
              <w:rPr/>
            </w:pPr>
            <w:r>
              <w:rPr/>
              <w:t>52</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June 28, 2030</w:t>
            </w:r>
          </w:p>
        </w:tc>
      </w:tr>
      <w:tr>
        <w:trPr/>
        <w:tc>
          <w:tcPr>
            <w:tcW w:w="395" w:type="dxa"/>
            <w:tcBorders/>
            <w:vAlign w:val="center"/>
          </w:tcPr>
          <w:p>
            <w:pPr>
              <w:pStyle w:val="TableContents"/>
              <w:bidi w:val="0"/>
              <w:spacing w:before="0" w:after="283"/>
              <w:jc w:val="center"/>
              <w:rPr/>
            </w:pPr>
            <w:r>
              <w:rPr/>
              <w:t>53</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1, 2030</w:t>
            </w:r>
          </w:p>
        </w:tc>
      </w:tr>
      <w:tr>
        <w:trPr/>
        <w:tc>
          <w:tcPr>
            <w:tcW w:w="395" w:type="dxa"/>
            <w:tcBorders/>
            <w:vAlign w:val="center"/>
          </w:tcPr>
          <w:p>
            <w:pPr>
              <w:pStyle w:val="TableContents"/>
              <w:bidi w:val="0"/>
              <w:spacing w:before="0" w:after="283"/>
              <w:jc w:val="center"/>
              <w:rPr/>
            </w:pPr>
            <w:r>
              <w:rPr/>
              <w:t>54</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2, 2030</w:t>
            </w:r>
          </w:p>
        </w:tc>
      </w:tr>
      <w:tr>
        <w:trPr/>
        <w:tc>
          <w:tcPr>
            <w:tcW w:w="395" w:type="dxa"/>
            <w:tcBorders/>
            <w:vAlign w:val="center"/>
          </w:tcPr>
          <w:p>
            <w:pPr>
              <w:pStyle w:val="TableContents"/>
              <w:bidi w:val="0"/>
              <w:spacing w:before="0" w:after="283"/>
              <w:jc w:val="center"/>
              <w:rPr/>
            </w:pPr>
            <w:r>
              <w:rPr/>
              <w:t>55</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3, 2030</w:t>
            </w:r>
          </w:p>
        </w:tc>
      </w:tr>
      <w:tr>
        <w:trPr/>
        <w:tc>
          <w:tcPr>
            <w:tcW w:w="395" w:type="dxa"/>
            <w:tcBorders/>
            <w:vAlign w:val="center"/>
          </w:tcPr>
          <w:p>
            <w:pPr>
              <w:pStyle w:val="TableContents"/>
              <w:bidi w:val="0"/>
              <w:spacing w:before="0" w:after="283"/>
              <w:jc w:val="center"/>
              <w:rPr/>
            </w:pPr>
            <w:r>
              <w:rPr/>
              <w:t>56</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5, 2030</w:t>
            </w:r>
          </w:p>
        </w:tc>
      </w:tr>
      <w:tr>
        <w:trPr/>
        <w:tc>
          <w:tcPr>
            <w:tcW w:w="395" w:type="dxa"/>
            <w:tcBorders/>
            <w:vAlign w:val="center"/>
          </w:tcPr>
          <w:p>
            <w:pPr>
              <w:pStyle w:val="TableContents"/>
              <w:bidi w:val="0"/>
              <w:spacing w:before="0" w:after="283"/>
              <w:jc w:val="center"/>
              <w:rPr/>
            </w:pPr>
            <w:r>
              <w:rPr/>
              <w:t>57</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8, 2030</w:t>
            </w:r>
          </w:p>
        </w:tc>
      </w:tr>
      <w:tr>
        <w:trPr/>
        <w:tc>
          <w:tcPr>
            <w:tcW w:w="395" w:type="dxa"/>
            <w:tcBorders/>
            <w:vAlign w:val="center"/>
          </w:tcPr>
          <w:p>
            <w:pPr>
              <w:pStyle w:val="TableContents"/>
              <w:bidi w:val="0"/>
              <w:spacing w:before="0" w:after="283"/>
              <w:jc w:val="center"/>
              <w:rPr/>
            </w:pPr>
            <w:r>
              <w:rPr/>
              <w:t>58</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9, 2030</w:t>
            </w:r>
          </w:p>
        </w:tc>
      </w:tr>
      <w:tr>
        <w:trPr/>
        <w:tc>
          <w:tcPr>
            <w:tcW w:w="395" w:type="dxa"/>
            <w:tcBorders/>
            <w:vAlign w:val="center"/>
          </w:tcPr>
          <w:p>
            <w:pPr>
              <w:pStyle w:val="TableContents"/>
              <w:bidi w:val="0"/>
              <w:spacing w:before="0" w:after="283"/>
              <w:jc w:val="center"/>
              <w:rPr/>
            </w:pPr>
            <w:r>
              <w:rPr/>
              <w:t>59</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10, 2030</w:t>
            </w:r>
          </w:p>
        </w:tc>
      </w:tr>
      <w:tr>
        <w:trPr/>
        <w:tc>
          <w:tcPr>
            <w:tcW w:w="395" w:type="dxa"/>
            <w:tcBorders/>
            <w:vAlign w:val="center"/>
          </w:tcPr>
          <w:p>
            <w:pPr>
              <w:pStyle w:val="TableContents"/>
              <w:bidi w:val="0"/>
              <w:spacing w:before="0" w:after="283"/>
              <w:jc w:val="center"/>
              <w:rPr/>
            </w:pPr>
            <w:r>
              <w:rPr/>
              <w:t>60</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11, 2030</w:t>
            </w:r>
          </w:p>
        </w:tc>
      </w:tr>
      <w:tr>
        <w:trPr/>
        <w:tc>
          <w:tcPr>
            <w:tcW w:w="395" w:type="dxa"/>
            <w:tcBorders/>
            <w:vAlign w:val="center"/>
          </w:tcPr>
          <w:p>
            <w:pPr>
              <w:pStyle w:val="TableContents"/>
              <w:bidi w:val="0"/>
              <w:spacing w:before="0" w:after="283"/>
              <w:jc w:val="center"/>
              <w:rPr/>
            </w:pPr>
            <w:r>
              <w:rPr/>
              <w:t>61</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12, 2030</w:t>
            </w:r>
          </w:p>
        </w:tc>
      </w:tr>
      <w:tr>
        <w:trPr/>
        <w:tc>
          <w:tcPr>
            <w:tcW w:w="395" w:type="dxa"/>
            <w:tcBorders/>
            <w:vAlign w:val="center"/>
          </w:tcPr>
          <w:p>
            <w:pPr>
              <w:pStyle w:val="TableContents"/>
              <w:bidi w:val="0"/>
              <w:spacing w:before="0" w:after="283"/>
              <w:jc w:val="center"/>
              <w:rPr/>
            </w:pPr>
            <w:r>
              <w:rPr/>
              <w:t>62</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15, 2030</w:t>
            </w:r>
          </w:p>
        </w:tc>
      </w:tr>
      <w:tr>
        <w:trPr/>
        <w:tc>
          <w:tcPr>
            <w:tcW w:w="395" w:type="dxa"/>
            <w:tcBorders/>
            <w:vAlign w:val="center"/>
          </w:tcPr>
          <w:p>
            <w:pPr>
              <w:pStyle w:val="TableContents"/>
              <w:bidi w:val="0"/>
              <w:spacing w:before="0" w:after="283"/>
              <w:jc w:val="center"/>
              <w:rPr/>
            </w:pPr>
            <w:r>
              <w:rPr/>
              <w:t>63</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16, 2030</w:t>
            </w:r>
          </w:p>
        </w:tc>
      </w:tr>
      <w:tr>
        <w:trPr/>
        <w:tc>
          <w:tcPr>
            <w:tcW w:w="395" w:type="dxa"/>
            <w:tcBorders/>
            <w:vAlign w:val="center"/>
          </w:tcPr>
          <w:p>
            <w:pPr>
              <w:pStyle w:val="TableContents"/>
              <w:bidi w:val="0"/>
              <w:spacing w:before="0" w:after="283"/>
              <w:jc w:val="center"/>
              <w:rPr/>
            </w:pPr>
            <w:r>
              <w:rPr/>
              <w:t>64</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17, 2030</w:t>
            </w:r>
          </w:p>
        </w:tc>
      </w:tr>
      <w:tr>
        <w:trPr/>
        <w:tc>
          <w:tcPr>
            <w:tcW w:w="395" w:type="dxa"/>
            <w:tcBorders/>
            <w:vAlign w:val="center"/>
          </w:tcPr>
          <w:p>
            <w:pPr>
              <w:pStyle w:val="TableContents"/>
              <w:bidi w:val="0"/>
              <w:spacing w:before="0" w:after="283"/>
              <w:jc w:val="center"/>
              <w:rPr/>
            </w:pPr>
            <w:r>
              <w:rPr/>
              <w:t>65</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18, 2030</w:t>
            </w:r>
          </w:p>
        </w:tc>
      </w:tr>
      <w:tr>
        <w:trPr/>
        <w:tc>
          <w:tcPr>
            <w:tcW w:w="395" w:type="dxa"/>
            <w:tcBorders/>
            <w:vAlign w:val="center"/>
          </w:tcPr>
          <w:p>
            <w:pPr>
              <w:pStyle w:val="TableContents"/>
              <w:bidi w:val="0"/>
              <w:spacing w:before="0" w:after="283"/>
              <w:jc w:val="center"/>
              <w:rPr/>
            </w:pPr>
            <w:r>
              <w:rPr/>
              <w:t>66</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19, 2030</w:t>
            </w:r>
          </w:p>
        </w:tc>
      </w:tr>
      <w:tr>
        <w:trPr/>
        <w:tc>
          <w:tcPr>
            <w:tcW w:w="395" w:type="dxa"/>
            <w:tcBorders/>
            <w:vAlign w:val="center"/>
          </w:tcPr>
          <w:p>
            <w:pPr>
              <w:pStyle w:val="TableContents"/>
              <w:bidi w:val="0"/>
              <w:spacing w:before="0" w:after="283"/>
              <w:jc w:val="center"/>
              <w:rPr/>
            </w:pPr>
            <w:r>
              <w:rPr/>
              <w:t>67</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22, 2030</w:t>
            </w:r>
          </w:p>
        </w:tc>
      </w:tr>
      <w:tr>
        <w:trPr/>
        <w:tc>
          <w:tcPr>
            <w:tcW w:w="395" w:type="dxa"/>
            <w:tcBorders/>
            <w:vAlign w:val="center"/>
          </w:tcPr>
          <w:p>
            <w:pPr>
              <w:pStyle w:val="TableContents"/>
              <w:bidi w:val="0"/>
              <w:spacing w:before="0" w:after="283"/>
              <w:jc w:val="center"/>
              <w:rPr/>
            </w:pPr>
            <w:r>
              <w:rPr/>
              <w:t>68</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23, 2030</w:t>
            </w:r>
          </w:p>
        </w:tc>
      </w:tr>
      <w:tr>
        <w:trPr/>
        <w:tc>
          <w:tcPr>
            <w:tcW w:w="395" w:type="dxa"/>
            <w:tcBorders/>
            <w:vAlign w:val="center"/>
          </w:tcPr>
          <w:p>
            <w:pPr>
              <w:pStyle w:val="TableContents"/>
              <w:bidi w:val="0"/>
              <w:spacing w:before="0" w:after="283"/>
              <w:jc w:val="center"/>
              <w:rPr/>
            </w:pPr>
            <w:r>
              <w:rPr/>
              <w:t>69</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24, 2030</w:t>
            </w:r>
          </w:p>
        </w:tc>
      </w:tr>
      <w:tr>
        <w:trPr/>
        <w:tc>
          <w:tcPr>
            <w:tcW w:w="395" w:type="dxa"/>
            <w:tcBorders/>
            <w:vAlign w:val="center"/>
          </w:tcPr>
          <w:p>
            <w:pPr>
              <w:pStyle w:val="TableContents"/>
              <w:bidi w:val="0"/>
              <w:spacing w:before="0" w:after="283"/>
              <w:jc w:val="center"/>
              <w:rPr/>
            </w:pPr>
            <w:r>
              <w:rPr/>
              <w:t>70</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25, 2030</w:t>
            </w:r>
          </w:p>
        </w:tc>
      </w:tr>
      <w:tr>
        <w:trPr/>
        <w:tc>
          <w:tcPr>
            <w:tcW w:w="395" w:type="dxa"/>
            <w:tcBorders/>
            <w:vAlign w:val="center"/>
          </w:tcPr>
          <w:p>
            <w:pPr>
              <w:pStyle w:val="TableContents"/>
              <w:bidi w:val="0"/>
              <w:spacing w:before="0" w:after="283"/>
              <w:jc w:val="center"/>
              <w:rPr/>
            </w:pPr>
            <w:r>
              <w:rPr/>
              <w:t>71</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26, 2030</w:t>
            </w:r>
          </w:p>
        </w:tc>
      </w:tr>
      <w:tr>
        <w:trPr/>
        <w:tc>
          <w:tcPr>
            <w:tcW w:w="395" w:type="dxa"/>
            <w:tcBorders/>
            <w:vAlign w:val="center"/>
          </w:tcPr>
          <w:p>
            <w:pPr>
              <w:pStyle w:val="TableContents"/>
              <w:bidi w:val="0"/>
              <w:spacing w:before="0" w:after="283"/>
              <w:jc w:val="center"/>
              <w:rPr/>
            </w:pPr>
            <w:r>
              <w:rPr/>
              <w:t>72</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29, 2030</w:t>
            </w:r>
          </w:p>
        </w:tc>
      </w:tr>
      <w:tr>
        <w:trPr/>
        <w:tc>
          <w:tcPr>
            <w:tcW w:w="395" w:type="dxa"/>
            <w:tcBorders/>
            <w:vAlign w:val="center"/>
          </w:tcPr>
          <w:p>
            <w:pPr>
              <w:pStyle w:val="TableContents"/>
              <w:bidi w:val="0"/>
              <w:spacing w:before="0" w:after="283"/>
              <w:jc w:val="center"/>
              <w:rPr/>
            </w:pPr>
            <w:r>
              <w:rPr/>
              <w:t>73</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30, 2030</w:t>
            </w:r>
          </w:p>
        </w:tc>
      </w:tr>
      <w:tr>
        <w:trPr/>
        <w:tc>
          <w:tcPr>
            <w:tcW w:w="395" w:type="dxa"/>
            <w:tcBorders/>
            <w:vAlign w:val="center"/>
          </w:tcPr>
          <w:p>
            <w:pPr>
              <w:pStyle w:val="TableContents"/>
              <w:bidi w:val="0"/>
              <w:spacing w:before="0" w:after="283"/>
              <w:jc w:val="center"/>
              <w:rPr/>
            </w:pPr>
            <w:r>
              <w:rPr/>
              <w:t>74</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July 31, 2030</w:t>
            </w:r>
          </w:p>
        </w:tc>
      </w:tr>
      <w:tr>
        <w:trPr/>
        <w:tc>
          <w:tcPr>
            <w:tcW w:w="395" w:type="dxa"/>
            <w:tcBorders/>
            <w:vAlign w:val="center"/>
          </w:tcPr>
          <w:p>
            <w:pPr>
              <w:pStyle w:val="TableContents"/>
              <w:bidi w:val="0"/>
              <w:spacing w:before="0" w:after="283"/>
              <w:jc w:val="center"/>
              <w:rPr/>
            </w:pPr>
            <w:r>
              <w:rPr/>
              <w:t>75</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1, 2030</w:t>
            </w:r>
          </w:p>
        </w:tc>
      </w:tr>
      <w:tr>
        <w:trPr/>
        <w:tc>
          <w:tcPr>
            <w:tcW w:w="395" w:type="dxa"/>
            <w:tcBorders/>
            <w:vAlign w:val="center"/>
          </w:tcPr>
          <w:p>
            <w:pPr>
              <w:pStyle w:val="TableContents"/>
              <w:bidi w:val="0"/>
              <w:spacing w:before="0" w:after="283"/>
              <w:jc w:val="center"/>
              <w:rPr/>
            </w:pPr>
            <w:r>
              <w:rPr/>
              <w:t>76</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2, 2030</w:t>
            </w:r>
          </w:p>
        </w:tc>
      </w:tr>
      <w:tr>
        <w:trPr/>
        <w:tc>
          <w:tcPr>
            <w:tcW w:w="395" w:type="dxa"/>
            <w:tcBorders/>
            <w:vAlign w:val="center"/>
          </w:tcPr>
          <w:p>
            <w:pPr>
              <w:pStyle w:val="TableContents"/>
              <w:bidi w:val="0"/>
              <w:spacing w:before="0" w:after="283"/>
              <w:jc w:val="center"/>
              <w:rPr/>
            </w:pPr>
            <w:r>
              <w:rPr/>
              <w:t>77</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5, 2030</w:t>
            </w:r>
          </w:p>
        </w:tc>
      </w:tr>
      <w:tr>
        <w:trPr/>
        <w:tc>
          <w:tcPr>
            <w:tcW w:w="395" w:type="dxa"/>
            <w:tcBorders/>
            <w:vAlign w:val="center"/>
          </w:tcPr>
          <w:p>
            <w:pPr>
              <w:pStyle w:val="TableContents"/>
              <w:bidi w:val="0"/>
              <w:spacing w:before="0" w:after="283"/>
              <w:jc w:val="center"/>
              <w:rPr/>
            </w:pPr>
            <w:r>
              <w:rPr/>
              <w:t>78</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6, 2030</w:t>
            </w:r>
          </w:p>
        </w:tc>
      </w:tr>
      <w:tr>
        <w:trPr/>
        <w:tc>
          <w:tcPr>
            <w:tcW w:w="395" w:type="dxa"/>
            <w:tcBorders/>
            <w:vAlign w:val="center"/>
          </w:tcPr>
          <w:p>
            <w:pPr>
              <w:pStyle w:val="TableContents"/>
              <w:bidi w:val="0"/>
              <w:spacing w:before="0" w:after="283"/>
              <w:jc w:val="center"/>
              <w:rPr/>
            </w:pPr>
            <w:r>
              <w:rPr/>
              <w:t>79</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7, 2030</w:t>
            </w:r>
          </w:p>
        </w:tc>
      </w:tr>
      <w:tr>
        <w:trPr/>
        <w:tc>
          <w:tcPr>
            <w:tcW w:w="395" w:type="dxa"/>
            <w:tcBorders/>
            <w:vAlign w:val="center"/>
          </w:tcPr>
          <w:p>
            <w:pPr>
              <w:pStyle w:val="TableContents"/>
              <w:bidi w:val="0"/>
              <w:spacing w:before="0" w:after="283"/>
              <w:jc w:val="center"/>
              <w:rPr/>
            </w:pPr>
            <w:r>
              <w:rPr/>
              <w:t>80</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8, 2030</w:t>
            </w:r>
          </w:p>
        </w:tc>
      </w:tr>
      <w:tr>
        <w:trPr/>
        <w:tc>
          <w:tcPr>
            <w:tcW w:w="395" w:type="dxa"/>
            <w:tcBorders/>
            <w:vAlign w:val="center"/>
          </w:tcPr>
          <w:p>
            <w:pPr>
              <w:pStyle w:val="TableContents"/>
              <w:bidi w:val="0"/>
              <w:spacing w:before="0" w:after="283"/>
              <w:jc w:val="center"/>
              <w:rPr/>
            </w:pPr>
            <w:r>
              <w:rPr/>
              <w:t>81</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9, 2030</w:t>
            </w:r>
          </w:p>
        </w:tc>
      </w:tr>
      <w:tr>
        <w:trPr/>
        <w:tc>
          <w:tcPr>
            <w:tcW w:w="395" w:type="dxa"/>
            <w:tcBorders/>
            <w:vAlign w:val="center"/>
          </w:tcPr>
          <w:p>
            <w:pPr>
              <w:pStyle w:val="TableContents"/>
              <w:bidi w:val="0"/>
              <w:spacing w:before="0" w:after="283"/>
              <w:jc w:val="center"/>
              <w:rPr/>
            </w:pPr>
            <w:r>
              <w:rPr/>
              <w:t>82</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12, 2030</w:t>
            </w:r>
          </w:p>
        </w:tc>
      </w:tr>
      <w:tr>
        <w:trPr/>
        <w:tc>
          <w:tcPr>
            <w:tcW w:w="395" w:type="dxa"/>
            <w:tcBorders/>
            <w:vAlign w:val="center"/>
          </w:tcPr>
          <w:p>
            <w:pPr>
              <w:pStyle w:val="TableContents"/>
              <w:bidi w:val="0"/>
              <w:spacing w:before="0" w:after="283"/>
              <w:jc w:val="center"/>
              <w:rPr/>
            </w:pPr>
            <w:r>
              <w:rPr/>
              <w:t>83</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13, 2030</w:t>
            </w:r>
          </w:p>
        </w:tc>
      </w:tr>
      <w:tr>
        <w:trPr/>
        <w:tc>
          <w:tcPr>
            <w:tcW w:w="395" w:type="dxa"/>
            <w:tcBorders/>
            <w:vAlign w:val="center"/>
          </w:tcPr>
          <w:p>
            <w:pPr>
              <w:pStyle w:val="TableContents"/>
              <w:bidi w:val="0"/>
              <w:spacing w:before="0" w:after="283"/>
              <w:jc w:val="center"/>
              <w:rPr/>
            </w:pPr>
            <w:r>
              <w:rPr/>
              <w:t>84</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14, 2030</w:t>
            </w:r>
          </w:p>
        </w:tc>
      </w:tr>
      <w:tr>
        <w:trPr/>
        <w:tc>
          <w:tcPr>
            <w:tcW w:w="395" w:type="dxa"/>
            <w:tcBorders/>
            <w:vAlign w:val="center"/>
          </w:tcPr>
          <w:p>
            <w:pPr>
              <w:pStyle w:val="TableContents"/>
              <w:bidi w:val="0"/>
              <w:spacing w:before="0" w:after="283"/>
              <w:jc w:val="center"/>
              <w:rPr/>
            </w:pPr>
            <w:r>
              <w:rPr/>
              <w:t>85</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15, 2030</w:t>
            </w:r>
          </w:p>
        </w:tc>
      </w:tr>
      <w:tr>
        <w:trPr/>
        <w:tc>
          <w:tcPr>
            <w:tcW w:w="395" w:type="dxa"/>
            <w:tcBorders/>
            <w:vAlign w:val="center"/>
          </w:tcPr>
          <w:p>
            <w:pPr>
              <w:pStyle w:val="TableContents"/>
              <w:bidi w:val="0"/>
              <w:spacing w:before="0" w:after="283"/>
              <w:jc w:val="center"/>
              <w:rPr/>
            </w:pPr>
            <w:r>
              <w:rPr/>
              <w:t>86</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16, 2030</w:t>
            </w:r>
          </w:p>
        </w:tc>
      </w:tr>
      <w:tr>
        <w:trPr/>
        <w:tc>
          <w:tcPr>
            <w:tcW w:w="395" w:type="dxa"/>
            <w:tcBorders/>
            <w:vAlign w:val="center"/>
          </w:tcPr>
          <w:p>
            <w:pPr>
              <w:pStyle w:val="TableContents"/>
              <w:bidi w:val="0"/>
              <w:spacing w:before="0" w:after="283"/>
              <w:jc w:val="center"/>
              <w:rPr/>
            </w:pPr>
            <w:r>
              <w:rPr/>
              <w:t>87</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19, 2030</w:t>
            </w:r>
          </w:p>
        </w:tc>
      </w:tr>
      <w:tr>
        <w:trPr/>
        <w:tc>
          <w:tcPr>
            <w:tcW w:w="395" w:type="dxa"/>
            <w:tcBorders/>
            <w:vAlign w:val="center"/>
          </w:tcPr>
          <w:p>
            <w:pPr>
              <w:pStyle w:val="TableContents"/>
              <w:bidi w:val="0"/>
              <w:spacing w:before="0" w:after="283"/>
              <w:jc w:val="center"/>
              <w:rPr/>
            </w:pPr>
            <w:r>
              <w:rPr/>
              <w:t>88</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20, 2030</w:t>
            </w:r>
          </w:p>
        </w:tc>
      </w:tr>
      <w:tr>
        <w:trPr/>
        <w:tc>
          <w:tcPr>
            <w:tcW w:w="395" w:type="dxa"/>
            <w:tcBorders/>
            <w:vAlign w:val="center"/>
          </w:tcPr>
          <w:p>
            <w:pPr>
              <w:pStyle w:val="TableContents"/>
              <w:bidi w:val="0"/>
              <w:spacing w:before="0" w:after="283"/>
              <w:jc w:val="center"/>
              <w:rPr/>
            </w:pPr>
            <w:r>
              <w:rPr/>
              <w:t>89</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21, 2030</w:t>
            </w:r>
          </w:p>
        </w:tc>
      </w:tr>
      <w:tr>
        <w:trPr/>
        <w:tc>
          <w:tcPr>
            <w:tcW w:w="395" w:type="dxa"/>
            <w:tcBorders/>
            <w:vAlign w:val="center"/>
          </w:tcPr>
          <w:p>
            <w:pPr>
              <w:pStyle w:val="TableContents"/>
              <w:bidi w:val="0"/>
              <w:spacing w:before="0" w:after="283"/>
              <w:jc w:val="center"/>
              <w:rPr/>
            </w:pPr>
            <w:r>
              <w:rPr/>
              <w:t>90</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22, 2030</w:t>
            </w:r>
          </w:p>
        </w:tc>
      </w:tr>
      <w:tr>
        <w:trPr/>
        <w:tc>
          <w:tcPr>
            <w:tcW w:w="395" w:type="dxa"/>
            <w:tcBorders/>
            <w:vAlign w:val="center"/>
          </w:tcPr>
          <w:p>
            <w:pPr>
              <w:pStyle w:val="TableContents"/>
              <w:bidi w:val="0"/>
              <w:spacing w:before="0" w:after="283"/>
              <w:jc w:val="center"/>
              <w:rPr/>
            </w:pPr>
            <w:r>
              <w:rPr/>
              <w:t>91</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23, 2030</w:t>
            </w:r>
          </w:p>
        </w:tc>
      </w:tr>
      <w:tr>
        <w:trPr/>
        <w:tc>
          <w:tcPr>
            <w:tcW w:w="395" w:type="dxa"/>
            <w:tcBorders/>
            <w:vAlign w:val="center"/>
          </w:tcPr>
          <w:p>
            <w:pPr>
              <w:pStyle w:val="TableContents"/>
              <w:bidi w:val="0"/>
              <w:spacing w:before="0" w:after="283"/>
              <w:jc w:val="center"/>
              <w:rPr/>
            </w:pPr>
            <w:r>
              <w:rPr/>
              <w:t>92</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26, 2030</w:t>
            </w:r>
          </w:p>
        </w:tc>
      </w:tr>
      <w:tr>
        <w:trPr/>
        <w:tc>
          <w:tcPr>
            <w:tcW w:w="395" w:type="dxa"/>
            <w:tcBorders/>
            <w:vAlign w:val="center"/>
          </w:tcPr>
          <w:p>
            <w:pPr>
              <w:pStyle w:val="TableContents"/>
              <w:bidi w:val="0"/>
              <w:spacing w:before="0" w:after="283"/>
              <w:jc w:val="center"/>
              <w:rPr/>
            </w:pPr>
            <w:r>
              <w:rPr/>
              <w:t>93</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27, 2030</w:t>
            </w:r>
          </w:p>
        </w:tc>
      </w:tr>
      <w:tr>
        <w:trPr/>
        <w:tc>
          <w:tcPr>
            <w:tcW w:w="395" w:type="dxa"/>
            <w:tcBorders/>
            <w:vAlign w:val="center"/>
          </w:tcPr>
          <w:p>
            <w:pPr>
              <w:pStyle w:val="TableContents"/>
              <w:bidi w:val="0"/>
              <w:spacing w:before="0" w:after="283"/>
              <w:jc w:val="center"/>
              <w:rPr/>
            </w:pPr>
            <w:r>
              <w:rPr/>
              <w:t>94</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28, 2030</w:t>
            </w:r>
          </w:p>
        </w:tc>
      </w:tr>
      <w:tr>
        <w:trPr/>
        <w:tc>
          <w:tcPr>
            <w:tcW w:w="395" w:type="dxa"/>
            <w:tcBorders/>
            <w:vAlign w:val="center"/>
          </w:tcPr>
          <w:p>
            <w:pPr>
              <w:pStyle w:val="TableContents"/>
              <w:bidi w:val="0"/>
              <w:spacing w:before="0" w:after="283"/>
              <w:jc w:val="center"/>
              <w:rPr/>
            </w:pPr>
            <w:r>
              <w:rPr/>
              <w:t>95</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29, 2030</w:t>
            </w:r>
          </w:p>
        </w:tc>
      </w:tr>
      <w:tr>
        <w:trPr/>
        <w:tc>
          <w:tcPr>
            <w:tcW w:w="395" w:type="dxa"/>
            <w:tcBorders/>
            <w:vAlign w:val="center"/>
          </w:tcPr>
          <w:p>
            <w:pPr>
              <w:pStyle w:val="TableContents"/>
              <w:bidi w:val="0"/>
              <w:spacing w:before="0" w:after="283"/>
              <w:jc w:val="center"/>
              <w:rPr/>
            </w:pPr>
            <w:r>
              <w:rPr/>
              <w:t>96</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August 30, 2030</w:t>
            </w:r>
          </w:p>
        </w:tc>
      </w:tr>
      <w:tr>
        <w:trPr/>
        <w:tc>
          <w:tcPr>
            <w:tcW w:w="395" w:type="dxa"/>
            <w:tcBorders/>
            <w:vAlign w:val="center"/>
          </w:tcPr>
          <w:p>
            <w:pPr>
              <w:pStyle w:val="TableContents"/>
              <w:bidi w:val="0"/>
              <w:spacing w:before="0" w:after="283"/>
              <w:jc w:val="center"/>
              <w:rPr/>
            </w:pPr>
            <w:r>
              <w:rPr/>
              <w:t>97</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September 3, 2030</w:t>
            </w:r>
          </w:p>
        </w:tc>
      </w:tr>
      <w:tr>
        <w:trPr/>
        <w:tc>
          <w:tcPr>
            <w:tcW w:w="395" w:type="dxa"/>
            <w:tcBorders/>
            <w:vAlign w:val="center"/>
          </w:tcPr>
          <w:p>
            <w:pPr>
              <w:pStyle w:val="TableContents"/>
              <w:bidi w:val="0"/>
              <w:spacing w:before="0" w:after="283"/>
              <w:jc w:val="center"/>
              <w:rPr/>
            </w:pPr>
            <w:r>
              <w:rPr/>
              <w:t>98</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September 4, 2030</w:t>
            </w:r>
          </w:p>
        </w:tc>
      </w:tr>
      <w:tr>
        <w:trPr/>
        <w:tc>
          <w:tcPr>
            <w:tcW w:w="395" w:type="dxa"/>
            <w:tcBorders/>
            <w:vAlign w:val="center"/>
          </w:tcPr>
          <w:p>
            <w:pPr>
              <w:pStyle w:val="TableContents"/>
              <w:bidi w:val="0"/>
              <w:spacing w:before="0" w:after="283"/>
              <w:jc w:val="center"/>
              <w:rPr/>
            </w:pPr>
            <w:r>
              <w:rPr/>
              <w:t>99</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September 5, 2030</w:t>
            </w:r>
          </w:p>
        </w:tc>
      </w:tr>
      <w:tr>
        <w:trPr/>
        <w:tc>
          <w:tcPr>
            <w:tcW w:w="395" w:type="dxa"/>
            <w:tcBorders/>
            <w:vAlign w:val="center"/>
          </w:tcPr>
          <w:p>
            <w:pPr>
              <w:pStyle w:val="TableContents"/>
              <w:bidi w:val="0"/>
              <w:spacing w:before="0" w:after="283"/>
              <w:jc w:val="center"/>
              <w:rPr/>
            </w:pPr>
            <w:r>
              <w:rPr/>
              <w:t>100</w:t>
            </w:r>
          </w:p>
        </w:tc>
        <w:tc>
          <w:tcPr>
            <w:tcW w:w="560" w:type="dxa"/>
            <w:tcBorders/>
            <w:vAlign w:val="center"/>
          </w:tcPr>
          <w:p>
            <w:pPr>
              <w:pStyle w:val="TableContents"/>
              <w:bidi w:val="0"/>
              <w:spacing w:before="0" w:after="283"/>
              <w:jc w:val="center"/>
              <w:rPr/>
            </w:pPr>
            <w:r>
              <w:rPr/>
              <w:t>1,895</w:t>
            </w:r>
          </w:p>
        </w:tc>
        <w:tc>
          <w:tcPr>
            <w:tcW w:w="1820" w:type="dxa"/>
            <w:tcBorders/>
            <w:vAlign w:val="center"/>
          </w:tcPr>
          <w:p>
            <w:pPr>
              <w:pStyle w:val="TableContents"/>
              <w:bidi w:val="0"/>
              <w:spacing w:before="0" w:after="283"/>
              <w:jc w:val="left"/>
              <w:rPr/>
            </w:pPr>
            <w:r>
              <w:rPr/>
              <w:t>September 6, 2030</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50" w:name="tm243871d1_ex99-1.htm"/>
      <w:bookmarkStart w:id="51" w:name="kstm243871d1_ex991"/>
      <w:bookmarkEnd w:id="50"/>
      <w:bookmarkEnd w:id="5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495675" cy="876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495675" cy="8763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WINNEBAGO INDUSTRIES ANNOUNCES PROPOSED PRIVATE OFFERING OF $300 MILLION</w:t>
        <w:br/>
        <w:t>OF CONVERTIBLE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MINNESOTA, January 17, 2024 — Winnebago Industries, Inc. (NYSE: WGO) (the “Company”), a leading outdoor lifestyle product manufacturer, today announced its intention to offer, subject to market conditions and other factors, $300 million aggregate principal amount of convertible senior notes due 2030 (the “notes”) in a private offering to persons reasonably believed to be qualified institutional buyers pursuant to Rule 144A under the Securities Act of 1933, as amended (the “Securities Act”). In connection with the offering, the Company expects to grant the initial purchasers a 13 -day option to purchase up to an additional $45 million aggregate principal amount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terms of the notes, including the initial conversion price, interest rate and certain other terms of the notes will be determined at the time of pricing. The notes will bear interest semi-annually and will mature on January 15, 2030, unless repurchased, redeemed or converted in accordance with their terms prior to such date. Prior to July 15, 2029, the notes will be convertible only upon satisfaction of certain conditions and during certain periods, and on and after July 15, 2029, at any time until the close of business on the second scheduled trading day immediately before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settle conversions in cash and, if applicable, shares of its common stock, based on the applicable conversion rate(s). The notes will be redeemable, in whole or in part (subject to certain limitations), for cash at the Company’s option at any time, and from time to time, on or after January 15, 2028 and on or before the 40th scheduled trading day immediately before the maturity date, but only if the last reported sale price per share of the Company’s common stock exceeds 130% of the conversion price for a specified period of time. The redemption price will be equal to the principal amount of the notes to be redeemed, plus accrued and unpaid interest, if any, to, but excluding, the redemption date. Holders of the notes will have the right to require the Company to repurchase all or any portion of their notes at 100% of their principal amount, plus any accrued and unpaid interest, upon the occurrence of certain fundamental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a portion of the net proceeds from the offering to fund the cost of entering into the convertible note hedge transactions described below (after such cost is partially offset by the proceeds from entering into the warrant transactions described below). The Company expects to use a portion of the net proceeds from the offering to repurchase a portion of its outstanding 1.50% Convertible Senior Notes due 2025 (the “2025 Notes”) concurrently with the pricing of the offering in privately negotiated transactions effected through one of the initial purchasers of the notes or its affiliate, as the Company’s agent. The Company intends to use the remainder of the net proceeds from the offering for general corporate purposes. If the initial purchasers exercise their option to purchase additional notes, then the Company intends to use a portion of the additional net proceeds to fund the cost of entering into additional convertible note hedge transactions as described below (after such cost is partially offset by the proceeds from entering into the additional warrant transactions described below). Holders of the 2025 Notes that are repurchased in the concurrent repurchases described above may purchase shares of the Company’s common stock in the open market to unwind any hedge positions they may have with respect to the 2025 Notes. These activities may affect the trading price of the Company’s common stock and, if conducted concurrently with this offering, may result in a higher initial conversion price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issuing the 2025 Notes, the Company entered into convertible note hedge transactions (the “existing convertible note hedge transactions”) and warrant transactions (the “existing warrant transactions,” and, together with the existing convertible note hedge transactions, the “existing call spread transactions”) with certain financial institutions (the “existing option counterparties”). If the Company repurchases any of its 2025 Notes, then the Company may enter into agreements with the existing option counterparties to terminate a portion of the existing convertible note hedge transactions in a notional amount corresponding to the amount of 2025 Notes repurchased. The Company may also enter into agreements with the existing option counterparties to terminate a portion of the existing warrant transactions. In connection with the termination of any of the existing call spread transactions, the Company expects the existing option counterparties or their respective affiliates to unwind their related hedge positions, which may involve the sale of shares of the Company’s common stock in the open market or other transactions with respect to the Company’s common stock. This hedge unwind activity could offset or exacerbate the effects of the purchase, sale or other activity that holders of the 2025 Notes that participate in the repurchase transactions may effect in connection with those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pricing of the notes, the Company expects to enter into one or more privately negotiated convertible note hedge transactions with the initial purchasers or their affiliates (the “hedge counterparties”). The convertible note hedge transactions are expected to cover, subject to customary anti-dilution adjustments, the number of shares of the Company’s common stock that will initially underlie the notes. The Company also intends to enter into one or more separate, privately negotiated warrant transactions with the hedge counterparties collectively relating to the same number of shares of the Company’s common stock, subject to customary anti-dilution adjustments, and for which the Company will receive premiums to partially offset the cost of entering into the hedge transactions. If the initial purchasers exercise their option to purchase additional notes, the Company may enter into one or more additional convertible note hedge transactions and one or more additional warrant transactions with the hedge counterparties, which, if executed, will initially cover, collectively, the number of shares of the Company’s common stock that will initially underlie the additional notes the Company sells to the initial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 hedge transactions are expected generally to reduce the potential dilution to the Company’s common stock upon any conversion of the notes and/or offset any potential cash payments the Company is required to make in excess of the principal amount of converted notes, as the case may be. However, the warrant transactions could separately have a dilutive effect with respect to the Company’s common stock to the extent that the market value per share of the Company’s common stock exceeds the strike price of the warrants evidenced by the warrant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establishing their initial hedges with respect to the convertible note hedge transactions and the warrant transactions, the hedge counterparties or their respective affiliates expect to enter into various cash-settled over-the-counter derivative transactions with respect to the Company’s common stock concurrently with, or shortly after, or purchase shares of the Company’s common stock shortly after, the pricing of the notes, and may unwind these cash-settled over-the-counter derivative transactions and purchase shares of the Company’s common stock in open market transactions shortly after the pricing of the notes. These activities could increase, or prevent a decline in, the market price of the Company’s common stock concurrently with, or shortly after, the pricing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hedge counterparties or their respective affiliates may modify their hedge positions with respect to the convertible note hedge transactions and the warrant transactions from time to time after the pricing of the notes, and are likely to do so during any observation period, by purchasing or selling shares of the Company’s common stock or the notes in privately negotiated transactions or open market transactions or by entering into or unwinding various over-the-counter derivative transactions with respect to the Company’s common stock. Any of these activities could, however, adversely affect the trading price of the Company’s common stock and, consequently, the value of the consideration that noteholders receive upon conversion of the notes, the trading price of the notes or noteholders’ ability to convert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notes and the shares of common stock, if any, issuable upon conversion of the notes have not been registered under the Securities Act or any state securities laws, and the notes and such shares may not be offered or sold absent registration or an applicable exemption from, or in a transaction not subject to, the registration requirements of the Securities Act and applicable state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a solicitation of an offer to buy the securities described herein, nor shall there be any sale of these securities in any state or jurisdiction in which such offer, solicitation or sale would be unlawful prior to registration or qualification under the securities laws of such jurisdiction. Any offers of the notes will be made only by means of a private offering memorandum. The notes being offered have not been approved or disapproved by any regulatory authority, nor has any such authority passed upon the accuracy or adequacy of the applicable private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About Winnebago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risks relating to the offering of the notes, general economic uncertainty in key markets and a worsening of domestic and global economic conditions or low levels of economic growth; availability of financing for RV and marine dealers; competition and new product introductions by competitors; ability to innovate and commercialize new products; ability to manage the Company’s inventory to meet demand; risk related to cyclicality and seasonality of the Company’s business; risk related to independent dealers; risk related to dealer consolidation or the loss of a significant dealer; significant increase in repurchase obligations; ability to retain relationships with the Company’s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ability to protect the Company’s information technology systems from data security, cyberattacks, and network disruption risks and the ability to successfully upgrade and evolve the Company’s information technology systems; ability to retain brand reputation and related exposure to product liability claims; governmental regulation, including for climate change; increased attention to environmental, social, and governance ("ESG") matters, and the Company’s ability to meet its commitments; impairment of goodwill and trade names; and risks related to the Company’s Convertible and Senior Secured Notes including the Company’s ability to satisfy its obligations under these notes.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Ray Posadas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ir@winnebagoind.com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Dan Sullivan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media@winnebagoind.com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52" w:name="tm243871d1_ex99-2.htm"/>
      <w:bookmarkStart w:id="53" w:name="kstm243871d1_ex992"/>
      <w:bookmarkEnd w:id="52"/>
      <w:bookmarkEnd w:id="5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476625" cy="8667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476625" cy="8667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WINNEBAGO INDUSTRIES ANNOUNCES PRICING OF $300 MILLION OFFERING OF </w:t>
        <w:br/>
        <w:t>CONVERTIBLE SENIOR NOTES FOR REFINANCING 2025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EDEN PRAIRIE, MINNESOTA, January 18, 2024 — Winnebago Industries, Inc. (NYSE: WGO) (the “Company”), a leading outdoor lifestyle product manufacturer, priced $300 million aggregate principal amount of 3.250% convertible senior notes due 2030 (the “notes”) in a previously announced private offering to persons reasonably believed to be qualified institutional buyers pursuant to Rule 144A under the Securities Act of 1933, as amended (the “Securities Act”). In connection with the offering, the Company has granted the initial purchasers a 13 -day option to purchase up to an additional $50 million aggregate principal amount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bear interest at a rate of 3.250% per year, payable semi-annually in arrears on January 15 and July 15 of each year, beginning July 15, 2024. The notes will mature on January 15, 2030, unless repurchased, redeemed or converted in accordance with their terms prior to such date. Prior to July 15, 2029, the notes will be convertible only upon satisfaction of certain conditions and during certain periods, and on and after July 15, 2029, at any time until the close of business on the second scheduled trading day immediately before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settle conversions in cash and, if applicable, shares of its common stock, based on the applicable conversion rate(s). The notes will be redeemable, in whole or in part (subject to certain limitations), for cash at the Company’s option at any time, and from time to time, on or after January 15, 2028 and on or before the 40th scheduled trading day immediately before the maturity date, but only if the last reported sale price per share of the Company’s common stock exceeds 130% of the conversion price for a specified period of time. The redemption price will be equal to the principal amount of the notes to be redeemed, plus accrued and unpaid interest, if any, to, but excluding, the redemption date. Holders of the notes will have the right to require the Company to repurchase all or any portion of their notes at 100% of their principal amount, plus any accrued and unpaid interest, upon the occurrence of certain fundamental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will initially be 11.3724 shares of common stock per $1,000 principal amount of notes (equivalent to an initial conversion price of approximately $87.93 per share of the Company’s common stock), subject to adjustment. The initial conversion price of the notes represents a premium of approximately 30.0% over the $67.64 per share closing price of the Company’s common stock on January 18, 2024. The sale of the notes is expected to close January 23, 2024,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that the net proceeds from the offering will be approximately $291.1 million (or approximately $339.8 million if the initial purchasers fully exercise their option to purchase additional notes), after deducting the initial purchasers’ discounts and commissions and estimated offering expenses. The Company intends to use approximately $32.0 million of the net proceeds to fund the cost of entering into the convertible note hedge transactions described below (after such cost is partially offset by the proceeds from entering into the warrant transactions described below). The Company expects to use approximately $295 million of the net proceeds to repurchase approximately $241 million aggregate principal amount of its outstanding 1.50% Convertible Senior Notes due 2025 (the “2025 Notes”) concurrently with the offering in privately negotiated transactions effected through one of the initial purchasers of the notes or its affiliate, as the Company’s agent. The Company intends to use the remainder of the net proceeds from the offering for general corporate purposes. If the initial purchasers exercise their option to purchase additional notes, then the Company intends to use a portion of the additional net proceeds to fund the cost of entering into additional convertible note hedge transactions as described below (after such cost is partially offset by the proceeds from entering into the additional warrant transactions described below). Holders of the 2025 Notes that are repurchased in the concurrent repurchases described above may purchase shares of the Company’s common stock in the open market to unwind any hedge positions they may have with respect to the 2025 Notes. These activities may affect the trading price of the Company’s common stock and the initial conversion price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issuing the 2025 Notes, the Company entered into convertible note hedge transactions (the “existing convertible note hedge transactions”) and warrant transactions (the “existing warrant transactions,” and, together with the existing convertible note hedge transactions, the “existing call spread transactions”) with certain financial institutions (the “existing option counterparties”). If the Company repurchases any of its 2025 Notes, then the Company may enter into agreements with the existing option counterparties to terminate a portion of the existing convertible note hedge transactions in a notional amount corresponding to the amount of 2025 Notes repurchased. The Company may also enter into agreements with the existing option counterparties to terminate a portion of the existing warrant transactions. In connection with the termination of any of the existing call spread transactions, the Company expects the existing option counterparties or their respective affiliates to unwind their related hedge positions, which may involve the sale of shares of the Company’s common stock in the open market or other transactions with respect to the Company’s common stock. This hedge unwind activity could offset or exacerbate the effects of the purchase, sale or other activity that holders of the 2025 Notes that participate in the repurchase transactions may effect in connection with those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pricing of the notes, the Company entered into privately negotiated convertible note hedge transactions with one or more of the initial purchasers or their respective affiliates or other financial institutions (the “hedge counterparties”). The convertible note hedge transactions cover, subject to customary anti-dilution adjustments, the number of shares of the Company’s common stock that will initially underlie the notes. The Company also entered into one or more separate, privately negotiated warrant transactions with the hedge counterparties collectively relating to the same number of shares of the Company’s common stock, subject to customary anti-dilution adjustments, and for which the Company will receive premiums to partially offset the cost of entering into the hedge transactions. If the initial purchasers exercise their option to purchase additional notes, the Company may enter into one or more additional convertible note hedge transactions and one or more additional warrant transactions with the hedge counterparties, which, if executed, will initially cover, collectively, the number of shares of the Company’s common stock that will initially underlie the additional notes the Company sells to the initial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 hedge transactions are expected generally to reduce the potential dilution to the Company’s common stock upon any conversion of the notes and/or offset any potential cash payments the Company is required to make in excess of the principal amount of converted notes, as the case may be. However, the warrant transactions could separately have a dilutive effect with respect to the Company’s common stock to the extent that the market value per share of the Company’s common stock exceeds the strike price of the warrants evidenced by the warrant transactions. The strike price of the warrants will initially be $135.28 per share, which represents a premium of 100% over the per share closing price of the Company’s common stock on January 18, 2024, and is subject to certain adjustments under the terms of the warrant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establishing their initial hedges with respect to the convertible note hedge transactions and the warrant transactions, the hedge counterparties or their respective affiliates expect to enter into various cash-settled, over-the-counter derivative transactions with respect to the Company’s common stock concurrently with, or shortly after, or purchase shares of the Company’s common stock shortly after, the pricing of the notes, and may unwind these cash-settled over-the-counter derivative transactions and purchase shares of the Company’s common stock in open market transactions shortly after the pricing of the notes. These activities could increase, or prevent a decline in, the market price of the Company’s common stock concurrently with, or shortly after, the pricing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hedge counterparties or their respective affiliates may modify their hedge positions with respect to the convertible note hedge transactions and the warrant transactions from time to time after the pricing of the notes, and are likely to do so during any observation period, by purchasing or selling shares of the Company’s common stock or the notes in privately negotiated transactions or open market transactions or by entering into or unwinding various over-the-counter derivative transactions with respect to the Company’s common stock. Any of these activities could, however, adversely affect the trading price of the Company’s common stock and, consequently, the value of the consideration that noteholders receive upon conversion of the notes, the trading price of the notes or noteholders’ ability to convert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notes and the shares of common stock, if any, issuable upon conversion of the notes have not been registered under the Securities Act or any state securities laws, and the notes and such shares may not be offered or sold absent registration or an applicable exemption from, or in a transaction not subject to, the registration requirements of the Securities Act and applicable state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a solicitation of an offer to buy the securities described herein, nor shall there be any sale of these securities in any state or jurisdiction in which such offer, solicitation or sale would be unlawful prior to registration or qualification under the securities laws of such jurisdiction. Any offers of the notes will be made only by means of a private offering memorandum. The notes being offered have not been approved or disapproved by any regulatory authority, nor has any such authority passed upon the accuracy or adequacy of the applicable private offering memorandum.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About Winnebago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risks related to the offering of the notes, general economic uncertainty in key markets and a worsening of domestic and global economic conditions or low levels of economic growth; availability of financing for RV and marine dealers; competition and new product introductions by competitors; ability to innovate and commercialize new products; ability to manage the Company’s inventory to meet demand; risk related to cyclicality and seasonality of the Company’s business; risk related to independent dealers; risk related to dealer consolidation or the loss of a significant dealer; significant increase in repurchase obligations; ability to retain relationships with the Company’s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ability to protect the Company’s information technology systems from data security, cyberattacks, and network disruption risks and the ability to successfully upgrade and evolve the Company’s information technology systems; ability to retain brand reputation and related exposure to product liability claims; governmental regulation, including for climate change; increased attention to environmental, social, and governance ("ESG") matters, and the Company’s ability to meet its commitments; impairment of goodwill and trade names; and risks related to the Company’s Convertible and Senior Secured Notes including its ability to satisfy its obligations under these notes.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Ray Posadas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ir@winnebagoind.com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Dan Sullivan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media@winnebagoind.com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256216</Words>
  <Characters>1371206</Characters>
  <CharactersWithSpaces>1644673</CharactersWithSpaces>
  <Paragraphs>18809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