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123"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(Rule 14a-101)</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9" w:lineRule="exact"/>
        <w:rPr>
          <w:sz w:val="24"/>
          <w:szCs w:val="24"/>
          <w:color w:val="auto"/>
        </w:rPr>
      </w:pPr>
    </w:p>
    <w:p>
      <w:pPr>
        <w:ind w:left="4760"/>
        <w:spacing w:after="0"/>
        <w:tabs>
          <w:tab w:leader="none" w:pos="658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pacing w:after="0" w:line="111" w:lineRule="exact"/>
        <w:rPr>
          <w:sz w:val="24"/>
          <w:szCs w:val="24"/>
          <w:color w:val="auto"/>
        </w:rPr>
      </w:pPr>
    </w:p>
    <w:p>
      <w:pPr>
        <w:spacing w:after="0"/>
        <w:tabs>
          <w:tab w:leader="none" w:pos="188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6"/>
          <w:szCs w:val="16"/>
          <w:color w:val="auto"/>
        </w:rPr>
        <w:t>x</w:t>
      </w:r>
    </w:p>
    <w:p>
      <w:pPr>
        <w:spacing w:after="0" w:line="63" w:lineRule="exact"/>
        <w:rPr>
          <w:sz w:val="24"/>
          <w:szCs w:val="24"/>
          <w:color w:val="auto"/>
        </w:rPr>
      </w:pPr>
    </w:p>
    <w:p>
      <w:pPr>
        <w:spacing w:after="0"/>
        <w:tabs>
          <w:tab w:leader="none" w:pos="322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Arial" w:cs="Arial" w:eastAsia="Arial" w:hAnsi="Arial"/>
          <w:sz w:val="16"/>
          <w:szCs w:val="16"/>
          <w:color w:val="auto"/>
        </w:rPr>
        <w:t>o</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36"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section 240.14a-12</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888365</wp:posOffset>
            </wp:positionH>
            <wp:positionV relativeFrom="paragraph">
              <wp:posOffset>11430</wp:posOffset>
            </wp:positionV>
            <wp:extent cx="5480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888365</wp:posOffset>
            </wp:positionH>
            <wp:positionV relativeFrom="paragraph">
              <wp:posOffset>170815</wp:posOffset>
            </wp:positionV>
            <wp:extent cx="5480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300" w:right="120" w:hanging="644"/>
        <w:spacing w:after="0" w:line="26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660" w:right="500" w:hanging="652"/>
        <w:spacing w:after="0" w:line="31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686435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120" w:type="dxa"/>
        <w:tblCellMar>
          <w:top w:w="0" w:type="dxa"/>
          <w:left w:w="0" w:type="dxa"/>
          <w:bottom w:w="0" w:type="dxa"/>
          <w:right w:w="0" w:type="dxa"/>
        </w:tblCellMar>
      </w:tblPr>
      <w:tr>
        <w:trPr>
          <w:trHeight w:val="376"/>
        </w:trPr>
        <w:tc>
          <w:tcPr>
            <w:tcW w:w="69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44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24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6940" w:type="dxa"/>
            <w:vAlign w:val="bottom"/>
            <w:vMerge w:val="restart"/>
          </w:tcPr>
          <w:p>
            <w:pPr>
              <w:jc w:val="center"/>
              <w:ind w:right="3289"/>
              <w:spacing w:after="0"/>
              <w:rPr>
                <w:sz w:val="20"/>
                <w:szCs w:val="20"/>
                <w:color w:val="auto"/>
              </w:rPr>
            </w:pPr>
            <w:r>
              <w:rPr>
                <w:rFonts w:ascii="Arial" w:cs="Arial" w:eastAsia="Arial" w:hAnsi="Arial"/>
                <w:sz w:val="22"/>
                <w:szCs w:val="22"/>
                <w:b w:val="1"/>
                <w:bCs w:val="1"/>
                <w:color w:val="auto"/>
                <w:w w:val="88"/>
              </w:rPr>
              <w:t>2008 Annual Meeting of Shareholders</w:t>
            </w:r>
          </w:p>
        </w:tc>
        <w:tc>
          <w:tcPr>
            <w:tcW w:w="1920" w:type="dxa"/>
            <w:vAlign w:val="bottom"/>
            <w:tcBorders>
              <w:right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694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940" w:type="dxa"/>
            <w:vAlign w:val="bottom"/>
          </w:tcPr>
          <w:p>
            <w:pPr>
              <w:jc w:val="center"/>
              <w:ind w:right="3289"/>
              <w:spacing w:after="0"/>
              <w:rPr>
                <w:sz w:val="20"/>
                <w:szCs w:val="20"/>
                <w:color w:val="auto"/>
              </w:rPr>
            </w:pPr>
            <w:r>
              <w:rPr>
                <w:rFonts w:ascii="Arial" w:cs="Arial" w:eastAsia="Arial" w:hAnsi="Arial"/>
                <w:sz w:val="18"/>
                <w:szCs w:val="18"/>
                <w:b w:val="1"/>
                <w:bCs w:val="1"/>
                <w:color w:val="auto"/>
                <w:w w:val="86"/>
              </w:rPr>
              <w:t>Tuesday, December 16, 2008</w:t>
            </w:r>
          </w:p>
        </w:tc>
        <w:tc>
          <w:tcPr>
            <w:tcW w:w="3780" w:type="dxa"/>
            <w:vAlign w:val="bottom"/>
            <w:gridSpan w:val="2"/>
            <w:shd w:val="clear" w:color="auto" w:fill="CCCCCC"/>
          </w:tcPr>
          <w:p>
            <w:pPr>
              <w:jc w:val="center"/>
              <w:spacing w:after="0"/>
              <w:rPr>
                <w:sz w:val="20"/>
                <w:szCs w:val="20"/>
                <w:color w:val="auto"/>
              </w:rPr>
            </w:pPr>
            <w:r>
              <w:rPr>
                <w:rFonts w:ascii="Arial" w:cs="Arial" w:eastAsia="Arial" w:hAnsi="Arial"/>
                <w:sz w:val="18"/>
                <w:szCs w:val="18"/>
                <w:color w:val="auto"/>
                <w:w w:val="88"/>
              </w:rPr>
              <w:t>To obtain directions to attend</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940" w:type="dxa"/>
            <w:vAlign w:val="bottom"/>
          </w:tcPr>
          <w:p>
            <w:pPr>
              <w:jc w:val="center"/>
              <w:ind w:right="3289"/>
              <w:spacing w:after="0"/>
              <w:rPr>
                <w:sz w:val="20"/>
                <w:szCs w:val="20"/>
                <w:color w:val="auto"/>
              </w:rPr>
            </w:pPr>
            <w:r>
              <w:rPr>
                <w:rFonts w:ascii="Arial" w:cs="Arial" w:eastAsia="Arial" w:hAnsi="Arial"/>
                <w:sz w:val="18"/>
                <w:szCs w:val="18"/>
                <w:b w:val="1"/>
                <w:bCs w:val="1"/>
                <w:color w:val="auto"/>
                <w:w w:val="89"/>
              </w:rPr>
              <w:t>4:00 p.m., Central Standard Time</w:t>
            </w:r>
          </w:p>
        </w:tc>
        <w:tc>
          <w:tcPr>
            <w:tcW w:w="3780" w:type="dxa"/>
            <w:vAlign w:val="bottom"/>
            <w:gridSpan w:val="2"/>
            <w:shd w:val="clear" w:color="auto" w:fill="CCCCCC"/>
          </w:tcPr>
          <w:p>
            <w:pPr>
              <w:jc w:val="center"/>
              <w:spacing w:after="0"/>
              <w:rPr>
                <w:sz w:val="20"/>
                <w:szCs w:val="20"/>
                <w:color w:val="auto"/>
              </w:rPr>
            </w:pPr>
            <w:r>
              <w:rPr>
                <w:rFonts w:ascii="Arial" w:cs="Arial" w:eastAsia="Arial" w:hAnsi="Arial"/>
                <w:sz w:val="18"/>
                <w:szCs w:val="18"/>
                <w:color w:val="auto"/>
                <w:w w:val="88"/>
              </w:rPr>
              <w:t>the Annual Meeting and vote in person,</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vMerge w:val="restart"/>
          </w:tcPr>
          <w:p>
            <w:pPr>
              <w:jc w:val="center"/>
              <w:ind w:right="3289"/>
              <w:spacing w:after="0"/>
              <w:rPr>
                <w:sz w:val="20"/>
                <w:szCs w:val="20"/>
                <w:color w:val="auto"/>
              </w:rPr>
            </w:pPr>
            <w:r>
              <w:rPr>
                <w:rFonts w:ascii="Arial" w:cs="Arial" w:eastAsia="Arial" w:hAnsi="Arial"/>
                <w:sz w:val="18"/>
                <w:szCs w:val="18"/>
                <w:b w:val="1"/>
                <w:bCs w:val="1"/>
                <w:color w:val="auto"/>
                <w:w w:val="88"/>
              </w:rPr>
              <w:t>Winnebago Industries; South Complex Theater</w:t>
            </w:r>
          </w:p>
        </w:tc>
        <w:tc>
          <w:tcPr>
            <w:tcW w:w="3780" w:type="dxa"/>
            <w:vAlign w:val="bottom"/>
            <w:gridSpan w:val="2"/>
            <w:shd w:val="clear" w:color="auto" w:fill="CCCCCC"/>
          </w:tcPr>
          <w:p>
            <w:pPr>
              <w:jc w:val="center"/>
              <w:spacing w:after="0"/>
              <w:rPr>
                <w:sz w:val="20"/>
                <w:szCs w:val="20"/>
                <w:color w:val="auto"/>
              </w:rPr>
            </w:pPr>
            <w:r>
              <w:rPr>
                <w:rFonts w:ascii="Arial" w:cs="Arial" w:eastAsia="Arial" w:hAnsi="Arial"/>
                <w:sz w:val="18"/>
                <w:szCs w:val="18"/>
                <w:color w:val="auto"/>
                <w:w w:val="87"/>
              </w:rPr>
              <w:t>please call Investor Relations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940" w:type="dxa"/>
            <w:vAlign w:val="bottom"/>
            <w:vMerge w:val="continue"/>
          </w:tcPr>
          <w:p>
            <w:pPr>
              <w:spacing w:after="0"/>
              <w:rPr>
                <w:sz w:val="5"/>
                <w:szCs w:val="5"/>
                <w:color w:val="auto"/>
              </w:rPr>
            </w:pPr>
          </w:p>
        </w:tc>
        <w:tc>
          <w:tcPr>
            <w:tcW w:w="3780" w:type="dxa"/>
            <w:vAlign w:val="bottom"/>
            <w:gridSpan w:val="2"/>
            <w:vMerge w:val="restart"/>
            <w:shd w:val="clear" w:color="auto" w:fill="CCCCCC"/>
          </w:tcPr>
          <w:p>
            <w:pPr>
              <w:jc w:val="center"/>
              <w:spacing w:after="0"/>
              <w:rPr>
                <w:sz w:val="20"/>
                <w:szCs w:val="20"/>
                <w:color w:val="auto"/>
              </w:rPr>
            </w:pPr>
            <w:r>
              <w:rPr>
                <w:rFonts w:ascii="Arial" w:cs="Arial" w:eastAsia="Arial" w:hAnsi="Arial"/>
                <w:sz w:val="18"/>
                <w:szCs w:val="18"/>
                <w:color w:val="auto"/>
                <w:w w:val="87"/>
              </w:rPr>
              <w:t>at (641) 585-6803.</w:t>
            </w: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6940" w:type="dxa"/>
            <w:vAlign w:val="bottom"/>
          </w:tcPr>
          <w:p>
            <w:pPr>
              <w:jc w:val="center"/>
              <w:ind w:right="3289"/>
              <w:spacing w:after="0" w:line="197" w:lineRule="exact"/>
              <w:rPr>
                <w:sz w:val="20"/>
                <w:szCs w:val="20"/>
                <w:color w:val="auto"/>
              </w:rPr>
            </w:pPr>
            <w:r>
              <w:rPr>
                <w:rFonts w:ascii="Arial" w:cs="Arial" w:eastAsia="Arial" w:hAnsi="Arial"/>
                <w:sz w:val="18"/>
                <w:szCs w:val="18"/>
                <w:b w:val="1"/>
                <w:bCs w:val="1"/>
                <w:color w:val="auto"/>
                <w:w w:val="89"/>
              </w:rPr>
              <w:t>605 West Crystal Lake Road</w:t>
            </w:r>
          </w:p>
        </w:tc>
        <w:tc>
          <w:tcPr>
            <w:tcW w:w="3780" w:type="dxa"/>
            <w:vAlign w:val="bottom"/>
            <w:tcBorders>
              <w:bottom w:val="single" w:sz="8" w:color="CCCCCC"/>
            </w:tcBorders>
            <w:gridSpan w:val="2"/>
            <w:vMerge w:val="continue"/>
            <w:shd w:val="clear" w:color="auto" w:fill="CCCCC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940" w:type="dxa"/>
            <w:vAlign w:val="bottom"/>
          </w:tcPr>
          <w:p>
            <w:pPr>
              <w:jc w:val="center"/>
              <w:ind w:right="3289"/>
              <w:spacing w:after="0"/>
              <w:rPr>
                <w:sz w:val="20"/>
                <w:szCs w:val="20"/>
                <w:color w:val="auto"/>
              </w:rPr>
            </w:pPr>
            <w:r>
              <w:rPr>
                <w:rFonts w:ascii="Arial" w:cs="Arial" w:eastAsia="Arial" w:hAnsi="Arial"/>
                <w:sz w:val="18"/>
                <w:szCs w:val="18"/>
                <w:b w:val="1"/>
                <w:bCs w:val="1"/>
                <w:color w:val="auto"/>
                <w:w w:val="88"/>
              </w:rPr>
              <w:t>Forest City, Iowa 50436</w:t>
            </w:r>
          </w:p>
        </w:tc>
        <w:tc>
          <w:tcPr>
            <w:tcW w:w="19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141478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506095"/>
                    </a:xfrm>
                    <a:prstGeom prst="rect">
                      <a:avLst/>
                    </a:prstGeom>
                    <a:noFill/>
                  </pic:spPr>
                </pic:pic>
              </a:graphicData>
            </a:graphic>
          </wp:anchor>
        </w:drawing>
      </w:r>
    </w:p>
    <w:p>
      <w:pPr>
        <w:spacing w:after="0" w:line="156" w:lineRule="exact"/>
        <w:rPr>
          <w:sz w:val="24"/>
          <w:szCs w:val="24"/>
          <w:color w:val="auto"/>
        </w:rPr>
      </w:pPr>
    </w:p>
    <w:p>
      <w:pPr>
        <w:jc w:val="center"/>
        <w:spacing w:after="0" w:line="272" w:lineRule="auto"/>
        <w:rPr>
          <w:sz w:val="20"/>
          <w:szCs w:val="20"/>
          <w:color w:val="auto"/>
        </w:rPr>
      </w:pPr>
      <w:r>
        <w:rPr>
          <w:rFonts w:ascii="Arial" w:cs="Arial" w:eastAsia="Arial" w:hAnsi="Arial"/>
          <w:sz w:val="32"/>
          <w:szCs w:val="32"/>
          <w:b w:val="1"/>
          <w:bCs w:val="1"/>
          <w:color w:val="auto"/>
        </w:rPr>
        <w:t>Important Notice Regarding the Availability of Proxy Materials for the Shareholder Meeting to be held on December 16, 2008.</w:t>
      </w:r>
    </w:p>
    <w:p>
      <w:pPr>
        <w:spacing w:after="0" w:line="17" w:lineRule="exact"/>
        <w:rPr>
          <w:sz w:val="24"/>
          <w:szCs w:val="24"/>
          <w:color w:val="auto"/>
        </w:rPr>
      </w:pPr>
    </w:p>
    <w:p>
      <w:pPr>
        <w:ind w:right="380"/>
        <w:spacing w:after="0" w:line="275" w:lineRule="auto"/>
        <w:rPr>
          <w:sz w:val="20"/>
          <w:szCs w:val="20"/>
          <w:color w:val="auto"/>
        </w:rPr>
      </w:pPr>
      <w:r>
        <w:rPr>
          <w:rFonts w:ascii="Arial" w:cs="Arial" w:eastAsia="Arial" w:hAnsi="Arial"/>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view the Proxy Statement or Annual Report to Shareholders, have the 11-digit Control #(s) and visit: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1925955</wp:posOffset>
            </wp:positionH>
            <wp:positionV relativeFrom="paragraph">
              <wp:posOffset>48895</wp:posOffset>
            </wp:positionV>
            <wp:extent cx="341312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13125" cy="222885"/>
                    </a:xfrm>
                    <a:prstGeom prst="rect">
                      <a:avLst/>
                    </a:prstGeom>
                    <a:noFill/>
                  </pic:spPr>
                </pic:pic>
              </a:graphicData>
            </a:graphic>
          </wp:anchor>
        </w:drawing>
      </w:r>
    </w:p>
    <w:p>
      <w:pPr>
        <w:sectPr>
          <w:pgSz w:w="11900" w:h="16838" w:orient="portrait"/>
          <w:cols w:equalWidth="0" w:num="1">
            <w:col w:w="11420"/>
          </w:cols>
          <w:pgMar w:left="240" w:top="476" w:right="239" w:bottom="142" w:gutter="0" w:footer="0" w:header="0"/>
        </w:sectPr>
      </w:pP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http://www.idelivercommunications.com/proxy/WGO</w:t>
      </w:r>
    </w:p>
    <w:p>
      <w:pPr>
        <w:sectPr>
          <w:pgSz w:w="11900" w:h="16838" w:orient="portrait"/>
          <w:cols w:equalWidth="0" w:num="1">
            <w:col w:w="11420"/>
          </w:cols>
          <w:pgMar w:left="240" w:top="476" w:right="239" w:bottom="142" w:gutter="0" w:footer="0" w:header="0"/>
          <w:type w:val="continuous"/>
        </w:sectPr>
      </w:pPr>
    </w:p>
    <w:bookmarkStart w:id="1" w:name="page2"/>
    <w:bookmarkEnd w:id="1"/>
    <w:p>
      <w:pPr>
        <w:ind w:right="200"/>
        <w:spacing w:after="0" w:line="275" w:lineRule="auto"/>
        <w:rPr>
          <w:sz w:val="20"/>
          <w:szCs w:val="20"/>
          <w:color w:val="auto"/>
        </w:rPr>
      </w:pPr>
      <w:r>
        <w:rPr>
          <w:rFonts w:ascii="Arial" w:cs="Arial" w:eastAsia="Arial" w:hAnsi="Arial"/>
          <w:sz w:val="18"/>
          <w:szCs w:val="18"/>
          <w:b w:val="1"/>
          <w:bCs w:val="1"/>
          <w:color w:val="auto"/>
        </w:rPr>
        <w:t>If you want to receive a paper or e-mail copy of the above listed documents, you must request one. There is no charge to you for requesting a copy. To facilitate timely delivery, please make the request as instructed below on or before December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Matters intended to be acted upon at the meeting are listed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w w:val="91"/>
              </w:rPr>
              <w:t>The Board of Directors recommends that you vote FOR Proposals 1, 2 and 3:</w:t>
            </w:r>
          </w:p>
        </w:tc>
        <w:tc>
          <w:tcPr>
            <w:tcW w:w="44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1. To elect as three class III directors to serve for the ensuing three years</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620" w:type="dxa"/>
            <w:vAlign w:val="bottom"/>
          </w:tcPr>
          <w:p>
            <w:pPr>
              <w:ind w:left="40"/>
              <w:spacing w:after="0"/>
              <w:rPr>
                <w:sz w:val="20"/>
                <w:szCs w:val="20"/>
                <w:color w:val="auto"/>
              </w:rPr>
            </w:pPr>
            <w:r>
              <w:rPr>
                <w:rFonts w:ascii="Arial" w:cs="Arial" w:eastAsia="Arial" w:hAnsi="Arial"/>
                <w:sz w:val="18"/>
                <w:szCs w:val="18"/>
                <w:color w:val="auto"/>
                <w:w w:val="99"/>
              </w:rPr>
              <w:t>To ratify the appointment of Deloitte &amp; Touche LLP as the</w:t>
            </w:r>
          </w:p>
        </w:tc>
      </w:tr>
      <w:tr>
        <w:trPr>
          <w:trHeight w:val="216"/>
        </w:trPr>
        <w:tc>
          <w:tcPr>
            <w:tcW w:w="6040" w:type="dxa"/>
            <w:vAlign w:val="bottom"/>
            <w:gridSpan w:val="2"/>
          </w:tcPr>
          <w:p>
            <w:pPr>
              <w:ind w:left="240"/>
              <w:spacing w:after="0"/>
              <w:rPr>
                <w:sz w:val="20"/>
                <w:szCs w:val="20"/>
                <w:color w:val="auto"/>
              </w:rPr>
            </w:pPr>
            <w:r>
              <w:rPr>
                <w:rFonts w:ascii="Arial" w:cs="Arial" w:eastAsia="Arial" w:hAnsi="Arial"/>
                <w:sz w:val="18"/>
                <w:szCs w:val="18"/>
                <w:color w:val="auto"/>
              </w:rPr>
              <w:t>and until their successors shall be elected and shall qualify;</w:t>
            </w:r>
          </w:p>
        </w:tc>
        <w:tc>
          <w:tcPr>
            <w:tcW w:w="44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Arial" w:cs="Arial" w:eastAsia="Arial" w:hAnsi="Arial"/>
                <w:sz w:val="18"/>
                <w:szCs w:val="18"/>
                <w:color w:val="auto"/>
                <w:w w:val="88"/>
              </w:rPr>
              <w:t>Company’s independent registered public accounting firm for the</w:t>
            </w:r>
          </w:p>
        </w:tc>
      </w:tr>
      <w:tr>
        <w:trPr>
          <w:trHeight w:val="222"/>
        </w:trPr>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20" w:type="dxa"/>
            <w:vAlign w:val="bottom"/>
          </w:tcPr>
          <w:p>
            <w:pPr>
              <w:ind w:left="40"/>
              <w:spacing w:after="0"/>
              <w:rPr>
                <w:sz w:val="20"/>
                <w:szCs w:val="20"/>
                <w:color w:val="auto"/>
              </w:rPr>
            </w:pPr>
            <w:r>
              <w:rPr>
                <w:rFonts w:ascii="Arial" w:cs="Arial" w:eastAsia="Arial" w:hAnsi="Arial"/>
                <w:sz w:val="18"/>
                <w:szCs w:val="18"/>
                <w:color w:val="auto"/>
              </w:rPr>
              <w:t>fiscal year ending August 29, 2009.</w:t>
            </w:r>
          </w:p>
        </w:tc>
      </w:tr>
      <w:tr>
        <w:trPr>
          <w:trHeight w:val="352"/>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700" w:type="dxa"/>
            <w:vAlign w:val="bottom"/>
          </w:tcPr>
          <w:p>
            <w:pPr>
              <w:ind w:left="40"/>
              <w:spacing w:after="0"/>
              <w:rPr>
                <w:sz w:val="20"/>
                <w:szCs w:val="20"/>
                <w:color w:val="auto"/>
              </w:rPr>
            </w:pPr>
            <w:r>
              <w:rPr>
                <w:rFonts w:ascii="Arial" w:cs="Arial" w:eastAsia="Arial" w:hAnsi="Arial"/>
                <w:sz w:val="18"/>
                <w:szCs w:val="18"/>
                <w:color w:val="auto"/>
              </w:rPr>
              <w:t>John V. Hanson</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620" w:type="dxa"/>
            <w:vAlign w:val="bottom"/>
          </w:tcPr>
          <w:p>
            <w:pPr>
              <w:ind w:left="40"/>
              <w:spacing w:after="0"/>
              <w:rPr>
                <w:sz w:val="20"/>
                <w:szCs w:val="20"/>
                <w:color w:val="auto"/>
              </w:rPr>
            </w:pPr>
            <w:r>
              <w:rPr>
                <w:rFonts w:ascii="Arial" w:cs="Arial" w:eastAsia="Arial" w:hAnsi="Arial"/>
                <w:sz w:val="18"/>
                <w:szCs w:val="18"/>
                <w:color w:val="auto"/>
                <w:w w:val="87"/>
              </w:rPr>
              <w:t>To transact such other business as may properly come before the</w:t>
            </w:r>
          </w:p>
        </w:tc>
      </w:tr>
      <w:tr>
        <w:trPr>
          <w:trHeight w:val="228"/>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700" w:type="dxa"/>
            <w:vAlign w:val="bottom"/>
          </w:tcPr>
          <w:p>
            <w:pPr>
              <w:ind w:left="40"/>
              <w:spacing w:after="0"/>
              <w:rPr>
                <w:sz w:val="20"/>
                <w:szCs w:val="20"/>
                <w:color w:val="auto"/>
              </w:rPr>
            </w:pPr>
            <w:r>
              <w:rPr>
                <w:rFonts w:ascii="Arial" w:cs="Arial" w:eastAsia="Arial" w:hAnsi="Arial"/>
                <w:sz w:val="18"/>
                <w:szCs w:val="18"/>
                <w:color w:val="auto"/>
              </w:rPr>
              <w:t>Gerald C. Kitch</w:t>
            </w:r>
          </w:p>
        </w:tc>
        <w:tc>
          <w:tcPr>
            <w:tcW w:w="440" w:type="dxa"/>
            <w:vAlign w:val="bottom"/>
          </w:tcPr>
          <w:p>
            <w:pPr>
              <w:spacing w:after="0"/>
              <w:rPr>
                <w:sz w:val="19"/>
                <w:szCs w:val="19"/>
                <w:color w:val="auto"/>
              </w:rPr>
            </w:pPr>
          </w:p>
        </w:tc>
        <w:tc>
          <w:tcPr>
            <w:tcW w:w="4620" w:type="dxa"/>
            <w:vAlign w:val="bottom"/>
          </w:tcPr>
          <w:p>
            <w:pPr>
              <w:ind w:left="40"/>
              <w:spacing w:after="0"/>
              <w:rPr>
                <w:sz w:val="20"/>
                <w:szCs w:val="20"/>
                <w:color w:val="auto"/>
              </w:rPr>
            </w:pPr>
            <w:r>
              <w:rPr>
                <w:rFonts w:ascii="Arial" w:cs="Arial" w:eastAsia="Arial" w:hAnsi="Arial"/>
                <w:sz w:val="18"/>
                <w:szCs w:val="18"/>
                <w:color w:val="auto"/>
              </w:rPr>
              <w:t>meeting or any adjournment or adjournments thereof.</w:t>
            </w:r>
          </w:p>
        </w:tc>
      </w:tr>
    </w:tbl>
    <w:p>
      <w:pPr>
        <w:ind w:left="380" w:hanging="14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Robert J. Olson</w:t>
      </w:r>
    </w:p>
    <w:p>
      <w:pPr>
        <w:spacing w:after="0" w:line="5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These items of business are more fully described in the proxy statement. The record date for the annual meeting is October 7, 2008. Only shareholders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110" w:lineRule="exact"/>
        <w:rPr>
          <w:sz w:val="20"/>
          <w:szCs w:val="20"/>
          <w:color w:val="auto"/>
        </w:rPr>
      </w:pPr>
    </w:p>
    <w:p>
      <w:pPr>
        <w:ind w:left="580"/>
        <w:spacing w:after="0"/>
        <w:tabs>
          <w:tab w:leader="none" w:pos="8340" w:val="left"/>
        </w:tabs>
        <w:rPr>
          <w:sz w:val="20"/>
          <w:szCs w:val="20"/>
          <w:color w:val="auto"/>
        </w:rPr>
      </w:pPr>
      <w:r>
        <w:rPr>
          <w:rFonts w:ascii="Arial" w:cs="Arial" w:eastAsia="Arial" w:hAnsi="Arial"/>
          <w:sz w:val="22"/>
          <w:szCs w:val="22"/>
          <w:b w:val="1"/>
          <w:bCs w:val="1"/>
          <w:color w:val="auto"/>
        </w:rPr>
        <w:t>You may immediately vote your proxy on the Internet at:</w:t>
      </w:r>
      <w:r>
        <w:rPr>
          <w:sz w:val="20"/>
          <w:szCs w:val="20"/>
          <w:color w:val="auto"/>
        </w:rPr>
        <w:tab/>
      </w:r>
      <w:r>
        <w:rPr>
          <w:rFonts w:ascii="Arial" w:cs="Arial" w:eastAsia="Arial" w:hAnsi="Arial"/>
          <w:sz w:val="19"/>
          <w:szCs w:val="19"/>
          <w:b w:val="1"/>
          <w:bCs w:val="1"/>
          <w:color w:val="auto"/>
        </w:rPr>
        <w:t>www.eproxy.com/wgo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-136525</wp:posOffset>
            </wp:positionV>
            <wp:extent cx="188658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6585" cy="154305"/>
                    </a:xfrm>
                    <a:prstGeom prst="rect">
                      <a:avLst/>
                    </a:prstGeom>
                    <a:noFill/>
                  </pic:spPr>
                </pic:pic>
              </a:graphicData>
            </a:graphic>
          </wp:anchor>
        </w:drawing>
      </w:r>
    </w:p>
    <w:p>
      <w:pPr>
        <w:ind w:left="1360" w:hanging="380"/>
        <w:spacing w:after="0" w:line="221" w:lineRule="auto"/>
        <w:tabs>
          <w:tab w:leader="none" w:pos="1360" w:val="left"/>
        </w:tabs>
        <w:numPr>
          <w:ilvl w:val="0"/>
          <w:numId w:val="7"/>
        </w:numPr>
        <w:rPr>
          <w:rFonts w:ascii="Arial" w:cs="Arial" w:eastAsia="Arial" w:hAnsi="Arial"/>
          <w:sz w:val="24"/>
          <w:szCs w:val="24"/>
          <w:b w:val="1"/>
          <w:bCs w:val="1"/>
          <w:color w:val="auto"/>
        </w:rPr>
      </w:pPr>
      <w:r>
        <w:rPr>
          <w:rFonts w:ascii="Arial" w:cs="Arial" w:eastAsia="Arial" w:hAnsi="Arial"/>
          <w:sz w:val="18"/>
          <w:szCs w:val="18"/>
          <w:color w:val="auto"/>
        </w:rPr>
        <w:t>Use the Internet to vote your proxy 24 hours a day, 7 days a week, until 12:00 p.m. (CT) on December 15, 2008.</w:t>
      </w:r>
    </w:p>
    <w:p>
      <w:pPr>
        <w:spacing w:after="0" w:line="129" w:lineRule="exact"/>
        <w:rPr>
          <w:rFonts w:ascii="Arial" w:cs="Arial" w:eastAsia="Arial" w:hAnsi="Arial"/>
          <w:sz w:val="24"/>
          <w:szCs w:val="24"/>
          <w:b w:val="1"/>
          <w:bCs w:val="1"/>
          <w:color w:val="auto"/>
        </w:rPr>
      </w:pPr>
    </w:p>
    <w:p>
      <w:pPr>
        <w:ind w:left="1360" w:right="320" w:hanging="380"/>
        <w:spacing w:after="0" w:line="197" w:lineRule="auto"/>
        <w:tabs>
          <w:tab w:leader="none" w:pos="1360" w:val="left"/>
        </w:tabs>
        <w:numPr>
          <w:ilvl w:val="0"/>
          <w:numId w:val="7"/>
        </w:numPr>
        <w:rPr>
          <w:rFonts w:ascii="Arial" w:cs="Arial" w:eastAsia="Arial" w:hAnsi="Arial"/>
          <w:sz w:val="24"/>
          <w:szCs w:val="24"/>
          <w:b w:val="1"/>
          <w:bCs w:val="1"/>
          <w:color w:val="auto"/>
        </w:rPr>
      </w:pPr>
      <w:r>
        <w:rPr>
          <w:rFonts w:ascii="Arial" w:cs="Arial" w:eastAsia="Arial" w:hAnsi="Arial"/>
          <w:sz w:val="18"/>
          <w:szCs w:val="18"/>
          <w:color w:val="auto"/>
        </w:rPr>
        <w:t>Please have this Notice and the last four digits of your Social Security Number or Tax Identification Number available. Follow the simple instructions to obtain your records and submit your proxy vote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531495"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495" cy="48895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Internet vote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To request paper or e-mail copies of the annual report and the proxy materials,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which include the proxy card and the proxy statement, please contact us via:</w:t>
      </w:r>
    </w:p>
    <w:p>
      <w:pPr>
        <w:spacing w:after="0" w:line="128" w:lineRule="exact"/>
        <w:rPr>
          <w:sz w:val="20"/>
          <w:szCs w:val="20"/>
          <w:color w:val="auto"/>
        </w:rPr>
      </w:pPr>
    </w:p>
    <w:p>
      <w:pPr>
        <w:ind w:left="560"/>
        <w:spacing w:after="0" w:line="275" w:lineRule="auto"/>
        <w:rPr>
          <w:sz w:val="20"/>
          <w:szCs w:val="20"/>
          <w:color w:val="auto"/>
        </w:rPr>
      </w:pPr>
      <w:r>
        <w:rPr>
          <w:rFonts w:ascii="Arial" w:cs="Arial" w:eastAsia="Arial" w:hAnsi="Arial"/>
          <w:sz w:val="18"/>
          <w:szCs w:val="18"/>
          <w:b w:val="1"/>
          <w:bCs w:val="1"/>
          <w:color w:val="auto"/>
        </w:rPr>
        <w:t xml:space="preserve">Internet – </w:t>
      </w:r>
      <w:r>
        <w:rPr>
          <w:rFonts w:ascii="Arial" w:cs="Arial" w:eastAsia="Arial" w:hAnsi="Arial"/>
          <w:sz w:val="18"/>
          <w:szCs w:val="18"/>
          <w:color w:val="auto"/>
        </w:rPr>
        <w:t>Access the Internet and go to www.idelivercommunications.com/proxy/WGO. Follow the instructions to log in, and order copies. Please make</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request on or before December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66065" cy="540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065" cy="540385"/>
                    </a:xfrm>
                    <a:prstGeom prst="rect">
                      <a:avLst/>
                    </a:prstGeom>
                    <a:noFill/>
                  </pic:spPr>
                </pic:pic>
              </a:graphicData>
            </a:graphic>
          </wp:anchor>
        </w:drawing>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Telephone – </w:t>
      </w:r>
      <w:r>
        <w:rPr>
          <w:rFonts w:ascii="Arial" w:cs="Arial" w:eastAsia="Arial" w:hAnsi="Arial"/>
          <w:sz w:val="18"/>
          <w:szCs w:val="18"/>
          <w:color w:val="auto"/>
        </w:rPr>
        <w:t>Call us free of charge at 877-847-4696 in the U.S. or Canada to order paper copies.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Email – </w:t>
      </w:r>
      <w:r>
        <w:rPr>
          <w:rFonts w:ascii="Arial" w:cs="Arial" w:eastAsia="Arial" w:hAnsi="Arial"/>
          <w:sz w:val="16"/>
          <w:szCs w:val="16"/>
          <w:color w:val="auto"/>
        </w:rPr>
        <w:t>Send us an email at ideliver@afpi.com. Please put “Paper Material” or “E-mail Material” in the subject line, followed by the 11-Digit Control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66065"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065" cy="248920"/>
                    </a:xfrm>
                    <a:prstGeom prst="rect">
                      <a:avLst/>
                    </a:prstGeom>
                    <a:noFill/>
                  </pic:spPr>
                </pic:pic>
              </a:graphicData>
            </a:graphic>
          </wp:anchor>
        </w:drawing>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Requests, instructions and other inquiries will not be forwarded to your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656590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o"/>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2019-12-11T14:15:29Z</dcterms:created>
  <dcterms:modified xsi:type="dcterms:W3CDTF">2019-12-11T14:15:29Z</dcterms:modified>
</cp:coreProperties>
</file>