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92075</wp:posOffset>
            </wp:positionV>
            <wp:extent cx="13722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131"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45085</wp:posOffset>
            </wp:positionV>
            <wp:extent cx="13722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0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7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June 19,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2114550</wp:posOffset>
            </wp:positionH>
            <wp:positionV relativeFrom="paragraph">
              <wp:posOffset>134620</wp:posOffset>
            </wp:positionV>
            <wp:extent cx="3027045"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2704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91"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46" w:lineRule="exact"/>
        <w:rPr>
          <w:sz w:val="24"/>
          <w:szCs w:val="24"/>
          <w:color w:val="auto"/>
        </w:rPr>
      </w:pPr>
    </w:p>
    <w:tbl>
      <w:tblPr>
        <w:tblLayout w:type="fixed"/>
        <w:tblInd w:w="1120" w:type="dxa"/>
        <w:tblCellMar>
          <w:top w:w="0" w:type="dxa"/>
          <w:left w:w="0" w:type="dxa"/>
          <w:bottom w:w="0" w:type="dxa"/>
          <w:right w:w="0" w:type="dxa"/>
        </w:tblCellMar>
      </w:tblPr>
      <w:tr>
        <w:trPr>
          <w:trHeight w:val="232"/>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25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001-06403</w:t>
            </w:r>
          </w:p>
        </w:tc>
        <w:tc>
          <w:tcPr>
            <w:tcW w:w="1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rPr>
              <w:t>42-0802678</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9"/>
              <w:spacing w:after="0"/>
              <w:rPr>
                <w:sz w:val="20"/>
                <w:szCs w:val="20"/>
                <w:color w:val="auto"/>
              </w:rPr>
            </w:pPr>
            <w:r>
              <w:rPr>
                <w:rFonts w:ascii="Arial" w:cs="Arial" w:eastAsia="Arial" w:hAnsi="Arial"/>
                <w:sz w:val="16"/>
                <w:szCs w:val="16"/>
                <w:color w:val="auto"/>
                <w:w w:val="99"/>
              </w:rPr>
              <w:t>(IRS Employer</w:t>
            </w:r>
          </w:p>
        </w:tc>
      </w:tr>
      <w:tr>
        <w:trPr>
          <w:trHeight w:val="219"/>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39"/>
              <w:spacing w:after="0"/>
              <w:rPr>
                <w:sz w:val="20"/>
                <w:szCs w:val="20"/>
                <w:color w:val="auto"/>
              </w:rPr>
            </w:pPr>
            <w:r>
              <w:rPr>
                <w:rFonts w:ascii="Arial" w:cs="Arial" w:eastAsia="Arial" w:hAnsi="Arial"/>
                <w:sz w:val="16"/>
                <w:szCs w:val="16"/>
                <w:color w:val="auto"/>
              </w:rPr>
              <w:t>Identification No.)</w:t>
            </w:r>
          </w:p>
        </w:tc>
      </w:tr>
      <w:tr>
        <w:trPr>
          <w:trHeight w:val="498"/>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79"/>
              <w:spacing w:after="0"/>
              <w:rPr>
                <w:sz w:val="20"/>
                <w:szCs w:val="20"/>
                <w:color w:val="auto"/>
              </w:rPr>
            </w:pPr>
            <w:r>
              <w:rPr>
                <w:rFonts w:ascii="Arial" w:cs="Arial" w:eastAsia="Arial" w:hAnsi="Arial"/>
                <w:sz w:val="16"/>
                <w:szCs w:val="16"/>
                <w:b w:val="1"/>
                <w:bCs w:val="1"/>
                <w:color w:val="auto"/>
              </w:rPr>
              <w:t>50436</w:t>
            </w:r>
          </w:p>
        </w:tc>
      </w:tr>
      <w:tr>
        <w:trPr>
          <w:trHeight w:val="225"/>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9"/>
              <w:spacing w:after="0"/>
              <w:rPr>
                <w:sz w:val="20"/>
                <w:szCs w:val="20"/>
                <w:color w:val="auto"/>
              </w:rPr>
            </w:pPr>
            <w:r>
              <w:rPr>
                <w:rFonts w:ascii="Arial" w:cs="Arial" w:eastAsia="Arial" w:hAnsi="Arial"/>
                <w:sz w:val="16"/>
                <w:szCs w:val="16"/>
                <w:color w:val="auto"/>
              </w:rPr>
              <w:t>(Zip Code)</w:t>
            </w:r>
          </w:p>
        </w:tc>
      </w:tr>
      <w:tr>
        <w:trPr>
          <w:trHeight w:val="481"/>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9"/>
              <w:spacing w:after="0"/>
              <w:rPr>
                <w:sz w:val="20"/>
                <w:szCs w:val="20"/>
                <w:color w:val="auto"/>
              </w:rPr>
            </w:pPr>
            <w:r>
              <w:rPr>
                <w:rFonts w:ascii="Arial" w:cs="Arial" w:eastAsia="Arial" w:hAnsi="Arial"/>
                <w:sz w:val="16"/>
                <w:szCs w:val="16"/>
                <w:b w:val="1"/>
                <w:bCs w:val="1"/>
                <w:color w:val="auto"/>
              </w:rPr>
              <w:t>641-585-3535</w:t>
            </w:r>
          </w:p>
        </w:tc>
      </w:tr>
    </w:tbl>
    <w:p>
      <w:pPr>
        <w:spacing w:after="0" w:line="151"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25"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74" w:lineRule="exact"/>
        <w:rPr>
          <w:sz w:val="24"/>
          <w:szCs w:val="24"/>
          <w:color w:val="auto"/>
        </w:rPr>
      </w:pPr>
    </w:p>
    <w:p>
      <w:pPr>
        <w:ind w:right="20"/>
        <w:spacing w:after="0" w:line="291"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320" w:hanging="312"/>
        <w:spacing w:after="0"/>
        <w:tabs>
          <w:tab w:leader="none" w:pos="320" w:val="left"/>
        </w:tabs>
        <w:numPr>
          <w:ilvl w:val="0"/>
          <w:numId w:val="1"/>
        </w:numPr>
        <w:rPr>
          <w:rFonts w:ascii="Times New Roman" w:cs="Times New Roman" w:eastAsia="Times New Roman" w:hAnsi="Times New Roman"/>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3"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1"/>
        </w:numPr>
        <w:rPr>
          <w:rFonts w:ascii="Times New Roman" w:cs="Times New Roman" w:eastAsia="Times New Roman" w:hAnsi="Times New Roman"/>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3"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1"/>
        </w:numPr>
        <w:rPr>
          <w:rFonts w:ascii="Times New Roman" w:cs="Times New Roman" w:eastAsia="Times New Roman" w:hAnsi="Times New Roman"/>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3" w:lineRule="exact"/>
        <w:rPr>
          <w:rFonts w:ascii="Times New Roman" w:cs="Times New Roman" w:eastAsia="Times New Roman" w:hAnsi="Times New Roman"/>
          <w:sz w:val="16"/>
          <w:szCs w:val="16"/>
          <w:color w:val="auto"/>
        </w:rPr>
      </w:pPr>
    </w:p>
    <w:p>
      <w:pPr>
        <w:ind w:right="3120" w:firstLine="8"/>
        <w:spacing w:after="0" w:line="468" w:lineRule="auto"/>
        <w:tabs>
          <w:tab w:leader="none" w:pos="306" w:val="left"/>
        </w:tabs>
        <w:numPr>
          <w:ilvl w:val="0"/>
          <w:numId w:val="1"/>
        </w:numPr>
        <w:rPr>
          <w:rFonts w:ascii="Times New Roman" w:cs="Times New Roman" w:eastAsia="Times New Roman" w:hAnsi="Times New Roman"/>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2"/>
        </w:trPr>
        <w:tc>
          <w:tcPr>
            <w:tcW w:w="49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Trading Symbol(s)</w:t>
            </w:r>
          </w:p>
        </w:tc>
        <w:tc>
          <w:tcPr>
            <w:tcW w:w="4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37"/>
        </w:trPr>
        <w:tc>
          <w:tcPr>
            <w:tcW w:w="4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71" w:lineRule="exact"/>
        <w:rPr>
          <w:sz w:val="24"/>
          <w:szCs w:val="24"/>
          <w:color w:val="auto"/>
        </w:rPr>
      </w:pPr>
    </w:p>
    <w:p>
      <w:pPr>
        <w:ind w:right="200"/>
        <w:spacing w:after="0" w:line="259"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spacing w:after="0" w:line="1" w:lineRule="exact"/>
        <w:rPr>
          <w:sz w:val="24"/>
          <w:szCs w:val="24"/>
          <w:color w:val="auto"/>
        </w:rPr>
      </w:pPr>
    </w:p>
    <w:p>
      <w:pPr>
        <w:ind w:left="6980"/>
        <w:spacing w:after="0"/>
        <w:rPr>
          <w:sz w:val="20"/>
          <w:szCs w:val="20"/>
          <w:color w:val="auto"/>
        </w:rPr>
      </w:pPr>
      <w:r>
        <w:rPr>
          <w:rFonts w:ascii="Arial" w:cs="Arial" w:eastAsia="Arial" w:hAnsi="Arial"/>
          <w:sz w:val="16"/>
          <w:szCs w:val="16"/>
          <w:color w:val="auto"/>
        </w:rPr>
        <w:t xml:space="preserve">Emerging growth company </w:t>
      </w:r>
      <w:r>
        <w:rPr>
          <w:rFonts w:ascii="Times New Roman" w:cs="Times New Roman" w:eastAsia="Times New Roman" w:hAnsi="Times New Roman"/>
          <w:sz w:val="16"/>
          <w:szCs w:val="16"/>
          <w:color w:val="auto"/>
        </w:rPr>
        <w:t>o</w:t>
      </w:r>
    </w:p>
    <w:p>
      <w:pPr>
        <w:spacing w:after="0" w:line="187" w:lineRule="exact"/>
        <w:rPr>
          <w:sz w:val="24"/>
          <w:szCs w:val="24"/>
          <w:color w:val="auto"/>
        </w:rPr>
      </w:pPr>
    </w:p>
    <w:p>
      <w:pPr>
        <w:ind w:right="320"/>
        <w:spacing w:after="0" w:line="291"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cs="Times New Roman" w:eastAsia="Times New Roman" w:hAnsi="Times New Roman"/>
          <w:sz w:val="18"/>
          <w:szCs w:val="18"/>
          <w:color w:val="auto"/>
        </w:rPr>
        <w:t>o</w:t>
      </w:r>
    </w:p>
    <w:p>
      <w:pPr>
        <w:sectPr>
          <w:pgSz w:w="11900" w:h="16838" w:orient="portrait"/>
          <w:cols w:equalWidth="0" w:num="1">
            <w:col w:w="11440"/>
          </w:cols>
          <w:pgMar w:left="240" w:top="657" w:right="2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1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June 19, 2019, Winnebago Industries, Inc. issued a press release to report financial results for the third quarter of Fiscal 2019 ended May 25, 2019. A copy of the press release is attached as Exhibit 99.1 and is incorporated by reference herein.</w:t>
      </w:r>
    </w:p>
    <w:p>
      <w:pPr>
        <w:spacing w:after="0" w:line="121" w:lineRule="exact"/>
        <w:rPr>
          <w:sz w:val="20"/>
          <w:szCs w:val="20"/>
          <w:color w:val="auto"/>
        </w:rPr>
      </w:pPr>
    </w:p>
    <w:p>
      <w:pPr>
        <w:ind w:right="260"/>
        <w:spacing w:after="0" w:line="257" w:lineRule="auto"/>
        <w:rPr>
          <w:sz w:val="20"/>
          <w:szCs w:val="20"/>
          <w:color w:val="auto"/>
        </w:rPr>
      </w:pPr>
      <w:r>
        <w:rPr>
          <w:rFonts w:ascii="Arial" w:cs="Arial" w:eastAsia="Arial" w:hAnsi="Arial"/>
          <w:sz w:val="16"/>
          <w:szCs w:val="16"/>
          <w:color w:val="auto"/>
        </w:rPr>
        <w:t>Exhibit 99.1 includes non-GAAP financial measures related to our operations. Certain of these non-GAAP measures may be discussed in our earnings conference call for the third quarter of Fiscal 2019. In addition, Exhibit 99.1 includes reconciliations of these GAAP to non-GAAP measures as well as an explanation of why these non-GAAP measures provide useful information to investors and how management uses these non-GAAP measures. These non-GAAP measures should not be considered a substitute for, or superior to, financial measures calculated in accordance with GAAP, and the financial results calculated in accordance with GAAP and reconciliations from our results should be carefully evaluated.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Exhibit</w:t>
      </w:r>
    </w:p>
    <w:p>
      <w:pPr>
        <w:spacing w:after="0" w:line="27"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19050</wp:posOffset>
            </wp:positionV>
            <wp:extent cx="70237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735" cy="8890"/>
                    </a:xfrm>
                    <a:prstGeom prst="rect">
                      <a:avLst/>
                    </a:prstGeom>
                    <a:noFill/>
                  </pic:spPr>
                </pic:pic>
              </a:graphicData>
            </a:graphic>
          </wp:anchor>
        </w:drawing>
      </w:r>
    </w:p>
    <w:p>
      <w:pPr>
        <w:spacing w:after="0" w:line="46" w:lineRule="exact"/>
        <w:rPr>
          <w:sz w:val="20"/>
          <w:szCs w:val="20"/>
          <w:color w:val="auto"/>
        </w:rPr>
      </w:pPr>
    </w:p>
    <w:p>
      <w:pPr>
        <w:ind w:left="380"/>
        <w:spacing w:after="0"/>
        <w:tabs>
          <w:tab w:leader="none" w:pos="1400" w:val="left"/>
        </w:tabs>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99.1</w:t>
        </w:r>
      </w:hyperlink>
      <w:r>
        <w:rPr>
          <w:rFonts w:ascii="Arial" w:cs="Arial" w:eastAsia="Arial" w:hAnsi="Arial"/>
          <w:sz w:val="16"/>
          <w:szCs w:val="16"/>
          <w:u w:val="single" w:color="auto"/>
          <w:color w:val="0000FF"/>
        </w:rPr>
        <w:tab/>
      </w:r>
      <w:hyperlink w:anchor="page4">
        <w:r>
          <w:rPr>
            <w:rFonts w:ascii="Arial" w:cs="Arial" w:eastAsia="Arial" w:hAnsi="Arial"/>
            <w:sz w:val="16"/>
            <w:szCs w:val="16"/>
            <w:u w:val="single" w:color="auto"/>
            <w:color w:val="0000FF"/>
          </w:rPr>
          <w:t>Press Release of Winnebago Industries, Inc. dated June 19, 2019</w:t>
        </w:r>
      </w:hyperlink>
    </w:p>
    <w:p>
      <w:pPr>
        <w:sectPr>
          <w:pgSz w:w="11900" w:h="16838" w:orient="portrait"/>
          <w:cols w:equalWidth="0" w:num="1">
            <w:col w:w="11360"/>
          </w:cols>
          <w:pgMar w:left="240" w:top="552" w:right="29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20"/>
          <w:szCs w:val="20"/>
          <w:b w:val="1"/>
          <w:bCs w:val="1"/>
          <w:color w:val="auto"/>
        </w:rPr>
        <w:t>SIGNATURE</w:t>
      </w:r>
    </w:p>
    <w:p>
      <w:pPr>
        <w:spacing w:after="0" w:line="1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94"/>
        </w:trPr>
        <w:tc>
          <w:tcPr>
            <w:tcW w:w="6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700" w:type="dxa"/>
            <w:vAlign w:val="bottom"/>
            <w:gridSpan w:val="2"/>
          </w:tcPr>
          <w:p>
            <w:pPr>
              <w:ind w:left="12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558"/>
        </w:trPr>
        <w:tc>
          <w:tcPr>
            <w:tcW w:w="600" w:type="dxa"/>
            <w:vAlign w:val="bottom"/>
          </w:tcPr>
          <w:p>
            <w:pPr>
              <w:spacing w:after="0"/>
              <w:rPr>
                <w:sz w:val="20"/>
                <w:szCs w:val="20"/>
                <w:color w:val="auto"/>
              </w:rPr>
            </w:pPr>
            <w:r>
              <w:rPr>
                <w:rFonts w:ascii="Arial" w:cs="Arial" w:eastAsia="Arial" w:hAnsi="Arial"/>
                <w:sz w:val="16"/>
                <w:szCs w:val="16"/>
                <w:color w:val="auto"/>
              </w:rPr>
              <w:t>Date:</w:t>
            </w:r>
          </w:p>
        </w:tc>
        <w:tc>
          <w:tcPr>
            <w:tcW w:w="2480" w:type="dxa"/>
            <w:vAlign w:val="bottom"/>
          </w:tcPr>
          <w:p>
            <w:pPr>
              <w:ind w:left="200"/>
              <w:spacing w:after="0"/>
              <w:rPr>
                <w:sz w:val="20"/>
                <w:szCs w:val="20"/>
                <w:color w:val="auto"/>
              </w:rPr>
            </w:pPr>
            <w:r>
              <w:rPr>
                <w:rFonts w:ascii="Arial" w:cs="Arial" w:eastAsia="Arial" w:hAnsi="Arial"/>
                <w:sz w:val="16"/>
                <w:szCs w:val="16"/>
                <w:color w:val="auto"/>
              </w:rPr>
              <w:t>June 19, 2019</w:t>
            </w:r>
          </w:p>
        </w:tc>
        <w:tc>
          <w:tcPr>
            <w:tcW w:w="2040" w:type="dxa"/>
            <w:vAlign w:val="bottom"/>
          </w:tcPr>
          <w:p>
            <w:pPr>
              <w:ind w:left="1260"/>
              <w:spacing w:after="0"/>
              <w:rPr>
                <w:sz w:val="20"/>
                <w:szCs w:val="20"/>
                <w:color w:val="auto"/>
              </w:rPr>
            </w:pPr>
            <w:r>
              <w:rPr>
                <w:rFonts w:ascii="Arial" w:cs="Arial" w:eastAsia="Arial" w:hAnsi="Arial"/>
                <w:sz w:val="16"/>
                <w:szCs w:val="16"/>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Bryan L. Hughes</w:t>
            </w:r>
          </w:p>
        </w:tc>
      </w:tr>
      <w:tr>
        <w:trPr>
          <w:trHeight w:val="241"/>
        </w:trPr>
        <w:tc>
          <w:tcPr>
            <w:tcW w:w="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40" w:type="dxa"/>
            <w:vAlign w:val="bottom"/>
          </w:tcPr>
          <w:p>
            <w:pPr>
              <w:ind w:left="1260"/>
              <w:spacing w:after="0"/>
              <w:rPr>
                <w:sz w:val="20"/>
                <w:szCs w:val="20"/>
                <w:color w:val="auto"/>
              </w:rPr>
            </w:pPr>
            <w:r>
              <w:rPr>
                <w:rFonts w:ascii="Arial" w:cs="Arial" w:eastAsia="Arial" w:hAnsi="Arial"/>
                <w:sz w:val="16"/>
                <w:szCs w:val="16"/>
                <w:color w:val="auto"/>
              </w:rPr>
              <w:t>Name:</w:t>
            </w:r>
          </w:p>
        </w:tc>
        <w:tc>
          <w:tcPr>
            <w:tcW w:w="4660" w:type="dxa"/>
            <w:vAlign w:val="bottom"/>
          </w:tcPr>
          <w:p>
            <w:pPr>
              <w:ind w:left="20"/>
              <w:spacing w:after="0"/>
              <w:rPr>
                <w:sz w:val="20"/>
                <w:szCs w:val="20"/>
                <w:color w:val="auto"/>
              </w:rPr>
            </w:pPr>
            <w:r>
              <w:rPr>
                <w:rFonts w:ascii="Arial" w:cs="Arial" w:eastAsia="Arial" w:hAnsi="Arial"/>
                <w:sz w:val="16"/>
                <w:szCs w:val="16"/>
                <w:color w:val="auto"/>
              </w:rPr>
              <w:t>Bryan L. Hughes</w:t>
            </w:r>
          </w:p>
        </w:tc>
      </w:tr>
      <w:tr>
        <w:trPr>
          <w:trHeight w:val="270"/>
        </w:trPr>
        <w:tc>
          <w:tcPr>
            <w:tcW w:w="6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2040" w:type="dxa"/>
            <w:vAlign w:val="bottom"/>
          </w:tcPr>
          <w:p>
            <w:pPr>
              <w:ind w:left="1260"/>
              <w:spacing w:after="0"/>
              <w:rPr>
                <w:sz w:val="20"/>
                <w:szCs w:val="20"/>
                <w:color w:val="auto"/>
              </w:rPr>
            </w:pPr>
            <w:r>
              <w:rPr>
                <w:rFonts w:ascii="Arial" w:cs="Arial" w:eastAsia="Arial" w:hAnsi="Arial"/>
                <w:sz w:val="16"/>
                <w:szCs w:val="16"/>
                <w:color w:val="auto"/>
              </w:rPr>
              <w:t>Title:</w:t>
            </w:r>
          </w:p>
        </w:tc>
        <w:tc>
          <w:tcPr>
            <w:tcW w:w="4660" w:type="dxa"/>
            <w:vAlign w:val="bottom"/>
          </w:tcPr>
          <w:p>
            <w:pPr>
              <w:ind w:left="20"/>
              <w:spacing w:after="0"/>
              <w:rPr>
                <w:sz w:val="20"/>
                <w:szCs w:val="20"/>
                <w:color w:val="auto"/>
              </w:rPr>
            </w:pPr>
            <w:r>
              <w:rPr>
                <w:rFonts w:ascii="Arial" w:cs="Arial" w:eastAsia="Arial" w:hAnsi="Arial"/>
                <w:sz w:val="16"/>
                <w:szCs w:val="16"/>
                <w:color w:val="auto"/>
              </w:rPr>
              <w:t>Vice President, Chief Financial Officer</w:t>
            </w:r>
          </w:p>
        </w:tc>
      </w:tr>
    </w:tbl>
    <w:p>
      <w:pPr>
        <w:sectPr>
          <w:pgSz w:w="11900" w:h="16838" w:orient="portrait"/>
          <w:cols w:equalWidth="0" w:num="1">
            <w:col w:w="11220"/>
          </w:cols>
          <w:pgMar w:left="240" w:top="54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16" w:lineRule="exact"/>
        <w:rPr>
          <w:sz w:val="20"/>
          <w:szCs w:val="20"/>
          <w:color w:val="auto"/>
        </w:rPr>
      </w:pPr>
    </w:p>
    <w:p>
      <w:pPr>
        <w:ind w:left="546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-374650</wp:posOffset>
            </wp:positionV>
            <wp:extent cx="2306955" cy="317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06955" cy="31750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Contact: Steve Stuber - Investor Relations - 952-828-8461 - srstuber@wgo.net</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Media Contact: Sam Jefson - Public Relations Specialist - 641-585-6803 - sjefson@wgo.net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WINNEBAGO INDUSTRIES ANNOUNCES THIRD QUARTER FISCAL 2019 RESULTS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Sales Performance Continues to Outperform RV and Marine Industries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Quarterly Gross Margins of 16.4% Increased 120 Basis Points Over Prior Year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Quarterly Diluted EPS of $1.14, Up 12% Over Prior Year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Strong YTD Operating Cash Flow, Up 36% Over Prior Year --</w:t>
      </w:r>
    </w:p>
    <w:p>
      <w:pPr>
        <w:spacing w:after="0" w:line="200" w:lineRule="exact"/>
        <w:rPr>
          <w:sz w:val="20"/>
          <w:szCs w:val="20"/>
          <w:color w:val="auto"/>
        </w:rPr>
      </w:pPr>
    </w:p>
    <w:p>
      <w:pPr>
        <w:spacing w:after="0" w:line="235" w:lineRule="exact"/>
        <w:rPr>
          <w:sz w:val="20"/>
          <w:szCs w:val="20"/>
          <w:color w:val="auto"/>
        </w:rPr>
      </w:pPr>
    </w:p>
    <w:p>
      <w:pPr>
        <w:ind w:right="340"/>
        <w:spacing w:after="0" w:line="397" w:lineRule="auto"/>
        <w:rPr>
          <w:sz w:val="20"/>
          <w:szCs w:val="20"/>
          <w:color w:val="auto"/>
        </w:rPr>
      </w:pPr>
      <w:r>
        <w:rPr>
          <w:rFonts w:ascii="Arial" w:cs="Arial" w:eastAsia="Arial" w:hAnsi="Arial"/>
          <w:sz w:val="16"/>
          <w:szCs w:val="16"/>
          <w:color w:val="auto"/>
        </w:rPr>
        <w:t>FOREST CITY, IOWA, June 19, 2019 - Winnebago Industries, Inc. (NYSE:WGO), a leading outdoor lifestyle product manufacturer, today reported financial results for the Company's Fiscal 2019 third quarter.</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Third Quarter Results</w:t>
      </w:r>
    </w:p>
    <w:p>
      <w:pPr>
        <w:spacing w:after="0" w:line="86" w:lineRule="exact"/>
        <w:rPr>
          <w:sz w:val="20"/>
          <w:szCs w:val="20"/>
          <w:color w:val="auto"/>
        </w:rPr>
      </w:pPr>
    </w:p>
    <w:p>
      <w:pPr>
        <w:ind w:right="20"/>
        <w:spacing w:after="0" w:line="352" w:lineRule="auto"/>
        <w:rPr>
          <w:sz w:val="20"/>
          <w:szCs w:val="20"/>
          <w:color w:val="auto"/>
        </w:rPr>
      </w:pPr>
      <w:r>
        <w:rPr>
          <w:rFonts w:ascii="Arial" w:cs="Arial" w:eastAsia="Arial" w:hAnsi="Arial"/>
          <w:sz w:val="16"/>
          <w:szCs w:val="16"/>
          <w:color w:val="auto"/>
        </w:rPr>
        <w:t>Revenues for the Fiscal 2019 third quarter ended May 25, 2019, were $528.9 million, a decrease of 5.9% compared to $562.3 million for the Fiscal 2018 period. Gross profit was $86.6 million, an increase of 1.3% compared to $85.5 million for the Fiscal 2018 period. Gross profit margin increased 120 basis points in the quarter, driven by continued strong margin performance in the Towable segment. Operating income was $49.0 million for the quarter, an increase of</w:t>
      </w:r>
    </w:p>
    <w:p>
      <w:pPr>
        <w:spacing w:after="0" w:line="1" w:lineRule="exact"/>
        <w:rPr>
          <w:sz w:val="20"/>
          <w:szCs w:val="20"/>
          <w:color w:val="auto"/>
        </w:rPr>
      </w:pPr>
    </w:p>
    <w:p>
      <w:pPr>
        <w:ind w:right="100"/>
        <w:spacing w:after="0" w:line="359" w:lineRule="auto"/>
        <w:rPr>
          <w:sz w:val="20"/>
          <w:szCs w:val="20"/>
          <w:color w:val="auto"/>
        </w:rPr>
      </w:pPr>
      <w:r>
        <w:rPr>
          <w:rFonts w:ascii="Arial" w:cs="Arial" w:eastAsia="Arial" w:hAnsi="Arial"/>
          <w:sz w:val="16"/>
          <w:szCs w:val="16"/>
          <w:color w:val="auto"/>
        </w:rPr>
        <w:t>1.4% compared to $48.3 million in the third quarter of last year, and was unfavorably impacted by the restructuring costs associated with moving our diesel manufacturing from Junction City, Oregon to Northern Iowa, totaling $1.1 million, or $0.03 diluted earnings per share. Fiscal 2019 third quarter net income was $36.2 million, an increase of 11.2% compared to $32.5 million in the same period last year. Earnings per diluted share were $1.14, an increase of 11.8% compared to earnings per diluted share of $1.02 in the same period last year. Net income and earnings per share were favorably impacted by an improved tax rate resulting from the Tax Cuts and Jobs Act ("TCJA"), totaling $1.7 million, or $0.06 diluted earnings per share, and a change in estimate related to R&amp;D tax credits of $1.4 million, or $0.04 diluted earnings per share. Consolidated Adjusted EBITDA was $55.9 million for the quarter, compared to $53.4 million last year, resulting in an increase of 4.7%.</w:t>
      </w:r>
    </w:p>
    <w:p>
      <w:pPr>
        <w:spacing w:after="0" w:line="234" w:lineRule="exact"/>
        <w:rPr>
          <w:sz w:val="20"/>
          <w:szCs w:val="20"/>
          <w:color w:val="auto"/>
        </w:rPr>
      </w:pPr>
    </w:p>
    <w:p>
      <w:pPr>
        <w:spacing w:after="0" w:line="358" w:lineRule="auto"/>
        <w:rPr>
          <w:sz w:val="20"/>
          <w:szCs w:val="20"/>
          <w:color w:val="auto"/>
        </w:rPr>
      </w:pPr>
      <w:r>
        <w:rPr>
          <w:rFonts w:ascii="Arial" w:cs="Arial" w:eastAsia="Arial" w:hAnsi="Arial"/>
          <w:sz w:val="16"/>
          <w:szCs w:val="16"/>
          <w:color w:val="auto"/>
        </w:rPr>
        <w:t>President and Chief Executive Officer Michael Happe commented, “We are pleased to deliver another quarter of solid consolidated results highlighted by continued margin expansion and market share gains. Winnebago Industries’ third quarter results are a testament to the strength and resiliency of our brand portfolio amid a challenging and highly competitive RV market. We continue to focus on manufacturing high-quality products, maintaining disciplined production management and enhancing channel relationships. Despite a moderate decrease in overall sales in a difficult RV wholesale market, consolidated margin continued to expand, primarily due to the strength of our dual-branded Towable segment. We continue to be pleased with our strengthened market position as we outperform the industries in which we compete. I want to thank all of our Winnebago Industries employees for their dedication to making the Company a trusted leader in outdoor lifestyle solutions. Their hard work and flexibility during the quarter is appreciated as we continued to manage output during these past several months of marketplace volatility.”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19"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auto"/>
        </w:rPr>
        <w:t>Motorhome</w:t>
      </w:r>
    </w:p>
    <w:p>
      <w:pPr>
        <w:spacing w:after="0" w:line="86" w:lineRule="exact"/>
        <w:rPr>
          <w:sz w:val="20"/>
          <w:szCs w:val="20"/>
          <w:color w:val="auto"/>
        </w:rPr>
      </w:pPr>
    </w:p>
    <w:p>
      <w:pPr>
        <w:ind w:right="40"/>
        <w:spacing w:after="0" w:line="357" w:lineRule="auto"/>
        <w:rPr>
          <w:sz w:val="20"/>
          <w:szCs w:val="20"/>
          <w:color w:val="auto"/>
        </w:rPr>
      </w:pPr>
      <w:r>
        <w:rPr>
          <w:rFonts w:ascii="Arial" w:cs="Arial" w:eastAsia="Arial" w:hAnsi="Arial"/>
          <w:sz w:val="16"/>
          <w:szCs w:val="16"/>
          <w:color w:val="auto"/>
        </w:rPr>
        <w:t>In the third quarter, revenues for the Motorhome segment were $160.2 million, down 34.6% from the prior year driven by decreases in both Class C and Class A unit sales as dealers continue to lower their inventories. Class B unit sales and Motorhome segment profitability were also down versus the prior year due to a temporary, but material, disruption in chassis supply by one of our strategic suppliers, which had a significant impact on shipment availability for two of our most popular Class B units. Supply is improving during the early part of our fourth quarter, and we expect our Class B portfolio to return to strong performance in the back half of our fourth quarter and during Fiscal 2020. Despite these headwinds, our retail performance in the Class B category has remained robust. Segment Adjusted EBITDA was $0.4 million, down 96.7% from the prior year. Adjusted EBITDA margin decreased 460 basis points, driven primarily by deleverage, an unfavorable mix due to the decline in sales of our most profitable products, and continued discounting in the marketplace. Backlog decreased 5.6%, in dollars, compared to the prior year reflecting dealers efforts to right-size inventory levels, partially offset by an increase in several Class B products due to the temporary disruption in chassis supply.</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Towable</w:t>
      </w:r>
    </w:p>
    <w:p>
      <w:pPr>
        <w:spacing w:after="0" w:line="86" w:lineRule="exact"/>
        <w:rPr>
          <w:sz w:val="20"/>
          <w:szCs w:val="20"/>
          <w:color w:val="auto"/>
        </w:rPr>
      </w:pPr>
    </w:p>
    <w:p>
      <w:pPr>
        <w:ind w:right="100"/>
        <w:spacing w:after="0" w:line="352" w:lineRule="auto"/>
        <w:rPr>
          <w:sz w:val="20"/>
          <w:szCs w:val="20"/>
          <w:color w:val="auto"/>
        </w:rPr>
      </w:pPr>
      <w:r>
        <w:rPr>
          <w:rFonts w:ascii="Arial" w:cs="Arial" w:eastAsia="Arial" w:hAnsi="Arial"/>
          <w:sz w:val="16"/>
          <w:szCs w:val="16"/>
          <w:color w:val="auto"/>
        </w:rPr>
        <w:t>Revenues for the Towable segment were $346.8 million for the third quarter, up 10.8% from the prior year, driven particularly by the strength of the Grand Design RV brand. Segment Adjusted EBITDA was $57.2 million, up 26.0% over the prior year. Adjusted EBITDA margin of 16.5% increased 200 basis points, reflecting an increase in unit sales, pricing actions taken over the past twelve months, and effectively managing input cost pressures. Backlog decreased</w:t>
      </w:r>
    </w:p>
    <w:p>
      <w:pPr>
        <w:spacing w:after="0" w:line="1" w:lineRule="exact"/>
        <w:rPr>
          <w:sz w:val="20"/>
          <w:szCs w:val="20"/>
          <w:color w:val="auto"/>
        </w:rPr>
      </w:pPr>
    </w:p>
    <w:p>
      <w:pPr>
        <w:spacing w:after="0" w:line="397" w:lineRule="auto"/>
        <w:rPr>
          <w:sz w:val="20"/>
          <w:szCs w:val="20"/>
          <w:color w:val="auto"/>
        </w:rPr>
      </w:pPr>
      <w:r>
        <w:rPr>
          <w:rFonts w:ascii="Arial" w:cs="Arial" w:eastAsia="Arial" w:hAnsi="Arial"/>
          <w:sz w:val="16"/>
          <w:szCs w:val="16"/>
          <w:color w:val="auto"/>
        </w:rPr>
        <w:t>24.2%, in dollars, compared to the prior year, reflecting the positive impact of utilizing additional capacity added during calendar 2018 and dealers continuing to normalize inventory levels.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Tax</w:t>
      </w:r>
    </w:p>
    <w:p>
      <w:pPr>
        <w:spacing w:after="0" w:line="86" w:lineRule="exact"/>
        <w:rPr>
          <w:sz w:val="20"/>
          <w:szCs w:val="20"/>
          <w:color w:val="auto"/>
        </w:rPr>
      </w:pPr>
    </w:p>
    <w:p>
      <w:pPr>
        <w:ind w:right="60"/>
        <w:spacing w:after="0" w:line="361" w:lineRule="auto"/>
        <w:rPr>
          <w:sz w:val="20"/>
          <w:szCs w:val="20"/>
          <w:color w:val="auto"/>
        </w:rPr>
      </w:pPr>
      <w:r>
        <w:rPr>
          <w:rFonts w:ascii="Arial" w:cs="Arial" w:eastAsia="Arial" w:hAnsi="Arial"/>
          <w:sz w:val="16"/>
          <w:szCs w:val="16"/>
          <w:color w:val="auto"/>
        </w:rPr>
        <w:t>Our effective tax rate for the third quarter was 19.4%, driven lower by the year-over-year impact of the reduction in the corporate income tax rate associated with the TCJA and a favorable change in estimate related to R&amp;D tax credits. The impact from the TCJA and change in estimate was $0.06 and $0.04 to diluted earnings per share, respectively. Considering our year-to-date tax provision, including all favorable discrete items and changes in estimates, as well as our current ongoing tax rate assumptions for the remainder of the year, we expect our full year Fiscal 2019 tax rate to be approximately 20%, before consideration of any discrete tax items in our fourth quarter. Under the current tax code, we expect our ongoing tax rate in Fiscal 2020 and beyond to be in the range of 23% to 24%, before consideration of any discrete tax items.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Balance Sheet and Cash Flow</w:t>
      </w:r>
    </w:p>
    <w:p>
      <w:pPr>
        <w:spacing w:after="0" w:line="86" w:lineRule="exact"/>
        <w:rPr>
          <w:sz w:val="20"/>
          <w:szCs w:val="20"/>
          <w:color w:val="auto"/>
        </w:rPr>
      </w:pPr>
    </w:p>
    <w:p>
      <w:pPr>
        <w:ind w:right="160"/>
        <w:spacing w:after="0" w:line="367" w:lineRule="auto"/>
        <w:rPr>
          <w:sz w:val="20"/>
          <w:szCs w:val="20"/>
          <w:color w:val="auto"/>
        </w:rPr>
      </w:pPr>
      <w:r>
        <w:rPr>
          <w:rFonts w:ascii="Arial" w:cs="Arial" w:eastAsia="Arial" w:hAnsi="Arial"/>
          <w:sz w:val="16"/>
          <w:szCs w:val="16"/>
          <w:color w:val="auto"/>
        </w:rPr>
        <w:t>As of May 25, 2019, the Company had total outstanding debt of $259.6 million ($265.6 million of debt, net of debt issuance costs of $6.0 million) and working capital of $186.2 million. The debt-to-equity ratio decreased to 43.0% from 54.5% as of August 25, 2018, and the ratio of net debt to Adjusted EBITDA was 1.4x as of the end of the quarter. Cash flow from operations was $82.8 million for the first nine months of Fiscal 2019, an increase of $21.8 million from the same period in Fiscal 2018.</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Quarterly Cash Dividend</w:t>
      </w:r>
    </w:p>
    <w:p>
      <w:pPr>
        <w:spacing w:after="0" w:line="86" w:lineRule="exact"/>
        <w:rPr>
          <w:sz w:val="20"/>
          <w:szCs w:val="20"/>
          <w:color w:val="auto"/>
        </w:rPr>
      </w:pPr>
    </w:p>
    <w:p>
      <w:pPr>
        <w:ind w:right="140"/>
        <w:spacing w:after="0" w:line="397" w:lineRule="auto"/>
        <w:rPr>
          <w:sz w:val="20"/>
          <w:szCs w:val="20"/>
          <w:color w:val="auto"/>
        </w:rPr>
      </w:pPr>
      <w:r>
        <w:rPr>
          <w:rFonts w:ascii="Arial" w:cs="Arial" w:eastAsia="Arial" w:hAnsi="Arial"/>
          <w:sz w:val="16"/>
          <w:szCs w:val="16"/>
          <w:color w:val="auto"/>
        </w:rPr>
        <w:t>On May 22, 2019, the Company’s board of directors approved a quarterly cash dividend of $0.11 per share payable on July 3, 2019, to common stockholders of record at the close of business on June 19, 2019.</w:t>
      </w:r>
    </w:p>
    <w:p>
      <w:pPr>
        <w:spacing w:after="0" w:line="202" w:lineRule="exact"/>
        <w:rPr>
          <w:sz w:val="20"/>
          <w:szCs w:val="20"/>
          <w:color w:val="auto"/>
        </w:rPr>
      </w:pPr>
    </w:p>
    <w:p>
      <w:pPr>
        <w:ind w:right="60"/>
        <w:spacing w:after="0" w:line="363" w:lineRule="auto"/>
        <w:rPr>
          <w:sz w:val="20"/>
          <w:szCs w:val="20"/>
          <w:color w:val="auto"/>
        </w:rPr>
      </w:pPr>
      <w:r>
        <w:rPr>
          <w:rFonts w:ascii="Arial" w:cs="Arial" w:eastAsia="Arial" w:hAnsi="Arial"/>
          <w:sz w:val="16"/>
          <w:szCs w:val="16"/>
          <w:color w:val="auto"/>
        </w:rPr>
        <w:t>Mr. Happe continued, “As we transition into the final quarter of Fiscal 2019, we are well positioned to continue our positive momentum with top line sales and share gains. Our North American RV retail share is approaching 10%, up from 3% just three years ago. The imbalance between industry wholesale shipments and retail sales continues to improve and will continue to do so in the back half of calendar 2019. The materials cost environment remains volatile, as newly implemented and pending tariffs start to impact cost inputs in the back half of calendar 2019. We absorbed an unexpected challenge to our motorhome sales and</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380"/>
          </w:cols>
          <w:pgMar w:left="240" w:top="405" w:right="279" w:bottom="1440" w:gutter="0" w:footer="0" w:header="0"/>
        </w:sectPr>
      </w:pPr>
    </w:p>
    <w:bookmarkStart w:id="5" w:name="page6"/>
    <w:bookmarkEnd w:id="5"/>
    <w:p>
      <w:pPr>
        <w:ind w:right="20"/>
        <w:spacing w:after="0" w:line="367" w:lineRule="auto"/>
        <w:rPr>
          <w:sz w:val="20"/>
          <w:szCs w:val="20"/>
          <w:color w:val="auto"/>
        </w:rPr>
      </w:pPr>
      <w:r>
        <w:rPr>
          <w:rFonts w:ascii="Arial" w:cs="Arial" w:eastAsia="Arial" w:hAnsi="Arial"/>
          <w:sz w:val="16"/>
          <w:szCs w:val="16"/>
          <w:color w:val="auto"/>
        </w:rPr>
        <w:t>profits during the quarter due primarily to a supply interruption of Class B chassis and we remain focused on seeing that situation improve. We are pleased with the recent pace of steady inbound RV orders from dealers. Additionally, Chris-Craft has launched several new models in the front half of 2019, which will continue their momentum forward in the marine industry. Our broader portfolio, combined with our operational resiliency as a company, are working to solidify our unique position within the outdoor lifestyle market and making Winnebago Industries a high-quality company that investors can trust to deliver value.”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Conference Call</w:t>
      </w:r>
    </w:p>
    <w:p>
      <w:pPr>
        <w:spacing w:after="0" w:line="86" w:lineRule="exact"/>
        <w:rPr>
          <w:sz w:val="20"/>
          <w:szCs w:val="20"/>
          <w:color w:val="auto"/>
        </w:rPr>
      </w:pPr>
    </w:p>
    <w:p>
      <w:pPr>
        <w:ind w:right="260"/>
        <w:spacing w:after="0" w:line="374" w:lineRule="auto"/>
        <w:rPr>
          <w:sz w:val="20"/>
          <w:szCs w:val="20"/>
          <w:color w:val="auto"/>
        </w:rPr>
      </w:pPr>
      <w:r>
        <w:rPr>
          <w:rFonts w:ascii="Arial" w:cs="Arial" w:eastAsia="Arial" w:hAnsi="Arial"/>
          <w:sz w:val="16"/>
          <w:szCs w:val="16"/>
          <w:color w:val="auto"/>
        </w:rPr>
        <w:t>Winnebago Industries, Inc. will discuss third quarter Fiscal 2019 earnings results during a conference call scheduled for 9:00 a.m. Central Time today. Members of the news media, investors and the general public are invited to access a live broadcast of the conference call via the Investor Relations page of the Company's website at http://investor.wgo.net. The event will be archived and available for replay for the next 90 days.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86" w:lineRule="exact"/>
        <w:rPr>
          <w:sz w:val="20"/>
          <w:szCs w:val="20"/>
          <w:color w:val="auto"/>
        </w:rPr>
      </w:pPr>
    </w:p>
    <w:p>
      <w:pPr>
        <w:spacing w:after="0" w:line="363" w:lineRule="auto"/>
        <w:rPr>
          <w:sz w:val="20"/>
          <w:szCs w:val="20"/>
          <w:color w:val="auto"/>
        </w:rPr>
      </w:pPr>
      <w:r>
        <w:rPr>
          <w:rFonts w:ascii="Arial" w:cs="Arial" w:eastAsia="Arial" w:hAnsi="Arial"/>
          <w:sz w:val="16"/>
          <w:szCs w:val="16"/>
          <w:color w:val="auto"/>
        </w:rPr>
        <w:t>Winnebago Industries, Inc. is a leading U.S. manufacturer of outdoor lifestyle products under the Winnebago, Grand Design, and Chris-Craft brands, which are used primarily in leisure travel and outdoor recreation activities. The Company builds quality motorhomes, travel trailers, fifth wheel products, and boats. Winnebago Industries has multiple facilities in Iowa, Indiana, Minnesota, and Florida. The Company's common stock is listed on the New York Stock Exchange and traded under the symbol WGO. For access to Winnebago Industries' investor relations material or to add your name to an automatic email list for Company news releases, visit http://investor.wgo.net.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 Looking Statements</w:t>
      </w:r>
    </w:p>
    <w:p>
      <w:pPr>
        <w:spacing w:after="0" w:line="86" w:lineRule="exact"/>
        <w:rPr>
          <w:sz w:val="20"/>
          <w:szCs w:val="20"/>
          <w:color w:val="auto"/>
        </w:rPr>
      </w:pPr>
    </w:p>
    <w:p>
      <w:pPr>
        <w:ind w:right="20"/>
        <w:spacing w:after="0" w:line="356"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business interruptions, any unexpected expenses related to ERP, risks related to compliance with debt covenants and leverage ratios,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40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4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6"/>
          </w:tcPr>
          <w:p>
            <w:pPr>
              <w:ind w:left="260"/>
              <w:spacing w:after="0"/>
              <w:rPr>
                <w:sz w:val="20"/>
                <w:szCs w:val="20"/>
                <w:color w:val="auto"/>
              </w:rPr>
            </w:pPr>
            <w:r>
              <w:rPr>
                <w:rFonts w:ascii="Arial" w:cs="Arial" w:eastAsia="Arial" w:hAnsi="Arial"/>
                <w:sz w:val="16"/>
                <w:szCs w:val="16"/>
                <w:b w:val="1"/>
                <w:bCs w:val="1"/>
                <w:color w:val="auto"/>
              </w:rPr>
              <w:t>Three Months Ended</w:t>
            </w:r>
          </w:p>
        </w:tc>
        <w:tc>
          <w:tcPr>
            <w:tcW w:w="1000" w:type="dxa"/>
            <w:vAlign w:val="bottom"/>
            <w:tcBorders>
              <w:bottom w:val="single" w:sz="8" w:color="auto"/>
            </w:tcBorders>
          </w:tcPr>
          <w:p>
            <w:pPr>
              <w:spacing w:after="0"/>
              <w:rPr>
                <w:sz w:val="20"/>
                <w:szCs w:val="20"/>
                <w:color w:val="auto"/>
              </w:rPr>
            </w:pPr>
          </w:p>
        </w:tc>
      </w:tr>
      <w:tr>
        <w:trPr>
          <w:trHeight w:val="264"/>
        </w:trPr>
        <w:tc>
          <w:tcPr>
            <w:tcW w:w="44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3"/>
          </w:tcPr>
          <w:p>
            <w:pPr>
              <w:ind w:left="820"/>
              <w:spacing w:after="0"/>
              <w:rPr>
                <w:sz w:val="20"/>
                <w:szCs w:val="20"/>
                <w:color w:val="auto"/>
              </w:rPr>
            </w:pPr>
            <w:r>
              <w:rPr>
                <w:rFonts w:ascii="Arial" w:cs="Arial" w:eastAsia="Arial" w:hAnsi="Arial"/>
                <w:sz w:val="16"/>
                <w:szCs w:val="16"/>
                <w:b w:val="1"/>
                <w:bCs w:val="1"/>
                <w:color w:val="auto"/>
              </w:rPr>
              <w:t>May 25, 2019</w:t>
            </w: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ind w:left="520"/>
              <w:spacing w:after="0"/>
              <w:rPr>
                <w:sz w:val="20"/>
                <w:szCs w:val="20"/>
                <w:color w:val="auto"/>
              </w:rPr>
            </w:pPr>
            <w:r>
              <w:rPr>
                <w:rFonts w:ascii="Arial" w:cs="Arial" w:eastAsia="Arial" w:hAnsi="Arial"/>
                <w:sz w:val="16"/>
                <w:szCs w:val="16"/>
                <w:b w:val="1"/>
                <w:bCs w:val="1"/>
                <w:color w:val="auto"/>
              </w:rPr>
              <w:t>May 26, 2018</w:t>
            </w:r>
          </w:p>
        </w:tc>
        <w:tc>
          <w:tcPr>
            <w:tcW w:w="1000" w:type="dxa"/>
            <w:vAlign w:val="bottom"/>
            <w:tcBorders>
              <w:bottom w:val="single" w:sz="8" w:color="auto"/>
            </w:tcBorders>
          </w:tcPr>
          <w:p>
            <w:pPr>
              <w:spacing w:after="0"/>
              <w:rPr>
                <w:sz w:val="22"/>
                <w:szCs w:val="22"/>
                <w:color w:val="auto"/>
              </w:rPr>
            </w:pPr>
          </w:p>
        </w:tc>
      </w:tr>
      <w:tr>
        <w:trPr>
          <w:trHeight w:val="267"/>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528,940</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562,261</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r>
      <w:tr>
        <w:trPr>
          <w:trHeight w:val="264"/>
        </w:trPr>
        <w:tc>
          <w:tcPr>
            <w:tcW w:w="4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442,356</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83.6 %</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476,747</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84.8 %</w:t>
            </w:r>
          </w:p>
        </w:tc>
      </w:tr>
      <w:tr>
        <w:trPr>
          <w:trHeight w:val="257"/>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4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86,584</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16.4 %</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85,514</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15.2 %</w:t>
            </w:r>
          </w:p>
        </w:tc>
      </w:tr>
      <w:tr>
        <w:trPr>
          <w:trHeight w:val="262"/>
        </w:trPr>
        <w:tc>
          <w:tcPr>
            <w:tcW w:w="44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4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35,332</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6.7 %</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35,304</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6.3 %</w:t>
            </w:r>
          </w:p>
        </w:tc>
      </w:tr>
      <w:tr>
        <w:trPr>
          <w:trHeight w:val="271"/>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2,278</w:t>
            </w:r>
          </w:p>
        </w:tc>
        <w:tc>
          <w:tcPr>
            <w:tcW w:w="10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0.4 %</w:t>
            </w:r>
          </w:p>
        </w:tc>
        <w:tc>
          <w:tcPr>
            <w:tcW w:w="12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1,933</w:t>
            </w:r>
          </w:p>
        </w:tc>
        <w:tc>
          <w:tcPr>
            <w:tcW w:w="12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0.3 %</w:t>
            </w:r>
          </w:p>
        </w:tc>
      </w:tr>
      <w:tr>
        <w:trPr>
          <w:trHeight w:val="250"/>
        </w:trPr>
        <w:tc>
          <w:tcPr>
            <w:tcW w:w="4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operating expenses</w:t>
            </w: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37,610</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7.1 %</w:t>
            </w:r>
          </w:p>
        </w:tc>
        <w:tc>
          <w:tcPr>
            <w:tcW w:w="12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37,237</w:t>
            </w:r>
          </w:p>
        </w:tc>
        <w:tc>
          <w:tcPr>
            <w:tcW w:w="12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6.6 %</w:t>
            </w:r>
          </w:p>
        </w:tc>
      </w:tr>
      <w:tr>
        <w:trPr>
          <w:trHeight w:val="257"/>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4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48,974</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9.3 %</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48,277</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8.6 %</w:t>
            </w:r>
          </w:p>
        </w:tc>
      </w:tr>
      <w:tr>
        <w:trPr>
          <w:trHeight w:val="262"/>
        </w:trPr>
        <w:tc>
          <w:tcPr>
            <w:tcW w:w="444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4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4,446</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0.8 %</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4,172</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0.7 %</w:t>
            </w:r>
          </w:p>
        </w:tc>
      </w:tr>
      <w:tr>
        <w:trPr>
          <w:trHeight w:val="271"/>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r>
      <w:tr>
        <w:trPr>
          <w:trHeight w:val="249"/>
        </w:trPr>
        <w:tc>
          <w:tcPr>
            <w:tcW w:w="444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42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44,888</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8.5 %</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44,205</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7.9 %</w:t>
            </w:r>
          </w:p>
        </w:tc>
      </w:tr>
      <w:tr>
        <w:trPr>
          <w:trHeight w:val="271"/>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8,717</w:t>
            </w:r>
          </w:p>
        </w:tc>
        <w:tc>
          <w:tcPr>
            <w:tcW w:w="10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1.6 %</w:t>
            </w:r>
          </w:p>
        </w:tc>
        <w:tc>
          <w:tcPr>
            <w:tcW w:w="12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11,684</w:t>
            </w:r>
          </w:p>
        </w:tc>
        <w:tc>
          <w:tcPr>
            <w:tcW w:w="12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2.1 %</w:t>
            </w:r>
          </w:p>
        </w:tc>
      </w:tr>
      <w:tr>
        <w:trPr>
          <w:trHeight w:val="282"/>
        </w:trPr>
        <w:tc>
          <w:tcPr>
            <w:tcW w:w="4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36,171</w:t>
            </w:r>
          </w:p>
        </w:tc>
        <w:tc>
          <w:tcPr>
            <w:tcW w:w="1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6.8 %</w:t>
            </w:r>
          </w:p>
        </w:tc>
        <w:tc>
          <w:tcPr>
            <w:tcW w:w="12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32,521</w:t>
            </w: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5.8 %</w:t>
            </w:r>
          </w:p>
        </w:tc>
      </w:tr>
      <w:tr>
        <w:trPr>
          <w:trHeight w:val="171"/>
        </w:trPr>
        <w:tc>
          <w:tcPr>
            <w:tcW w:w="44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62"/>
        </w:trPr>
        <w:tc>
          <w:tcPr>
            <w:tcW w:w="4440" w:type="dxa"/>
            <w:vAlign w:val="bottom"/>
          </w:tcPr>
          <w:p>
            <w:pPr>
              <w:ind w:left="40"/>
              <w:spacing w:after="0"/>
              <w:rPr>
                <w:sz w:val="20"/>
                <w:szCs w:val="20"/>
                <w:color w:val="auto"/>
              </w:rPr>
            </w:pPr>
            <w:r>
              <w:rPr>
                <w:rFonts w:ascii="Arial" w:cs="Arial" w:eastAsia="Arial" w:hAnsi="Arial"/>
                <w:sz w:val="16"/>
                <w:szCs w:val="16"/>
                <w:color w:val="auto"/>
              </w:rPr>
              <w:t>Income per common share:</w:t>
            </w: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8"/>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2"/>
        </w:trPr>
        <w:tc>
          <w:tcPr>
            <w:tcW w:w="4440" w:type="dxa"/>
            <w:vAlign w:val="bottom"/>
          </w:tcPr>
          <w:p>
            <w:pPr>
              <w:ind w:left="120"/>
              <w:spacing w:after="0"/>
              <w:rPr>
                <w:sz w:val="20"/>
                <w:szCs w:val="20"/>
                <w:color w:val="auto"/>
              </w:rPr>
            </w:pPr>
            <w:r>
              <w:rPr>
                <w:rFonts w:ascii="Arial" w:cs="Arial" w:eastAsia="Arial" w:hAnsi="Arial"/>
                <w:sz w:val="16"/>
                <w:szCs w:val="16"/>
                <w:color w:val="auto"/>
              </w:rPr>
              <w:t>Diluted</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8"/>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2"/>
        </w:trPr>
        <w:tc>
          <w:tcPr>
            <w:tcW w:w="4440" w:type="dxa"/>
            <w:vAlign w:val="bottom"/>
          </w:tcPr>
          <w:p>
            <w:pPr>
              <w:ind w:left="120"/>
              <w:spacing w:after="0"/>
              <w:rPr>
                <w:sz w:val="20"/>
                <w:szCs w:val="20"/>
                <w:color w:val="auto"/>
              </w:rPr>
            </w:pPr>
            <w:r>
              <w:rPr>
                <w:rFonts w:ascii="Arial" w:cs="Arial" w:eastAsia="Arial" w:hAnsi="Arial"/>
                <w:sz w:val="16"/>
                <w:szCs w:val="16"/>
                <w:color w:val="auto"/>
              </w:rPr>
              <w:t>Basic</w:t>
            </w:r>
          </w:p>
        </w:tc>
        <w:tc>
          <w:tcPr>
            <w:tcW w:w="4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31,493</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31,582</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8"/>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31,644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31,753</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401"/>
        </w:trPr>
        <w:tc>
          <w:tcPr>
            <w:tcW w:w="44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Nine Months Ended</w:t>
            </w: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64"/>
        </w:trPr>
        <w:tc>
          <w:tcPr>
            <w:tcW w:w="44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3"/>
          </w:tcPr>
          <w:p>
            <w:pPr>
              <w:ind w:left="820"/>
              <w:spacing w:after="0"/>
              <w:rPr>
                <w:sz w:val="20"/>
                <w:szCs w:val="20"/>
                <w:color w:val="auto"/>
              </w:rPr>
            </w:pPr>
            <w:r>
              <w:rPr>
                <w:rFonts w:ascii="Arial" w:cs="Arial" w:eastAsia="Arial" w:hAnsi="Arial"/>
                <w:sz w:val="16"/>
                <w:szCs w:val="16"/>
                <w:b w:val="1"/>
                <w:bCs w:val="1"/>
                <w:color w:val="auto"/>
              </w:rPr>
              <w:t>May 25, 2019</w:t>
            </w: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ind w:left="520"/>
              <w:spacing w:after="0"/>
              <w:rPr>
                <w:sz w:val="20"/>
                <w:szCs w:val="20"/>
                <w:color w:val="auto"/>
              </w:rPr>
            </w:pPr>
            <w:r>
              <w:rPr>
                <w:rFonts w:ascii="Arial" w:cs="Arial" w:eastAsia="Arial" w:hAnsi="Arial"/>
                <w:sz w:val="16"/>
                <w:szCs w:val="16"/>
                <w:b w:val="1"/>
                <w:bCs w:val="1"/>
                <w:color w:val="auto"/>
              </w:rPr>
              <w:t>May 26, 2018</w:t>
            </w:r>
          </w:p>
        </w:tc>
        <w:tc>
          <w:tcPr>
            <w:tcW w:w="1000" w:type="dxa"/>
            <w:vAlign w:val="bottom"/>
            <w:tcBorders>
              <w:bottom w:val="single" w:sz="8" w:color="auto"/>
            </w:tcBorders>
          </w:tcPr>
          <w:p>
            <w:pPr>
              <w:spacing w:after="0"/>
              <w:rPr>
                <w:sz w:val="22"/>
                <w:szCs w:val="22"/>
                <w:color w:val="auto"/>
              </w:rPr>
            </w:pPr>
          </w:p>
        </w:tc>
      </w:tr>
      <w:tr>
        <w:trPr>
          <w:trHeight w:val="254"/>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1,455,278</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1,480,641</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r>
      <w:tr>
        <w:trPr>
          <w:trHeight w:val="264"/>
        </w:trPr>
        <w:tc>
          <w:tcPr>
            <w:tcW w:w="4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1,231,269</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84.6 %</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8"/>
              </w:rPr>
              <w:t>1,264,635</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85.4 %</w:t>
            </w:r>
          </w:p>
        </w:tc>
      </w:tr>
      <w:tr>
        <w:trPr>
          <w:trHeight w:val="257"/>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4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224,009</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15.4 %</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216,006</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14.6 %</w:t>
            </w:r>
          </w:p>
        </w:tc>
      </w:tr>
      <w:tr>
        <w:trPr>
          <w:trHeight w:val="262"/>
        </w:trPr>
        <w:tc>
          <w:tcPr>
            <w:tcW w:w="44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4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106,303</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7.3 %</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95,381</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6.4 %</w:t>
            </w:r>
          </w:p>
        </w:tc>
      </w:tr>
      <w:tr>
        <w:trPr>
          <w:trHeight w:val="271"/>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7,204</w:t>
            </w:r>
          </w:p>
        </w:tc>
        <w:tc>
          <w:tcPr>
            <w:tcW w:w="10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0.5 %</w:t>
            </w:r>
          </w:p>
        </w:tc>
        <w:tc>
          <w:tcPr>
            <w:tcW w:w="12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5,921</w:t>
            </w:r>
          </w:p>
        </w:tc>
        <w:tc>
          <w:tcPr>
            <w:tcW w:w="12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0.4 %</w:t>
            </w:r>
          </w:p>
        </w:tc>
      </w:tr>
      <w:tr>
        <w:trPr>
          <w:trHeight w:val="250"/>
        </w:trPr>
        <w:tc>
          <w:tcPr>
            <w:tcW w:w="4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operating expenses</w:t>
            </w: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113,507</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7.8 %</w:t>
            </w:r>
          </w:p>
        </w:tc>
        <w:tc>
          <w:tcPr>
            <w:tcW w:w="12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101,302</w:t>
            </w:r>
          </w:p>
        </w:tc>
        <w:tc>
          <w:tcPr>
            <w:tcW w:w="12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6.8 %</w:t>
            </w:r>
          </w:p>
        </w:tc>
      </w:tr>
      <w:tr>
        <w:trPr>
          <w:trHeight w:val="257"/>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4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110,502</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7.6 %</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114,704</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7.7 %</w:t>
            </w:r>
          </w:p>
        </w:tc>
      </w:tr>
      <w:tr>
        <w:trPr>
          <w:trHeight w:val="262"/>
        </w:trPr>
        <w:tc>
          <w:tcPr>
            <w:tcW w:w="444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4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13,293</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0.9 %</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13,871</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0.9 %</w:t>
            </w:r>
          </w:p>
        </w:tc>
      </w:tr>
      <w:tr>
        <w:trPr>
          <w:trHeight w:val="271"/>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(1,330)</w:t>
            </w:r>
          </w:p>
        </w:tc>
        <w:tc>
          <w:tcPr>
            <w:tcW w:w="10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2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r>
      <w:tr>
        <w:trPr>
          <w:trHeight w:val="249"/>
        </w:trPr>
        <w:tc>
          <w:tcPr>
            <w:tcW w:w="444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42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98,539</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6.8 %</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101,045</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6.8 %</w:t>
            </w:r>
          </w:p>
        </w:tc>
      </w:tr>
      <w:tr>
        <w:trPr>
          <w:trHeight w:val="271"/>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18,609</w:t>
            </w:r>
          </w:p>
        </w:tc>
        <w:tc>
          <w:tcPr>
            <w:tcW w:w="10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1.3 %</w:t>
            </w:r>
          </w:p>
        </w:tc>
        <w:tc>
          <w:tcPr>
            <w:tcW w:w="12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28,478</w:t>
            </w:r>
          </w:p>
        </w:tc>
        <w:tc>
          <w:tcPr>
            <w:tcW w:w="12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1.9 %</w:t>
            </w:r>
          </w:p>
        </w:tc>
      </w:tr>
      <w:tr>
        <w:trPr>
          <w:trHeight w:val="282"/>
        </w:trPr>
        <w:tc>
          <w:tcPr>
            <w:tcW w:w="4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79,930</w:t>
            </w:r>
          </w:p>
        </w:tc>
        <w:tc>
          <w:tcPr>
            <w:tcW w:w="1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5.5 %</w:t>
            </w:r>
          </w:p>
        </w:tc>
        <w:tc>
          <w:tcPr>
            <w:tcW w:w="12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72,567</w:t>
            </w: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4.9 %</w:t>
            </w:r>
          </w:p>
        </w:tc>
      </w:tr>
      <w:tr>
        <w:trPr>
          <w:trHeight w:val="171"/>
        </w:trPr>
        <w:tc>
          <w:tcPr>
            <w:tcW w:w="44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62"/>
        </w:trPr>
        <w:tc>
          <w:tcPr>
            <w:tcW w:w="4440" w:type="dxa"/>
            <w:vAlign w:val="bottom"/>
          </w:tcPr>
          <w:p>
            <w:pPr>
              <w:ind w:left="40"/>
              <w:spacing w:after="0"/>
              <w:rPr>
                <w:sz w:val="20"/>
                <w:szCs w:val="20"/>
                <w:color w:val="auto"/>
              </w:rPr>
            </w:pPr>
            <w:r>
              <w:rPr>
                <w:rFonts w:ascii="Arial" w:cs="Arial" w:eastAsia="Arial" w:hAnsi="Arial"/>
                <w:sz w:val="16"/>
                <w:szCs w:val="16"/>
                <w:color w:val="auto"/>
              </w:rPr>
              <w:t>Income per common share:</w:t>
            </w: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8"/>
        </w:trPr>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2"/>
        </w:trPr>
        <w:tc>
          <w:tcPr>
            <w:tcW w:w="4440" w:type="dxa"/>
            <w:vAlign w:val="bottom"/>
          </w:tcPr>
          <w:p>
            <w:pPr>
              <w:ind w:left="180"/>
              <w:spacing w:after="0"/>
              <w:rPr>
                <w:sz w:val="20"/>
                <w:szCs w:val="20"/>
                <w:color w:val="auto"/>
              </w:rPr>
            </w:pPr>
            <w:r>
              <w:rPr>
                <w:rFonts w:ascii="Arial" w:cs="Arial" w:eastAsia="Arial" w:hAnsi="Arial"/>
                <w:sz w:val="16"/>
                <w:szCs w:val="16"/>
                <w:color w:val="auto"/>
              </w:rPr>
              <w:t>Diluted</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8"/>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2"/>
        </w:trPr>
        <w:tc>
          <w:tcPr>
            <w:tcW w:w="4440" w:type="dxa"/>
            <w:vAlign w:val="bottom"/>
          </w:tcPr>
          <w:p>
            <w:pPr>
              <w:ind w:left="120"/>
              <w:spacing w:after="0"/>
              <w:rPr>
                <w:sz w:val="20"/>
                <w:szCs w:val="20"/>
                <w:color w:val="auto"/>
              </w:rPr>
            </w:pPr>
            <w:r>
              <w:rPr>
                <w:rFonts w:ascii="Arial" w:cs="Arial" w:eastAsia="Arial" w:hAnsi="Arial"/>
                <w:sz w:val="16"/>
                <w:szCs w:val="16"/>
                <w:color w:val="auto"/>
              </w:rPr>
              <w:t>Basic</w:t>
            </w:r>
          </w:p>
        </w:tc>
        <w:tc>
          <w:tcPr>
            <w:tcW w:w="4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31,546</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31,617</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8"/>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31,722</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31,825</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19"/>
        </w:trPr>
        <w:tc>
          <w:tcPr>
            <w:tcW w:w="4440" w:type="dxa"/>
            <w:vAlign w:val="bottom"/>
          </w:tcPr>
          <w:p>
            <w:pPr>
              <w:spacing w:after="0"/>
              <w:rPr>
                <w:sz w:val="20"/>
                <w:szCs w:val="20"/>
                <w:color w:val="auto"/>
              </w:rPr>
            </w:pPr>
            <w:r>
              <w:rPr>
                <w:rFonts w:ascii="Arial" w:cs="Arial" w:eastAsia="Arial" w:hAnsi="Arial"/>
                <w:sz w:val="16"/>
                <w:szCs w:val="16"/>
                <w:color w:val="auto"/>
              </w:rPr>
              <w:t>Percentages may not add due to rounding differences.</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14"/>
        </w:trPr>
        <w:tc>
          <w:tcPr>
            <w:tcW w:w="4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ind w:left="80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35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25,</w:t>
            </w:r>
          </w:p>
        </w:tc>
        <w:tc>
          <w:tcPr>
            <w:tcW w:w="240" w:type="dxa"/>
            <w:vAlign w:val="bottom"/>
          </w:tcPr>
          <w:p>
            <w:pPr>
              <w:spacing w:after="0"/>
              <w:rPr>
                <w:sz w:val="16"/>
                <w:szCs w:val="16"/>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25,</w:t>
            </w:r>
          </w:p>
        </w:tc>
        <w:tc>
          <w:tcPr>
            <w:tcW w:w="0" w:type="dxa"/>
            <w:vAlign w:val="bottom"/>
          </w:tcPr>
          <w:p>
            <w:pPr>
              <w:spacing w:after="0"/>
              <w:rPr>
                <w:sz w:val="1"/>
                <w:szCs w:val="1"/>
                <w:color w:val="auto"/>
              </w:rPr>
            </w:pPr>
          </w:p>
        </w:tc>
      </w:tr>
      <w:tr>
        <w:trPr>
          <w:trHeight w:val="232"/>
        </w:trPr>
        <w:tc>
          <w:tcPr>
            <w:tcW w:w="48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67"/>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48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5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4,176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2,342</w:t>
            </w:r>
          </w:p>
        </w:tc>
        <w:tc>
          <w:tcPr>
            <w:tcW w:w="0" w:type="dxa"/>
            <w:vAlign w:val="bottom"/>
          </w:tcPr>
          <w:p>
            <w:pPr>
              <w:spacing w:after="0"/>
              <w:rPr>
                <w:sz w:val="1"/>
                <w:szCs w:val="1"/>
                <w:color w:val="auto"/>
              </w:rPr>
            </w:pPr>
          </w:p>
        </w:tc>
      </w:tr>
      <w:tr>
        <w:trPr>
          <w:trHeight w:val="262"/>
        </w:trPr>
        <w:tc>
          <w:tcPr>
            <w:tcW w:w="4860" w:type="dxa"/>
            <w:vAlign w:val="bottom"/>
          </w:tcPr>
          <w:p>
            <w:pPr>
              <w:ind w:left="180"/>
              <w:spacing w:after="0"/>
              <w:rPr>
                <w:sz w:val="20"/>
                <w:szCs w:val="20"/>
                <w:color w:val="auto"/>
              </w:rPr>
            </w:pPr>
            <w:r>
              <w:rPr>
                <w:rFonts w:ascii="Arial" w:cs="Arial" w:eastAsia="Arial" w:hAnsi="Arial"/>
                <w:sz w:val="16"/>
                <w:szCs w:val="16"/>
                <w:color w:val="auto"/>
              </w:rPr>
              <w:t>Receivables, net</w:t>
            </w:r>
          </w:p>
        </w:tc>
        <w:tc>
          <w:tcPr>
            <w:tcW w:w="3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185,546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164,585</w:t>
            </w:r>
          </w:p>
        </w:tc>
        <w:tc>
          <w:tcPr>
            <w:tcW w:w="0" w:type="dxa"/>
            <w:vAlign w:val="bottom"/>
          </w:tcPr>
          <w:p>
            <w:pPr>
              <w:spacing w:after="0"/>
              <w:rPr>
                <w:sz w:val="1"/>
                <w:szCs w:val="1"/>
                <w:color w:val="auto"/>
              </w:rPr>
            </w:pPr>
          </w:p>
        </w:tc>
      </w:tr>
      <w:tr>
        <w:trPr>
          <w:trHeight w:val="278"/>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Inventories, net</w:t>
            </w:r>
          </w:p>
        </w:tc>
        <w:tc>
          <w:tcPr>
            <w:tcW w:w="32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190,883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195,128</w:t>
            </w:r>
          </w:p>
        </w:tc>
        <w:tc>
          <w:tcPr>
            <w:tcW w:w="0" w:type="dxa"/>
            <w:vAlign w:val="bottom"/>
          </w:tcPr>
          <w:p>
            <w:pPr>
              <w:spacing w:after="0"/>
              <w:rPr>
                <w:sz w:val="1"/>
                <w:szCs w:val="1"/>
                <w:color w:val="auto"/>
              </w:rPr>
            </w:pPr>
          </w:p>
        </w:tc>
      </w:tr>
      <w:tr>
        <w:trPr>
          <w:trHeight w:val="264"/>
        </w:trPr>
        <w:tc>
          <w:tcPr>
            <w:tcW w:w="48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Prepaid expenses and other assets</w:t>
            </w:r>
          </w:p>
        </w:tc>
        <w:tc>
          <w:tcPr>
            <w:tcW w:w="32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10,480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9,883</w:t>
            </w:r>
          </w:p>
        </w:tc>
        <w:tc>
          <w:tcPr>
            <w:tcW w:w="0" w:type="dxa"/>
            <w:vAlign w:val="bottom"/>
          </w:tcPr>
          <w:p>
            <w:pPr>
              <w:spacing w:after="0"/>
              <w:rPr>
                <w:sz w:val="1"/>
                <w:szCs w:val="1"/>
                <w:color w:val="auto"/>
              </w:rPr>
            </w:pPr>
          </w:p>
        </w:tc>
      </w:tr>
      <w:tr>
        <w:trPr>
          <w:trHeight w:val="257"/>
        </w:trPr>
        <w:tc>
          <w:tcPr>
            <w:tcW w:w="4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32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391,085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371,938</w:t>
            </w:r>
          </w:p>
        </w:tc>
        <w:tc>
          <w:tcPr>
            <w:tcW w:w="0" w:type="dxa"/>
            <w:vAlign w:val="bottom"/>
          </w:tcPr>
          <w:p>
            <w:pPr>
              <w:spacing w:after="0"/>
              <w:rPr>
                <w:sz w:val="1"/>
                <w:szCs w:val="1"/>
                <w:color w:val="auto"/>
              </w:rPr>
            </w:pPr>
          </w:p>
        </w:tc>
      </w:tr>
      <w:tr>
        <w:trPr>
          <w:trHeight w:val="262"/>
        </w:trPr>
        <w:tc>
          <w:tcPr>
            <w:tcW w:w="486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3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121,977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101,193</w:t>
            </w:r>
          </w:p>
        </w:tc>
        <w:tc>
          <w:tcPr>
            <w:tcW w:w="0" w:type="dxa"/>
            <w:vAlign w:val="bottom"/>
          </w:tcPr>
          <w:p>
            <w:pPr>
              <w:spacing w:after="0"/>
              <w:rPr>
                <w:sz w:val="1"/>
                <w:szCs w:val="1"/>
                <w:color w:val="auto"/>
              </w:rPr>
            </w:pPr>
          </w:p>
        </w:tc>
      </w:tr>
      <w:tr>
        <w:trPr>
          <w:trHeight w:val="278"/>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2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860" w:type="dxa"/>
            <w:vAlign w:val="bottom"/>
          </w:tcPr>
          <w:p>
            <w:pPr>
              <w:ind w:left="180"/>
              <w:spacing w:after="0"/>
              <w:rPr>
                <w:sz w:val="20"/>
                <w:szCs w:val="20"/>
                <w:color w:val="auto"/>
              </w:rPr>
            </w:pPr>
            <w:r>
              <w:rPr>
                <w:rFonts w:ascii="Arial" w:cs="Arial" w:eastAsia="Arial" w:hAnsi="Arial"/>
                <w:sz w:val="16"/>
                <w:szCs w:val="16"/>
                <w:color w:val="auto"/>
              </w:rPr>
              <w:t>Goodwill</w:t>
            </w:r>
          </w:p>
        </w:tc>
        <w:tc>
          <w:tcPr>
            <w:tcW w:w="3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275,657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274,370</w:t>
            </w:r>
          </w:p>
        </w:tc>
        <w:tc>
          <w:tcPr>
            <w:tcW w:w="0" w:type="dxa"/>
            <w:vAlign w:val="bottom"/>
          </w:tcPr>
          <w:p>
            <w:pPr>
              <w:spacing w:after="0"/>
              <w:rPr>
                <w:sz w:val="1"/>
                <w:szCs w:val="1"/>
                <w:color w:val="auto"/>
              </w:rPr>
            </w:pPr>
          </w:p>
        </w:tc>
      </w:tr>
      <w:tr>
        <w:trPr>
          <w:trHeight w:val="278"/>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intangible assets, net</w:t>
            </w:r>
          </w:p>
        </w:tc>
        <w:tc>
          <w:tcPr>
            <w:tcW w:w="32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258,513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265,717</w:t>
            </w:r>
          </w:p>
        </w:tc>
        <w:tc>
          <w:tcPr>
            <w:tcW w:w="0" w:type="dxa"/>
            <w:vAlign w:val="bottom"/>
          </w:tcPr>
          <w:p>
            <w:pPr>
              <w:spacing w:after="0"/>
              <w:rPr>
                <w:sz w:val="1"/>
                <w:szCs w:val="1"/>
                <w:color w:val="auto"/>
              </w:rPr>
            </w:pPr>
          </w:p>
        </w:tc>
      </w:tr>
      <w:tr>
        <w:trPr>
          <w:trHeight w:val="262"/>
        </w:trPr>
        <w:tc>
          <w:tcPr>
            <w:tcW w:w="4860" w:type="dxa"/>
            <w:vAlign w:val="bottom"/>
          </w:tcPr>
          <w:p>
            <w:pPr>
              <w:ind w:left="180"/>
              <w:spacing w:after="0"/>
              <w:rPr>
                <w:sz w:val="20"/>
                <w:szCs w:val="20"/>
                <w:color w:val="auto"/>
              </w:rPr>
            </w:pPr>
            <w:r>
              <w:rPr>
                <w:rFonts w:ascii="Arial" w:cs="Arial" w:eastAsia="Arial" w:hAnsi="Arial"/>
                <w:sz w:val="16"/>
                <w:szCs w:val="16"/>
                <w:color w:val="auto"/>
              </w:rPr>
              <w:t>Investment in life insurance</w:t>
            </w:r>
          </w:p>
        </w:tc>
        <w:tc>
          <w:tcPr>
            <w:tcW w:w="3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27,111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28,297</w:t>
            </w:r>
          </w:p>
        </w:tc>
        <w:tc>
          <w:tcPr>
            <w:tcW w:w="0" w:type="dxa"/>
            <w:vAlign w:val="bottom"/>
          </w:tcPr>
          <w:p>
            <w:pPr>
              <w:spacing w:after="0"/>
              <w:rPr>
                <w:sz w:val="1"/>
                <w:szCs w:val="1"/>
                <w:color w:val="auto"/>
              </w:rPr>
            </w:pPr>
          </w:p>
        </w:tc>
      </w:tr>
      <w:tr>
        <w:trPr>
          <w:trHeight w:val="271"/>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32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8,860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10,290</w:t>
            </w:r>
          </w:p>
        </w:tc>
        <w:tc>
          <w:tcPr>
            <w:tcW w:w="0" w:type="dxa"/>
            <w:vAlign w:val="bottom"/>
          </w:tcPr>
          <w:p>
            <w:pPr>
              <w:spacing w:after="0"/>
              <w:rPr>
                <w:sz w:val="1"/>
                <w:szCs w:val="1"/>
                <w:color w:val="auto"/>
              </w:rPr>
            </w:pPr>
          </w:p>
        </w:tc>
      </w:tr>
      <w:tr>
        <w:trPr>
          <w:trHeight w:val="282"/>
        </w:trPr>
        <w:tc>
          <w:tcPr>
            <w:tcW w:w="486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3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1,083,203</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1,051,805</w:t>
            </w:r>
          </w:p>
        </w:tc>
        <w:tc>
          <w:tcPr>
            <w:tcW w:w="0" w:type="dxa"/>
            <w:vAlign w:val="bottom"/>
          </w:tcPr>
          <w:p>
            <w:pPr>
              <w:spacing w:after="0"/>
              <w:rPr>
                <w:sz w:val="1"/>
                <w:szCs w:val="1"/>
                <w:color w:val="auto"/>
              </w:rPr>
            </w:pPr>
          </w:p>
        </w:tc>
      </w:tr>
      <w:tr>
        <w:trPr>
          <w:trHeight w:val="279"/>
        </w:trPr>
        <w:tc>
          <w:tcPr>
            <w:tcW w:w="4860" w:type="dxa"/>
            <w:vAlign w:val="bottom"/>
            <w:tcBorders>
              <w:top w:val="single" w:sz="8" w:color="CCEEFF"/>
            </w:tcBorders>
            <w:shd w:val="clear" w:color="auto" w:fill="CCEEFF"/>
          </w:tcPr>
          <w:p>
            <w:pPr>
              <w:spacing w:after="0"/>
              <w:rPr>
                <w:sz w:val="24"/>
                <w:szCs w:val="24"/>
                <w:color w:val="auto"/>
              </w:rPr>
            </w:pPr>
          </w:p>
        </w:tc>
        <w:tc>
          <w:tcPr>
            <w:tcW w:w="326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3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136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860" w:type="dxa"/>
            <w:vAlign w:val="bottom"/>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3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486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3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84,304</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81,039</w:t>
            </w:r>
          </w:p>
        </w:tc>
        <w:tc>
          <w:tcPr>
            <w:tcW w:w="0" w:type="dxa"/>
            <w:vAlign w:val="bottom"/>
          </w:tcPr>
          <w:p>
            <w:pPr>
              <w:spacing w:after="0"/>
              <w:rPr>
                <w:sz w:val="1"/>
                <w:szCs w:val="1"/>
                <w:color w:val="auto"/>
              </w:rPr>
            </w:pPr>
          </w:p>
        </w:tc>
      </w:tr>
      <w:tr>
        <w:trPr>
          <w:trHeight w:val="278"/>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taxes payable</w:t>
            </w:r>
          </w:p>
        </w:tc>
        <w:tc>
          <w:tcPr>
            <w:tcW w:w="32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15,655</w:t>
            </w:r>
          </w:p>
        </w:tc>
        <w:tc>
          <w:tcPr>
            <w:tcW w:w="0" w:type="dxa"/>
            <w:vAlign w:val="bottom"/>
          </w:tcPr>
          <w:p>
            <w:pPr>
              <w:spacing w:after="0"/>
              <w:rPr>
                <w:sz w:val="1"/>
                <w:szCs w:val="1"/>
                <w:color w:val="auto"/>
              </w:rPr>
            </w:pPr>
          </w:p>
        </w:tc>
      </w:tr>
      <w:tr>
        <w:trPr>
          <w:trHeight w:val="262"/>
        </w:trPr>
        <w:tc>
          <w:tcPr>
            <w:tcW w:w="486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3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114,047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107,491</w:t>
            </w:r>
          </w:p>
        </w:tc>
        <w:tc>
          <w:tcPr>
            <w:tcW w:w="0" w:type="dxa"/>
            <w:vAlign w:val="bottom"/>
          </w:tcPr>
          <w:p>
            <w:pPr>
              <w:spacing w:after="0"/>
              <w:rPr>
                <w:sz w:val="1"/>
                <w:szCs w:val="1"/>
                <w:color w:val="auto"/>
              </w:rPr>
            </w:pPr>
          </w:p>
        </w:tc>
      </w:tr>
      <w:tr>
        <w:trPr>
          <w:trHeight w:val="271"/>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Current maturities of long-term debt</w:t>
            </w:r>
          </w:p>
        </w:tc>
        <w:tc>
          <w:tcPr>
            <w:tcW w:w="32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6,500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current liabilities</w:t>
            </w:r>
          </w:p>
        </w:tc>
        <w:tc>
          <w:tcPr>
            <w:tcW w:w="32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204,851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204,185</w:t>
            </w:r>
          </w:p>
        </w:tc>
        <w:tc>
          <w:tcPr>
            <w:tcW w:w="0" w:type="dxa"/>
            <w:vAlign w:val="bottom"/>
          </w:tcPr>
          <w:p>
            <w:pPr>
              <w:spacing w:after="0"/>
              <w:rPr>
                <w:sz w:val="1"/>
                <w:szCs w:val="1"/>
                <w:color w:val="auto"/>
              </w:rPr>
            </w:pPr>
          </w:p>
        </w:tc>
      </w:tr>
      <w:tr>
        <w:trPr>
          <w:trHeight w:val="270"/>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 liabilities:</w:t>
            </w:r>
          </w:p>
        </w:tc>
        <w:tc>
          <w:tcPr>
            <w:tcW w:w="3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4860" w:type="dxa"/>
            <w:vAlign w:val="bottom"/>
          </w:tcPr>
          <w:p>
            <w:pPr>
              <w:ind w:left="180"/>
              <w:spacing w:after="0"/>
              <w:rPr>
                <w:sz w:val="20"/>
                <w:szCs w:val="20"/>
                <w:color w:val="auto"/>
              </w:rPr>
            </w:pPr>
            <w:r>
              <w:rPr>
                <w:rFonts w:ascii="Arial" w:cs="Arial" w:eastAsia="Arial" w:hAnsi="Arial"/>
                <w:sz w:val="16"/>
                <w:szCs w:val="16"/>
                <w:color w:val="auto"/>
              </w:rPr>
              <w:t>Long-term debt, less current maturities</w:t>
            </w:r>
          </w:p>
        </w:tc>
        <w:tc>
          <w:tcPr>
            <w:tcW w:w="3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253,071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291,441</w:t>
            </w:r>
          </w:p>
        </w:tc>
        <w:tc>
          <w:tcPr>
            <w:tcW w:w="0" w:type="dxa"/>
            <w:vAlign w:val="bottom"/>
          </w:tcPr>
          <w:p>
            <w:pPr>
              <w:spacing w:after="0"/>
              <w:rPr>
                <w:sz w:val="1"/>
                <w:szCs w:val="1"/>
                <w:color w:val="auto"/>
              </w:rPr>
            </w:pPr>
          </w:p>
        </w:tc>
      </w:tr>
      <w:tr>
        <w:trPr>
          <w:trHeight w:val="278"/>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32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5,255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4,457</w:t>
            </w:r>
          </w:p>
        </w:tc>
        <w:tc>
          <w:tcPr>
            <w:tcW w:w="0" w:type="dxa"/>
            <w:vAlign w:val="bottom"/>
          </w:tcPr>
          <w:p>
            <w:pPr>
              <w:spacing w:after="0"/>
              <w:rPr>
                <w:sz w:val="1"/>
                <w:szCs w:val="1"/>
                <w:color w:val="auto"/>
              </w:rPr>
            </w:pPr>
          </w:p>
        </w:tc>
      </w:tr>
      <w:tr>
        <w:trPr>
          <w:trHeight w:val="262"/>
        </w:trPr>
        <w:tc>
          <w:tcPr>
            <w:tcW w:w="4860" w:type="dxa"/>
            <w:vAlign w:val="bottom"/>
          </w:tcPr>
          <w:p>
            <w:pPr>
              <w:ind w:left="180"/>
              <w:spacing w:after="0"/>
              <w:rPr>
                <w:sz w:val="20"/>
                <w:szCs w:val="20"/>
                <w:color w:val="auto"/>
              </w:rPr>
            </w:pPr>
            <w:r>
              <w:rPr>
                <w:rFonts w:ascii="Arial" w:cs="Arial" w:eastAsia="Arial" w:hAnsi="Arial"/>
                <w:sz w:val="16"/>
                <w:szCs w:val="16"/>
                <w:color w:val="auto"/>
              </w:rPr>
              <w:t>Unrecognized tax benefits</w:t>
            </w:r>
          </w:p>
        </w:tc>
        <w:tc>
          <w:tcPr>
            <w:tcW w:w="3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3,501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1,745</w:t>
            </w:r>
          </w:p>
        </w:tc>
        <w:tc>
          <w:tcPr>
            <w:tcW w:w="0" w:type="dxa"/>
            <w:vAlign w:val="bottom"/>
          </w:tcPr>
          <w:p>
            <w:pPr>
              <w:spacing w:after="0"/>
              <w:rPr>
                <w:sz w:val="1"/>
                <w:szCs w:val="1"/>
                <w:color w:val="auto"/>
              </w:rPr>
            </w:pPr>
          </w:p>
        </w:tc>
      </w:tr>
      <w:tr>
        <w:trPr>
          <w:trHeight w:val="278"/>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compensation benefits, net of current portion</w:t>
            </w:r>
          </w:p>
        </w:tc>
        <w:tc>
          <w:tcPr>
            <w:tcW w:w="32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13,161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15,282</w:t>
            </w:r>
          </w:p>
        </w:tc>
        <w:tc>
          <w:tcPr>
            <w:tcW w:w="0" w:type="dxa"/>
            <w:vAlign w:val="bottom"/>
          </w:tcPr>
          <w:p>
            <w:pPr>
              <w:spacing w:after="0"/>
              <w:rPr>
                <w:sz w:val="1"/>
                <w:szCs w:val="1"/>
                <w:color w:val="auto"/>
              </w:rPr>
            </w:pPr>
          </w:p>
        </w:tc>
      </w:tr>
      <w:tr>
        <w:trPr>
          <w:trHeight w:val="264"/>
        </w:trPr>
        <w:tc>
          <w:tcPr>
            <w:tcW w:w="48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32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57"/>
        </w:trPr>
        <w:tc>
          <w:tcPr>
            <w:tcW w:w="4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non-current liabilities</w:t>
            </w:r>
          </w:p>
        </w:tc>
        <w:tc>
          <w:tcPr>
            <w:tcW w:w="32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275,359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313,175</w:t>
            </w:r>
          </w:p>
        </w:tc>
        <w:tc>
          <w:tcPr>
            <w:tcW w:w="0" w:type="dxa"/>
            <w:vAlign w:val="bottom"/>
          </w:tcPr>
          <w:p>
            <w:pPr>
              <w:spacing w:after="0"/>
              <w:rPr>
                <w:sz w:val="1"/>
                <w:szCs w:val="1"/>
                <w:color w:val="auto"/>
              </w:rPr>
            </w:pPr>
          </w:p>
        </w:tc>
      </w:tr>
      <w:tr>
        <w:trPr>
          <w:trHeight w:val="264"/>
        </w:trPr>
        <w:tc>
          <w:tcPr>
            <w:tcW w:w="48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Stockholders' equity</w:t>
            </w:r>
          </w:p>
        </w:tc>
        <w:tc>
          <w:tcPr>
            <w:tcW w:w="32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602,993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534,445</w:t>
            </w:r>
          </w:p>
        </w:tc>
        <w:tc>
          <w:tcPr>
            <w:tcW w:w="0" w:type="dxa"/>
            <w:vAlign w:val="bottom"/>
          </w:tcPr>
          <w:p>
            <w:pPr>
              <w:spacing w:after="0"/>
              <w:rPr>
                <w:sz w:val="1"/>
                <w:szCs w:val="1"/>
                <w:color w:val="auto"/>
              </w:rPr>
            </w:pPr>
          </w:p>
        </w:tc>
      </w:tr>
      <w:tr>
        <w:trPr>
          <w:trHeight w:val="242"/>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35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1,083,203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1,051,805</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bottom w:val="single" w:sz="8" w:color="CCEEFF"/>
            </w:tcBorders>
            <w:vMerge w:val="restart"/>
          </w:tcPr>
          <w:p>
            <w:pPr>
              <w:jc w:val="right"/>
              <w:ind w:right="2279"/>
              <w:spacing w:after="0"/>
              <w:rPr>
                <w:sz w:val="20"/>
                <w:szCs w:val="20"/>
                <w:color w:val="auto"/>
              </w:rPr>
            </w:pPr>
            <w:r>
              <w:rPr>
                <w:rFonts w:ascii="Arial" w:cs="Arial" w:eastAsia="Arial" w:hAnsi="Arial"/>
                <w:sz w:val="16"/>
                <w:szCs w:val="16"/>
                <w:color w:val="auto"/>
              </w:rPr>
              <w:t>5</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86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9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6"/>
                <w:szCs w:val="16"/>
                <w:b w:val="1"/>
                <w:bCs w:val="1"/>
                <w:color w:val="auto"/>
              </w:rPr>
              <w:t>Nine Months Ended</w:t>
            </w:r>
          </w:p>
        </w:tc>
      </w:tr>
      <w:tr>
        <w:trPr>
          <w:trHeight w:val="193"/>
        </w:trPr>
        <w:tc>
          <w:tcPr>
            <w:tcW w:w="7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25,</w:t>
            </w:r>
          </w:p>
        </w:tc>
        <w:tc>
          <w:tcPr>
            <w:tcW w:w="320" w:type="dxa"/>
            <w:vAlign w:val="bottom"/>
          </w:tcPr>
          <w:p>
            <w:pPr>
              <w:spacing w:after="0"/>
              <w:rPr>
                <w:sz w:val="16"/>
                <w:szCs w:val="16"/>
                <w:color w:val="auto"/>
              </w:rPr>
            </w:pPr>
          </w:p>
        </w:tc>
        <w:tc>
          <w:tcPr>
            <w:tcW w:w="1360" w:type="dxa"/>
            <w:vAlign w:val="bottom"/>
          </w:tcPr>
          <w:p>
            <w:pPr>
              <w:jc w:val="right"/>
              <w:ind w:right="499"/>
              <w:spacing w:after="0"/>
              <w:rPr>
                <w:sz w:val="20"/>
                <w:szCs w:val="20"/>
                <w:color w:val="auto"/>
              </w:rPr>
            </w:pPr>
            <w:r>
              <w:rPr>
                <w:rFonts w:ascii="Arial" w:cs="Arial" w:eastAsia="Arial" w:hAnsi="Arial"/>
                <w:sz w:val="16"/>
                <w:szCs w:val="16"/>
                <w:b w:val="1"/>
                <w:bCs w:val="1"/>
                <w:color w:val="auto"/>
              </w:rPr>
              <w:t>May 26,</w:t>
            </w:r>
          </w:p>
        </w:tc>
      </w:tr>
      <w:tr>
        <w:trPr>
          <w:trHeight w:val="232"/>
        </w:trPr>
        <w:tc>
          <w:tcPr>
            <w:tcW w:w="79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r>
      <w:tr>
        <w:trPr>
          <w:trHeight w:val="267"/>
        </w:trPr>
        <w:tc>
          <w:tcPr>
            <w:tcW w:w="79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2"/>
        </w:trPr>
        <w:tc>
          <w:tcPr>
            <w:tcW w:w="79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79,930</w:t>
            </w:r>
          </w:p>
        </w:tc>
        <w:tc>
          <w:tcPr>
            <w:tcW w:w="12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72,567</w:t>
            </w:r>
          </w:p>
        </w:tc>
      </w:tr>
      <w:tr>
        <w:trPr>
          <w:trHeight w:val="278"/>
        </w:trPr>
        <w:tc>
          <w:tcPr>
            <w:tcW w:w="7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2"/>
        </w:trPr>
        <w:tc>
          <w:tcPr>
            <w:tcW w:w="7940" w:type="dxa"/>
            <w:vAlign w:val="bottom"/>
          </w:tcPr>
          <w:p>
            <w:pPr>
              <w:ind w:left="280"/>
              <w:spacing w:after="0"/>
              <w:rPr>
                <w:sz w:val="20"/>
                <w:szCs w:val="20"/>
                <w:color w:val="auto"/>
              </w:rPr>
            </w:pPr>
            <w:r>
              <w:rPr>
                <w:rFonts w:ascii="Arial" w:cs="Arial" w:eastAsia="Arial" w:hAnsi="Arial"/>
                <w:sz w:val="16"/>
                <w:szCs w:val="16"/>
                <w:color w:val="auto"/>
              </w:rPr>
              <w:t>Depreciation</w:t>
            </w:r>
          </w:p>
        </w:tc>
        <w:tc>
          <w:tcPr>
            <w:tcW w:w="32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9,788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6,679</w:t>
            </w:r>
          </w:p>
        </w:tc>
      </w:tr>
      <w:tr>
        <w:trPr>
          <w:trHeight w:val="278"/>
        </w:trPr>
        <w:tc>
          <w:tcPr>
            <w:tcW w:w="7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7,204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5,921</w:t>
            </w:r>
          </w:p>
        </w:tc>
      </w:tr>
      <w:tr>
        <w:trPr>
          <w:trHeight w:val="262"/>
        </w:trPr>
        <w:tc>
          <w:tcPr>
            <w:tcW w:w="7940" w:type="dxa"/>
            <w:vAlign w:val="bottom"/>
          </w:tcPr>
          <w:p>
            <w:pPr>
              <w:ind w:left="280"/>
              <w:spacing w:after="0"/>
              <w:rPr>
                <w:sz w:val="20"/>
                <w:szCs w:val="20"/>
                <w:color w:val="auto"/>
              </w:rPr>
            </w:pPr>
            <w:r>
              <w:rPr>
                <w:rFonts w:ascii="Arial" w:cs="Arial" w:eastAsia="Arial" w:hAnsi="Arial"/>
                <w:sz w:val="16"/>
                <w:szCs w:val="16"/>
                <w:color w:val="auto"/>
              </w:rPr>
              <w:t>Amortization of debt issuance costs</w:t>
            </w:r>
          </w:p>
        </w:tc>
        <w:tc>
          <w:tcPr>
            <w:tcW w:w="32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1,186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1,222</w:t>
            </w:r>
          </w:p>
        </w:tc>
      </w:tr>
      <w:tr>
        <w:trPr>
          <w:trHeight w:val="278"/>
        </w:trPr>
        <w:tc>
          <w:tcPr>
            <w:tcW w:w="7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Last in, first-out expense</w:t>
            </w: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1,544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1,238</w:t>
            </w:r>
          </w:p>
        </w:tc>
      </w:tr>
      <w:tr>
        <w:trPr>
          <w:trHeight w:val="262"/>
        </w:trPr>
        <w:tc>
          <w:tcPr>
            <w:tcW w:w="7940" w:type="dxa"/>
            <w:vAlign w:val="bottom"/>
          </w:tcPr>
          <w:p>
            <w:pPr>
              <w:ind w:left="280"/>
              <w:spacing w:after="0"/>
              <w:rPr>
                <w:sz w:val="20"/>
                <w:szCs w:val="20"/>
                <w:color w:val="auto"/>
              </w:rPr>
            </w:pPr>
            <w:r>
              <w:rPr>
                <w:rFonts w:ascii="Arial" w:cs="Arial" w:eastAsia="Arial" w:hAnsi="Arial"/>
                <w:sz w:val="16"/>
                <w:szCs w:val="16"/>
                <w:color w:val="auto"/>
              </w:rPr>
              <w:t>Stock-based compensation</w:t>
            </w:r>
          </w:p>
        </w:tc>
        <w:tc>
          <w:tcPr>
            <w:tcW w:w="32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5,735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4,983</w:t>
            </w:r>
          </w:p>
        </w:tc>
      </w:tr>
      <w:tr>
        <w:trPr>
          <w:trHeight w:val="278"/>
        </w:trPr>
        <w:tc>
          <w:tcPr>
            <w:tcW w:w="7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362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4,807</w:t>
            </w:r>
          </w:p>
        </w:tc>
      </w:tr>
      <w:tr>
        <w:trPr>
          <w:trHeight w:val="262"/>
        </w:trPr>
        <w:tc>
          <w:tcPr>
            <w:tcW w:w="7940" w:type="dxa"/>
            <w:vAlign w:val="bottom"/>
          </w:tcPr>
          <w:p>
            <w:pPr>
              <w:ind w:left="280"/>
              <w:spacing w:after="0"/>
              <w:rPr>
                <w:sz w:val="20"/>
                <w:szCs w:val="20"/>
                <w:color w:val="auto"/>
              </w:rPr>
            </w:pPr>
            <w:r>
              <w:rPr>
                <w:rFonts w:ascii="Arial" w:cs="Arial" w:eastAsia="Arial" w:hAnsi="Arial"/>
                <w:sz w:val="16"/>
                <w:szCs w:val="16"/>
                <w:color w:val="auto"/>
              </w:rPr>
              <w:t>Other, net</w:t>
            </w:r>
          </w:p>
        </w:tc>
        <w:tc>
          <w:tcPr>
            <w:tcW w:w="32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1,265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194</w:t>
            </w:r>
          </w:p>
        </w:tc>
      </w:tr>
      <w:tr>
        <w:trPr>
          <w:trHeight w:val="278"/>
        </w:trPr>
        <w:tc>
          <w:tcPr>
            <w:tcW w:w="7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 in assets and liabilities:</w:t>
            </w: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2"/>
        </w:trPr>
        <w:tc>
          <w:tcPr>
            <w:tcW w:w="7940" w:type="dxa"/>
            <w:vAlign w:val="bottom"/>
          </w:tcPr>
          <w:p>
            <w:pPr>
              <w:ind w:left="280"/>
              <w:spacing w:after="0"/>
              <w:rPr>
                <w:sz w:val="20"/>
                <w:szCs w:val="20"/>
                <w:color w:val="auto"/>
              </w:rPr>
            </w:pPr>
            <w:r>
              <w:rPr>
                <w:rFonts w:ascii="Arial" w:cs="Arial" w:eastAsia="Arial" w:hAnsi="Arial"/>
                <w:sz w:val="16"/>
                <w:szCs w:val="16"/>
                <w:color w:val="auto"/>
              </w:rPr>
              <w:t>Receivables</w:t>
            </w:r>
          </w:p>
        </w:tc>
        <w:tc>
          <w:tcPr>
            <w:tcW w:w="320" w:type="dxa"/>
            <w:vAlign w:val="bottom"/>
          </w:tcPr>
          <w:p>
            <w:pPr>
              <w:spacing w:after="0"/>
              <w:rPr>
                <w:sz w:val="22"/>
                <w:szCs w:val="22"/>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(20,961)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(24,595)</w:t>
            </w:r>
          </w:p>
        </w:tc>
      </w:tr>
      <w:tr>
        <w:trPr>
          <w:trHeight w:val="278"/>
        </w:trPr>
        <w:tc>
          <w:tcPr>
            <w:tcW w:w="7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2,701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(36,351)</w:t>
            </w:r>
          </w:p>
        </w:tc>
      </w:tr>
      <w:tr>
        <w:trPr>
          <w:trHeight w:val="262"/>
        </w:trPr>
        <w:tc>
          <w:tcPr>
            <w:tcW w:w="7940" w:type="dxa"/>
            <w:vAlign w:val="bottom"/>
          </w:tcPr>
          <w:p>
            <w:pPr>
              <w:ind w:left="28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tcPr>
          <w:p>
            <w:pPr>
              <w:spacing w:after="0"/>
              <w:rPr>
                <w:sz w:val="22"/>
                <w:szCs w:val="22"/>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(653)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3,320</w:t>
            </w:r>
          </w:p>
        </w:tc>
      </w:tr>
      <w:tr>
        <w:trPr>
          <w:trHeight w:val="278"/>
        </w:trPr>
        <w:tc>
          <w:tcPr>
            <w:tcW w:w="7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3,954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9,617</w:t>
            </w:r>
          </w:p>
        </w:tc>
      </w:tr>
      <w:tr>
        <w:trPr>
          <w:trHeight w:val="262"/>
        </w:trPr>
        <w:tc>
          <w:tcPr>
            <w:tcW w:w="7940" w:type="dxa"/>
            <w:vAlign w:val="bottom"/>
          </w:tcPr>
          <w:p>
            <w:pPr>
              <w:ind w:left="280"/>
              <w:spacing w:after="0"/>
              <w:rPr>
                <w:sz w:val="20"/>
                <w:szCs w:val="20"/>
                <w:color w:val="auto"/>
              </w:rPr>
            </w:pPr>
            <w:r>
              <w:rPr>
                <w:rFonts w:ascii="Arial" w:cs="Arial" w:eastAsia="Arial" w:hAnsi="Arial"/>
                <w:sz w:val="16"/>
                <w:szCs w:val="16"/>
                <w:color w:val="auto"/>
              </w:rPr>
              <w:t>Income taxes and unrecognized tax benefits</w:t>
            </w:r>
          </w:p>
        </w:tc>
        <w:tc>
          <w:tcPr>
            <w:tcW w:w="320" w:type="dxa"/>
            <w:vAlign w:val="bottom"/>
          </w:tcPr>
          <w:p>
            <w:pPr>
              <w:spacing w:after="0"/>
              <w:rPr>
                <w:sz w:val="22"/>
                <w:szCs w:val="22"/>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(13,898)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(1,081)</w:t>
            </w:r>
          </w:p>
        </w:tc>
      </w:tr>
      <w:tr>
        <w:trPr>
          <w:trHeight w:val="271"/>
        </w:trPr>
        <w:tc>
          <w:tcPr>
            <w:tcW w:w="7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Accrued expenses and other liabilities</w:t>
            </w:r>
          </w:p>
        </w:tc>
        <w:tc>
          <w:tcPr>
            <w:tcW w:w="3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4,692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12,491</w:t>
            </w:r>
          </w:p>
        </w:tc>
      </w:tr>
      <w:tr>
        <w:trPr>
          <w:trHeight w:val="250"/>
        </w:trPr>
        <w:tc>
          <w:tcPr>
            <w:tcW w:w="7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82,849</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61,012</w:t>
            </w:r>
          </w:p>
        </w:tc>
      </w:tr>
      <w:tr>
        <w:trPr>
          <w:trHeight w:val="297"/>
        </w:trPr>
        <w:tc>
          <w:tcPr>
            <w:tcW w:w="7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6"/>
        </w:trPr>
        <w:tc>
          <w:tcPr>
            <w:tcW w:w="794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4"/>
        </w:trPr>
        <w:tc>
          <w:tcPr>
            <w:tcW w:w="7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(31,681)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(18,123)</w:t>
            </w:r>
          </w:p>
        </w:tc>
      </w:tr>
      <w:tr>
        <w:trPr>
          <w:trHeight w:val="262"/>
        </w:trPr>
        <w:tc>
          <w:tcPr>
            <w:tcW w:w="7940" w:type="dxa"/>
            <w:vAlign w:val="bottom"/>
          </w:tcPr>
          <w:p>
            <w:pPr>
              <w:ind w:left="180"/>
              <w:spacing w:after="0"/>
              <w:rPr>
                <w:sz w:val="20"/>
                <w:szCs w:val="20"/>
                <w:color w:val="auto"/>
              </w:rPr>
            </w:pPr>
            <w:r>
              <w:rPr>
                <w:rFonts w:ascii="Arial" w:cs="Arial" w:eastAsia="Arial" w:hAnsi="Arial"/>
                <w:sz w:val="16"/>
                <w:szCs w:val="16"/>
                <w:color w:val="auto"/>
              </w:rPr>
              <w:t>Acquisition of business, net of cash acquired</w:t>
            </w:r>
          </w:p>
        </w:tc>
        <w:tc>
          <w:tcPr>
            <w:tcW w:w="320" w:type="dxa"/>
            <w:vAlign w:val="bottom"/>
          </w:tcPr>
          <w:p>
            <w:pPr>
              <w:spacing w:after="0"/>
              <w:rPr>
                <w:sz w:val="22"/>
                <w:szCs w:val="22"/>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(702)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78"/>
        </w:trPr>
        <w:tc>
          <w:tcPr>
            <w:tcW w:w="7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the sale of property</w:t>
            </w: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316</w:t>
            </w:r>
          </w:p>
        </w:tc>
      </w:tr>
      <w:tr>
        <w:trPr>
          <w:trHeight w:val="264"/>
        </w:trPr>
        <w:tc>
          <w:tcPr>
            <w:tcW w:w="79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net</w:t>
            </w: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1,752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(83)</w:t>
            </w:r>
          </w:p>
        </w:tc>
      </w:tr>
      <w:tr>
        <w:trPr>
          <w:trHeight w:val="250"/>
        </w:trPr>
        <w:tc>
          <w:tcPr>
            <w:tcW w:w="7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(30,497)</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(17,890)</w:t>
            </w:r>
          </w:p>
        </w:tc>
      </w:tr>
      <w:tr>
        <w:trPr>
          <w:trHeight w:val="297"/>
        </w:trPr>
        <w:tc>
          <w:tcPr>
            <w:tcW w:w="7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79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2"/>
        </w:trPr>
        <w:tc>
          <w:tcPr>
            <w:tcW w:w="7940" w:type="dxa"/>
            <w:vAlign w:val="bottom"/>
          </w:tcPr>
          <w:p>
            <w:pPr>
              <w:ind w:left="180"/>
              <w:spacing w:after="0"/>
              <w:rPr>
                <w:sz w:val="20"/>
                <w:szCs w:val="20"/>
                <w:color w:val="auto"/>
              </w:rPr>
            </w:pPr>
            <w:r>
              <w:rPr>
                <w:rFonts w:ascii="Arial" w:cs="Arial" w:eastAsia="Arial" w:hAnsi="Arial"/>
                <w:sz w:val="16"/>
                <w:szCs w:val="16"/>
                <w:color w:val="auto"/>
              </w:rPr>
              <w:t>Borrowings on credit agreement</w:t>
            </w:r>
          </w:p>
        </w:tc>
        <w:tc>
          <w:tcPr>
            <w:tcW w:w="32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342,549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19,700</w:t>
            </w:r>
          </w:p>
        </w:tc>
      </w:tr>
      <w:tr>
        <w:trPr>
          <w:trHeight w:val="278"/>
        </w:trPr>
        <w:tc>
          <w:tcPr>
            <w:tcW w:w="7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Repayments of credit agreement</w:t>
            </w: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(375,438)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(43,700)</w:t>
            </w:r>
          </w:p>
        </w:tc>
      </w:tr>
      <w:tr>
        <w:trPr>
          <w:trHeight w:val="262"/>
        </w:trPr>
        <w:tc>
          <w:tcPr>
            <w:tcW w:w="7940" w:type="dxa"/>
            <w:vAlign w:val="bottom"/>
          </w:tcPr>
          <w:p>
            <w:pPr>
              <w:ind w:left="180"/>
              <w:spacing w:after="0"/>
              <w:rPr>
                <w:sz w:val="20"/>
                <w:szCs w:val="20"/>
                <w:color w:val="auto"/>
              </w:rPr>
            </w:pPr>
            <w:r>
              <w:rPr>
                <w:rFonts w:ascii="Arial" w:cs="Arial" w:eastAsia="Arial" w:hAnsi="Arial"/>
                <w:sz w:val="16"/>
                <w:szCs w:val="16"/>
                <w:color w:val="auto"/>
              </w:rPr>
              <w:t>Payments of cash dividends</w:t>
            </w:r>
          </w:p>
        </w:tc>
        <w:tc>
          <w:tcPr>
            <w:tcW w:w="320" w:type="dxa"/>
            <w:vAlign w:val="bottom"/>
          </w:tcPr>
          <w:p>
            <w:pPr>
              <w:spacing w:after="0"/>
              <w:rPr>
                <w:sz w:val="22"/>
                <w:szCs w:val="22"/>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(10,201)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(9,557)</w:t>
            </w:r>
          </w:p>
        </w:tc>
      </w:tr>
      <w:tr>
        <w:trPr>
          <w:trHeight w:val="278"/>
        </w:trPr>
        <w:tc>
          <w:tcPr>
            <w:tcW w:w="7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Payments for repurchases of common stock</w:t>
            </w: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(7,724)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(6,481)</w:t>
            </w:r>
          </w:p>
        </w:tc>
      </w:tr>
      <w:tr>
        <w:trPr>
          <w:trHeight w:val="264"/>
        </w:trPr>
        <w:tc>
          <w:tcPr>
            <w:tcW w:w="79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net</w:t>
            </w: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296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r>
      <w:tr>
        <w:trPr>
          <w:trHeight w:val="250"/>
        </w:trPr>
        <w:tc>
          <w:tcPr>
            <w:tcW w:w="7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(50,518)</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(40,038)</w:t>
            </w:r>
          </w:p>
        </w:tc>
      </w:tr>
      <w:tr>
        <w:trPr>
          <w:trHeight w:val="297"/>
        </w:trPr>
        <w:tc>
          <w:tcPr>
            <w:tcW w:w="7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7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3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1,834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3,084</w:t>
            </w:r>
          </w:p>
        </w:tc>
      </w:tr>
      <w:tr>
        <w:trPr>
          <w:trHeight w:val="264"/>
        </w:trPr>
        <w:tc>
          <w:tcPr>
            <w:tcW w:w="7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2,342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35,945</w:t>
            </w:r>
          </w:p>
        </w:tc>
      </w:tr>
      <w:tr>
        <w:trPr>
          <w:trHeight w:val="242"/>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4,176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39,029</w:t>
            </w:r>
          </w:p>
        </w:tc>
      </w:tr>
      <w:tr>
        <w:trPr>
          <w:trHeight w:val="20"/>
        </w:trPr>
        <w:tc>
          <w:tcPr>
            <w:tcW w:w="7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79"/>
        </w:trPr>
        <w:tc>
          <w:tcPr>
            <w:tcW w:w="7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79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Supplement cash flow disclosure:</w:t>
            </w:r>
          </w:p>
        </w:tc>
        <w:tc>
          <w:tcPr>
            <w:tcW w:w="3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2"/>
        </w:trPr>
        <w:tc>
          <w:tcPr>
            <w:tcW w:w="7940" w:type="dxa"/>
            <w:vAlign w:val="bottom"/>
          </w:tcPr>
          <w:p>
            <w:pPr>
              <w:ind w:left="180"/>
              <w:spacing w:after="0"/>
              <w:rPr>
                <w:sz w:val="20"/>
                <w:szCs w:val="20"/>
                <w:color w:val="auto"/>
              </w:rPr>
            </w:pPr>
            <w:r>
              <w:rPr>
                <w:rFonts w:ascii="Arial" w:cs="Arial" w:eastAsia="Arial" w:hAnsi="Arial"/>
                <w:sz w:val="16"/>
                <w:szCs w:val="16"/>
                <w:color w:val="auto"/>
              </w:rPr>
              <w:t>Income taxes paid, net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33,852</w:t>
            </w:r>
          </w:p>
        </w:tc>
        <w:tc>
          <w:tcPr>
            <w:tcW w:w="12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24,833</w:t>
            </w:r>
          </w:p>
        </w:tc>
      </w:tr>
      <w:tr>
        <w:trPr>
          <w:trHeight w:val="278"/>
        </w:trPr>
        <w:tc>
          <w:tcPr>
            <w:tcW w:w="7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paid</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10,335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11,935</w:t>
            </w:r>
          </w:p>
        </w:tc>
      </w:tr>
      <w:tr>
        <w:trPr>
          <w:trHeight w:val="266"/>
        </w:trPr>
        <w:tc>
          <w:tcPr>
            <w:tcW w:w="7940" w:type="dxa"/>
            <w:vAlign w:val="bottom"/>
          </w:tcPr>
          <w:p>
            <w:pPr>
              <w:ind w:left="40"/>
              <w:spacing w:after="0"/>
              <w:rPr>
                <w:sz w:val="20"/>
                <w:szCs w:val="20"/>
                <w:color w:val="auto"/>
              </w:rPr>
            </w:pPr>
            <w:r>
              <w:rPr>
                <w:rFonts w:ascii="Arial" w:cs="Arial" w:eastAsia="Arial" w:hAnsi="Arial"/>
                <w:sz w:val="16"/>
                <w:szCs w:val="16"/>
                <w:b w:val="1"/>
                <w:bCs w:val="1"/>
                <w:color w:val="auto"/>
              </w:rPr>
              <w:t>Non-cash transactions:</w:t>
            </w: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4"/>
        </w:trPr>
        <w:tc>
          <w:tcPr>
            <w:tcW w:w="7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Capital expenditures in accounts payable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607</w:t>
            </w:r>
          </w:p>
        </w:tc>
      </w:tr>
    </w:tbl>
    <w:p>
      <w:pPr>
        <w:spacing w:after="0" w:line="200" w:lineRule="exact"/>
        <w:rPr>
          <w:sz w:val="20"/>
          <w:szCs w:val="20"/>
          <w:color w:val="auto"/>
        </w:rPr>
      </w:pPr>
    </w:p>
    <w:p>
      <w:pPr>
        <w:sectPr>
          <w:pgSz w:w="11900" w:h="16838" w:orient="portrait"/>
          <w:cols w:equalWidth="0" w:num="1">
            <w:col w:w="11420"/>
          </w:cols>
          <w:pgMar w:left="240" w:top="358"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358"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by Reportable Segment (Unaudited) - Motorhome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center"/>
              <w:ind w:right="72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93"/>
        </w:trPr>
        <w:tc>
          <w:tcPr>
            <w:tcW w:w="2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219"/>
              <w:spacing w:after="0"/>
              <w:rPr>
                <w:sz w:val="20"/>
                <w:szCs w:val="20"/>
                <w:color w:val="auto"/>
              </w:rPr>
            </w:pPr>
            <w:r>
              <w:rPr>
                <w:rFonts w:ascii="Arial" w:cs="Arial" w:eastAsia="Arial" w:hAnsi="Arial"/>
                <w:sz w:val="16"/>
                <w:szCs w:val="16"/>
                <w:b w:val="1"/>
                <w:bCs w:val="1"/>
                <w:color w:val="auto"/>
              </w:rPr>
              <w:t>May 25,</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239"/>
              <w:spacing w:after="0"/>
              <w:rPr>
                <w:sz w:val="20"/>
                <w:szCs w:val="20"/>
                <w:color w:val="auto"/>
              </w:rPr>
            </w:pPr>
            <w:r>
              <w:rPr>
                <w:rFonts w:ascii="Arial" w:cs="Arial" w:eastAsia="Arial" w:hAnsi="Arial"/>
                <w:sz w:val="16"/>
                <w:szCs w:val="16"/>
                <w:b w:val="1"/>
                <w:bCs w:val="1"/>
                <w:color w:val="auto"/>
              </w:rPr>
              <w:t>May 26,</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2"/>
        </w:trPr>
        <w:tc>
          <w:tcPr>
            <w:tcW w:w="2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center"/>
              <w:ind w:right="1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 Revenues</w:t>
            </w:r>
          </w:p>
        </w:tc>
        <w:tc>
          <w:tcPr>
            <w:tcW w:w="280" w:type="dxa"/>
            <w:vAlign w:val="bottom"/>
          </w:tcPr>
          <w:p>
            <w:pPr>
              <w:spacing w:after="0"/>
              <w:rPr>
                <w:sz w:val="20"/>
                <w:szCs w:val="20"/>
                <w:color w:val="auto"/>
              </w:rPr>
            </w:pPr>
          </w:p>
        </w:tc>
        <w:tc>
          <w:tcPr>
            <w:tcW w:w="1200" w:type="dxa"/>
            <w:vAlign w:val="bottom"/>
          </w:tcPr>
          <w:p>
            <w:pPr>
              <w:jc w:val="center"/>
              <w:ind w:right="1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67"/>
        </w:trPr>
        <w:tc>
          <w:tcPr>
            <w:tcW w:w="28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160,239</w:t>
            </w:r>
          </w:p>
        </w:tc>
        <w:tc>
          <w:tcPr>
            <w:tcW w:w="120" w:type="dxa"/>
            <w:vAlign w:val="bottom"/>
            <w:tcBorders>
              <w:top w:val="single" w:sz="8" w:color="CCEEFF"/>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244,870</w:t>
            </w:r>
          </w:p>
        </w:tc>
        <w:tc>
          <w:tcPr>
            <w:tcW w:w="120" w:type="dxa"/>
            <w:vAlign w:val="bottom"/>
            <w:tcBorders>
              <w:top w:val="single" w:sz="8" w:color="CCEEFF"/>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(84,631)</w:t>
            </w:r>
          </w:p>
        </w:tc>
        <w:tc>
          <w:tcPr>
            <w:tcW w:w="12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(34.6)%</w:t>
            </w:r>
          </w:p>
        </w:tc>
      </w:tr>
      <w:tr>
        <w:trPr>
          <w:trHeight w:val="255"/>
        </w:trPr>
        <w:tc>
          <w:tcPr>
            <w:tcW w:w="280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381</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11,677</w:t>
            </w:r>
          </w:p>
        </w:tc>
        <w:tc>
          <w:tcPr>
            <w:tcW w:w="1500" w:type="dxa"/>
            <w:vAlign w:val="bottom"/>
            <w:gridSpan w:val="2"/>
          </w:tcPr>
          <w:p>
            <w:pPr>
              <w:jc w:val="right"/>
              <w:ind w:right="19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(11,296)</w:t>
            </w:r>
          </w:p>
        </w:tc>
        <w:tc>
          <w:tcPr>
            <w:tcW w:w="120" w:type="dxa"/>
            <w:vAlign w:val="bottom"/>
          </w:tcPr>
          <w:p>
            <w:pPr>
              <w:spacing w:after="0"/>
              <w:rPr>
                <w:sz w:val="22"/>
                <w:szCs w:val="22"/>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(96.7)%</w:t>
            </w:r>
          </w:p>
        </w:tc>
      </w:tr>
      <w:tr>
        <w:trPr>
          <w:trHeight w:val="511"/>
        </w:trPr>
        <w:tc>
          <w:tcPr>
            <w:tcW w:w="28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center"/>
              <w:ind w:right="72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93"/>
        </w:trPr>
        <w:tc>
          <w:tcPr>
            <w:tcW w:w="2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219"/>
              <w:spacing w:after="0"/>
              <w:rPr>
                <w:sz w:val="20"/>
                <w:szCs w:val="20"/>
                <w:color w:val="auto"/>
              </w:rPr>
            </w:pPr>
            <w:r>
              <w:rPr>
                <w:rFonts w:ascii="Arial" w:cs="Arial" w:eastAsia="Arial" w:hAnsi="Arial"/>
                <w:sz w:val="16"/>
                <w:szCs w:val="16"/>
                <w:b w:val="1"/>
                <w:bCs w:val="1"/>
                <w:color w:val="auto"/>
              </w:rPr>
              <w:t>May 25,</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239"/>
              <w:spacing w:after="0"/>
              <w:rPr>
                <w:sz w:val="20"/>
                <w:szCs w:val="20"/>
                <w:color w:val="auto"/>
              </w:rPr>
            </w:pPr>
            <w:r>
              <w:rPr>
                <w:rFonts w:ascii="Arial" w:cs="Arial" w:eastAsia="Arial" w:hAnsi="Arial"/>
                <w:sz w:val="16"/>
                <w:szCs w:val="16"/>
                <w:b w:val="1"/>
                <w:bCs w:val="1"/>
                <w:color w:val="auto"/>
              </w:rPr>
              <w:t>May 26,</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6"/>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center"/>
              <w:spacing w:after="0" w:line="236"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center"/>
              <w:spacing w:after="0" w:line="236"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Unit Change</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w:t>
            </w:r>
          </w:p>
        </w:tc>
        <w:tc>
          <w:tcPr>
            <w:tcW w:w="150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(47.6)%</w:t>
            </w:r>
          </w:p>
        </w:tc>
      </w:tr>
      <w:tr>
        <w:trPr>
          <w:trHeight w:val="262"/>
        </w:trPr>
        <w:tc>
          <w:tcPr>
            <w:tcW w:w="2800" w:type="dxa"/>
            <w:vAlign w:val="bottom"/>
          </w:tcPr>
          <w:p>
            <w:pPr>
              <w:ind w:left="40"/>
              <w:spacing w:after="0"/>
              <w:rPr>
                <w:sz w:val="20"/>
                <w:szCs w:val="20"/>
                <w:color w:val="auto"/>
              </w:rPr>
            </w:pPr>
            <w:r>
              <w:rPr>
                <w:rFonts w:ascii="Arial" w:cs="Arial" w:eastAsia="Arial" w:hAnsi="Arial"/>
                <w:sz w:val="16"/>
                <w:szCs w:val="16"/>
                <w:color w:val="auto"/>
              </w:rPr>
              <w:t>Class B</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515</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606</w:t>
            </w:r>
          </w:p>
        </w:tc>
        <w:tc>
          <w:tcPr>
            <w:tcW w:w="1500" w:type="dxa"/>
            <w:vAlign w:val="bottom"/>
            <w:gridSpan w:val="2"/>
          </w:tcPr>
          <w:p>
            <w:pPr>
              <w:jc w:val="right"/>
              <w:ind w:right="199"/>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2"/>
                <w:szCs w:val="22"/>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(15.0)%</w:t>
            </w:r>
          </w:p>
        </w:tc>
      </w:tr>
      <w:tr>
        <w:trPr>
          <w:trHeight w:val="271"/>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12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54.5%</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1,528</w:t>
            </w:r>
          </w:p>
        </w:tc>
        <w:tc>
          <w:tcPr>
            <w:tcW w:w="12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53.5%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2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(30.0)%</w:t>
            </w:r>
          </w:p>
        </w:tc>
      </w:tr>
      <w:tr>
        <w:trPr>
          <w:trHeight w:val="242"/>
        </w:trPr>
        <w:tc>
          <w:tcPr>
            <w:tcW w:w="2800" w:type="dxa"/>
            <w:vAlign w:val="bottom"/>
          </w:tcPr>
          <w:p>
            <w:pPr>
              <w:ind w:left="180"/>
              <w:spacing w:after="0"/>
              <w:rPr>
                <w:sz w:val="20"/>
                <w:szCs w:val="20"/>
                <w:color w:val="auto"/>
              </w:rPr>
            </w:pPr>
            <w:r>
              <w:rPr>
                <w:rFonts w:ascii="Arial" w:cs="Arial" w:eastAsia="Arial" w:hAnsi="Arial"/>
                <w:sz w:val="16"/>
                <w:szCs w:val="16"/>
                <w:color w:val="auto"/>
              </w:rPr>
              <w:t>Total motorhomes</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1,962</w:t>
            </w:r>
          </w:p>
        </w:tc>
        <w:tc>
          <w:tcPr>
            <w:tcW w:w="120" w:type="dxa"/>
            <w:vAlign w:val="bottom"/>
          </w:tcPr>
          <w:p>
            <w:pPr>
              <w:spacing w:after="0"/>
              <w:rPr>
                <w:sz w:val="21"/>
                <w:szCs w:val="21"/>
                <w:color w:val="auto"/>
              </w:rPr>
            </w:pP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2,856</w:t>
            </w: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w:t>
            </w:r>
          </w:p>
        </w:tc>
        <w:tc>
          <w:tcPr>
            <w:tcW w:w="120" w:type="dxa"/>
            <w:vAlign w:val="bottom"/>
          </w:tcPr>
          <w:p>
            <w:pPr>
              <w:spacing w:after="0"/>
              <w:rPr>
                <w:sz w:val="21"/>
                <w:szCs w:val="21"/>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(31.3)%</w:t>
            </w:r>
          </w:p>
        </w:tc>
      </w:tr>
      <w:tr>
        <w:trPr>
          <w:trHeight w:val="20"/>
        </w:trPr>
        <w:tc>
          <w:tcPr>
            <w:tcW w:w="2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72"/>
        </w:trPr>
        <w:tc>
          <w:tcPr>
            <w:tcW w:w="28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center"/>
              <w:ind w:right="720"/>
              <w:spacing w:after="0"/>
              <w:rPr>
                <w:sz w:val="20"/>
                <w:szCs w:val="20"/>
                <w:color w:val="auto"/>
              </w:rPr>
            </w:pPr>
            <w:r>
              <w:rPr>
                <w:rFonts w:ascii="Arial" w:cs="Arial" w:eastAsia="Arial" w:hAnsi="Arial"/>
                <w:sz w:val="16"/>
                <w:szCs w:val="16"/>
                <w:b w:val="1"/>
                <w:bCs w:val="1"/>
                <w:color w:val="auto"/>
              </w:rPr>
              <w:t>Nine Months Ended</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93"/>
        </w:trPr>
        <w:tc>
          <w:tcPr>
            <w:tcW w:w="2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219"/>
              <w:spacing w:after="0"/>
              <w:rPr>
                <w:sz w:val="20"/>
                <w:szCs w:val="20"/>
                <w:color w:val="auto"/>
              </w:rPr>
            </w:pPr>
            <w:r>
              <w:rPr>
                <w:rFonts w:ascii="Arial" w:cs="Arial" w:eastAsia="Arial" w:hAnsi="Arial"/>
                <w:sz w:val="16"/>
                <w:szCs w:val="16"/>
                <w:b w:val="1"/>
                <w:bCs w:val="1"/>
                <w:color w:val="auto"/>
              </w:rPr>
              <w:t>May 25,</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239"/>
              <w:spacing w:after="0"/>
              <w:rPr>
                <w:sz w:val="20"/>
                <w:szCs w:val="20"/>
                <w:color w:val="auto"/>
              </w:rPr>
            </w:pPr>
            <w:r>
              <w:rPr>
                <w:rFonts w:ascii="Arial" w:cs="Arial" w:eastAsia="Arial" w:hAnsi="Arial"/>
                <w:sz w:val="16"/>
                <w:szCs w:val="16"/>
                <w:b w:val="1"/>
                <w:bCs w:val="1"/>
                <w:color w:val="auto"/>
              </w:rPr>
              <w:t>May 26,</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2"/>
        </w:trPr>
        <w:tc>
          <w:tcPr>
            <w:tcW w:w="2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center"/>
              <w:ind w:right="1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 Revenues</w:t>
            </w:r>
          </w:p>
        </w:tc>
        <w:tc>
          <w:tcPr>
            <w:tcW w:w="280" w:type="dxa"/>
            <w:vAlign w:val="bottom"/>
          </w:tcPr>
          <w:p>
            <w:pPr>
              <w:spacing w:after="0"/>
              <w:rPr>
                <w:sz w:val="20"/>
                <w:szCs w:val="20"/>
                <w:color w:val="auto"/>
              </w:rPr>
            </w:pPr>
          </w:p>
        </w:tc>
        <w:tc>
          <w:tcPr>
            <w:tcW w:w="1200" w:type="dxa"/>
            <w:vAlign w:val="bottom"/>
          </w:tcPr>
          <w:p>
            <w:pPr>
              <w:jc w:val="center"/>
              <w:ind w:right="1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67"/>
        </w:trPr>
        <w:tc>
          <w:tcPr>
            <w:tcW w:w="28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506,229</w:t>
            </w:r>
          </w:p>
        </w:tc>
        <w:tc>
          <w:tcPr>
            <w:tcW w:w="120" w:type="dxa"/>
            <w:vAlign w:val="bottom"/>
            <w:tcBorders>
              <w:top w:val="single" w:sz="8" w:color="CCEEFF"/>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632,148</w:t>
            </w:r>
          </w:p>
        </w:tc>
        <w:tc>
          <w:tcPr>
            <w:tcW w:w="120" w:type="dxa"/>
            <w:vAlign w:val="bottom"/>
            <w:tcBorders>
              <w:top w:val="single" w:sz="8" w:color="CCEEFF"/>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(125,919)</w:t>
            </w:r>
          </w:p>
        </w:tc>
        <w:tc>
          <w:tcPr>
            <w:tcW w:w="12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(19.9)%</w:t>
            </w:r>
          </w:p>
        </w:tc>
      </w:tr>
      <w:tr>
        <w:trPr>
          <w:trHeight w:val="255"/>
        </w:trPr>
        <w:tc>
          <w:tcPr>
            <w:tcW w:w="280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16,716</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22,264</w:t>
            </w:r>
          </w:p>
        </w:tc>
        <w:tc>
          <w:tcPr>
            <w:tcW w:w="1500" w:type="dxa"/>
            <w:vAlign w:val="bottom"/>
            <w:gridSpan w:val="2"/>
          </w:tcPr>
          <w:p>
            <w:pPr>
              <w:jc w:val="right"/>
              <w:ind w:right="19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(5,548)</w:t>
            </w:r>
          </w:p>
        </w:tc>
        <w:tc>
          <w:tcPr>
            <w:tcW w:w="120" w:type="dxa"/>
            <w:vAlign w:val="bottom"/>
          </w:tcPr>
          <w:p>
            <w:pPr>
              <w:spacing w:after="0"/>
              <w:rPr>
                <w:sz w:val="22"/>
                <w:szCs w:val="22"/>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(24.9)%</w:t>
            </w:r>
          </w:p>
        </w:tc>
      </w:tr>
      <w:tr>
        <w:trPr>
          <w:trHeight w:val="511"/>
        </w:trPr>
        <w:tc>
          <w:tcPr>
            <w:tcW w:w="28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center"/>
              <w:ind w:right="720"/>
              <w:spacing w:after="0"/>
              <w:rPr>
                <w:sz w:val="20"/>
                <w:szCs w:val="20"/>
                <w:color w:val="auto"/>
              </w:rPr>
            </w:pPr>
            <w:r>
              <w:rPr>
                <w:rFonts w:ascii="Arial" w:cs="Arial" w:eastAsia="Arial" w:hAnsi="Arial"/>
                <w:sz w:val="16"/>
                <w:szCs w:val="16"/>
                <w:b w:val="1"/>
                <w:bCs w:val="1"/>
                <w:color w:val="auto"/>
              </w:rPr>
              <w:t>Nine Months Ended</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93"/>
        </w:trPr>
        <w:tc>
          <w:tcPr>
            <w:tcW w:w="2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219"/>
              <w:spacing w:after="0"/>
              <w:rPr>
                <w:sz w:val="20"/>
                <w:szCs w:val="20"/>
                <w:color w:val="auto"/>
              </w:rPr>
            </w:pPr>
            <w:r>
              <w:rPr>
                <w:rFonts w:ascii="Arial" w:cs="Arial" w:eastAsia="Arial" w:hAnsi="Arial"/>
                <w:sz w:val="16"/>
                <w:szCs w:val="16"/>
                <w:b w:val="1"/>
                <w:bCs w:val="1"/>
                <w:color w:val="auto"/>
              </w:rPr>
              <w:t>May 25,</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239"/>
              <w:spacing w:after="0"/>
              <w:rPr>
                <w:sz w:val="20"/>
                <w:szCs w:val="20"/>
                <w:color w:val="auto"/>
              </w:rPr>
            </w:pPr>
            <w:r>
              <w:rPr>
                <w:rFonts w:ascii="Arial" w:cs="Arial" w:eastAsia="Arial" w:hAnsi="Arial"/>
                <w:sz w:val="16"/>
                <w:szCs w:val="16"/>
                <w:b w:val="1"/>
                <w:bCs w:val="1"/>
                <w:color w:val="auto"/>
              </w:rPr>
              <w:t>May 26,</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6"/>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center"/>
              <w:spacing w:after="0" w:line="236"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center"/>
              <w:spacing w:after="0" w:line="236"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Unit Change</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2,326</w:t>
            </w:r>
          </w:p>
        </w:tc>
        <w:tc>
          <w:tcPr>
            <w:tcW w:w="150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32.8%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(42.9)%</w:t>
            </w:r>
          </w:p>
        </w:tc>
      </w:tr>
      <w:tr>
        <w:trPr>
          <w:trHeight w:val="262"/>
        </w:trPr>
        <w:tc>
          <w:tcPr>
            <w:tcW w:w="2800" w:type="dxa"/>
            <w:vAlign w:val="bottom"/>
          </w:tcPr>
          <w:p>
            <w:pPr>
              <w:ind w:left="40"/>
              <w:spacing w:after="0"/>
              <w:rPr>
                <w:sz w:val="20"/>
                <w:szCs w:val="20"/>
                <w:color w:val="auto"/>
              </w:rPr>
            </w:pPr>
            <w:r>
              <w:rPr>
                <w:rFonts w:ascii="Arial" w:cs="Arial" w:eastAsia="Arial" w:hAnsi="Arial"/>
                <w:sz w:val="16"/>
                <w:szCs w:val="16"/>
                <w:color w:val="auto"/>
              </w:rPr>
              <w:t>Class B</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1,847</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1,387</w:t>
            </w:r>
          </w:p>
        </w:tc>
        <w:tc>
          <w:tcPr>
            <w:tcW w:w="1500" w:type="dxa"/>
            <w:vAlign w:val="bottom"/>
            <w:gridSpan w:val="2"/>
          </w:tcPr>
          <w:p>
            <w:pPr>
              <w:jc w:val="right"/>
              <w:ind w:right="199"/>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460</w:t>
            </w:r>
          </w:p>
        </w:tc>
        <w:tc>
          <w:tcPr>
            <w:tcW w:w="120" w:type="dxa"/>
            <w:vAlign w:val="bottom"/>
          </w:tcPr>
          <w:p>
            <w:pPr>
              <w:spacing w:after="0"/>
              <w:rPr>
                <w:sz w:val="22"/>
                <w:szCs w:val="22"/>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33.2 %</w:t>
            </w:r>
          </w:p>
        </w:tc>
      </w:tr>
      <w:tr>
        <w:trPr>
          <w:trHeight w:val="271"/>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2,430</w:t>
            </w:r>
          </w:p>
        </w:tc>
        <w:tc>
          <w:tcPr>
            <w:tcW w:w="12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43.3%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3,372</w:t>
            </w:r>
          </w:p>
        </w:tc>
        <w:tc>
          <w:tcPr>
            <w:tcW w:w="12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12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(27.9)%</w:t>
            </w:r>
          </w:p>
        </w:tc>
      </w:tr>
      <w:tr>
        <w:trPr>
          <w:trHeight w:val="242"/>
        </w:trPr>
        <w:tc>
          <w:tcPr>
            <w:tcW w:w="2800" w:type="dxa"/>
            <w:vAlign w:val="bottom"/>
          </w:tcPr>
          <w:p>
            <w:pPr>
              <w:ind w:left="180"/>
              <w:spacing w:after="0"/>
              <w:rPr>
                <w:sz w:val="20"/>
                <w:szCs w:val="20"/>
                <w:color w:val="auto"/>
              </w:rPr>
            </w:pPr>
            <w:r>
              <w:rPr>
                <w:rFonts w:ascii="Arial" w:cs="Arial" w:eastAsia="Arial" w:hAnsi="Arial"/>
                <w:sz w:val="16"/>
                <w:szCs w:val="16"/>
                <w:color w:val="auto"/>
              </w:rPr>
              <w:t>Total motorhomes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5,606</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7,085</w:t>
            </w:r>
          </w:p>
        </w:tc>
        <w:tc>
          <w:tcPr>
            <w:tcW w:w="1500" w:type="dxa"/>
            <w:vAlign w:val="bottom"/>
            <w:gridSpan w:val="2"/>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(1,479)</w:t>
            </w:r>
          </w:p>
        </w:tc>
        <w:tc>
          <w:tcPr>
            <w:tcW w:w="120" w:type="dxa"/>
            <w:vAlign w:val="bottom"/>
          </w:tcPr>
          <w:p>
            <w:pPr>
              <w:spacing w:after="0"/>
              <w:rPr>
                <w:sz w:val="21"/>
                <w:szCs w:val="21"/>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(20.9)%</w:t>
            </w:r>
          </w:p>
        </w:tc>
      </w:tr>
      <w:tr>
        <w:trPr>
          <w:trHeight w:val="20"/>
        </w:trPr>
        <w:tc>
          <w:tcPr>
            <w:tcW w:w="2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502"/>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center"/>
              <w:ind w:right="219"/>
              <w:spacing w:after="0"/>
              <w:rPr>
                <w:sz w:val="20"/>
                <w:szCs w:val="20"/>
                <w:color w:val="auto"/>
              </w:rPr>
            </w:pPr>
            <w:r>
              <w:rPr>
                <w:rFonts w:ascii="Arial" w:cs="Arial" w:eastAsia="Arial" w:hAnsi="Arial"/>
                <w:sz w:val="16"/>
                <w:szCs w:val="16"/>
                <w:b w:val="1"/>
                <w:bCs w:val="1"/>
                <w:color w:val="auto"/>
              </w:rPr>
              <w:t>May 25,</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center"/>
              <w:ind w:right="239"/>
              <w:spacing w:after="0"/>
              <w:rPr>
                <w:sz w:val="20"/>
                <w:szCs w:val="20"/>
                <w:color w:val="auto"/>
              </w:rPr>
            </w:pPr>
            <w:r>
              <w:rPr>
                <w:rFonts w:ascii="Arial" w:cs="Arial" w:eastAsia="Arial" w:hAnsi="Arial"/>
                <w:sz w:val="16"/>
                <w:szCs w:val="16"/>
                <w:b w:val="1"/>
                <w:bCs w:val="1"/>
                <w:color w:val="auto"/>
              </w:rPr>
              <w:t>May 26,</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2"/>
        </w:trPr>
        <w:tc>
          <w:tcPr>
            <w:tcW w:w="2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center"/>
              <w:ind w:right="1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center"/>
              <w:ind w:right="1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Change</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67"/>
        </w:trPr>
        <w:tc>
          <w:tcPr>
            <w:tcW w:w="28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(2)</w:t>
            </w:r>
          </w:p>
        </w:tc>
        <w:tc>
          <w:tcPr>
            <w:tcW w:w="2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3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3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r>
      <w:tr>
        <w:trPr>
          <w:trHeight w:val="262"/>
        </w:trPr>
        <w:tc>
          <w:tcPr>
            <w:tcW w:w="2800" w:type="dxa"/>
            <w:vAlign w:val="bottom"/>
          </w:tcPr>
          <w:p>
            <w:pPr>
              <w:ind w:left="180"/>
              <w:spacing w:after="0"/>
              <w:rPr>
                <w:sz w:val="20"/>
                <w:szCs w:val="20"/>
                <w:color w:val="auto"/>
              </w:rPr>
            </w:pPr>
            <w:r>
              <w:rPr>
                <w:rFonts w:ascii="Arial" w:cs="Arial" w:eastAsia="Arial" w:hAnsi="Arial"/>
                <w:sz w:val="16"/>
                <w:szCs w:val="16"/>
                <w:color w:val="auto"/>
              </w:rPr>
              <w:t>Units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2,074</w:t>
            </w: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2,155</w:t>
            </w: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2"/>
                <w:szCs w:val="22"/>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(3.8)%</w:t>
            </w:r>
          </w:p>
        </w:tc>
      </w:tr>
      <w:tr>
        <w:trPr>
          <w:trHeight w:val="278"/>
        </w:trPr>
        <w:tc>
          <w:tcPr>
            <w:tcW w:w="2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Dollars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182,354</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193,079</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(10,725)</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(5.6)%</w:t>
            </w:r>
          </w:p>
        </w:tc>
      </w:tr>
      <w:tr>
        <w:trPr>
          <w:trHeight w:val="266"/>
        </w:trPr>
        <w:tc>
          <w:tcPr>
            <w:tcW w:w="2800" w:type="dxa"/>
            <w:vAlign w:val="bottom"/>
          </w:tcPr>
          <w:p>
            <w:pPr>
              <w:ind w:left="40"/>
              <w:spacing w:after="0"/>
              <w:rPr>
                <w:sz w:val="20"/>
                <w:szCs w:val="20"/>
                <w:color w:val="auto"/>
              </w:rPr>
            </w:pPr>
            <w:r>
              <w:rPr>
                <w:rFonts w:ascii="Arial" w:cs="Arial" w:eastAsia="Arial" w:hAnsi="Arial"/>
                <w:sz w:val="16"/>
                <w:szCs w:val="16"/>
                <w:b w:val="1"/>
                <w:bCs w:val="1"/>
                <w:color w:val="auto"/>
              </w:rPr>
              <w:t>Dealer Inventory</w:t>
            </w: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4"/>
        </w:trPr>
        <w:tc>
          <w:tcPr>
            <w:tcW w:w="2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Units</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4,235</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(10.8)%</w:t>
            </w:r>
          </w:p>
        </w:tc>
      </w:tr>
    </w:tbl>
    <w:p>
      <w:pPr>
        <w:spacing w:after="0" w:line="4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9" w:lineRule="exact"/>
        <w:rPr>
          <w:rFonts w:ascii="Arial" w:cs="Arial" w:eastAsia="Arial" w:hAnsi="Arial"/>
          <w:sz w:val="14"/>
          <w:szCs w:val="14"/>
          <w:color w:val="auto"/>
        </w:rPr>
      </w:pPr>
    </w:p>
    <w:p>
      <w:pPr>
        <w:ind w:left="260" w:right="20" w:hanging="252"/>
        <w:spacing w:after="0" w:line="264" w:lineRule="auto"/>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to generally be shipped within the next six months. Orders in backlog can be cancelled or postponed at the option of the dealer at any time without penalty and, therefore, backlog may not necessarily be an accurate measure of future sales.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35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by Reportable Segment (Unaudited) - Towable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center"/>
              <w:ind w:right="74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93"/>
        </w:trPr>
        <w:tc>
          <w:tcPr>
            <w:tcW w:w="2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239"/>
              <w:spacing w:after="0"/>
              <w:rPr>
                <w:sz w:val="20"/>
                <w:szCs w:val="20"/>
                <w:color w:val="auto"/>
              </w:rPr>
            </w:pPr>
            <w:r>
              <w:rPr>
                <w:rFonts w:ascii="Arial" w:cs="Arial" w:eastAsia="Arial" w:hAnsi="Arial"/>
                <w:sz w:val="16"/>
                <w:szCs w:val="16"/>
                <w:b w:val="1"/>
                <w:bCs w:val="1"/>
                <w:color w:val="auto"/>
              </w:rPr>
              <w:t>May 25,</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center"/>
              <w:ind w:right="239"/>
              <w:spacing w:after="0"/>
              <w:rPr>
                <w:sz w:val="20"/>
                <w:szCs w:val="20"/>
                <w:color w:val="auto"/>
              </w:rPr>
            </w:pPr>
            <w:r>
              <w:rPr>
                <w:rFonts w:ascii="Arial" w:cs="Arial" w:eastAsia="Arial" w:hAnsi="Arial"/>
                <w:sz w:val="16"/>
                <w:szCs w:val="16"/>
                <w:b w:val="1"/>
                <w:bCs w:val="1"/>
                <w:color w:val="auto"/>
              </w:rPr>
              <w:t>May 26,</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2"/>
        </w:trPr>
        <w:tc>
          <w:tcPr>
            <w:tcW w:w="2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center"/>
              <w:ind w:right="1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280" w:type="dxa"/>
            <w:vAlign w:val="bottom"/>
          </w:tcPr>
          <w:p>
            <w:pPr>
              <w:spacing w:after="0"/>
              <w:rPr>
                <w:sz w:val="20"/>
                <w:szCs w:val="20"/>
                <w:color w:val="auto"/>
              </w:rPr>
            </w:pPr>
          </w:p>
        </w:tc>
        <w:tc>
          <w:tcPr>
            <w:tcW w:w="1220" w:type="dxa"/>
            <w:vAlign w:val="bottom"/>
          </w:tcPr>
          <w:p>
            <w:pPr>
              <w:jc w:val="center"/>
              <w:ind w:right="1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67"/>
        </w:trPr>
        <w:tc>
          <w:tcPr>
            <w:tcW w:w="28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346,811</w:t>
            </w:r>
          </w:p>
        </w:tc>
        <w:tc>
          <w:tcPr>
            <w:tcW w:w="1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313,016</w:t>
            </w:r>
          </w:p>
        </w:tc>
        <w:tc>
          <w:tcPr>
            <w:tcW w:w="100" w:type="dxa"/>
            <w:vAlign w:val="bottom"/>
            <w:tcBorders>
              <w:top w:val="single" w:sz="8" w:color="CCEEFF"/>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33,795</w:t>
            </w:r>
          </w:p>
        </w:tc>
        <w:tc>
          <w:tcPr>
            <w:tcW w:w="12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10.8 %</w:t>
            </w:r>
          </w:p>
        </w:tc>
      </w:tr>
      <w:tr>
        <w:trPr>
          <w:trHeight w:val="255"/>
        </w:trPr>
        <w:tc>
          <w:tcPr>
            <w:tcW w:w="280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57,172</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45,378</w:t>
            </w:r>
          </w:p>
        </w:tc>
        <w:tc>
          <w:tcPr>
            <w:tcW w:w="1480" w:type="dxa"/>
            <w:vAlign w:val="bottom"/>
            <w:gridSpan w:val="2"/>
          </w:tcPr>
          <w:p>
            <w:pPr>
              <w:jc w:val="right"/>
              <w:ind w:right="179"/>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11,794</w:t>
            </w:r>
          </w:p>
        </w:tc>
        <w:tc>
          <w:tcPr>
            <w:tcW w:w="120" w:type="dxa"/>
            <w:vAlign w:val="bottom"/>
          </w:tcPr>
          <w:p>
            <w:pPr>
              <w:spacing w:after="0"/>
              <w:rPr>
                <w:sz w:val="22"/>
                <w:szCs w:val="22"/>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26.0 %</w:t>
            </w:r>
          </w:p>
        </w:tc>
      </w:tr>
      <w:tr>
        <w:trPr>
          <w:trHeight w:val="511"/>
        </w:trPr>
        <w:tc>
          <w:tcPr>
            <w:tcW w:w="28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center"/>
              <w:ind w:right="74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93"/>
        </w:trPr>
        <w:tc>
          <w:tcPr>
            <w:tcW w:w="2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239"/>
              <w:spacing w:after="0"/>
              <w:rPr>
                <w:sz w:val="20"/>
                <w:szCs w:val="20"/>
                <w:color w:val="auto"/>
              </w:rPr>
            </w:pPr>
            <w:r>
              <w:rPr>
                <w:rFonts w:ascii="Arial" w:cs="Arial" w:eastAsia="Arial" w:hAnsi="Arial"/>
                <w:sz w:val="16"/>
                <w:szCs w:val="16"/>
                <w:b w:val="1"/>
                <w:bCs w:val="1"/>
                <w:color w:val="auto"/>
              </w:rPr>
              <w:t>May 25,</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center"/>
              <w:ind w:right="239"/>
              <w:spacing w:after="0"/>
              <w:rPr>
                <w:sz w:val="20"/>
                <w:szCs w:val="20"/>
                <w:color w:val="auto"/>
              </w:rPr>
            </w:pPr>
            <w:r>
              <w:rPr>
                <w:rFonts w:ascii="Arial" w:cs="Arial" w:eastAsia="Arial" w:hAnsi="Arial"/>
                <w:sz w:val="16"/>
                <w:szCs w:val="16"/>
                <w:b w:val="1"/>
                <w:bCs w:val="1"/>
                <w:color w:val="auto"/>
              </w:rPr>
              <w:t>May 26,</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6"/>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line="236"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center"/>
              <w:spacing w:after="0" w:line="236"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Unit Change</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6,185</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59.5%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6,063</w:t>
            </w:r>
          </w:p>
        </w:tc>
        <w:tc>
          <w:tcPr>
            <w:tcW w:w="148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62.1%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2.0 %</w:t>
            </w:r>
          </w:p>
        </w:tc>
      </w:tr>
      <w:tr>
        <w:trPr>
          <w:trHeight w:val="264"/>
        </w:trPr>
        <w:tc>
          <w:tcPr>
            <w:tcW w:w="2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Fifth wheel</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4,216</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40.5%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3,703</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37.9%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513</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13.9 %</w:t>
            </w:r>
          </w:p>
        </w:tc>
      </w:tr>
      <w:tr>
        <w:trPr>
          <w:trHeight w:val="242"/>
        </w:trPr>
        <w:tc>
          <w:tcPr>
            <w:tcW w:w="2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towables</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10,401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9,766</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6.5 %</w:t>
            </w:r>
          </w:p>
        </w:tc>
      </w:tr>
      <w:tr>
        <w:trPr>
          <w:trHeight w:val="20"/>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72"/>
        </w:trPr>
        <w:tc>
          <w:tcPr>
            <w:tcW w:w="28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center"/>
              <w:ind w:right="740"/>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93"/>
        </w:trPr>
        <w:tc>
          <w:tcPr>
            <w:tcW w:w="2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239"/>
              <w:spacing w:after="0"/>
              <w:rPr>
                <w:sz w:val="20"/>
                <w:szCs w:val="20"/>
                <w:color w:val="auto"/>
              </w:rPr>
            </w:pPr>
            <w:r>
              <w:rPr>
                <w:rFonts w:ascii="Arial" w:cs="Arial" w:eastAsia="Arial" w:hAnsi="Arial"/>
                <w:sz w:val="16"/>
                <w:szCs w:val="16"/>
                <w:b w:val="1"/>
                <w:bCs w:val="1"/>
                <w:color w:val="auto"/>
              </w:rPr>
              <w:t>May 25,</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center"/>
              <w:ind w:right="239"/>
              <w:spacing w:after="0"/>
              <w:rPr>
                <w:sz w:val="20"/>
                <w:szCs w:val="20"/>
                <w:color w:val="auto"/>
              </w:rPr>
            </w:pPr>
            <w:r>
              <w:rPr>
                <w:rFonts w:ascii="Arial" w:cs="Arial" w:eastAsia="Arial" w:hAnsi="Arial"/>
                <w:sz w:val="16"/>
                <w:szCs w:val="16"/>
                <w:b w:val="1"/>
                <w:bCs w:val="1"/>
                <w:color w:val="auto"/>
              </w:rPr>
              <w:t>May 26,</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2"/>
        </w:trPr>
        <w:tc>
          <w:tcPr>
            <w:tcW w:w="2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center"/>
              <w:ind w:right="1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280" w:type="dxa"/>
            <w:vAlign w:val="bottom"/>
          </w:tcPr>
          <w:p>
            <w:pPr>
              <w:spacing w:after="0"/>
              <w:rPr>
                <w:sz w:val="20"/>
                <w:szCs w:val="20"/>
                <w:color w:val="auto"/>
              </w:rPr>
            </w:pPr>
          </w:p>
        </w:tc>
        <w:tc>
          <w:tcPr>
            <w:tcW w:w="1220" w:type="dxa"/>
            <w:vAlign w:val="bottom"/>
          </w:tcPr>
          <w:p>
            <w:pPr>
              <w:jc w:val="center"/>
              <w:ind w:right="1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67"/>
        </w:trPr>
        <w:tc>
          <w:tcPr>
            <w:tcW w:w="28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890,335</w:t>
            </w:r>
          </w:p>
        </w:tc>
        <w:tc>
          <w:tcPr>
            <w:tcW w:w="1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839,039</w:t>
            </w:r>
          </w:p>
        </w:tc>
        <w:tc>
          <w:tcPr>
            <w:tcW w:w="100" w:type="dxa"/>
            <w:vAlign w:val="bottom"/>
            <w:tcBorders>
              <w:top w:val="single" w:sz="8" w:color="CCEEFF"/>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51,296</w:t>
            </w:r>
          </w:p>
        </w:tc>
        <w:tc>
          <w:tcPr>
            <w:tcW w:w="12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6.1 %</w:t>
            </w:r>
          </w:p>
        </w:tc>
      </w:tr>
      <w:tr>
        <w:trPr>
          <w:trHeight w:val="255"/>
        </w:trPr>
        <w:tc>
          <w:tcPr>
            <w:tcW w:w="280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121,638</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115,066</w:t>
            </w:r>
          </w:p>
        </w:tc>
        <w:tc>
          <w:tcPr>
            <w:tcW w:w="1480" w:type="dxa"/>
            <w:vAlign w:val="bottom"/>
            <w:gridSpan w:val="2"/>
          </w:tcPr>
          <w:p>
            <w:pPr>
              <w:jc w:val="right"/>
              <w:ind w:right="179"/>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6,572</w:t>
            </w:r>
          </w:p>
        </w:tc>
        <w:tc>
          <w:tcPr>
            <w:tcW w:w="120" w:type="dxa"/>
            <w:vAlign w:val="bottom"/>
          </w:tcPr>
          <w:p>
            <w:pPr>
              <w:spacing w:after="0"/>
              <w:rPr>
                <w:sz w:val="22"/>
                <w:szCs w:val="22"/>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5.7 %</w:t>
            </w:r>
          </w:p>
        </w:tc>
      </w:tr>
      <w:tr>
        <w:trPr>
          <w:trHeight w:val="552"/>
        </w:trPr>
        <w:tc>
          <w:tcPr>
            <w:tcW w:w="28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center"/>
              <w:ind w:right="740"/>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93"/>
        </w:trPr>
        <w:tc>
          <w:tcPr>
            <w:tcW w:w="2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239"/>
              <w:spacing w:after="0"/>
              <w:rPr>
                <w:sz w:val="20"/>
                <w:szCs w:val="20"/>
                <w:color w:val="auto"/>
              </w:rPr>
            </w:pPr>
            <w:r>
              <w:rPr>
                <w:rFonts w:ascii="Arial" w:cs="Arial" w:eastAsia="Arial" w:hAnsi="Arial"/>
                <w:sz w:val="16"/>
                <w:szCs w:val="16"/>
                <w:b w:val="1"/>
                <w:bCs w:val="1"/>
                <w:color w:val="auto"/>
              </w:rPr>
              <w:t>May 25,</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center"/>
              <w:ind w:right="239"/>
              <w:spacing w:after="0"/>
              <w:rPr>
                <w:sz w:val="20"/>
                <w:szCs w:val="20"/>
                <w:color w:val="auto"/>
              </w:rPr>
            </w:pPr>
            <w:r>
              <w:rPr>
                <w:rFonts w:ascii="Arial" w:cs="Arial" w:eastAsia="Arial" w:hAnsi="Arial"/>
                <w:sz w:val="16"/>
                <w:szCs w:val="16"/>
                <w:b w:val="1"/>
                <w:bCs w:val="1"/>
                <w:color w:val="auto"/>
              </w:rPr>
              <w:t>May 26,</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6"/>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line="236"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center"/>
              <w:spacing w:after="0" w:line="236"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Unit Change</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16,564</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60.5%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16,495</w:t>
            </w:r>
          </w:p>
        </w:tc>
        <w:tc>
          <w:tcPr>
            <w:tcW w:w="148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61.3%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0.4 %</w:t>
            </w:r>
          </w:p>
        </w:tc>
      </w:tr>
      <w:tr>
        <w:trPr>
          <w:trHeight w:val="264"/>
        </w:trPr>
        <w:tc>
          <w:tcPr>
            <w:tcW w:w="2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Fifth wheel</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10,818</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10,428</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38.7%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390</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3.7 %</w:t>
            </w:r>
          </w:p>
        </w:tc>
      </w:tr>
      <w:tr>
        <w:trPr>
          <w:trHeight w:val="242"/>
        </w:trPr>
        <w:tc>
          <w:tcPr>
            <w:tcW w:w="2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towables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27,382</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26,923</w:t>
            </w:r>
          </w:p>
        </w:tc>
        <w:tc>
          <w:tcPr>
            <w:tcW w:w="148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459</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1.7 %</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502"/>
        </w:trPr>
        <w:tc>
          <w:tcPr>
            <w:tcW w:w="2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center"/>
              <w:ind w:right="239"/>
              <w:spacing w:after="0"/>
              <w:rPr>
                <w:sz w:val="20"/>
                <w:szCs w:val="20"/>
                <w:color w:val="auto"/>
              </w:rPr>
            </w:pPr>
            <w:r>
              <w:rPr>
                <w:rFonts w:ascii="Arial" w:cs="Arial" w:eastAsia="Arial" w:hAnsi="Arial"/>
                <w:sz w:val="16"/>
                <w:szCs w:val="16"/>
                <w:b w:val="1"/>
                <w:bCs w:val="1"/>
                <w:color w:val="auto"/>
              </w:rPr>
              <w:t>May 25,</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center"/>
              <w:ind w:right="239"/>
              <w:spacing w:after="0"/>
              <w:rPr>
                <w:sz w:val="20"/>
                <w:szCs w:val="20"/>
                <w:color w:val="auto"/>
              </w:rPr>
            </w:pPr>
            <w:r>
              <w:rPr>
                <w:rFonts w:ascii="Arial" w:cs="Arial" w:eastAsia="Arial" w:hAnsi="Arial"/>
                <w:sz w:val="16"/>
                <w:szCs w:val="16"/>
                <w:b w:val="1"/>
                <w:bCs w:val="1"/>
                <w:color w:val="auto"/>
              </w:rPr>
              <w:t>May 26,</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2"/>
        </w:trPr>
        <w:tc>
          <w:tcPr>
            <w:tcW w:w="2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center"/>
              <w:ind w:right="1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center"/>
              <w:ind w:right="1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Change</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67"/>
        </w:trPr>
        <w:tc>
          <w:tcPr>
            <w:tcW w:w="28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(2)</w:t>
            </w:r>
          </w:p>
        </w:tc>
        <w:tc>
          <w:tcPr>
            <w:tcW w:w="2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r>
      <w:tr>
        <w:trPr>
          <w:trHeight w:val="262"/>
        </w:trPr>
        <w:tc>
          <w:tcPr>
            <w:tcW w:w="2800" w:type="dxa"/>
            <w:vAlign w:val="bottom"/>
          </w:tcPr>
          <w:p>
            <w:pPr>
              <w:ind w:left="180"/>
              <w:spacing w:after="0"/>
              <w:rPr>
                <w:sz w:val="20"/>
                <w:szCs w:val="20"/>
                <w:color w:val="auto"/>
              </w:rPr>
            </w:pPr>
            <w:r>
              <w:rPr>
                <w:rFonts w:ascii="Arial" w:cs="Arial" w:eastAsia="Arial" w:hAnsi="Arial"/>
                <w:sz w:val="16"/>
                <w:szCs w:val="16"/>
                <w:color w:val="auto"/>
              </w:rPr>
              <w:t>Units</w:t>
            </w: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7,089</w:t>
            </w: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9,968</w:t>
            </w: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(2,879)</w:t>
            </w:r>
          </w:p>
        </w:tc>
        <w:tc>
          <w:tcPr>
            <w:tcW w:w="120" w:type="dxa"/>
            <w:vAlign w:val="bottom"/>
          </w:tcPr>
          <w:p>
            <w:pPr>
              <w:spacing w:after="0"/>
              <w:rPr>
                <w:sz w:val="22"/>
                <w:szCs w:val="22"/>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(28.9)%</w:t>
            </w:r>
          </w:p>
        </w:tc>
      </w:tr>
      <w:tr>
        <w:trPr>
          <w:trHeight w:val="278"/>
        </w:trPr>
        <w:tc>
          <w:tcPr>
            <w:tcW w:w="2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Dollars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237,708</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313,513</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(75,805)</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(24.2)%</w:t>
            </w:r>
          </w:p>
        </w:tc>
      </w:tr>
      <w:tr>
        <w:trPr>
          <w:trHeight w:val="266"/>
        </w:trPr>
        <w:tc>
          <w:tcPr>
            <w:tcW w:w="2800" w:type="dxa"/>
            <w:vAlign w:val="bottom"/>
          </w:tcPr>
          <w:p>
            <w:pPr>
              <w:ind w:left="40"/>
              <w:spacing w:after="0"/>
              <w:rPr>
                <w:sz w:val="20"/>
                <w:szCs w:val="20"/>
                <w:color w:val="auto"/>
              </w:rPr>
            </w:pPr>
            <w:r>
              <w:rPr>
                <w:rFonts w:ascii="Arial" w:cs="Arial" w:eastAsia="Arial" w:hAnsi="Arial"/>
                <w:sz w:val="16"/>
                <w:szCs w:val="16"/>
                <w:b w:val="1"/>
                <w:bCs w:val="1"/>
                <w:color w:val="auto"/>
              </w:rPr>
              <w:t>Dealer Inventory</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4"/>
        </w:trPr>
        <w:tc>
          <w:tcPr>
            <w:tcW w:w="2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Units</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18,984</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15,986</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2,998</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18.8 %</w:t>
            </w:r>
          </w:p>
        </w:tc>
      </w:tr>
    </w:tbl>
    <w:p>
      <w:pPr>
        <w:spacing w:after="0" w:line="41"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9" w:lineRule="exact"/>
        <w:rPr>
          <w:rFonts w:ascii="Arial" w:cs="Arial" w:eastAsia="Arial" w:hAnsi="Arial"/>
          <w:sz w:val="14"/>
          <w:szCs w:val="14"/>
          <w:color w:val="auto"/>
        </w:rPr>
      </w:pPr>
    </w:p>
    <w:p>
      <w:pPr>
        <w:ind w:left="260" w:right="20" w:hanging="252"/>
        <w:spacing w:after="0" w:line="264" w:lineRule="auto"/>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to generally be shipped within the next six months. Orders in backlog can be cancelled or postponed at the option of the dealer at any time without penalty and, therefore, backlog may not necessarily be an accurate measure of future sales.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35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Reconciliation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8"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color w:val="auto"/>
        </w:rPr>
        <w:t>Non-GAAP financial measures, which are not calculated or presented in accordance with accounting principles generally accepted in the United States (“GAAP”), have been provided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presented may differ from similar measures used by other companies.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EBITDA and Adjusted EBITDA.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Nine Months Ended</w:t>
            </w:r>
          </w:p>
        </w:tc>
      </w:tr>
      <w:tr>
        <w:trPr>
          <w:trHeight w:val="193"/>
        </w:trPr>
        <w:tc>
          <w:tcPr>
            <w:tcW w:w="4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25,</w:t>
            </w:r>
          </w:p>
        </w:tc>
        <w:tc>
          <w:tcPr>
            <w:tcW w:w="320" w:type="dxa"/>
            <w:vAlign w:val="bottom"/>
          </w:tcPr>
          <w:p>
            <w:pPr>
              <w:spacing w:after="0"/>
              <w:rPr>
                <w:sz w:val="16"/>
                <w:szCs w:val="16"/>
                <w:color w:val="auto"/>
              </w:rPr>
            </w:pPr>
          </w:p>
        </w:tc>
        <w:tc>
          <w:tcPr>
            <w:tcW w:w="144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26,</w:t>
            </w:r>
          </w:p>
        </w:tc>
        <w:tc>
          <w:tcPr>
            <w:tcW w:w="320" w:type="dxa"/>
            <w:vAlign w:val="bottom"/>
          </w:tcPr>
          <w:p>
            <w:pPr>
              <w:spacing w:after="0"/>
              <w:rPr>
                <w:sz w:val="16"/>
                <w:szCs w:val="16"/>
                <w:color w:val="auto"/>
              </w:rPr>
            </w:pPr>
          </w:p>
        </w:tc>
        <w:tc>
          <w:tcPr>
            <w:tcW w:w="146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25,</w:t>
            </w:r>
          </w:p>
        </w:tc>
        <w:tc>
          <w:tcPr>
            <w:tcW w:w="320" w:type="dxa"/>
            <w:vAlign w:val="bottom"/>
          </w:tcPr>
          <w:p>
            <w:pPr>
              <w:spacing w:after="0"/>
              <w:rPr>
                <w:sz w:val="16"/>
                <w:szCs w:val="16"/>
                <w:color w:val="auto"/>
              </w:rPr>
            </w:pPr>
          </w:p>
        </w:tc>
        <w:tc>
          <w:tcPr>
            <w:tcW w:w="1340" w:type="dxa"/>
            <w:vAlign w:val="bottom"/>
          </w:tcPr>
          <w:p>
            <w:pPr>
              <w:jc w:val="right"/>
              <w:ind w:right="479"/>
              <w:spacing w:after="0"/>
              <w:rPr>
                <w:sz w:val="20"/>
                <w:szCs w:val="20"/>
                <w:color w:val="auto"/>
              </w:rPr>
            </w:pPr>
            <w:r>
              <w:rPr>
                <w:rFonts w:ascii="Arial" w:cs="Arial" w:eastAsia="Arial" w:hAnsi="Arial"/>
                <w:sz w:val="16"/>
                <w:szCs w:val="16"/>
                <w:b w:val="1"/>
                <w:bCs w:val="1"/>
                <w:color w:val="auto"/>
              </w:rPr>
              <w:t>May 26,</w:t>
            </w:r>
          </w:p>
        </w:tc>
      </w:tr>
      <w:tr>
        <w:trPr>
          <w:trHeight w:val="232"/>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r>
      <w:tr>
        <w:trPr>
          <w:trHeight w:val="267"/>
        </w:trPr>
        <w:tc>
          <w:tcPr>
            <w:tcW w:w="4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36,171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32,521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79,930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72,567</w:t>
            </w:r>
          </w:p>
        </w:tc>
      </w:tr>
      <w:tr>
        <w:trPr>
          <w:trHeight w:val="262"/>
        </w:trPr>
        <w:tc>
          <w:tcPr>
            <w:tcW w:w="446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4,446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4,172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13,293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13,871</w:t>
            </w:r>
          </w:p>
        </w:tc>
      </w:tr>
      <w:tr>
        <w:trPr>
          <w:trHeight w:val="278"/>
        </w:trPr>
        <w:tc>
          <w:tcPr>
            <w:tcW w:w="4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3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8,717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11,684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18,609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28,478</w:t>
            </w:r>
          </w:p>
        </w:tc>
      </w:tr>
      <w:tr>
        <w:trPr>
          <w:trHeight w:val="262"/>
        </w:trPr>
        <w:tc>
          <w:tcPr>
            <w:tcW w:w="4460" w:type="dxa"/>
            <w:vAlign w:val="bottom"/>
          </w:tcPr>
          <w:p>
            <w:pPr>
              <w:ind w:left="180"/>
              <w:spacing w:after="0"/>
              <w:rPr>
                <w:sz w:val="20"/>
                <w:szCs w:val="20"/>
                <w:color w:val="auto"/>
              </w:rPr>
            </w:pPr>
            <w:r>
              <w:rPr>
                <w:rFonts w:ascii="Arial" w:cs="Arial" w:eastAsia="Arial" w:hAnsi="Arial"/>
                <w:sz w:val="16"/>
                <w:szCs w:val="16"/>
                <w:color w:val="auto"/>
              </w:rPr>
              <w:t>Depreciation</w:t>
            </w:r>
          </w:p>
        </w:tc>
        <w:tc>
          <w:tcPr>
            <w:tcW w:w="30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3,520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2,351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9,788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6,679</w:t>
            </w:r>
          </w:p>
        </w:tc>
      </w:tr>
      <w:tr>
        <w:trPr>
          <w:trHeight w:val="271"/>
        </w:trPr>
        <w:tc>
          <w:tcPr>
            <w:tcW w:w="4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2,278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1,933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7,204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5,921</w:t>
            </w:r>
          </w:p>
        </w:tc>
      </w:tr>
      <w:tr>
        <w:trPr>
          <w:trHeight w:val="249"/>
        </w:trPr>
        <w:tc>
          <w:tcPr>
            <w:tcW w:w="4460" w:type="dxa"/>
            <w:vAlign w:val="bottom"/>
          </w:tcPr>
          <w:p>
            <w:pPr>
              <w:ind w:left="40"/>
              <w:spacing w:after="0"/>
              <w:rPr>
                <w:sz w:val="20"/>
                <w:szCs w:val="20"/>
                <w:color w:val="auto"/>
              </w:rPr>
            </w:pPr>
            <w:r>
              <w:rPr>
                <w:rFonts w:ascii="Arial" w:cs="Arial" w:eastAsia="Arial" w:hAnsi="Arial"/>
                <w:sz w:val="16"/>
                <w:szCs w:val="16"/>
                <w:color w:val="auto"/>
              </w:rPr>
              <w:t>EBITDA</w:t>
            </w:r>
          </w:p>
        </w:tc>
        <w:tc>
          <w:tcPr>
            <w:tcW w:w="300" w:type="dxa"/>
            <w:vAlign w:val="bottom"/>
          </w:tcPr>
          <w:p>
            <w:pPr>
              <w:spacing w:after="0"/>
              <w:rPr>
                <w:sz w:val="21"/>
                <w:szCs w:val="21"/>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55,132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52,661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128,824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127,516</w:t>
            </w:r>
          </w:p>
        </w:tc>
      </w:tr>
      <w:tr>
        <w:trPr>
          <w:trHeight w:val="278"/>
        </w:trPr>
        <w:tc>
          <w:tcPr>
            <w:tcW w:w="4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Acquisition-related costs</w:t>
            </w:r>
          </w:p>
        </w:tc>
        <w:tc>
          <w:tcPr>
            <w:tcW w:w="30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800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850</w:t>
            </w:r>
          </w:p>
        </w:tc>
      </w:tr>
      <w:tr>
        <w:trPr>
          <w:trHeight w:val="262"/>
        </w:trPr>
        <w:tc>
          <w:tcPr>
            <w:tcW w:w="4460" w:type="dxa"/>
            <w:vAlign w:val="bottom"/>
          </w:tcPr>
          <w:p>
            <w:pPr>
              <w:ind w:left="180"/>
              <w:spacing w:after="0"/>
              <w:rPr>
                <w:sz w:val="20"/>
                <w:szCs w:val="20"/>
                <w:color w:val="auto"/>
              </w:rPr>
            </w:pPr>
            <w:r>
              <w:rPr>
                <w:rFonts w:ascii="Arial" w:cs="Arial" w:eastAsia="Arial" w:hAnsi="Arial"/>
                <w:sz w:val="16"/>
                <w:szCs w:val="16"/>
                <w:color w:val="auto"/>
              </w:rPr>
              <w:t>Restructuring expenses</w:t>
            </w:r>
          </w:p>
        </w:tc>
        <w:tc>
          <w:tcPr>
            <w:tcW w:w="30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1,102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1,321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71"/>
        </w:trPr>
        <w:tc>
          <w:tcPr>
            <w:tcW w:w="4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Non-operating income</w:t>
            </w:r>
          </w:p>
        </w:tc>
        <w:tc>
          <w:tcPr>
            <w:tcW w:w="3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(1,330)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(212)</w:t>
            </w:r>
          </w:p>
        </w:tc>
      </w:tr>
      <w:tr>
        <w:trPr>
          <w:trHeight w:val="242"/>
        </w:trPr>
        <w:tc>
          <w:tcPr>
            <w:tcW w:w="446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55,874</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53,361</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128,815</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128,154</w:t>
            </w:r>
          </w:p>
        </w:tc>
      </w:tr>
      <w:tr>
        <w:trPr>
          <w:trHeight w:val="20"/>
        </w:trPr>
        <w:tc>
          <w:tcPr>
            <w:tcW w:w="4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We have provided non-GAAP performance measures of EBITDA and Adjusted EBITDA as a comparable measure to illustrate the effect of non-recurring transactions occurring during the reported periods and improve comparability of our results from period to period. EBITDA is defined as net income before interest expense, provision for income taxes, and depreciation and amortization expense. Adjusted EBITDA is defined as net income before interest expense, provision for income taxes, depreciation and amortization expense, and other adjustments made in order to present comparable results from period to period. We believe Adjusted EBITDA provides meaningful supplemental information about our operating performance because this measure excludes amounts that we do not consider part of our core operating results when assessing our performance. Examples of items excluded from Adjusted EBITDA include acquisition-related costs, restructuring expenses, and non-operating income.</w:t>
      </w:r>
    </w:p>
    <w:p>
      <w:pPr>
        <w:spacing w:after="0" w:line="150"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Management uses these non-GAAP financial measures (a) to evaluate its historical and prospective financial performance and trends as well as its performance relative to competitors and peers; (b) to measure operational profitability on a consistent basis; (c) in presentations to the members of its board of directors to enable its board of directors to have the same measurement basis of operating performance as is used by management in their assessments of performance and in forecasting and budgeting for our company; (d) to evaluate potential acquisitions; and, (e) to ensure compliance with covenants and restricted activities under the terms of its Credit Agreement. We believe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sectPr>
      <w:pgSz w:w="11900" w:h="16838" w:orient="portrait"/>
      <w:cols w:equalWidth="0" w:num="1">
        <w:col w:w="11420"/>
      </w:cols>
      <w:pgMar w:left="240" w:top="3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2019-12-28T10:52:59Z</dcterms:created>
  <dcterms:modified xsi:type="dcterms:W3CDTF">2019-12-28T10:52:59Z</dcterms:modified>
</cp:coreProperties>
</file>