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$.50 par value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974637100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both"/>
        <w:ind w:firstLine="486"/>
        <w:spacing w:after="0" w:line="247"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Schedules filed in paper format shall include a signed original and five copies of the schedule, including all exhibits. See Rule 13d-7 for other parties to whom copies are to be sent.</w:t>
      </w:r>
    </w:p>
    <w:p>
      <w:pPr>
        <w:spacing w:after="0" w:line="61"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1" w:lineRule="exact"/>
        <w:rPr>
          <w:sz w:val="24"/>
          <w:szCs w:val="24"/>
          <w:color w:val="auto"/>
        </w:rPr>
      </w:pPr>
    </w:p>
    <w:p>
      <w:pPr>
        <w:jc w:val="both"/>
        <w:ind w:firstLine="486"/>
        <w:spacing w:after="0" w:line="29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985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9855" cy="334645"/>
                    </a:xfrm>
                    <a:prstGeom prst="rect">
                      <a:avLst/>
                    </a:prstGeom>
                    <a:noFill/>
                  </pic:spPr>
                </pic:pic>
              </a:graphicData>
            </a:graphic>
          </wp:anchor>
        </w:drawing>
        <w:t xml:space="preserve">CUSIP No. </w:t>
      </w:r>
      <w:r>
        <w:rPr>
          <w:rFonts w:ascii="Arial" w:cs="Arial" w:eastAsia="Arial" w:hAnsi="Arial"/>
          <w:sz w:val="18"/>
          <w:szCs w:val="18"/>
          <w:b w:val="1"/>
          <w:bCs w:val="1"/>
          <w:color w:val="auto"/>
        </w:rPr>
        <w:t>974637100</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50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w:t>
            </w:r>
          </w:p>
        </w:tc>
        <w:tc>
          <w:tcPr>
            <w:tcW w:w="79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Ronald J. Fenech</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tcPr>
          <w:p>
            <w:pPr>
              <w:spacing w:after="0"/>
              <w:rPr>
                <w:sz w:val="14"/>
                <w:szCs w:val="14"/>
                <w:color w:val="auto"/>
              </w:rPr>
            </w:pPr>
          </w:p>
        </w:tc>
        <w:tc>
          <w:tcPr>
            <w:tcW w:w="7940" w:type="dxa"/>
            <w:vAlign w:val="bottom"/>
            <w:gridSpan w:val="3"/>
            <w:vMerge w:val="continue"/>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50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2</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9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right w:val="single" w:sz="8" w:color="auto"/>
            </w:tcBorders>
            <w:vMerge w:val="continue"/>
          </w:tcPr>
          <w:p>
            <w:pPr>
              <w:spacing w:after="0"/>
              <w:rPr>
                <w:sz w:val="16"/>
                <w:szCs w:val="16"/>
                <w:color w:val="auto"/>
              </w:rPr>
            </w:pPr>
          </w:p>
        </w:tc>
        <w:tc>
          <w:tcPr>
            <w:tcW w:w="7940" w:type="dxa"/>
            <w:vAlign w:val="bottom"/>
            <w:gridSpan w:val="3"/>
            <w:vMerge w:val="continue"/>
          </w:tcPr>
          <w:p>
            <w:pPr>
              <w:spacing w:after="0"/>
              <w:rPr>
                <w:sz w:val="16"/>
                <w:szCs w:val="16"/>
                <w:color w:val="auto"/>
              </w:rPr>
            </w:pPr>
          </w:p>
        </w:tc>
        <w:tc>
          <w:tcPr>
            <w:tcW w:w="1980" w:type="dxa"/>
            <w:vAlign w:val="bottom"/>
            <w:tcBorders>
              <w:right w:val="single" w:sz="8" w:color="auto"/>
            </w:tcBorders>
            <w:vMerge w:val="restart"/>
          </w:tcPr>
          <w:p>
            <w:pPr>
              <w:ind w:left="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5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gridSpan w:val="2"/>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7940" w:type="dxa"/>
            <w:vAlign w:val="bottom"/>
            <w:gridSpan w:val="3"/>
            <w:shd w:val="clear" w:color="auto" w:fill="C0C0C0"/>
          </w:tcPr>
          <w:p>
            <w:pPr>
              <w:ind w:left="8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C0C0C0"/>
            </w:tcBorders>
            <w:shd w:val="clear" w:color="auto" w:fill="C0C0C0"/>
          </w:tcPr>
          <w:p>
            <w:pPr>
              <w:spacing w:after="0"/>
              <w:rPr>
                <w:sz w:val="9"/>
                <w:szCs w:val="9"/>
                <w:color w:val="auto"/>
              </w:rPr>
            </w:pPr>
          </w:p>
        </w:tc>
        <w:tc>
          <w:tcPr>
            <w:tcW w:w="7400" w:type="dxa"/>
            <w:vAlign w:val="bottom"/>
            <w:tcBorders>
              <w:bottom w:val="single" w:sz="8" w:color="auto"/>
            </w:tcBorders>
            <w:gridSpan w:val="2"/>
            <w:shd w:val="clear" w:color="auto" w:fill="C0C0C0"/>
          </w:tcPr>
          <w:p>
            <w:pPr>
              <w:spacing w:after="0"/>
              <w:rPr>
                <w:sz w:val="9"/>
                <w:szCs w:val="9"/>
                <w:color w:val="auto"/>
              </w:rPr>
            </w:pPr>
          </w:p>
        </w:tc>
        <w:tc>
          <w:tcPr>
            <w:tcW w:w="198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OO</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gridSpan w:val="3"/>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5</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w w:val="99"/>
              </w:rPr>
              <w:t>CHECK IF DISCLOSURE OF LEGAL PROCEEDINGS IS REQUIRED PURSUANT TO ITEMS 2(d)</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4"/>
              </w:rPr>
              <w:t>or 2(e)</w:t>
            </w:r>
          </w:p>
        </w:tc>
        <w:tc>
          <w:tcPr>
            <w:tcW w:w="734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6</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United States of</w:t>
            </w:r>
          </w:p>
        </w:tc>
        <w:tc>
          <w:tcPr>
            <w:tcW w:w="0" w:type="dxa"/>
            <w:vAlign w:val="bottom"/>
          </w:tcPr>
          <w:p>
            <w:pPr>
              <w:spacing w:after="0"/>
              <w:rPr>
                <w:sz w:val="1"/>
                <w:szCs w:val="1"/>
                <w:color w:val="auto"/>
              </w:rPr>
            </w:pPr>
          </w:p>
        </w:tc>
      </w:tr>
      <w:tr>
        <w:trPr>
          <w:trHeight w:val="150"/>
        </w:trPr>
        <w:tc>
          <w:tcPr>
            <w:tcW w:w="1500" w:type="dxa"/>
            <w:vAlign w:val="bottom"/>
            <w:tcBorders>
              <w:left w:val="single" w:sz="8" w:color="auto"/>
              <w:right w:val="single" w:sz="8" w:color="auto"/>
            </w:tcBorders>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0" w:type="dxa"/>
            <w:vAlign w:val="bottom"/>
          </w:tcPr>
          <w:p>
            <w:pPr>
              <w:spacing w:after="0"/>
              <w:rPr>
                <w:sz w:val="1"/>
                <w:szCs w:val="1"/>
                <w:color w:val="auto"/>
              </w:rPr>
            </w:pPr>
          </w:p>
        </w:tc>
      </w:tr>
      <w:tr>
        <w:trPr>
          <w:trHeight w:val="85"/>
        </w:trPr>
        <w:tc>
          <w:tcPr>
            <w:tcW w:w="1500" w:type="dxa"/>
            <w:vAlign w:val="bottom"/>
            <w:tcBorders>
              <w:left w:val="single" w:sz="8" w:color="auto"/>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0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34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OF</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70"/>
        </w:trPr>
        <w:tc>
          <w:tcPr>
            <w:tcW w:w="150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SHARES</w:t>
            </w:r>
          </w:p>
        </w:tc>
        <w:tc>
          <w:tcPr>
            <w:tcW w:w="5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50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60" w:type="dxa"/>
            <w:vAlign w:val="bottom"/>
          </w:tcPr>
          <w:p>
            <w:pPr>
              <w:spacing w:after="0"/>
              <w:rPr>
                <w:sz w:val="12"/>
                <w:szCs w:val="12"/>
                <w:color w:val="auto"/>
              </w:rPr>
            </w:pPr>
          </w:p>
        </w:tc>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03"/>
        </w:trPr>
        <w:tc>
          <w:tcPr>
            <w:tcW w:w="15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9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OWNED BY</w:t>
            </w:r>
          </w:p>
        </w:tc>
        <w:tc>
          <w:tcPr>
            <w:tcW w:w="5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500" w:type="dxa"/>
            <w:vAlign w:val="bottom"/>
            <w:tcBorders>
              <w:left w:val="single" w:sz="8" w:color="auto"/>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340" w:type="dxa"/>
            <w:vAlign w:val="bottom"/>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2"/>
                <w:szCs w:val="22"/>
                <w:b w:val="1"/>
                <w:bCs w:val="1"/>
                <w:color w:val="auto"/>
              </w:rPr>
              <w:t>9</w:t>
            </w:r>
          </w:p>
        </w:tc>
        <w:tc>
          <w:tcPr>
            <w:tcW w:w="6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81"/>
        </w:trPr>
        <w:tc>
          <w:tcPr>
            <w:tcW w:w="15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color w:val="auto"/>
              </w:rPr>
              <w:t>REPORTING</w:t>
            </w:r>
          </w:p>
        </w:tc>
        <w:tc>
          <w:tcPr>
            <w:tcW w:w="5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 WITH:</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10</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11</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12</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instructions)</w:t>
            </w: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400" w:type="dxa"/>
            <w:vAlign w:val="bottom"/>
            <w:tcBorders>
              <w:bottom w:val="single" w:sz="8" w:color="auto"/>
            </w:tcBorders>
            <w:gridSpan w:val="2"/>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13</w:t>
            </w:r>
          </w:p>
        </w:tc>
        <w:tc>
          <w:tcPr>
            <w:tcW w:w="7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2.4%</w:t>
            </w:r>
            <w:r>
              <w:rPr>
                <w:rFonts w:ascii="Arial" w:cs="Arial" w:eastAsia="Arial" w:hAnsi="Arial"/>
                <w:sz w:val="30"/>
                <w:szCs w:val="30"/>
                <w:color w:val="auto"/>
                <w:w w:val="88"/>
                <w:vertAlign w:val="superscript"/>
              </w:rPr>
              <w:t>(1)</w:t>
            </w: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34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Calculated based on 31,485,400 shares of Winnebago Industries, Inc. (the “Issuer’s”) common stock outstanding, as of November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148" w:lineRule="exact"/>
        <w:rPr>
          <w:sz w:val="20"/>
          <w:szCs w:val="20"/>
          <w:color w:val="auto"/>
        </w:rPr>
      </w:pPr>
    </w:p>
    <w:p>
      <w:pPr>
        <w:ind w:right="60" w:firstLine="324"/>
        <w:spacing w:after="0" w:line="309" w:lineRule="auto"/>
        <w:rPr>
          <w:sz w:val="20"/>
          <w:szCs w:val="20"/>
          <w:color w:val="auto"/>
        </w:rPr>
      </w:pPr>
      <w:r>
        <w:rPr>
          <w:rFonts w:ascii="Arial" w:cs="Arial" w:eastAsia="Arial" w:hAnsi="Arial"/>
          <w:sz w:val="18"/>
          <w:szCs w:val="18"/>
          <w:color w:val="auto"/>
        </w:rPr>
        <w:t>This Schedule 13D relates to the Common Stock of Winnebago Industries, Inc., an Iowa corporation (the “Issuer”), P.O. Box 152, Forest City, Iowa 50436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48" w:lineRule="exact"/>
        <w:rPr>
          <w:sz w:val="20"/>
          <w:szCs w:val="20"/>
          <w:color w:val="auto"/>
        </w:rPr>
      </w:pPr>
    </w:p>
    <w:p>
      <w:pPr>
        <w:ind w:left="920" w:hanging="588"/>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13D is being filed by Ronald J. Fenech.</w:t>
      </w:r>
    </w:p>
    <w:p>
      <w:pPr>
        <w:spacing w:after="0" w:line="198" w:lineRule="exact"/>
        <w:rPr>
          <w:rFonts w:ascii="Arial" w:cs="Arial" w:eastAsia="Arial" w:hAnsi="Arial"/>
          <w:sz w:val="18"/>
          <w:szCs w:val="18"/>
          <w:color w:val="auto"/>
        </w:rPr>
      </w:pPr>
    </w:p>
    <w:p>
      <w:pPr>
        <w:ind w:left="940" w:hanging="608"/>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principal business address of Mr. Fenech is 16952 Cortile Drive, Naples, FL 34110.</w:t>
      </w:r>
    </w:p>
    <w:p>
      <w:pPr>
        <w:spacing w:after="0" w:line="198" w:lineRule="exact"/>
        <w:rPr>
          <w:rFonts w:ascii="Arial" w:cs="Arial" w:eastAsia="Arial" w:hAnsi="Arial"/>
          <w:sz w:val="18"/>
          <w:szCs w:val="18"/>
          <w:color w:val="auto"/>
        </w:rPr>
      </w:pPr>
    </w:p>
    <w:p>
      <w:pPr>
        <w:ind w:firstLine="332"/>
        <w:spacing w:after="0" w:line="371" w:lineRule="auto"/>
        <w:tabs>
          <w:tab w:leader="none" w:pos="91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present principal occupation of Mr. Fenech is an independent consultant to Winnebago Industries, Inc. The principal business address where Mr. Fenech conducts his occupation is 16952 Cortile Drive, Naples, FL 34110.</w:t>
      </w:r>
    </w:p>
    <w:p>
      <w:pPr>
        <w:spacing w:after="0" w:line="8" w:lineRule="exact"/>
        <w:rPr>
          <w:rFonts w:ascii="Arial" w:cs="Arial" w:eastAsia="Arial" w:hAnsi="Arial"/>
          <w:sz w:val="18"/>
          <w:szCs w:val="18"/>
          <w:color w:val="auto"/>
        </w:rPr>
      </w:pPr>
    </w:p>
    <w:p>
      <w:pPr>
        <w:ind w:left="940" w:hanging="608"/>
        <w:spacing w:after="0"/>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last five years, Mr. Fenech has not been convicted in a criminal proceeding (excluding traffic violations or similar misdemeanors).</w:t>
      </w:r>
    </w:p>
    <w:p>
      <w:pPr>
        <w:spacing w:after="0" w:line="221" w:lineRule="exact"/>
        <w:rPr>
          <w:rFonts w:ascii="Arial" w:cs="Arial" w:eastAsia="Arial" w:hAnsi="Arial"/>
          <w:sz w:val="16"/>
          <w:szCs w:val="16"/>
          <w:color w:val="auto"/>
        </w:rPr>
      </w:pPr>
    </w:p>
    <w:p>
      <w:pPr>
        <w:ind w:left="920" w:hanging="588"/>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During the last five years, Mr. Fenech has not been a party to a civil proceeding of a judicial or administrative body of competent jurisdiction</w:t>
      </w:r>
    </w:p>
    <w:p>
      <w:pPr>
        <w:spacing w:after="0" w:line="102"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61" w:lineRule="exact"/>
        <w:rPr>
          <w:sz w:val="20"/>
          <w:szCs w:val="20"/>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Fenech is a citizen of the United States of America.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Ronald J. Fenech beneficially owns and has the sole voting and dispositive power over all 764,426 Shares of the Issuer reported by him in this Schedule 13D. All such shares were acquired directly by Mr. Fenech on November 8, 2016, upon consummation of the acquisition by the Issuer of Grand Design RV, LLC, in which Mr. Fenech held an indirect minority interest.</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November 8, 2016 Winnebago Industries, Inc. (“Winnebago”) consummated the acquisition of Grand Design RV, LLC an Indiana limited liability company, pursuant to the terms of the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Mr. Fenech, Donald Clark and William Fenech were the shareholders of RDB III, Inc. and are referred to collectively as the “RDB Sellers”.</w:t>
      </w:r>
    </w:p>
    <w:p>
      <w:pPr>
        <w:spacing w:after="0" w:line="217"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Ronald Fenech, Donald Clark, and William Fenech have entered into a five-year non-competition, non-solicitation and confidentiality agreement with Winnebago (the “Non-competition Agreement”).</w:t>
      </w:r>
    </w:p>
    <w:p>
      <w:pPr>
        <w:spacing w:after="0" w:line="19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Winnebago has agreed to register the shares of common stock issuable to the Summit Sellers and the RDB Sellers pursuant to the terms of a registration rights agreement (the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jc w:val="both"/>
        <w:ind w:firstLine="324"/>
        <w:spacing w:after="0" w:line="290" w:lineRule="auto"/>
        <w:rPr>
          <w:sz w:val="20"/>
          <w:szCs w:val="20"/>
          <w:color w:val="auto"/>
        </w:rPr>
      </w:pPr>
      <w:r>
        <w:rPr>
          <w:rFonts w:ascii="Arial" w:cs="Arial" w:eastAsia="Arial" w:hAnsi="Arial"/>
          <w:sz w:val="18"/>
          <w:szCs w:val="18"/>
          <w:color w:val="auto"/>
        </w:rPr>
        <w:t>RDB Sellers have agreed to certain covenants pursuant to the terms of a standstill agreement (“Standstill Agreement”). The standstill agreement provides that for up to one year after closing, the RDB Sellers are each prohibited from taking certain hostile actions with respect to Winnebago. The RDB Sellers have also agreed to a lock-up letter agreement (“Lock Up Agreement”) that restricts the RDB Sellers from transferring their shares of Winnebago common stock for one year from closing.</w:t>
      </w:r>
    </w:p>
    <w:p>
      <w:pPr>
        <w:spacing w:after="0" w:line="215"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By virtue of having entered into, and complying with, the agreements described above under this Item 3 with the other RDB Sellers, Mr. Fenech and the other RDB Sellers may be deemed to be a group within the meaning of Section 13(d)(3) of the Securities Exchange Act of 1934 with respect to shares of the Issuer held by the RDB Sellers. However, Mr. Fenech disclaims beneficial ownership of shares held by the other RDB Sellers. Filing of this statement shall not be construed as an admission that Mr. Fenech is, for the purposes of Sections 13(d) or 13(g) of the Securities Exchange Act of 1934, the beneficial owner of any securities held by William Fenech or Donald Clark, as described further below.</w:t>
      </w:r>
    </w:p>
    <w:p>
      <w:pPr>
        <w:spacing w:after="0" w:line="200"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Also, in connection with the Purchase Agreement, Winnebago entered into consulting agreements (“Consulting Agreements”) with Ronald Fenech and William Fenech. Under the consulting agreements, Ronald Fenech and William Fenech have each agreed to provide certain consulting services to Grand Design and Winnebago for one year from closing. Finally, in connection with the Purchase Agreement, Grand Design entered into an employment agreement with Donald Clark which includes a form of change in control agreement between Donald Clark and Winnebago (“Employment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in Item 3 is incorporated by reference 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Ronald Fenech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number of shares beneficially owned by Mr. Fenech: 764,426.</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of class: 2.4%.</w:t>
      </w:r>
    </w:p>
    <w:p>
      <w:pPr>
        <w:spacing w:after="0" w:line="279" w:lineRule="exact"/>
        <w:rPr>
          <w:sz w:val="20"/>
          <w:szCs w:val="20"/>
          <w:color w:val="auto"/>
        </w:rPr>
      </w:pPr>
    </w:p>
    <w:p>
      <w:pPr>
        <w:ind w:left="340" w:right="80"/>
        <w:spacing w:after="0" w:line="288" w:lineRule="auto"/>
        <w:rPr>
          <w:sz w:val="20"/>
          <w:szCs w:val="20"/>
          <w:color w:val="auto"/>
        </w:rPr>
      </w:pPr>
      <w:r>
        <w:rPr>
          <w:rFonts w:ascii="Arial" w:cs="Arial" w:eastAsia="Arial" w:hAnsi="Arial"/>
          <w:sz w:val="18"/>
          <w:szCs w:val="18"/>
          <w:color w:val="auto"/>
        </w:rPr>
        <w:t>By virtue of having entered into, and complying with, the agreements described under Item 3 with the other RDB Sellers, Mr. Fenech and the other RDB Sellers may be deemed to be a group within the meaning of section 13(d)(3) of the Act with respect to shares of the Issuer held by the RDB Sellers. However, Mr. Fenech disclaims beneficial ownership of shares held by the other RDB Sellers. Filing of this statement shall not be construed as an admission that Mr. Fenech is, for the purposes of Sections 13(d) or 13(g) of the Securities Exchange Act of 1934, the beneficial owner of any securities held by William Fenech or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William Fenech -</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number of shares beneficially owned by William Fenech: 764,426. Percentage of class: 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Donald Clark -</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number of shares beneficially owned by Donald Clark: 764,426. Percentage of class: 2.4%.</w:t>
      </w:r>
    </w:p>
    <w:p>
      <w:pPr>
        <w:spacing w:after="0" w:line="144"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The aggregate number of shares beneficially owned by Mr. Fenech, William Fenech and Donald Clark, collectively, is 2,293,278 or 7.3% of the outstanding Winnebago Common Stock in the aggregate.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Ronald Fenech -</w:t>
      </w:r>
    </w:p>
    <w:p>
      <w:pPr>
        <w:spacing w:after="0" w:line="144" w:lineRule="exact"/>
        <w:rPr>
          <w:sz w:val="20"/>
          <w:szCs w:val="20"/>
          <w:color w:val="auto"/>
        </w:rPr>
      </w:pPr>
    </w:p>
    <w:p>
      <w:pPr>
        <w:ind w:left="820" w:hanging="39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William Fenech -</w:t>
      </w:r>
    </w:p>
    <w:p>
      <w:pPr>
        <w:spacing w:after="0" w:line="144" w:lineRule="exact"/>
        <w:rPr>
          <w:sz w:val="20"/>
          <w:szCs w:val="20"/>
          <w:color w:val="auto"/>
        </w:rPr>
      </w:pPr>
    </w:p>
    <w:p>
      <w:pPr>
        <w:ind w:left="820" w:hanging="393"/>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Donald Clark -</w:t>
      </w:r>
    </w:p>
    <w:p>
      <w:pPr>
        <w:spacing w:after="0" w:line="144" w:lineRule="exact"/>
        <w:rPr>
          <w:sz w:val="20"/>
          <w:szCs w:val="20"/>
          <w:color w:val="auto"/>
        </w:rPr>
      </w:pPr>
    </w:p>
    <w:p>
      <w:pPr>
        <w:ind w:left="820" w:hanging="39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20" w:hanging="39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332"/>
        <w:spacing w:after="0" w:line="371" w:lineRule="auto"/>
        <w:tabs>
          <w:tab w:leader="none" w:pos="84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Except as set forth above in connection with the closing of the transactions under the Purchase Agreement, Mr. Fenech has not purchased, sold, or acquired any Shares of the Issuer during the 60 days prior to the filing of this Schedule 13D.</w:t>
      </w:r>
    </w:p>
    <w:p>
      <w:pPr>
        <w:spacing w:after="0" w:line="8" w:lineRule="exact"/>
        <w:rPr>
          <w:rFonts w:ascii="Arial" w:cs="Arial" w:eastAsia="Arial" w:hAnsi="Arial"/>
          <w:sz w:val="18"/>
          <w:szCs w:val="18"/>
          <w:b w:val="1"/>
          <w:bCs w:val="1"/>
          <w:color w:val="auto"/>
        </w:rPr>
      </w:pPr>
    </w:p>
    <w:p>
      <w:pPr>
        <w:ind w:right="20" w:firstLine="332"/>
        <w:spacing w:after="0" w:line="309" w:lineRule="auto"/>
        <w:tabs>
          <w:tab w:leader="none" w:pos="652"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 other person is known by Mr. Fenech to have the right to receive or the power to direct the receipt of dividends from, or the proceeds from the sale of, the shares reported by Mr. Fenech in this Schedule 13D.</w:t>
      </w:r>
    </w:p>
    <w:p>
      <w:pPr>
        <w:spacing w:after="0" w:line="61" w:lineRule="exact"/>
        <w:rPr>
          <w:rFonts w:ascii="Arial" w:cs="Arial" w:eastAsia="Arial" w:hAnsi="Arial"/>
          <w:sz w:val="18"/>
          <w:szCs w:val="18"/>
          <w:b w:val="1"/>
          <w:bCs w:val="1"/>
          <w:color w:val="auto"/>
        </w:rPr>
      </w:pPr>
    </w:p>
    <w:p>
      <w:pPr>
        <w:ind w:left="620" w:hanging="288"/>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disclosures in Items 3 and 4 are incorporated by reference herein.</w:t>
      </w:r>
    </w:p>
    <w:p>
      <w:pPr>
        <w:spacing w:after="0" w:line="144" w:lineRule="exact"/>
        <w:rPr>
          <w:sz w:val="20"/>
          <w:szCs w:val="20"/>
          <w:color w:val="auto"/>
        </w:rPr>
      </w:pPr>
    </w:p>
    <w:p>
      <w:pPr>
        <w:ind w:firstLine="324"/>
        <w:spacing w:after="0" w:line="377" w:lineRule="auto"/>
        <w:rPr>
          <w:sz w:val="20"/>
          <w:szCs w:val="20"/>
          <w:color w:val="auto"/>
        </w:rPr>
      </w:pPr>
      <w:r>
        <w:rPr>
          <w:rFonts w:ascii="Arial" w:cs="Arial" w:eastAsia="Arial" w:hAnsi="Arial"/>
          <w:sz w:val="16"/>
          <w:szCs w:val="16"/>
          <w:color w:val="auto"/>
        </w:rPr>
        <w:t>The Purchase Agreement, the Non-competition Agreement, the Registration Rights Agreement, the Standstill Agreement, the Lock Up Agreement, and Ronald Fenech’s Consulting Agreement are filed as Exhibits A through F, respectively, to this Schedule 13D and are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0" w:lineRule="exact"/>
        <w:rPr>
          <w:sz w:val="20"/>
          <w:szCs w:val="20"/>
          <w:color w:val="auto"/>
        </w:rPr>
      </w:pPr>
    </w:p>
    <w:p>
      <w:pPr>
        <w:spacing w:after="0" w:line="286" w:lineRule="exact"/>
        <w:rPr>
          <w:sz w:val="20"/>
          <w:szCs w:val="20"/>
          <w:color w:val="auto"/>
        </w:rPr>
      </w:pPr>
    </w:p>
    <w:p>
      <w:pPr>
        <w:ind w:left="660" w:right="80" w:hanging="328"/>
        <w:spacing w:after="0" w:line="25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 Exhibit 2.1</w:t>
      </w:r>
    </w:p>
    <w:p>
      <w:pPr>
        <w:spacing w:after="0" w:line="2" w:lineRule="exact"/>
        <w:rPr>
          <w:rFonts w:ascii="Arial" w:cs="Arial" w:eastAsia="Arial" w:hAnsi="Arial"/>
          <w:sz w:val="18"/>
          <w:szCs w:val="18"/>
          <w:color w:val="auto"/>
        </w:rPr>
      </w:pPr>
    </w:p>
    <w:p>
      <w:pPr>
        <w:ind w:left="660" w:right="2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Non-competition, Non-solicitation and Confidentiality Agreement by and among Octavius Corporation, Winnebago Industries, Inc., Grand Design RV, LLC, RDB III, Inc., Ronald Fenech, Donald Clark and William Fenech dated October 2, 2016. .** Exhibit 10.1</w:t>
      </w:r>
    </w:p>
    <w:p>
      <w:pPr>
        <w:ind w:left="660" w:right="4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Registration Rights Agreement by and between Winnebago Industries, Inc. and the Shareholder Parties (including Mr. Fenech) dated October 2, 2016.** Exhibit 10.3</w:t>
      </w:r>
    </w:p>
    <w:p>
      <w:pPr>
        <w:ind w:left="660" w:right="24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Standstill Agreement dated as of October 2, 2016 by and among Donald Clark, Ronald Fenech, William Fenech and Winnebago Industries, Inc.** Exhibit 10.5</w:t>
      </w:r>
    </w:p>
    <w:p>
      <w:pPr>
        <w:ind w:left="660" w:right="14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Lock-up Letter Agreement to Winnebago Industries, Inc. from Donald Clark, Ronald Fenech and William Fenech dated October 2, 2016.** Exhibit 10.6</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Consulting Agreement by and between Ronald Fenech and Winnebago Industries, Inc. dated as of October 2, 2016.** Exhibit 10.7</w:t>
      </w:r>
    </w:p>
    <w:p>
      <w:pPr>
        <w:spacing w:after="0" w:line="247" w:lineRule="exact"/>
        <w:rPr>
          <w:rFonts w:ascii="Arial" w:cs="Arial" w:eastAsia="Arial" w:hAnsi="Arial"/>
          <w:sz w:val="18"/>
          <w:szCs w:val="18"/>
          <w:color w:val="auto"/>
        </w:rPr>
      </w:pPr>
    </w:p>
    <w:p>
      <w:pPr>
        <w:ind w:right="340" w:firstLine="8"/>
        <w:spacing w:after="0" w:line="313"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Incorporated by reference to the exhibit bearing the indicated exhibit number in Winnebago’s Current Report on Form 8-K dated October 4, 2016 filed with the Securities and Exchange Commission October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November 15, 2016</w:t>
      </w:r>
      <w:r>
        <w:rPr>
          <w:sz w:val="20"/>
          <w:szCs w:val="20"/>
          <w:color w:val="auto"/>
        </w:rPr>
        <w:tab/>
      </w:r>
      <w:r>
        <w:rPr>
          <w:rFonts w:ascii="Arial" w:cs="Arial" w:eastAsia="Arial" w:hAnsi="Arial"/>
          <w:sz w:val="15"/>
          <w:szCs w:val="15"/>
          <w:color w:val="auto"/>
        </w:rPr>
        <w:t>/s/ Ronald J.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23495</wp:posOffset>
            </wp:positionV>
            <wp:extent cx="29845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84500" cy="17145"/>
                    </a:xfrm>
                    <a:prstGeom prst="rect">
                      <a:avLst/>
                    </a:prstGeom>
                    <a:noFill/>
                  </pic:spPr>
                </pic:pic>
              </a:graphicData>
            </a:graphic>
          </wp:anchor>
        </w:drawing>
      </w:r>
    </w:p>
    <w:p>
      <w:pPr>
        <w:spacing w:after="0" w:line="1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Ronald J. Fenech</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6"/>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abstractNum>
  <w:abstractNum w:abstractNumId="5">
    <w:nsid w:val="2EB141F2"/>
    <w:multiLevelType w:val="hybridMultilevel"/>
    <w:lvl w:ilvl="0">
      <w:lvlJc w:val="left"/>
      <w:lvlText w:val="(%1)"/>
      <w:numFmt w:val="lowerLetter"/>
      <w:start w:val="3"/>
    </w:lvl>
    <w:lvl w:ilvl="1">
      <w:lvlJc w:val="left"/>
      <w:lvlText w:val="%2"/>
      <w:numFmt w:val="decimal"/>
      <w:start w:val="1"/>
    </w:lvl>
  </w:abstractNum>
  <w:abstractNum w:abstractNumId="6">
    <w:nsid w:val="41B71EFB"/>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2019-12-05T12:35:26Z</dcterms:created>
  <dcterms:modified xsi:type="dcterms:W3CDTF">2019-12-05T12:35:26Z</dcterms:modified>
</cp:coreProperties>
</file>