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4"/>
          <w:szCs w:val="24"/>
          <w:color w:val="auto"/>
        </w:rPr>
      </w:pPr>
    </w:p>
    <w:p>
      <w:pPr>
        <w:jc w:val="center"/>
        <w:ind w:right="21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97"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ind w:left="3180"/>
        <w:spacing w:after="0"/>
        <w:rPr>
          <w:sz w:val="20"/>
          <w:szCs w:val="20"/>
          <w:color w:val="auto"/>
        </w:rPr>
      </w:pPr>
      <w:r>
        <w:rPr>
          <w:rFonts w:ascii="Arial" w:cs="Arial" w:eastAsia="Arial" w:hAnsi="Arial"/>
          <w:sz w:val="32"/>
          <w:szCs w:val="32"/>
          <w:b w:val="1"/>
          <w:bCs w:val="1"/>
          <w:color w:val="auto"/>
        </w:rPr>
        <w:t>FORM 10-K</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2" w:lineRule="exact"/>
        <w:rPr>
          <w:sz w:val="24"/>
          <w:szCs w:val="24"/>
          <w:color w:val="auto"/>
        </w:rPr>
      </w:pPr>
    </w:p>
    <w:p>
      <w:pPr>
        <w:ind w:left="420" w:right="2479" w:hanging="412"/>
        <w:spacing w:after="0" w:line="231" w:lineRule="auto"/>
        <w:tabs>
          <w:tab w:leader="none" w:pos="42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August 26, 2006; or</w:t>
      </w:r>
    </w:p>
    <w:p>
      <w:pPr>
        <w:spacing w:after="0" w:line="138" w:lineRule="exact"/>
        <w:rPr>
          <w:sz w:val="24"/>
          <w:szCs w:val="24"/>
          <w:color w:val="auto"/>
        </w:rPr>
      </w:pPr>
    </w:p>
    <w:p>
      <w:pPr>
        <w:ind w:right="3239" w:firstLine="8"/>
        <w:spacing w:after="0" w:line="394" w:lineRule="auto"/>
        <w:tabs>
          <w:tab w:leader="none" w:pos="405"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Commission File Number 1-6403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785495</wp:posOffset>
            </wp:positionH>
            <wp:positionV relativeFrom="paragraph">
              <wp:posOffset>109220</wp:posOffset>
            </wp:positionV>
            <wp:extent cx="3593465" cy="130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93465" cy="130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1780"/>
        <w:spacing w:after="0"/>
        <w:rPr>
          <w:sz w:val="20"/>
          <w:szCs w:val="20"/>
          <w:color w:val="auto"/>
        </w:rPr>
      </w:pPr>
      <w:r>
        <w:rPr>
          <w:rFonts w:ascii="Arial" w:cs="Arial" w:eastAsia="Arial" w:hAnsi="Arial"/>
          <w:sz w:val="32"/>
          <w:szCs w:val="32"/>
          <w:b w:val="1"/>
          <w:bCs w:val="1"/>
          <w:color w:val="auto"/>
        </w:rPr>
        <w:t>WINNEBAGO INDUSTRIES, INC.</w:t>
      </w:r>
    </w:p>
    <w:p>
      <w:pPr>
        <w:spacing w:after="0" w:line="4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960" w:type="dxa"/>
        <w:tblCellMar>
          <w:top w:w="0" w:type="dxa"/>
          <w:left w:w="0" w:type="dxa"/>
          <w:bottom w:w="0" w:type="dxa"/>
          <w:right w:w="0" w:type="dxa"/>
        </w:tblCellMar>
      </w:tblPr>
      <w:tr>
        <w:trPr>
          <w:trHeight w:val="222"/>
        </w:trPr>
        <w:tc>
          <w:tcPr>
            <w:tcW w:w="3480" w:type="dxa"/>
            <w:vAlign w:val="bottom"/>
          </w:tcPr>
          <w:p>
            <w:pPr>
              <w:jc w:val="center"/>
              <w:ind w:right="612"/>
              <w:spacing w:after="0"/>
              <w:rPr>
                <w:sz w:val="20"/>
                <w:szCs w:val="20"/>
                <w:color w:val="auto"/>
              </w:rPr>
            </w:pPr>
            <w:r>
              <w:rPr>
                <w:rFonts w:ascii="Arial" w:cs="Arial" w:eastAsia="Arial" w:hAnsi="Arial"/>
                <w:sz w:val="18"/>
                <w:szCs w:val="18"/>
                <w:b w:val="1"/>
                <w:bCs w:val="1"/>
                <w:color w:val="auto"/>
                <w:w w:val="94"/>
              </w:rPr>
              <w:t>Iowa</w:t>
            </w:r>
          </w:p>
        </w:tc>
        <w:tc>
          <w:tcPr>
            <w:tcW w:w="1980" w:type="dxa"/>
            <w:vAlign w:val="bottom"/>
          </w:tcPr>
          <w:p>
            <w:pPr>
              <w:jc w:val="right"/>
              <w:ind w:right="132"/>
              <w:spacing w:after="0"/>
              <w:rPr>
                <w:sz w:val="20"/>
                <w:szCs w:val="20"/>
                <w:color w:val="auto"/>
              </w:rPr>
            </w:pPr>
            <w:r>
              <w:rPr>
                <w:rFonts w:ascii="Arial" w:cs="Arial" w:eastAsia="Arial" w:hAnsi="Arial"/>
                <w:sz w:val="18"/>
                <w:szCs w:val="18"/>
                <w:b w:val="1"/>
                <w:bCs w:val="1"/>
                <w:color w:val="auto"/>
              </w:rPr>
              <w:t>42-0802678</w:t>
            </w:r>
          </w:p>
        </w:tc>
      </w:tr>
      <w:tr>
        <w:trPr>
          <w:trHeight w:val="216"/>
        </w:trPr>
        <w:tc>
          <w:tcPr>
            <w:tcW w:w="3480" w:type="dxa"/>
            <w:vAlign w:val="bottom"/>
          </w:tcPr>
          <w:p>
            <w:pPr>
              <w:jc w:val="center"/>
              <w:ind w:right="592"/>
              <w:spacing w:after="0"/>
              <w:rPr>
                <w:sz w:val="20"/>
                <w:szCs w:val="20"/>
                <w:color w:val="auto"/>
              </w:rPr>
            </w:pPr>
            <w:r>
              <w:rPr>
                <w:rFonts w:ascii="Arial" w:cs="Arial" w:eastAsia="Arial" w:hAnsi="Arial"/>
                <w:sz w:val="18"/>
                <w:szCs w:val="18"/>
                <w:color w:val="auto"/>
                <w:w w:val="90"/>
              </w:rPr>
              <w:t>(State or other jurisdiction of</w:t>
            </w:r>
          </w:p>
        </w:tc>
        <w:tc>
          <w:tcPr>
            <w:tcW w:w="1980" w:type="dxa"/>
            <w:vAlign w:val="bottom"/>
          </w:tcPr>
          <w:p>
            <w:pPr>
              <w:jc w:val="center"/>
              <w:ind w:left="572"/>
              <w:spacing w:after="0"/>
              <w:rPr>
                <w:sz w:val="20"/>
                <w:szCs w:val="20"/>
                <w:color w:val="auto"/>
              </w:rPr>
            </w:pPr>
            <w:r>
              <w:rPr>
                <w:rFonts w:ascii="Arial" w:cs="Arial" w:eastAsia="Arial" w:hAnsi="Arial"/>
                <w:sz w:val="18"/>
                <w:szCs w:val="18"/>
                <w:color w:val="auto"/>
                <w:w w:val="90"/>
              </w:rPr>
              <w:t>(I.R.S. Employer</w:t>
            </w:r>
          </w:p>
        </w:tc>
      </w:tr>
      <w:tr>
        <w:trPr>
          <w:trHeight w:val="222"/>
        </w:trPr>
        <w:tc>
          <w:tcPr>
            <w:tcW w:w="3480" w:type="dxa"/>
            <w:vAlign w:val="bottom"/>
          </w:tcPr>
          <w:p>
            <w:pPr>
              <w:jc w:val="center"/>
              <w:ind w:right="612"/>
              <w:spacing w:after="0"/>
              <w:rPr>
                <w:sz w:val="20"/>
                <w:szCs w:val="20"/>
                <w:color w:val="auto"/>
              </w:rPr>
            </w:pPr>
            <w:r>
              <w:rPr>
                <w:rFonts w:ascii="Arial" w:cs="Arial" w:eastAsia="Arial" w:hAnsi="Arial"/>
                <w:sz w:val="18"/>
                <w:szCs w:val="18"/>
                <w:color w:val="auto"/>
                <w:w w:val="89"/>
              </w:rPr>
              <w:t>incorporation or organization)</w:t>
            </w:r>
          </w:p>
        </w:tc>
        <w:tc>
          <w:tcPr>
            <w:tcW w:w="1980" w:type="dxa"/>
            <w:vAlign w:val="bottom"/>
          </w:tcPr>
          <w:p>
            <w:pPr>
              <w:jc w:val="center"/>
              <w:ind w:left="592"/>
              <w:spacing w:after="0"/>
              <w:rPr>
                <w:sz w:val="20"/>
                <w:szCs w:val="20"/>
                <w:color w:val="auto"/>
              </w:rPr>
            </w:pPr>
            <w:r>
              <w:rPr>
                <w:rFonts w:ascii="Arial" w:cs="Arial" w:eastAsia="Arial" w:hAnsi="Arial"/>
                <w:sz w:val="18"/>
                <w:szCs w:val="18"/>
                <w:color w:val="auto"/>
                <w:w w:val="92"/>
              </w:rPr>
              <w:t>Identification No.)</w:t>
            </w:r>
          </w:p>
        </w:tc>
      </w:tr>
      <w:tr>
        <w:trPr>
          <w:trHeight w:val="358"/>
        </w:trPr>
        <w:tc>
          <w:tcPr>
            <w:tcW w:w="3480" w:type="dxa"/>
            <w:vAlign w:val="bottom"/>
          </w:tcPr>
          <w:p>
            <w:pPr>
              <w:jc w:val="center"/>
              <w:ind w:right="612"/>
              <w:spacing w:after="0"/>
              <w:rPr>
                <w:sz w:val="20"/>
                <w:szCs w:val="20"/>
                <w:color w:val="auto"/>
              </w:rPr>
            </w:pPr>
            <w:r>
              <w:rPr>
                <w:rFonts w:ascii="Arial" w:cs="Arial" w:eastAsia="Arial" w:hAnsi="Arial"/>
                <w:sz w:val="18"/>
                <w:szCs w:val="18"/>
                <w:b w:val="1"/>
                <w:bCs w:val="1"/>
                <w:color w:val="auto"/>
                <w:w w:val="88"/>
              </w:rPr>
              <w:t>P.O. Box 152, Forest City, Iowa</w:t>
            </w:r>
          </w:p>
        </w:tc>
        <w:tc>
          <w:tcPr>
            <w:tcW w:w="1980" w:type="dxa"/>
            <w:vAlign w:val="bottom"/>
          </w:tcPr>
          <w:p>
            <w:pPr>
              <w:jc w:val="right"/>
              <w:ind w:right="352"/>
              <w:spacing w:after="0"/>
              <w:rPr>
                <w:sz w:val="20"/>
                <w:szCs w:val="20"/>
                <w:color w:val="auto"/>
              </w:rPr>
            </w:pPr>
            <w:r>
              <w:rPr>
                <w:rFonts w:ascii="Arial" w:cs="Arial" w:eastAsia="Arial" w:hAnsi="Arial"/>
                <w:sz w:val="18"/>
                <w:szCs w:val="18"/>
                <w:b w:val="1"/>
                <w:bCs w:val="1"/>
                <w:color w:val="auto"/>
              </w:rPr>
              <w:t>50436</w:t>
            </w:r>
          </w:p>
        </w:tc>
      </w:tr>
      <w:tr>
        <w:trPr>
          <w:trHeight w:val="222"/>
        </w:trPr>
        <w:tc>
          <w:tcPr>
            <w:tcW w:w="3480" w:type="dxa"/>
            <w:vAlign w:val="bottom"/>
          </w:tcPr>
          <w:p>
            <w:pPr>
              <w:jc w:val="center"/>
              <w:ind w:right="612"/>
              <w:spacing w:after="0"/>
              <w:rPr>
                <w:sz w:val="20"/>
                <w:szCs w:val="20"/>
                <w:color w:val="auto"/>
              </w:rPr>
            </w:pPr>
            <w:r>
              <w:rPr>
                <w:rFonts w:ascii="Arial" w:cs="Arial" w:eastAsia="Arial" w:hAnsi="Arial"/>
                <w:sz w:val="18"/>
                <w:szCs w:val="18"/>
                <w:color w:val="auto"/>
                <w:w w:val="89"/>
              </w:rPr>
              <w:t>(Address of Principal executive offices)</w:t>
            </w:r>
          </w:p>
        </w:tc>
        <w:tc>
          <w:tcPr>
            <w:tcW w:w="1980" w:type="dxa"/>
            <w:vAlign w:val="bottom"/>
          </w:tcPr>
          <w:p>
            <w:pPr>
              <w:jc w:val="center"/>
              <w:ind w:left="59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Registrant’s telephone number, including area code: (641) 585-3535</w:t>
      </w:r>
    </w:p>
    <w:p>
      <w:pPr>
        <w:spacing w:after="0" w:line="219"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5"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NAME OF EACH EXCHANGE ON</w:t>
            </w:r>
          </w:p>
        </w:tc>
      </w:tr>
      <w:tr>
        <w:trPr>
          <w:trHeight w:val="222"/>
        </w:trPr>
        <w:tc>
          <w:tcPr>
            <w:tcW w:w="2840" w:type="dxa"/>
            <w:vAlign w:val="bottom"/>
          </w:tcPr>
          <w:p>
            <w:pPr>
              <w:jc w:val="center"/>
              <w:spacing w:after="0"/>
              <w:rPr>
                <w:sz w:val="20"/>
                <w:szCs w:val="20"/>
                <w:color w:val="auto"/>
              </w:rPr>
            </w:pPr>
            <w:r>
              <w:rPr>
                <w:rFonts w:ascii="Arial" w:cs="Arial" w:eastAsia="Arial" w:hAnsi="Arial"/>
                <w:sz w:val="18"/>
                <w:szCs w:val="18"/>
                <w:color w:val="auto"/>
                <w:w w:val="94"/>
              </w:rPr>
              <w:t>TITLE OF EACH CLASS</w:t>
            </w:r>
          </w:p>
        </w:tc>
        <w:tc>
          <w:tcPr>
            <w:tcW w:w="18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WHICH REGISTERED</w:t>
            </w:r>
          </w:p>
        </w:tc>
      </w:tr>
      <w:tr>
        <w:trPr>
          <w:trHeight w:val="110"/>
        </w:trPr>
        <w:tc>
          <w:tcPr>
            <w:tcW w:w="2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r>
      <w:tr>
        <w:trPr>
          <w:trHeight w:val="309"/>
        </w:trPr>
        <w:tc>
          <w:tcPr>
            <w:tcW w:w="2840" w:type="dxa"/>
            <w:vAlign w:val="bottom"/>
          </w:tcPr>
          <w:p>
            <w:pPr>
              <w:jc w:val="center"/>
              <w:spacing w:after="0"/>
              <w:rPr>
                <w:sz w:val="20"/>
                <w:szCs w:val="20"/>
                <w:color w:val="auto"/>
              </w:rPr>
            </w:pPr>
            <w:r>
              <w:rPr>
                <w:rFonts w:ascii="Arial" w:cs="Arial" w:eastAsia="Arial" w:hAnsi="Arial"/>
                <w:sz w:val="18"/>
                <w:szCs w:val="18"/>
                <w:color w:val="auto"/>
                <w:w w:val="88"/>
              </w:rPr>
              <w:t>Common Stock ($.50 par value)</w:t>
            </w:r>
          </w:p>
        </w:tc>
        <w:tc>
          <w:tcPr>
            <w:tcW w:w="18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The New York Stock Exchange, Inc.</w:t>
            </w:r>
          </w:p>
        </w:tc>
      </w:tr>
      <w:tr>
        <w:trPr>
          <w:trHeight w:val="216"/>
        </w:trPr>
        <w:tc>
          <w:tcPr>
            <w:tcW w:w="2840" w:type="dxa"/>
            <w:vAlign w:val="bottom"/>
          </w:tcPr>
          <w:p>
            <w:pPr>
              <w:jc w:val="center"/>
              <w:spacing w:after="0"/>
              <w:rPr>
                <w:sz w:val="20"/>
                <w:szCs w:val="20"/>
                <w:color w:val="auto"/>
              </w:rPr>
            </w:pPr>
            <w:r>
              <w:rPr>
                <w:rFonts w:ascii="Arial" w:cs="Arial" w:eastAsia="Arial" w:hAnsi="Arial"/>
                <w:sz w:val="18"/>
                <w:szCs w:val="18"/>
                <w:color w:val="auto"/>
                <w:w w:val="85"/>
              </w:rPr>
              <w:t>and Preferred Share Purchase Rights</w:t>
            </w:r>
          </w:p>
        </w:tc>
        <w:tc>
          <w:tcPr>
            <w:tcW w:w="1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Chicago Stock Exchange, Inc.</w:t>
            </w:r>
          </w:p>
        </w:tc>
      </w:tr>
      <w:tr>
        <w:trPr>
          <w:trHeight w:val="222"/>
        </w:trPr>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NYSE Arca</w:t>
            </w:r>
          </w:p>
        </w:tc>
      </w:tr>
    </w:tbl>
    <w:p>
      <w:pPr>
        <w:spacing w:after="0" w:line="20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3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None</w:t>
      </w:r>
    </w:p>
    <w:p>
      <w:pPr>
        <w:spacing w:after="0" w:line="225" w:lineRule="exact"/>
        <w:rPr>
          <w:sz w:val="24"/>
          <w:szCs w:val="24"/>
          <w:color w:val="auto"/>
        </w:rPr>
      </w:pPr>
    </w:p>
    <w:p>
      <w:pPr>
        <w:ind w:right="2479" w:firstLine="483"/>
        <w:spacing w:after="0" w:line="268" w:lineRule="auto"/>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ü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1219835</wp:posOffset>
            </wp:positionH>
            <wp:positionV relativeFrom="paragraph">
              <wp:posOffset>-38735</wp:posOffset>
            </wp:positionV>
            <wp:extent cx="83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3820" cy="8890"/>
                    </a:xfrm>
                    <a:prstGeom prst="rect">
                      <a:avLst/>
                    </a:prstGeom>
                    <a:noFill/>
                  </pic:spPr>
                </pic:pic>
              </a:graphicData>
            </a:graphic>
          </wp:anchor>
        </w:drawing>
      </w:r>
    </w:p>
    <w:p>
      <w:pPr>
        <w:spacing w:after="0" w:line="166" w:lineRule="exact"/>
        <w:rPr>
          <w:sz w:val="24"/>
          <w:szCs w:val="24"/>
          <w:color w:val="auto"/>
        </w:rPr>
      </w:pPr>
    </w:p>
    <w:p>
      <w:pPr>
        <w:ind w:left="440"/>
        <w:spacing w:after="0"/>
        <w:rPr>
          <w:sz w:val="20"/>
          <w:szCs w:val="20"/>
          <w:color w:val="auto"/>
        </w:rPr>
      </w:pPr>
      <w:r>
        <w:rPr>
          <w:rFonts w:ascii="Arial" w:cs="Arial" w:eastAsia="Arial" w:hAnsi="Arial"/>
          <w:sz w:val="15"/>
          <w:szCs w:val="15"/>
          <w:color w:val="auto"/>
        </w:rPr>
        <w:t>Indicate by check mark whether the registrant is not required to file reports pursuant to Section 13 or Section</w:t>
      </w:r>
    </w:p>
    <w:p>
      <w:pPr>
        <w:spacing w:after="0" w:line="50" w:lineRule="exact"/>
        <w:rPr>
          <w:sz w:val="24"/>
          <w:szCs w:val="24"/>
          <w:color w:val="auto"/>
        </w:rPr>
      </w:pPr>
    </w:p>
    <w:p>
      <w:pPr>
        <w:spacing w:after="0"/>
        <w:tabs>
          <w:tab w:leader="none" w:pos="2580" w:val="left"/>
        </w:tabs>
        <w:rPr>
          <w:sz w:val="20"/>
          <w:szCs w:val="20"/>
          <w:color w:val="auto"/>
        </w:rPr>
      </w:pPr>
      <w:r>
        <w:rPr>
          <w:rFonts w:ascii="Arial" w:cs="Arial" w:eastAsia="Arial" w:hAnsi="Arial"/>
          <w:sz w:val="18"/>
          <w:szCs w:val="18"/>
          <w:color w:val="auto"/>
        </w:rPr>
        <w:t>15(d) of the Exchange Act. Yes</w:t>
      </w:r>
      <w:r>
        <w:rPr>
          <w:sz w:val="20"/>
          <w:szCs w:val="20"/>
          <w:color w:val="auto"/>
        </w:rPr>
        <w:tab/>
      </w:r>
      <w:r>
        <w:rPr>
          <w:rFonts w:ascii="Arial" w:cs="Arial" w:eastAsia="Arial" w:hAnsi="Arial"/>
          <w:sz w:val="16"/>
          <w:szCs w:val="16"/>
          <w:color w:val="auto"/>
        </w:rPr>
        <w:t>No ü</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1454785</wp:posOffset>
            </wp:positionH>
            <wp:positionV relativeFrom="paragraph">
              <wp:posOffset>-17780</wp:posOffset>
            </wp:positionV>
            <wp:extent cx="83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 cy="8890"/>
                    </a:xfrm>
                    <a:prstGeom prst="rect">
                      <a:avLst/>
                    </a:prstGeom>
                    <a:noFill/>
                  </pic:spPr>
                </pic:pic>
              </a:graphicData>
            </a:graphic>
          </wp:anchor>
        </w:drawing>
      </w:r>
    </w:p>
    <w:p>
      <w:pPr>
        <w:spacing w:after="0" w:line="199" w:lineRule="exact"/>
        <w:rPr>
          <w:sz w:val="24"/>
          <w:szCs w:val="24"/>
          <w:color w:val="auto"/>
        </w:rPr>
      </w:pPr>
    </w:p>
    <w:p>
      <w:pPr>
        <w:ind w:right="2299" w:firstLine="439"/>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ü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786130</wp:posOffset>
            </wp:positionH>
            <wp:positionV relativeFrom="paragraph">
              <wp:posOffset>-31750</wp:posOffset>
            </wp:positionV>
            <wp:extent cx="83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 cy="8890"/>
                    </a:xfrm>
                    <a:prstGeom prst="rect">
                      <a:avLst/>
                    </a:prstGeom>
                    <a:noFill/>
                  </pic:spPr>
                </pic:pic>
              </a:graphicData>
            </a:graphic>
          </wp:anchor>
        </w:drawing>
      </w:r>
    </w:p>
    <w:p>
      <w:pPr>
        <w:spacing w:after="0" w:line="177" w:lineRule="exact"/>
        <w:rPr>
          <w:sz w:val="24"/>
          <w:szCs w:val="24"/>
          <w:color w:val="auto"/>
        </w:rPr>
      </w:pPr>
    </w:p>
    <w:p>
      <w:pPr>
        <w:ind w:right="2579" w:firstLine="439"/>
        <w:spacing w:after="0" w:line="256"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w:t>
      </w:r>
      <w:r>
        <w:rPr>
          <w:rFonts w:ascii="Arial" w:cs="Arial" w:eastAsia="Arial" w:hAnsi="Arial"/>
          <w:sz w:val="18"/>
          <w:szCs w:val="18"/>
          <w:b w:val="1"/>
          <w:bCs w:val="1"/>
          <w:color w:val="auto"/>
        </w:rPr>
        <w:t>__</w:t>
      </w:r>
      <w:r>
        <w:rPr>
          <w:rFonts w:ascii="Arial" w:cs="Arial" w:eastAsia="Arial" w:hAnsi="Arial"/>
          <w:sz w:val="18"/>
          <w:szCs w:val="18"/>
          <w:color w:val="auto"/>
        </w:rPr>
        <w:t>.</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Act).</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Yes ü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526415</wp:posOffset>
            </wp:positionH>
            <wp:positionV relativeFrom="paragraph">
              <wp:posOffset>-17780</wp:posOffset>
            </wp:positionV>
            <wp:extent cx="83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 cy="8890"/>
                    </a:xfrm>
                    <a:prstGeom prst="rect">
                      <a:avLst/>
                    </a:prstGeom>
                    <a:noFill/>
                  </pic:spPr>
                </pic:pic>
              </a:graphicData>
            </a:graphic>
          </wp:anchor>
        </w:drawing>
      </w:r>
    </w:p>
    <w:p>
      <w:pPr>
        <w:sectPr>
          <w:pgSz w:w="11900" w:h="16838" w:orient="portrait"/>
          <w:cols w:equalWidth="0" w:num="1">
            <w:col w:w="10219"/>
          </w:cols>
          <w:pgMar w:left="240" w:top="239" w:right="1440" w:bottom="20" w:gutter="0" w:footer="0" w:header="0"/>
        </w:sectPr>
      </w:pPr>
    </w:p>
    <w:bookmarkStart w:id="1" w:name="page2"/>
    <w:bookmarkEnd w:id="1"/>
    <w:p>
      <w:pPr>
        <w:ind w:left="360" w:right="2239" w:firstLine="88"/>
        <w:spacing w:after="0" w:line="268"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No 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-38735</wp:posOffset>
            </wp:positionV>
            <wp:extent cx="83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820" cy="8890"/>
                    </a:xfrm>
                    <a:prstGeom prst="rect">
                      <a:avLst/>
                    </a:prstGeom>
                    <a:noFill/>
                  </pic:spPr>
                </pic:pic>
              </a:graphicData>
            </a:graphic>
          </wp:anchor>
        </w:drawing>
      </w:r>
    </w:p>
    <w:p>
      <w:pPr>
        <w:spacing w:after="0" w:line="166" w:lineRule="exact"/>
        <w:rPr>
          <w:sz w:val="20"/>
          <w:szCs w:val="20"/>
          <w:color w:val="auto"/>
        </w:rPr>
      </w:pPr>
    </w:p>
    <w:p>
      <w:pPr>
        <w:ind w:right="2719" w:firstLine="429"/>
        <w:spacing w:after="0" w:line="370" w:lineRule="auto"/>
        <w:rPr>
          <w:sz w:val="20"/>
          <w:szCs w:val="20"/>
          <w:color w:val="auto"/>
        </w:rPr>
      </w:pPr>
      <w:r>
        <w:rPr>
          <w:rFonts w:ascii="Arial" w:cs="Arial" w:eastAsia="Arial" w:hAnsi="Arial"/>
          <w:sz w:val="15"/>
          <w:szCs w:val="15"/>
          <w:color w:val="auto"/>
        </w:rPr>
        <w:t>Aggregate market value of the common stock held by nonaffiliates of the registrant: $913,415,288 (29,126,763 shares at the closing price on the New York Stock Exchange of $31.36 on February 24, 2006).</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outstanding on October 31, 2006, 31,364,089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0" w:type="dxa"/>
            <w:vAlign w:val="bottom"/>
            <w:gridSpan w:val="20"/>
          </w:tcPr>
          <w:p>
            <w:pPr>
              <w:jc w:val="center"/>
              <w:ind w:right="3260"/>
              <w:spacing w:after="0"/>
              <w:rPr>
                <w:sz w:val="20"/>
                <w:szCs w:val="20"/>
                <w:color w:val="auto"/>
              </w:rPr>
            </w:pPr>
            <w:r>
              <w:rPr>
                <w:rFonts w:ascii="Arial" w:cs="Arial" w:eastAsia="Arial" w:hAnsi="Arial"/>
                <w:sz w:val="22"/>
                <w:szCs w:val="22"/>
                <w:b w:val="1"/>
                <w:bCs w:val="1"/>
                <w:color w:val="auto"/>
                <w:w w:val="89"/>
              </w:rPr>
              <w:t>Winnebago Industries, Inc.</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0" w:type="dxa"/>
            <w:vAlign w:val="bottom"/>
            <w:gridSpan w:val="20"/>
          </w:tcPr>
          <w:p>
            <w:pPr>
              <w:ind w:left="480"/>
              <w:spacing w:after="0" w:line="243" w:lineRule="exact"/>
              <w:rPr>
                <w:sz w:val="20"/>
                <w:szCs w:val="20"/>
                <w:color w:val="auto"/>
              </w:rPr>
            </w:pPr>
            <w:r>
              <w:rPr>
                <w:rFonts w:ascii="Arial" w:cs="Arial" w:eastAsia="Arial" w:hAnsi="Arial"/>
                <w:sz w:val="22"/>
                <w:szCs w:val="22"/>
                <w:b w:val="1"/>
                <w:bCs w:val="1"/>
                <w:color w:val="auto"/>
              </w:rPr>
              <w:t>2006 Form 10-K Annual Report</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60" w:type="dxa"/>
            <w:vAlign w:val="bottom"/>
            <w:gridSpan w:val="18"/>
          </w:tcPr>
          <w:p>
            <w:pPr>
              <w:jc w:val="center"/>
              <w:ind w:right="4100"/>
              <w:spacing w:after="0"/>
              <w:rPr>
                <w:sz w:val="20"/>
                <w:szCs w:val="20"/>
                <w:color w:val="auto"/>
              </w:rPr>
            </w:pPr>
            <w:r>
              <w:rPr>
                <w:rFonts w:ascii="Arial" w:cs="Arial" w:eastAsia="Arial" w:hAnsi="Arial"/>
                <w:sz w:val="22"/>
                <w:szCs w:val="22"/>
                <w:b w:val="1"/>
                <w:bCs w:val="1"/>
                <w:color w:val="auto"/>
                <w:w w:val="87"/>
              </w:rPr>
              <w:t>Table of Contents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980" w:type="dxa"/>
            <w:vAlign w:val="bottom"/>
            <w:gridSpan w:val="10"/>
            <w:vMerge w:val="restart"/>
          </w:tcPr>
          <w:p>
            <w:pPr>
              <w:jc w:val="center"/>
              <w:ind w:right="442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10"/>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760" w:type="dxa"/>
            <w:vAlign w:val="bottom"/>
            <w:gridSpan w:val="19"/>
          </w:tcPr>
          <w:p>
            <w:pPr>
              <w:ind w:left="56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gridSpan w:val="2"/>
          </w:tcPr>
          <w:p>
            <w:pPr>
              <w:spacing w:after="0"/>
              <w:rPr>
                <w:sz w:val="24"/>
                <w:szCs w:val="24"/>
                <w:color w:val="auto"/>
              </w:rPr>
            </w:pPr>
          </w:p>
        </w:tc>
        <w:tc>
          <w:tcPr>
            <w:tcW w:w="4420" w:type="dxa"/>
            <w:vAlign w:val="bottom"/>
            <w:gridSpan w:val="8"/>
          </w:tcPr>
          <w:p>
            <w:pPr>
              <w:spacing w:after="0"/>
              <w:rPr>
                <w:sz w:val="24"/>
                <w:szCs w:val="24"/>
                <w:color w:val="auto"/>
              </w:rPr>
            </w:pPr>
          </w:p>
        </w:tc>
        <w:tc>
          <w:tcPr>
            <w:tcW w:w="50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0"/>
              </w:rPr>
            </w:pPr>
            <w:hyperlink w:anchor="page8">
              <w:r>
                <w:rPr>
                  <w:rFonts w:ascii="Arial" w:cs="Arial" w:eastAsia="Arial" w:hAnsi="Arial"/>
                  <w:sz w:val="18"/>
                  <w:szCs w:val="18"/>
                  <w:color w:val="0000EE"/>
                  <w:w w:val="80"/>
                </w:rPr>
                <w:t>Item 1A.</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0"/>
              </w:rPr>
            </w:pPr>
            <w:hyperlink w:anchor="page10">
              <w:r>
                <w:rPr>
                  <w:rFonts w:ascii="Arial" w:cs="Arial" w:eastAsia="Arial" w:hAnsi="Arial"/>
                  <w:sz w:val="18"/>
                  <w:szCs w:val="18"/>
                  <w:color w:val="0000EE"/>
                  <w:w w:val="80"/>
                </w:rPr>
                <w:t>Item 1B.</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Unresolved Staff Comments</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98"/>
              </w:rPr>
            </w:pPr>
            <w:hyperlink w:anchor="page10">
              <w:r>
                <w:rPr>
                  <w:rFonts w:ascii="Arial" w:cs="Arial" w:eastAsia="Arial" w:hAnsi="Arial"/>
                  <w:sz w:val="18"/>
                  <w:szCs w:val="18"/>
                  <w:color w:val="0000EE"/>
                  <w:w w:val="98"/>
                </w:rPr>
                <w:t>Item 2.</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Item 3.</w:t>
              </w:r>
            </w:hyperlink>
          </w:p>
        </w:tc>
        <w:tc>
          <w:tcPr>
            <w:tcW w:w="9740" w:type="dxa"/>
            <w:vAlign w:val="bottom"/>
            <w:gridSpan w:val="29"/>
          </w:tcPr>
          <w:p>
            <w:pPr>
              <w:ind w:left="56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Item 4.</w:t>
              </w:r>
            </w:hyperlink>
          </w:p>
        </w:tc>
        <w:tc>
          <w:tcPr>
            <w:tcW w:w="9740" w:type="dxa"/>
            <w:vAlign w:val="bottom"/>
            <w:gridSpan w:val="29"/>
          </w:tcPr>
          <w:p>
            <w:pPr>
              <w:ind w:left="56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Submission of Matters to a Vote of Security Holders</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1"/>
          </w:tcPr>
          <w:p>
            <w:pPr>
              <w:jc w:val="center"/>
              <w:ind w:right="4380"/>
              <w:spacing w:after="0"/>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PART II</w:t>
              </w:r>
            </w:hyperlink>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5.</w:t>
              </w:r>
            </w:hyperlink>
          </w:p>
        </w:tc>
        <w:tc>
          <w:tcPr>
            <w:tcW w:w="9740" w:type="dxa"/>
            <w:vAlign w:val="bottom"/>
            <w:gridSpan w:val="29"/>
          </w:tcPr>
          <w:p>
            <w:pPr>
              <w:ind w:left="560"/>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Market for the Registrant’s Common Equity, Related Stockholder Matters and Issuer Purchases of Equity Securities</w:t>
              </w:r>
            </w:hyperlink>
          </w:p>
        </w:tc>
        <w:tc>
          <w:tcPr>
            <w:tcW w:w="50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6.</w:t>
              </w:r>
            </w:hyperlink>
          </w:p>
        </w:tc>
        <w:tc>
          <w:tcPr>
            <w:tcW w:w="9740" w:type="dxa"/>
            <w:vAlign w:val="bottom"/>
            <w:gridSpan w:val="29"/>
          </w:tcPr>
          <w:p>
            <w:pPr>
              <w:ind w:left="56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7.</w:t>
              </w:r>
            </w:hyperlink>
          </w:p>
        </w:tc>
        <w:tc>
          <w:tcPr>
            <w:tcW w:w="9740" w:type="dxa"/>
            <w:vAlign w:val="bottom"/>
            <w:gridSpan w:val="29"/>
          </w:tcPr>
          <w:p>
            <w:pPr>
              <w:ind w:left="56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0"/>
              </w:rPr>
            </w:pPr>
            <w:hyperlink w:anchor="page19">
              <w:r>
                <w:rPr>
                  <w:rFonts w:ascii="Arial" w:cs="Arial" w:eastAsia="Arial" w:hAnsi="Arial"/>
                  <w:sz w:val="18"/>
                  <w:szCs w:val="18"/>
                  <w:color w:val="0000EE"/>
                  <w:w w:val="80"/>
                </w:rPr>
                <w:t>Item 7A.</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Item 8.</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Financial Statements and Supplementary Data</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Item 9.</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Changes In and Disagreements with Accountants on Accounting and Financial Disclosure</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0"/>
              </w:rPr>
            </w:pPr>
            <w:hyperlink w:anchor="page41">
              <w:r>
                <w:rPr>
                  <w:rFonts w:ascii="Arial" w:cs="Arial" w:eastAsia="Arial" w:hAnsi="Arial"/>
                  <w:sz w:val="18"/>
                  <w:szCs w:val="18"/>
                  <w:color w:val="0000EE"/>
                  <w:w w:val="80"/>
                </w:rPr>
                <w:t>Item 9A.</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0"/>
              </w:rPr>
            </w:pPr>
            <w:hyperlink w:anchor="page41">
              <w:r>
                <w:rPr>
                  <w:rFonts w:ascii="Arial" w:cs="Arial" w:eastAsia="Arial" w:hAnsi="Arial"/>
                  <w:sz w:val="18"/>
                  <w:szCs w:val="18"/>
                  <w:color w:val="0000EE"/>
                  <w:w w:val="80"/>
                </w:rPr>
                <w:t>Item 9B.</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III</w:t>
              </w:r>
            </w:hyperlink>
          </w:p>
        </w:tc>
        <w:tc>
          <w:tcPr>
            <w:tcW w:w="434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gridSpan w:val="2"/>
          </w:tcPr>
          <w:p>
            <w:pPr>
              <w:spacing w:after="0"/>
              <w:rPr>
                <w:rFonts w:ascii="Arial" w:cs="Arial" w:eastAsia="Arial" w:hAnsi="Arial"/>
                <w:sz w:val="18"/>
                <w:szCs w:val="18"/>
                <w:color w:val="0000EE"/>
                <w:w w:val="82"/>
              </w:rPr>
            </w:pPr>
            <w:hyperlink w:anchor="page41">
              <w:r>
                <w:rPr>
                  <w:rFonts w:ascii="Arial" w:cs="Arial" w:eastAsia="Arial" w:hAnsi="Arial"/>
                  <w:sz w:val="18"/>
                  <w:szCs w:val="18"/>
                  <w:color w:val="0000EE"/>
                  <w:w w:val="82"/>
                </w:rPr>
                <w:t>Item 10.</w:t>
              </w:r>
            </w:hyperlink>
          </w:p>
        </w:tc>
        <w:tc>
          <w:tcPr>
            <w:tcW w:w="620" w:type="dxa"/>
            <w:vAlign w:val="bottom"/>
          </w:tcPr>
          <w:p>
            <w:pPr>
              <w:spacing w:after="0"/>
              <w:rPr>
                <w:sz w:val="24"/>
                <w:szCs w:val="24"/>
                <w:color w:val="auto"/>
              </w:rPr>
            </w:pPr>
          </w:p>
        </w:tc>
        <w:tc>
          <w:tcPr>
            <w:tcW w:w="9740" w:type="dxa"/>
            <w:vAlign w:val="bottom"/>
            <w:gridSpan w:val="29"/>
          </w:tcPr>
          <w:p>
            <w:pPr>
              <w:ind w:left="560"/>
              <w:spacing w:after="0"/>
              <w:rPr>
                <w:rFonts w:ascii="Arial" w:cs="Arial" w:eastAsia="Arial" w:hAnsi="Arial"/>
                <w:sz w:val="18"/>
                <w:szCs w:val="18"/>
                <w:color w:val="0000EE"/>
              </w:rPr>
            </w:pPr>
            <w:hyperlink w:anchor="page41">
              <w:r>
                <w:rPr>
                  <w:rFonts w:ascii="Arial" w:cs="Arial" w:eastAsia="Arial" w:hAnsi="Arial"/>
                  <w:sz w:val="18"/>
                  <w:szCs w:val="18"/>
                  <w:color w:val="0000EE"/>
                </w:rPr>
                <w:t>Directors and Executive Officers of the Registrant</w:t>
              </w:r>
            </w:hyperlink>
          </w:p>
        </w:tc>
        <w:tc>
          <w:tcPr>
            <w:tcW w:w="500" w:type="dxa"/>
            <w:vAlign w:val="bottom"/>
          </w:tcPr>
          <w:p>
            <w:pPr>
              <w:jc w:val="right"/>
              <w:ind w:right="53"/>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42">
              <w:r>
                <w:rPr>
                  <w:rFonts w:ascii="Arial" w:cs="Arial" w:eastAsia="Arial" w:hAnsi="Arial"/>
                  <w:sz w:val="18"/>
                  <w:szCs w:val="18"/>
                  <w:color w:val="0000EE"/>
                  <w:w w:val="82"/>
                </w:rPr>
                <w:t>Item 11.</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42">
              <w:r>
                <w:rPr>
                  <w:rFonts w:ascii="Arial" w:cs="Arial" w:eastAsia="Arial" w:hAnsi="Arial"/>
                  <w:sz w:val="18"/>
                  <w:szCs w:val="18"/>
                  <w:color w:val="0000EE"/>
                  <w:w w:val="82"/>
                </w:rPr>
                <w:t>Item 12.</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Security Ownership of Certain Beneficial Owners and Management and Related Stockholder Matters</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42">
              <w:r>
                <w:rPr>
                  <w:rFonts w:ascii="Arial" w:cs="Arial" w:eastAsia="Arial" w:hAnsi="Arial"/>
                  <w:sz w:val="18"/>
                  <w:szCs w:val="18"/>
                  <w:color w:val="0000EE"/>
                  <w:w w:val="82"/>
                </w:rPr>
                <w:t>Item 13.</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Certain Relationships and Related Transactions</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42">
              <w:r>
                <w:rPr>
                  <w:rFonts w:ascii="Arial" w:cs="Arial" w:eastAsia="Arial" w:hAnsi="Arial"/>
                  <w:sz w:val="18"/>
                  <w:szCs w:val="18"/>
                  <w:color w:val="0000EE"/>
                  <w:w w:val="82"/>
                </w:rPr>
                <w:t>Item 14.</w:t>
              </w:r>
            </w:hyperlink>
          </w:p>
        </w:tc>
        <w:tc>
          <w:tcPr>
            <w:tcW w:w="620" w:type="dxa"/>
            <w:vAlign w:val="bottom"/>
          </w:tcPr>
          <w:p>
            <w:pPr>
              <w:spacing w:after="0"/>
              <w:rPr>
                <w:sz w:val="17"/>
                <w:szCs w:val="17"/>
                <w:color w:val="auto"/>
              </w:rPr>
            </w:pPr>
          </w:p>
        </w:tc>
        <w:tc>
          <w:tcPr>
            <w:tcW w:w="9740" w:type="dxa"/>
            <w:vAlign w:val="bottom"/>
            <w:gridSpan w:val="29"/>
          </w:tcPr>
          <w:p>
            <w:pPr>
              <w:ind w:left="56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Principal Accounting Fees and Services</w:t>
              </w:r>
            </w:hyperlink>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gridSpan w:val="13"/>
          </w:tcPr>
          <w:p>
            <w:pPr>
              <w:jc w:val="center"/>
              <w:ind w:right="4340"/>
              <w:spacing w:after="0"/>
              <w:rPr>
                <w:rFonts w:ascii="Arial" w:cs="Arial" w:eastAsia="Arial" w:hAnsi="Arial"/>
                <w:sz w:val="18"/>
                <w:szCs w:val="18"/>
                <w:b w:val="1"/>
                <w:bCs w:val="1"/>
                <w:color w:val="0000EE"/>
                <w:w w:val="95"/>
              </w:rPr>
            </w:pPr>
            <w:hyperlink w:anchor="page42">
              <w:r>
                <w:rPr>
                  <w:rFonts w:ascii="Arial" w:cs="Arial" w:eastAsia="Arial" w:hAnsi="Arial"/>
                  <w:sz w:val="18"/>
                  <w:szCs w:val="18"/>
                  <w:b w:val="1"/>
                  <w:bCs w:val="1"/>
                  <w:color w:val="0000EE"/>
                  <w:w w:val="95"/>
                </w:rPr>
                <w:t>PART IV</w:t>
              </w:r>
            </w:hyperlink>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0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15.</w:t>
              </w:r>
            </w:hyperlink>
          </w:p>
        </w:tc>
        <w:tc>
          <w:tcPr>
            <w:tcW w:w="4700" w:type="dxa"/>
            <w:vAlign w:val="bottom"/>
            <w:gridSpan w:val="17"/>
          </w:tcPr>
          <w:p>
            <w:pPr>
              <w:ind w:left="560"/>
              <w:spacing w:after="0"/>
              <w:rPr>
                <w:rFonts w:ascii="Arial" w:cs="Arial" w:eastAsia="Arial" w:hAnsi="Arial"/>
                <w:sz w:val="18"/>
                <w:szCs w:val="18"/>
                <w:color w:val="0000EE"/>
              </w:rPr>
            </w:pPr>
            <w:hyperlink w:anchor="page42">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6"/>
          </w:tcPr>
          <w:p>
            <w:pPr>
              <w:spacing w:after="0"/>
              <w:rPr>
                <w:sz w:val="24"/>
                <w:szCs w:val="24"/>
                <w:color w:val="auto"/>
              </w:rPr>
            </w:pPr>
          </w:p>
        </w:tc>
        <w:tc>
          <w:tcPr>
            <w:tcW w:w="4360" w:type="dxa"/>
            <w:vAlign w:val="bottom"/>
            <w:gridSpan w:val="6"/>
          </w:tcPr>
          <w:p>
            <w:pPr>
              <w:spacing w:after="0"/>
              <w:rPr>
                <w:sz w:val="24"/>
                <w:szCs w:val="24"/>
                <w:color w:val="auto"/>
              </w:rPr>
            </w:pPr>
          </w:p>
        </w:tc>
        <w:tc>
          <w:tcPr>
            <w:tcW w:w="500" w:type="dxa"/>
            <w:vAlign w:val="bottom"/>
          </w:tcPr>
          <w:p>
            <w:pPr>
              <w:jc w:val="right"/>
              <w:ind w:right="53"/>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0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8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2" w:right="1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for the Fiscal Year Ended August 26,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of the matters discussed in this Annual Report on Form 10-K are “forward looking statements” within the meaning of Section 27A of the Securities Act of 1933, as amended, and Section 21E of the Securities Exchange Act of 1934, as amended, which involve risks and uncertainties, including, but not limited to, the effect of global tensions, a decline in consumer confidence, availability and price of fuel, a significant increase in interest rates, a slowdown in the economy, availability of chassis and other key component parts, sales order cancellations, slower than anticipated sales of new or existing products, new product introductions by competitors, and other factors which may be disclosed throughout this Annual Report on Form 10-K. Although we believe that the expectations reflected in the “forward looking statements” are reasonable, we cannot guarantee future results, levels of activity, performance or achievements. Undue reliance should not be placed on these “forward looking statements,” which speak only as of the date of this report. We undertake no obligation to publicly update or revise any forward looking statements whether as a result of new information, future events or otherwise, except as required by law or the rules of the New York Stock Exchange.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or Winnebago Industries, Inc. and its subsidiaries, as appropriate to the context.</w:t>
      </w:r>
    </w:p>
    <w:p>
      <w:pPr>
        <w:spacing w:after="0" w:line="18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Winnebago Industries, Inc., headquartered in Forest City, Iowa, is a leading United States manufacturer of motor homes which are self-contained recreation vehicles used primarily in leisure travel and outdoor recreation activities. We sell motor homes through independent dealers under the Winnebago and Itasca brand names. Other products manufactured by us consist primarily of original equipment manufacturing (OEM) parts, including extruded aluminum and other component products for other manufacturers and commercial vehicles.</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Our Web site, located at </w:t>
      </w:r>
      <w:r>
        <w:rPr>
          <w:rFonts w:ascii="Arial" w:cs="Arial" w:eastAsia="Arial" w:hAnsi="Arial"/>
          <w:sz w:val="16"/>
          <w:szCs w:val="16"/>
          <w:u w:val="single" w:color="auto"/>
          <w:color w:val="auto"/>
        </w:rPr>
        <w:t>www.winnebagoind.com</w:t>
      </w:r>
      <w:r>
        <w:rPr>
          <w:rFonts w:ascii="Arial" w:cs="Arial" w:eastAsia="Arial" w:hAnsi="Arial"/>
          <w:sz w:val="16"/>
          <w:szCs w:val="16"/>
          <w:color w:val="auto"/>
        </w:rPr>
        <w:t>, provides additional information about us. On our Web site you can obtain, free of charge, this and prior year Annual Reports on Form 10-K, Quarterly Reports on Form 10-Q, Current Reports on Form 8-K and all of our other filings with the Securities and Exchange Commission. Our recent press releases are also available on our Web site. Our Web site also contains important information regarding our corporate governance practices. The information on our Web site is not part of this Annual Report on Form 10-K.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major product classes: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w w:val="94"/>
              </w:rPr>
              <w:t>Fiscal Year Ended (1)</w:t>
            </w:r>
          </w:p>
        </w:tc>
        <w:tc>
          <w:tcPr>
            <w:tcW w:w="350" w:type="dxa"/>
            <w:vAlign w:val="bottom"/>
          </w:tcPr>
          <w:p>
            <w:pPr>
              <w:spacing w:after="0"/>
              <w:rPr>
                <w:sz w:val="15"/>
                <w:szCs w:val="15"/>
                <w:color w:val="auto"/>
              </w:rPr>
            </w:pPr>
          </w:p>
        </w:tc>
        <w:tc>
          <w:tcPr>
            <w:tcW w:w="93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59"/>
              <w:spacing w:after="0"/>
              <w:rPr>
                <w:sz w:val="20"/>
                <w:szCs w:val="20"/>
                <w:color w:val="auto"/>
              </w:rPr>
            </w:pPr>
            <w:r>
              <w:rPr>
                <w:rFonts w:ascii="Arial" w:cs="Arial" w:eastAsia="Arial" w:hAnsi="Arial"/>
                <w:sz w:val="14"/>
                <w:szCs w:val="14"/>
                <w:b w:val="1"/>
                <w:bCs w:val="1"/>
                <w:color w:val="auto"/>
                <w:w w:val="91"/>
              </w:rPr>
              <w:t>Aug. 26,</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299"/>
              <w:spacing w:after="0"/>
              <w:rPr>
                <w:sz w:val="20"/>
                <w:szCs w:val="20"/>
                <w:color w:val="auto"/>
              </w:rPr>
            </w:pPr>
            <w:r>
              <w:rPr>
                <w:rFonts w:ascii="Arial" w:cs="Arial" w:eastAsia="Arial" w:hAnsi="Arial"/>
                <w:sz w:val="14"/>
                <w:szCs w:val="14"/>
                <w:b w:val="1"/>
                <w:bCs w:val="1"/>
                <w:color w:val="auto"/>
                <w:w w:val="99"/>
              </w:rPr>
              <w:t>Aug. 27,</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81"/>
              <w:spacing w:after="0"/>
              <w:rPr>
                <w:sz w:val="20"/>
                <w:szCs w:val="20"/>
                <w:color w:val="auto"/>
              </w:rPr>
            </w:pPr>
            <w:r>
              <w:rPr>
                <w:rFonts w:ascii="Arial" w:cs="Arial" w:eastAsia="Arial" w:hAnsi="Arial"/>
                <w:sz w:val="14"/>
                <w:szCs w:val="14"/>
                <w:b w:val="1"/>
                <w:bCs w:val="1"/>
                <w:color w:val="auto"/>
              </w:rPr>
              <w:t>Aug. 28,</w:t>
            </w:r>
          </w:p>
        </w:tc>
        <w:tc>
          <w:tcPr>
            <w:tcW w:w="600" w:type="dxa"/>
            <w:vAlign w:val="bottom"/>
          </w:tcPr>
          <w:p>
            <w:pPr>
              <w:spacing w:after="0"/>
              <w:rPr>
                <w:sz w:val="20"/>
                <w:szCs w:val="20"/>
                <w:color w:val="auto"/>
              </w:rPr>
            </w:pPr>
          </w:p>
        </w:tc>
        <w:tc>
          <w:tcPr>
            <w:tcW w:w="350" w:type="dxa"/>
            <w:vAlign w:val="bottom"/>
          </w:tcPr>
          <w:p>
            <w:pPr>
              <w:spacing w:after="0"/>
              <w:rPr>
                <w:sz w:val="20"/>
                <w:szCs w:val="20"/>
                <w:color w:val="auto"/>
              </w:rPr>
            </w:pPr>
          </w:p>
        </w:tc>
        <w:tc>
          <w:tcPr>
            <w:tcW w:w="930" w:type="dxa"/>
            <w:vAlign w:val="bottom"/>
          </w:tcPr>
          <w:p>
            <w:pPr>
              <w:jc w:val="right"/>
              <w:ind w:right="299"/>
              <w:spacing w:after="0"/>
              <w:rPr>
                <w:sz w:val="20"/>
                <w:szCs w:val="20"/>
                <w:color w:val="auto"/>
              </w:rPr>
            </w:pPr>
            <w:r>
              <w:rPr>
                <w:rFonts w:ascii="Arial" w:cs="Arial" w:eastAsia="Arial" w:hAnsi="Arial"/>
                <w:sz w:val="14"/>
                <w:szCs w:val="14"/>
                <w:b w:val="1"/>
                <w:bCs w:val="1"/>
                <w:color w:val="auto"/>
                <w:w w:val="95"/>
              </w:rPr>
              <w:t>Aug. 30,</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w w:val="88"/>
              </w:rPr>
              <w:t>Aug. 31,</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2006</w:t>
            </w: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80" w:type="dxa"/>
            <w:vAlign w:val="bottom"/>
          </w:tcPr>
          <w:p>
            <w:pPr>
              <w:jc w:val="right"/>
              <w:ind w:right="481"/>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350" w:type="dxa"/>
            <w:vAlign w:val="bottom"/>
          </w:tcPr>
          <w:p>
            <w:pPr>
              <w:spacing w:after="0"/>
              <w:rPr>
                <w:sz w:val="15"/>
                <w:szCs w:val="15"/>
                <w:color w:val="auto"/>
              </w:rPr>
            </w:pPr>
          </w:p>
        </w:tc>
        <w:tc>
          <w:tcPr>
            <w:tcW w:w="930" w:type="dxa"/>
            <w:vAlign w:val="bottom"/>
          </w:tcPr>
          <w:p>
            <w:pPr>
              <w:jc w:val="right"/>
              <w:ind w:right="399"/>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40" w:type="dxa"/>
            <w:vAlign w:val="bottom"/>
          </w:tcPr>
          <w:p>
            <w:pPr>
              <w:jc w:val="right"/>
              <w:ind w:right="459"/>
              <w:spacing w:after="0"/>
              <w:rPr>
                <w:sz w:val="20"/>
                <w:szCs w:val="20"/>
                <w:color w:val="auto"/>
              </w:rPr>
            </w:pPr>
            <w:r>
              <w:rPr>
                <w:rFonts w:ascii="Arial" w:cs="Arial" w:eastAsia="Arial" w:hAnsi="Arial"/>
                <w:sz w:val="14"/>
                <w:szCs w:val="14"/>
                <w:b w:val="1"/>
                <w:bCs w:val="1"/>
                <w:color w:val="auto"/>
              </w:rPr>
              <w:t>2002</w:t>
            </w:r>
          </w:p>
        </w:tc>
        <w:tc>
          <w:tcPr>
            <w:tcW w:w="64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50" w:type="dxa"/>
            <w:vAlign w:val="bottom"/>
          </w:tcPr>
          <w:p>
            <w:pPr>
              <w:spacing w:after="0"/>
              <w:rPr>
                <w:sz w:val="8"/>
                <w:szCs w:val="8"/>
                <w:color w:val="auto"/>
              </w:rPr>
            </w:pPr>
          </w:p>
        </w:tc>
        <w:tc>
          <w:tcPr>
            <w:tcW w:w="93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D6F3E8"/>
          </w:tcPr>
          <w:p>
            <w:pPr>
              <w:spacing w:after="0"/>
              <w:rPr>
                <w:sz w:val="20"/>
                <w:szCs w:val="20"/>
                <w:color w:val="auto"/>
              </w:rPr>
            </w:pPr>
            <w:r>
              <w:rPr>
                <w:rFonts w:ascii="Arial" w:cs="Arial" w:eastAsia="Arial" w:hAnsi="Arial"/>
                <w:sz w:val="18"/>
                <w:szCs w:val="18"/>
                <w:color w:val="auto"/>
              </w:rPr>
              <w:t>Motor homes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808,715</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93.6</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ind w:right="99"/>
              <w:spacing w:after="0"/>
              <w:rPr>
                <w:sz w:val="20"/>
                <w:szCs w:val="20"/>
                <w:color w:val="auto"/>
              </w:rPr>
            </w:pPr>
            <w:r>
              <w:rPr>
                <w:rFonts w:ascii="Arial" w:cs="Arial" w:eastAsia="Arial" w:hAnsi="Arial"/>
                <w:sz w:val="18"/>
                <w:szCs w:val="18"/>
                <w:color w:val="auto"/>
              </w:rPr>
              <w:t>946,350</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95.4</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101"/>
              <w:spacing w:after="0"/>
              <w:rPr>
                <w:sz w:val="20"/>
                <w:szCs w:val="20"/>
                <w:color w:val="auto"/>
              </w:rPr>
            </w:pPr>
            <w:r>
              <w:rPr>
                <w:rFonts w:ascii="Arial" w:cs="Arial" w:eastAsia="Arial" w:hAnsi="Arial"/>
                <w:sz w:val="18"/>
                <w:szCs w:val="18"/>
                <w:color w:val="auto"/>
              </w:rPr>
              <w:t>1,070,264</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96.1</w:t>
            </w:r>
          </w:p>
        </w:tc>
        <w:tc>
          <w:tcPr>
            <w:tcW w:w="35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30" w:type="dxa"/>
            <w:vAlign w:val="bottom"/>
            <w:shd w:val="clear" w:color="auto" w:fill="D6F3E8"/>
          </w:tcPr>
          <w:p>
            <w:pPr>
              <w:jc w:val="right"/>
              <w:ind w:right="99"/>
              <w:spacing w:after="0"/>
              <w:rPr>
                <w:sz w:val="20"/>
                <w:szCs w:val="20"/>
                <w:color w:val="auto"/>
              </w:rPr>
            </w:pPr>
            <w:r>
              <w:rPr>
                <w:rFonts w:ascii="Arial" w:cs="Arial" w:eastAsia="Arial" w:hAnsi="Arial"/>
                <w:sz w:val="18"/>
                <w:szCs w:val="18"/>
                <w:color w:val="auto"/>
              </w:rPr>
              <w:t>801,027</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94.8</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ind w:right="199"/>
              <w:spacing w:after="0"/>
              <w:rPr>
                <w:sz w:val="20"/>
                <w:szCs w:val="20"/>
                <w:color w:val="auto"/>
              </w:rPr>
            </w:pPr>
            <w:r>
              <w:rPr>
                <w:rFonts w:ascii="Arial" w:cs="Arial" w:eastAsia="Arial" w:hAnsi="Arial"/>
                <w:sz w:val="18"/>
                <w:szCs w:val="18"/>
                <w:color w:val="auto"/>
                <w:w w:val="98"/>
              </w:rPr>
              <w:t>773,125</w:t>
            </w:r>
          </w:p>
        </w:tc>
        <w:tc>
          <w:tcPr>
            <w:tcW w:w="640" w:type="dxa"/>
            <w:vAlign w:val="bottom"/>
            <w:shd w:val="clear" w:color="auto" w:fill="D6F3E8"/>
          </w:tcPr>
          <w:p>
            <w:pPr>
              <w:jc w:val="right"/>
              <w:ind w:right="56"/>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Motor home parts and</w:t>
            </w: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15,901</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99"/>
              <w:spacing w:after="0"/>
              <w:rPr>
                <w:sz w:val="20"/>
                <w:szCs w:val="20"/>
                <w:color w:val="auto"/>
              </w:rPr>
            </w:pPr>
            <w:r>
              <w:rPr>
                <w:rFonts w:ascii="Arial" w:cs="Arial" w:eastAsia="Arial" w:hAnsi="Arial"/>
                <w:sz w:val="18"/>
                <w:szCs w:val="18"/>
                <w:color w:val="auto"/>
              </w:rPr>
              <w:t>16,401</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1080" w:type="dxa"/>
            <w:vAlign w:val="bottom"/>
          </w:tcPr>
          <w:p>
            <w:pPr>
              <w:jc w:val="right"/>
              <w:ind w:right="101"/>
              <w:spacing w:after="0"/>
              <w:rPr>
                <w:sz w:val="20"/>
                <w:szCs w:val="20"/>
                <w:color w:val="auto"/>
              </w:rPr>
            </w:pPr>
            <w:r>
              <w:rPr>
                <w:rFonts w:ascii="Arial" w:cs="Arial" w:eastAsia="Arial" w:hAnsi="Arial"/>
                <w:sz w:val="18"/>
                <w:szCs w:val="18"/>
                <w:color w:val="auto"/>
              </w:rPr>
              <w:t>15,199</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350" w:type="dxa"/>
            <w:vAlign w:val="bottom"/>
          </w:tcPr>
          <w:p>
            <w:pPr>
              <w:spacing w:after="0"/>
              <w:rPr>
                <w:sz w:val="19"/>
                <w:szCs w:val="19"/>
                <w:color w:val="auto"/>
              </w:rPr>
            </w:pPr>
          </w:p>
        </w:tc>
        <w:tc>
          <w:tcPr>
            <w:tcW w:w="930" w:type="dxa"/>
            <w:vAlign w:val="bottom"/>
          </w:tcPr>
          <w:p>
            <w:pPr>
              <w:jc w:val="right"/>
              <w:ind w:right="99"/>
              <w:spacing w:after="0"/>
              <w:rPr>
                <w:sz w:val="20"/>
                <w:szCs w:val="20"/>
                <w:color w:val="auto"/>
              </w:rPr>
            </w:pPr>
            <w:r>
              <w:rPr>
                <w:rFonts w:ascii="Arial" w:cs="Arial" w:eastAsia="Arial" w:hAnsi="Arial"/>
                <w:sz w:val="18"/>
                <w:szCs w:val="18"/>
                <w:color w:val="auto"/>
              </w:rPr>
              <w:t>17,285</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940" w:type="dxa"/>
            <w:vAlign w:val="bottom"/>
          </w:tcPr>
          <w:p>
            <w:pPr>
              <w:jc w:val="right"/>
              <w:ind w:right="199"/>
              <w:spacing w:after="0"/>
              <w:rPr>
                <w:sz w:val="20"/>
                <w:szCs w:val="20"/>
                <w:color w:val="auto"/>
              </w:rPr>
            </w:pPr>
            <w:r>
              <w:rPr>
                <w:rFonts w:ascii="Arial" w:cs="Arial" w:eastAsia="Arial" w:hAnsi="Arial"/>
                <w:sz w:val="18"/>
                <w:szCs w:val="18"/>
                <w:color w:val="auto"/>
              </w:rPr>
              <w:t>20,486</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D6F3E8"/>
          </w:tcPr>
          <w:p>
            <w:pPr>
              <w:spacing w:after="0"/>
              <w:rPr>
                <w:sz w:val="20"/>
                <w:szCs w:val="20"/>
                <w:color w:val="auto"/>
              </w:rPr>
            </w:pPr>
            <w:r>
              <w:rPr>
                <w:rFonts w:ascii="Arial" w:cs="Arial" w:eastAsia="Arial" w:hAnsi="Arial"/>
                <w:sz w:val="18"/>
                <w:szCs w:val="18"/>
                <w:color w:val="auto"/>
              </w:rPr>
              <w:t>Other manufactured</w:t>
            </w:r>
          </w:p>
        </w:tc>
        <w:tc>
          <w:tcPr>
            <w:tcW w:w="160" w:type="dxa"/>
            <w:vAlign w:val="bottom"/>
            <w:shd w:val="clear" w:color="auto" w:fill="D6F3E8"/>
          </w:tcPr>
          <w:p>
            <w:pPr>
              <w:spacing w:after="0"/>
              <w:rPr>
                <w:sz w:val="18"/>
                <w:szCs w:val="18"/>
                <w:color w:val="auto"/>
              </w:rPr>
            </w:pPr>
          </w:p>
        </w:tc>
        <w:tc>
          <w:tcPr>
            <w:tcW w:w="760" w:type="dxa"/>
            <w:vAlign w:val="bottom"/>
            <w:vMerge w:val="restart"/>
            <w:shd w:val="clear" w:color="auto" w:fill="D6F3E8"/>
          </w:tcPr>
          <w:p>
            <w:pPr>
              <w:jc w:val="right"/>
              <w:spacing w:after="0"/>
              <w:rPr>
                <w:sz w:val="20"/>
                <w:szCs w:val="20"/>
                <w:color w:val="auto"/>
              </w:rPr>
            </w:pPr>
            <w:r>
              <w:rPr>
                <w:rFonts w:ascii="Arial" w:cs="Arial" w:eastAsia="Arial" w:hAnsi="Arial"/>
                <w:sz w:val="18"/>
                <w:szCs w:val="18"/>
                <w:b w:val="1"/>
                <w:bCs w:val="1"/>
                <w:color w:val="auto"/>
              </w:rPr>
              <w:t>39,787</w:t>
            </w:r>
          </w:p>
        </w:tc>
        <w:tc>
          <w:tcPr>
            <w:tcW w:w="740" w:type="dxa"/>
            <w:vAlign w:val="bottom"/>
            <w:vMerge w:val="restart"/>
            <w:shd w:val="clear" w:color="auto" w:fill="D6F3E8"/>
          </w:tcPr>
          <w:p>
            <w:pPr>
              <w:jc w:val="right"/>
              <w:spacing w:after="0"/>
              <w:rPr>
                <w:sz w:val="20"/>
                <w:szCs w:val="20"/>
                <w:color w:val="auto"/>
              </w:rPr>
            </w:pPr>
            <w:r>
              <w:rPr>
                <w:rFonts w:ascii="Arial" w:cs="Arial" w:eastAsia="Arial" w:hAnsi="Arial"/>
                <w:sz w:val="18"/>
                <w:szCs w:val="18"/>
                <w:b w:val="1"/>
                <w:bCs w:val="1"/>
                <w:color w:val="auto"/>
              </w:rPr>
              <w:t>4.6</w:t>
            </w:r>
          </w:p>
        </w:tc>
        <w:tc>
          <w:tcPr>
            <w:tcW w:w="34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350" w:type="dxa"/>
            <w:vAlign w:val="bottom"/>
            <w:shd w:val="clear" w:color="auto" w:fill="D6F3E8"/>
          </w:tcPr>
          <w:p>
            <w:pPr>
              <w:spacing w:after="0"/>
              <w:rPr>
                <w:sz w:val="18"/>
                <w:szCs w:val="18"/>
                <w:color w:val="auto"/>
              </w:rPr>
            </w:pPr>
          </w:p>
        </w:tc>
        <w:tc>
          <w:tcPr>
            <w:tcW w:w="93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D6F3E8"/>
          </w:tcPr>
          <w:p>
            <w:pPr>
              <w:spacing w:after="0"/>
              <w:rPr>
                <w:sz w:val="19"/>
                <w:szCs w:val="19"/>
                <w:color w:val="auto"/>
              </w:rPr>
            </w:pPr>
          </w:p>
        </w:tc>
        <w:tc>
          <w:tcPr>
            <w:tcW w:w="760" w:type="dxa"/>
            <w:vAlign w:val="bottom"/>
            <w:vMerge w:val="continue"/>
            <w:shd w:val="clear" w:color="auto" w:fill="D6F3E8"/>
          </w:tcPr>
          <w:p>
            <w:pPr>
              <w:spacing w:after="0"/>
              <w:rPr>
                <w:sz w:val="19"/>
                <w:szCs w:val="19"/>
                <w:color w:val="auto"/>
              </w:rPr>
            </w:pPr>
          </w:p>
        </w:tc>
        <w:tc>
          <w:tcPr>
            <w:tcW w:w="740" w:type="dxa"/>
            <w:vAlign w:val="bottom"/>
            <w:vMerge w:val="continue"/>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940" w:type="dxa"/>
            <w:vAlign w:val="bottom"/>
            <w:shd w:val="clear" w:color="auto" w:fill="D6F3E8"/>
          </w:tcPr>
          <w:p>
            <w:pPr>
              <w:jc w:val="right"/>
              <w:ind w:right="99"/>
              <w:spacing w:after="0"/>
              <w:rPr>
                <w:sz w:val="20"/>
                <w:szCs w:val="20"/>
                <w:color w:val="auto"/>
              </w:rPr>
            </w:pPr>
            <w:r>
              <w:rPr>
                <w:rFonts w:ascii="Arial" w:cs="Arial" w:eastAsia="Arial" w:hAnsi="Arial"/>
                <w:sz w:val="18"/>
                <w:szCs w:val="18"/>
                <w:color w:val="auto"/>
              </w:rPr>
              <w:t>29,224</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D6F3E8"/>
          </w:tcPr>
          <w:p>
            <w:pPr>
              <w:spacing w:after="0"/>
              <w:rPr>
                <w:sz w:val="19"/>
                <w:szCs w:val="19"/>
                <w:color w:val="auto"/>
              </w:rPr>
            </w:pPr>
          </w:p>
        </w:tc>
        <w:tc>
          <w:tcPr>
            <w:tcW w:w="1080" w:type="dxa"/>
            <w:vAlign w:val="bottom"/>
            <w:shd w:val="clear" w:color="auto" w:fill="D6F3E8"/>
          </w:tcPr>
          <w:p>
            <w:pPr>
              <w:jc w:val="right"/>
              <w:ind w:right="101"/>
              <w:spacing w:after="0"/>
              <w:rPr>
                <w:sz w:val="20"/>
                <w:szCs w:val="20"/>
                <w:color w:val="auto"/>
              </w:rPr>
            </w:pPr>
            <w:r>
              <w:rPr>
                <w:rFonts w:ascii="Arial" w:cs="Arial" w:eastAsia="Arial" w:hAnsi="Arial"/>
                <w:sz w:val="18"/>
                <w:szCs w:val="18"/>
                <w:color w:val="auto"/>
              </w:rPr>
              <w:t>28,691</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w:t>
            </w:r>
          </w:p>
        </w:tc>
        <w:tc>
          <w:tcPr>
            <w:tcW w:w="350" w:type="dxa"/>
            <w:vAlign w:val="bottom"/>
            <w:shd w:val="clear" w:color="auto" w:fill="D6F3E8"/>
          </w:tcPr>
          <w:p>
            <w:pPr>
              <w:spacing w:after="0"/>
              <w:rPr>
                <w:sz w:val="19"/>
                <w:szCs w:val="19"/>
                <w:color w:val="auto"/>
              </w:rPr>
            </w:pPr>
          </w:p>
        </w:tc>
        <w:tc>
          <w:tcPr>
            <w:tcW w:w="930" w:type="dxa"/>
            <w:vAlign w:val="bottom"/>
            <w:shd w:val="clear" w:color="auto" w:fill="D6F3E8"/>
          </w:tcPr>
          <w:p>
            <w:pPr>
              <w:jc w:val="right"/>
              <w:ind w:right="99"/>
              <w:spacing w:after="0"/>
              <w:rPr>
                <w:sz w:val="20"/>
                <w:szCs w:val="20"/>
                <w:color w:val="auto"/>
              </w:rPr>
            </w:pPr>
            <w:r>
              <w:rPr>
                <w:rFonts w:ascii="Arial" w:cs="Arial" w:eastAsia="Arial" w:hAnsi="Arial"/>
                <w:sz w:val="18"/>
                <w:szCs w:val="18"/>
                <w:color w:val="auto"/>
              </w:rPr>
              <w:t>26,898</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D6F3E8"/>
          </w:tcPr>
          <w:p>
            <w:pPr>
              <w:spacing w:after="0"/>
              <w:rPr>
                <w:sz w:val="19"/>
                <w:szCs w:val="19"/>
                <w:color w:val="auto"/>
              </w:rPr>
            </w:pPr>
          </w:p>
        </w:tc>
        <w:tc>
          <w:tcPr>
            <w:tcW w:w="940" w:type="dxa"/>
            <w:vAlign w:val="bottom"/>
            <w:shd w:val="clear" w:color="auto" w:fill="D6F3E8"/>
          </w:tcPr>
          <w:p>
            <w:pPr>
              <w:jc w:val="right"/>
              <w:ind w:right="199"/>
              <w:spacing w:after="0"/>
              <w:rPr>
                <w:sz w:val="20"/>
                <w:szCs w:val="20"/>
                <w:color w:val="auto"/>
              </w:rPr>
            </w:pPr>
            <w:r>
              <w:rPr>
                <w:rFonts w:ascii="Arial" w:cs="Arial" w:eastAsia="Arial" w:hAnsi="Arial"/>
                <w:sz w:val="18"/>
                <w:szCs w:val="18"/>
                <w:color w:val="auto"/>
              </w:rPr>
              <w:t>31,658</w:t>
            </w:r>
          </w:p>
        </w:tc>
        <w:tc>
          <w:tcPr>
            <w:tcW w:w="640" w:type="dxa"/>
            <w:vAlign w:val="bottom"/>
            <w:shd w:val="clear" w:color="auto" w:fill="D6F3E8"/>
          </w:tcPr>
          <w:p>
            <w:pPr>
              <w:jc w:val="right"/>
              <w:ind w:right="56"/>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4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5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40" w:type="dxa"/>
            <w:vAlign w:val="bottom"/>
            <w:gridSpan w:val="2"/>
          </w:tcPr>
          <w:p>
            <w:pPr>
              <w:spacing w:after="0"/>
              <w:rPr>
                <w:sz w:val="20"/>
                <w:szCs w:val="20"/>
                <w:color w:val="auto"/>
              </w:rPr>
            </w:pPr>
            <w:r>
              <w:rPr>
                <w:rFonts w:ascii="Arial" w:cs="Arial" w:eastAsia="Arial" w:hAnsi="Arial"/>
                <w:sz w:val="18"/>
                <w:szCs w:val="18"/>
                <w:color w:val="auto"/>
              </w:rPr>
              <w:t>Total net revenues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864,403</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9"/>
              <w:spacing w:after="0"/>
              <w:rPr>
                <w:sz w:val="20"/>
                <w:szCs w:val="20"/>
                <w:color w:val="auto"/>
              </w:rPr>
            </w:pPr>
            <w:r>
              <w:rPr>
                <w:rFonts w:ascii="Arial" w:cs="Arial" w:eastAsia="Arial" w:hAnsi="Arial"/>
                <w:sz w:val="18"/>
                <w:szCs w:val="18"/>
                <w:color w:val="auto"/>
              </w:rPr>
              <w:t>991,975</w:t>
            </w: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1"/>
              <w:spacing w:after="0"/>
              <w:rPr>
                <w:sz w:val="20"/>
                <w:szCs w:val="20"/>
                <w:color w:val="auto"/>
              </w:rPr>
            </w:pPr>
            <w:r>
              <w:rPr>
                <w:rFonts w:ascii="Arial" w:cs="Arial" w:eastAsia="Arial" w:hAnsi="Arial"/>
                <w:sz w:val="18"/>
                <w:szCs w:val="18"/>
                <w:color w:val="auto"/>
              </w:rPr>
              <w:t>1,114,154</w:t>
            </w: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350" w:type="dxa"/>
            <w:vAlign w:val="bottom"/>
          </w:tcPr>
          <w:p>
            <w:pPr>
              <w:jc w:val="right"/>
              <w:spacing w:after="0"/>
              <w:rPr>
                <w:sz w:val="20"/>
                <w:szCs w:val="20"/>
                <w:color w:val="auto"/>
              </w:rPr>
            </w:pPr>
            <w:r>
              <w:rPr>
                <w:rFonts w:ascii="Arial" w:cs="Arial" w:eastAsia="Arial" w:hAnsi="Arial"/>
                <w:sz w:val="18"/>
                <w:szCs w:val="18"/>
                <w:color w:val="auto"/>
              </w:rPr>
              <w:t>$</w:t>
            </w:r>
          </w:p>
        </w:tc>
        <w:tc>
          <w:tcPr>
            <w:tcW w:w="930" w:type="dxa"/>
            <w:vAlign w:val="bottom"/>
          </w:tcPr>
          <w:p>
            <w:pPr>
              <w:jc w:val="right"/>
              <w:ind w:right="99"/>
              <w:spacing w:after="0"/>
              <w:rPr>
                <w:sz w:val="20"/>
                <w:szCs w:val="20"/>
                <w:color w:val="auto"/>
              </w:rPr>
            </w:pPr>
            <w:r>
              <w:rPr>
                <w:rFonts w:ascii="Arial" w:cs="Arial" w:eastAsia="Arial" w:hAnsi="Arial"/>
                <w:sz w:val="18"/>
                <w:szCs w:val="18"/>
                <w:color w:val="auto"/>
              </w:rPr>
              <w:t>845,210</w:t>
            </w: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9"/>
              <w:spacing w:after="0"/>
              <w:rPr>
                <w:sz w:val="20"/>
                <w:szCs w:val="20"/>
                <w:color w:val="auto"/>
              </w:rPr>
            </w:pPr>
            <w:r>
              <w:rPr>
                <w:rFonts w:ascii="Arial" w:cs="Arial" w:eastAsia="Arial" w:hAnsi="Arial"/>
                <w:sz w:val="18"/>
                <w:szCs w:val="18"/>
                <w:color w:val="auto"/>
                <w:w w:val="98"/>
              </w:rPr>
              <w:t>825,269</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5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1297940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fiscal year ended August 31, 2002 contained 53 weeks, all other fiscal years contained 52 weeks.</w:t>
      </w:r>
    </w:p>
    <w:p>
      <w:pPr>
        <w:spacing w:after="0" w:line="219"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color w:val="auto"/>
        </w:rPr>
        <w:t>Motor Homes</w:t>
      </w:r>
    </w:p>
    <w:p>
      <w:pPr>
        <w:spacing w:after="0" w:line="23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 motor home is a self-propelled mobile dwelling used primarily as temporary living quarters during vacation and camping trips, or to support some other active lifestyle. The Recreation Vehicle Industry Association (RVIA) classifies motor homes into three types which are defined as follows:</w:t>
      </w:r>
    </w:p>
    <w:p>
      <w:pPr>
        <w:spacing w:after="0" w:line="153" w:lineRule="exact"/>
        <w:rPr>
          <w:sz w:val="20"/>
          <w:szCs w:val="20"/>
          <w:color w:val="auto"/>
        </w:rPr>
      </w:pPr>
    </w:p>
    <w:p>
      <w:pPr>
        <w:ind w:left="580" w:right="320"/>
        <w:spacing w:after="0" w:line="259" w:lineRule="auto"/>
        <w:rPr>
          <w:sz w:val="20"/>
          <w:szCs w:val="20"/>
          <w:color w:val="auto"/>
        </w:rPr>
      </w:pPr>
      <w:r>
        <w:rPr>
          <w:rFonts w:ascii="Arial" w:cs="Arial" w:eastAsia="Arial" w:hAnsi="Arial"/>
          <w:sz w:val="18"/>
          <w:szCs w:val="18"/>
          <w:color w:val="auto"/>
        </w:rPr>
        <w:t>Class A models are conventional motor homes constructed directly on medium- and heavy-duty truck chassis, which include the engine and drivetrain components. The living area and driver’s compartment are designed and produced by the motor home manufacturer. We manufacture Class A motor homes with gas and diesel engines.</w:t>
      </w:r>
    </w:p>
    <w:p>
      <w:pPr>
        <w:spacing w:after="0" w:line="127" w:lineRule="exact"/>
        <w:rPr>
          <w:sz w:val="20"/>
          <w:szCs w:val="20"/>
          <w:color w:val="auto"/>
        </w:rPr>
      </w:pPr>
    </w:p>
    <w:p>
      <w:pPr>
        <w:ind w:left="580" w:right="440"/>
        <w:spacing w:after="0" w:line="268" w:lineRule="auto"/>
        <w:rPr>
          <w:sz w:val="20"/>
          <w:szCs w:val="20"/>
          <w:color w:val="auto"/>
        </w:rPr>
      </w:pPr>
      <w:r>
        <w:rPr>
          <w:rFonts w:ascii="Arial" w:cs="Arial" w:eastAsia="Arial" w:hAnsi="Arial"/>
          <w:sz w:val="18"/>
          <w:szCs w:val="18"/>
          <w:color w:val="auto"/>
        </w:rPr>
        <w:t>Class B models are panel-type trucks to which sleeping, kitchen, and/or toilet facilities are added. These models also have a top extension to provide more headroom.</w:t>
      </w:r>
    </w:p>
    <w:p>
      <w:pPr>
        <w:spacing w:after="0" w:line="118" w:lineRule="exact"/>
        <w:rPr>
          <w:sz w:val="20"/>
          <w:szCs w:val="20"/>
          <w:color w:val="auto"/>
        </w:rPr>
      </w:pPr>
    </w:p>
    <w:p>
      <w:pPr>
        <w:ind w:left="580" w:right="480"/>
        <w:spacing w:after="0" w:line="268" w:lineRule="auto"/>
        <w:rPr>
          <w:sz w:val="20"/>
          <w:szCs w:val="20"/>
          <w:color w:val="auto"/>
        </w:rPr>
      </w:pPr>
      <w:r>
        <w:rPr>
          <w:rFonts w:ascii="Arial" w:cs="Arial" w:eastAsia="Arial" w:hAnsi="Arial"/>
          <w:sz w:val="18"/>
          <w:szCs w:val="18"/>
          <w:color w:val="auto"/>
        </w:rPr>
        <w:t>Class C models are mini motor homes built on van-type chassis onto which the motor home manufacturer constructs a living area with access to the driver’s compartment. We manufacture Class C motor homes with gas and diesel engines.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currently manufacture and sell Class A and Class C motor homes under the Winnebago and Itasca brand names. Our product offerings are as follows:</w:t>
      </w:r>
    </w:p>
    <w:p>
      <w:pPr>
        <w:spacing w:after="0" w:line="257" w:lineRule="exact"/>
        <w:rPr>
          <w:sz w:val="20"/>
          <w:szCs w:val="20"/>
          <w:color w:val="auto"/>
        </w:rPr>
      </w:pPr>
    </w:p>
    <w:p>
      <w:pPr>
        <w:ind w:left="300"/>
        <w:spacing w:after="0"/>
        <w:tabs>
          <w:tab w:leader="none" w:pos="3580" w:val="left"/>
          <w:tab w:leader="none" w:pos="7540" w:val="left"/>
        </w:tabs>
        <w:rPr>
          <w:sz w:val="20"/>
          <w:szCs w:val="20"/>
          <w:color w:val="auto"/>
        </w:rPr>
      </w:pPr>
      <w:r>
        <w:rPr>
          <w:rFonts w:ascii="Arial" w:cs="Arial" w:eastAsia="Arial" w:hAnsi="Arial"/>
          <w:sz w:val="14"/>
          <w:szCs w:val="14"/>
          <w:b w:val="1"/>
          <w:bCs w:val="1"/>
          <w:color w:val="auto"/>
        </w:rPr>
        <w:t>Type</w:t>
      </w:r>
      <w:r>
        <w:rPr>
          <w:sz w:val="20"/>
          <w:szCs w:val="20"/>
          <w:color w:val="auto"/>
        </w:rPr>
        <w:tab/>
      </w:r>
      <w:r>
        <w:rPr>
          <w:rFonts w:ascii="Arial" w:cs="Arial" w:eastAsia="Arial" w:hAnsi="Arial"/>
          <w:sz w:val="14"/>
          <w:szCs w:val="14"/>
          <w:b w:val="1"/>
          <w:bCs w:val="1"/>
          <w:color w:val="auto"/>
        </w:rPr>
        <w:t>Winnebago</w:t>
      </w:r>
      <w:r>
        <w:rPr>
          <w:sz w:val="20"/>
          <w:szCs w:val="20"/>
          <w:color w:val="auto"/>
        </w:rPr>
        <w:tab/>
      </w:r>
      <w:r>
        <w:rPr>
          <w:rFonts w:ascii="Arial" w:cs="Arial" w:eastAsia="Arial" w:hAnsi="Arial"/>
          <w:sz w:val="11"/>
          <w:szCs w:val="11"/>
          <w:b w:val="1"/>
          <w:bCs w:val="1"/>
          <w:color w:val="auto"/>
        </w:rPr>
        <w:t>Itasca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68580</wp:posOffset>
            </wp:positionV>
            <wp:extent cx="68948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p>
      <w:pPr>
        <w:spacing w:after="0" w:line="222" w:lineRule="exact"/>
        <w:rPr>
          <w:sz w:val="20"/>
          <w:szCs w:val="20"/>
          <w:color w:val="auto"/>
        </w:rPr>
      </w:pPr>
    </w:p>
    <w:p>
      <w:pPr>
        <w:ind w:left="300"/>
        <w:spacing w:after="0"/>
        <w:tabs>
          <w:tab w:leader="none" w:pos="3580" w:val="left"/>
        </w:tabs>
        <w:rPr>
          <w:sz w:val="20"/>
          <w:szCs w:val="20"/>
          <w:color w:val="auto"/>
        </w:rPr>
      </w:pPr>
      <w:r>
        <w:rPr>
          <w:rFonts w:ascii="Arial" w:cs="Arial" w:eastAsia="Arial" w:hAnsi="Arial"/>
          <w:sz w:val="18"/>
          <w:szCs w:val="18"/>
          <w:color w:val="auto"/>
        </w:rPr>
        <w:t>Class C</w:t>
      </w:r>
      <w:r>
        <w:rPr>
          <w:sz w:val="20"/>
          <w:szCs w:val="20"/>
          <w:color w:val="auto"/>
        </w:rPr>
        <w:tab/>
      </w:r>
      <w:r>
        <w:rPr>
          <w:rFonts w:ascii="Arial" w:cs="Arial" w:eastAsia="Arial" w:hAnsi="Arial"/>
          <w:sz w:val="16"/>
          <w:szCs w:val="16"/>
          <w:color w:val="auto"/>
        </w:rPr>
        <w:t>Aspect, Access, Outlook, View - diesel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-125730</wp:posOffset>
            </wp:positionV>
            <wp:extent cx="687768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300"/>
        <w:spacing w:after="0"/>
        <w:tabs>
          <w:tab w:leader="none" w:pos="3580" w:val="left"/>
        </w:tabs>
        <w:rPr>
          <w:sz w:val="20"/>
          <w:szCs w:val="20"/>
          <w:color w:val="auto"/>
        </w:rPr>
      </w:pPr>
      <w:r>
        <w:rPr>
          <w:rFonts w:ascii="Arial" w:cs="Arial" w:eastAsia="Arial" w:hAnsi="Arial"/>
          <w:sz w:val="18"/>
          <w:szCs w:val="18"/>
          <w:color w:val="auto"/>
        </w:rPr>
        <w:t>Class A (gas)</w:t>
      </w:r>
      <w:r>
        <w:rPr>
          <w:sz w:val="20"/>
          <w:szCs w:val="20"/>
          <w:color w:val="auto"/>
        </w:rPr>
        <w:tab/>
      </w:r>
      <w:r>
        <w:rPr>
          <w:rFonts w:ascii="Arial" w:cs="Arial" w:eastAsia="Arial" w:hAnsi="Arial"/>
          <w:sz w:val="15"/>
          <w:szCs w:val="15"/>
          <w:color w:val="auto"/>
        </w:rPr>
        <w:t>Sightseer, Voyage, Adventurer</w:t>
      </w:r>
    </w:p>
    <w:p>
      <w:pPr>
        <w:spacing w:after="0" w:line="9" w:lineRule="exact"/>
        <w:rPr>
          <w:sz w:val="20"/>
          <w:szCs w:val="20"/>
          <w:color w:val="auto"/>
        </w:rPr>
      </w:pPr>
    </w:p>
    <w:p>
      <w:pPr>
        <w:ind w:left="300"/>
        <w:spacing w:after="0"/>
        <w:tabs>
          <w:tab w:leader="none" w:pos="3580" w:val="left"/>
        </w:tabs>
        <w:rPr>
          <w:sz w:val="20"/>
          <w:szCs w:val="20"/>
          <w:color w:val="auto"/>
        </w:rPr>
      </w:pPr>
      <w:r>
        <w:rPr>
          <w:rFonts w:ascii="Arial" w:cs="Arial" w:eastAsia="Arial" w:hAnsi="Arial"/>
          <w:sz w:val="18"/>
          <w:szCs w:val="18"/>
          <w:color w:val="auto"/>
        </w:rPr>
        <w:t>Class A (diesel)</w:t>
      </w:r>
      <w:r>
        <w:rPr>
          <w:sz w:val="20"/>
          <w:szCs w:val="20"/>
          <w:color w:val="auto"/>
        </w:rPr>
        <w:tab/>
      </w:r>
      <w:r>
        <w:rPr>
          <w:rFonts w:ascii="Arial" w:cs="Arial" w:eastAsia="Arial" w:hAnsi="Arial"/>
          <w:sz w:val="15"/>
          <w:szCs w:val="15"/>
          <w:color w:val="auto"/>
        </w:rPr>
        <w:t>Journey, Tour, Vectra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-129540</wp:posOffset>
            </wp:positionV>
            <wp:extent cx="687768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1000"/>
        <w:spacing w:after="0" w:line="259" w:lineRule="auto"/>
        <w:rPr>
          <w:sz w:val="20"/>
          <w:szCs w:val="20"/>
          <w:color w:val="auto"/>
        </w:rPr>
      </w:pPr>
      <w:r>
        <w:rPr>
          <w:rFonts w:ascii="Arial" w:cs="Arial" w:eastAsia="Arial" w:hAnsi="Arial"/>
          <w:sz w:val="18"/>
          <w:szCs w:val="18"/>
          <w:color w:val="auto"/>
        </w:rPr>
        <w:t>Cambria, Impulse, Spirit, Navion - diesel Sunova, Sunrise, Suncruiser Meridian, Ellipse, Horizon</w:t>
      </w:r>
    </w:p>
    <w:p>
      <w:pPr>
        <w:spacing w:after="0" w:line="194" w:lineRule="exact"/>
        <w:rPr>
          <w:sz w:val="20"/>
          <w:szCs w:val="20"/>
          <w:color w:val="auto"/>
        </w:rPr>
      </w:pPr>
    </w:p>
    <w:p>
      <w:pPr>
        <w:sectPr>
          <w:pgSz w:w="11900" w:h="16838" w:orient="portrait"/>
          <w:cols w:equalWidth="0" w:num="2">
            <w:col w:w="6840" w:space="720"/>
            <w:col w:w="3900"/>
          </w:cols>
          <w:pgMar w:left="240" w:top="131" w:right="199" w:bottom="1440" w:gutter="0" w:footer="0" w:header="0"/>
          <w:type w:val="continuous"/>
        </w:sectPr>
      </w:pPr>
    </w:p>
    <w:p>
      <w:pPr>
        <w:ind w:right="80"/>
        <w:spacing w:after="0" w:line="229" w:lineRule="auto"/>
        <w:rPr>
          <w:sz w:val="20"/>
          <w:szCs w:val="20"/>
          <w:color w:val="auto"/>
        </w:rPr>
      </w:pPr>
      <w:r>
        <w:rPr>
          <w:rFonts w:ascii="Arial" w:cs="Arial" w:eastAsia="Arial" w:hAnsi="Arial"/>
          <w:sz w:val="18"/>
          <w:szCs w:val="18"/>
          <w:color w:val="auto"/>
        </w:rPr>
        <w:t>These motor homes generally provide living accommodations for up to seven people and include kitchen, dining, sleeping and bath areas, and in some models, a lounge. Optional equipment accessories include, among other items, generator, home theater systems, king-size beds, leather and UltraLeather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upholstery and a wide selection of interior equipment. With the purchase of any new motor home, we offer a comprehensive 12-month/15,000-mile warranty on the coach and a 3-year/36,000-mile warranty on sidewalls and floors.</w:t>
      </w:r>
    </w:p>
    <w:p>
      <w:pPr>
        <w:spacing w:after="0" w:line="21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Class A and Class C motor homes are sold by dealers in the retail market with manufacturer’s suggested retail prices ranging from approximately $58,000 to $286,000, depending on size and model, plus optional equipment and delivery charges. Our motor homes range in length from 22 to 40 feet.</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 sales of our recreation vehicles for the last five fiscal years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jc w:val="right"/>
              <w:ind w:right="101"/>
              <w:spacing w:after="0"/>
              <w:rPr>
                <w:sz w:val="20"/>
                <w:szCs w:val="20"/>
                <w:color w:val="auto"/>
              </w:rPr>
            </w:pPr>
            <w:r>
              <w:rPr>
                <w:rFonts w:ascii="Arial" w:cs="Arial" w:eastAsia="Arial" w:hAnsi="Arial"/>
                <w:sz w:val="14"/>
                <w:szCs w:val="14"/>
                <w:b w:val="1"/>
                <w:bCs w:val="1"/>
                <w:color w:val="auto"/>
              </w:rPr>
              <w:t>Year Ended (1)</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880" w:type="dxa"/>
            <w:vAlign w:val="bottom"/>
          </w:tcPr>
          <w:p>
            <w:pPr>
              <w:jc w:val="right"/>
              <w:ind w:right="239"/>
              <w:spacing w:after="0"/>
              <w:rPr>
                <w:sz w:val="20"/>
                <w:szCs w:val="20"/>
                <w:color w:val="auto"/>
              </w:rPr>
            </w:pPr>
            <w:r>
              <w:rPr>
                <w:rFonts w:ascii="Arial" w:cs="Arial" w:eastAsia="Arial" w:hAnsi="Arial"/>
                <w:sz w:val="14"/>
                <w:szCs w:val="14"/>
                <w:b w:val="1"/>
                <w:bCs w:val="1"/>
                <w:color w:val="auto"/>
                <w:w w:val="99"/>
              </w:rPr>
              <w:t>Aug. 26,</w:t>
            </w:r>
          </w:p>
        </w:tc>
        <w:tc>
          <w:tcPr>
            <w:tcW w:w="1000" w:type="dxa"/>
            <w:vAlign w:val="bottom"/>
          </w:tcPr>
          <w:p>
            <w:pPr>
              <w:jc w:val="right"/>
              <w:ind w:right="199"/>
              <w:spacing w:after="0"/>
              <w:rPr>
                <w:sz w:val="20"/>
                <w:szCs w:val="20"/>
                <w:color w:val="auto"/>
              </w:rPr>
            </w:pPr>
            <w:r>
              <w:rPr>
                <w:rFonts w:ascii="Arial" w:cs="Arial" w:eastAsia="Arial" w:hAnsi="Arial"/>
                <w:sz w:val="14"/>
                <w:szCs w:val="14"/>
                <w:b w:val="1"/>
                <w:bCs w:val="1"/>
                <w:color w:val="auto"/>
              </w:rPr>
              <w:t>Aug. 27,</w:t>
            </w:r>
          </w:p>
        </w:tc>
        <w:tc>
          <w:tcPr>
            <w:tcW w:w="1200" w:type="dxa"/>
            <w:vAlign w:val="bottom"/>
          </w:tcPr>
          <w:p>
            <w:pPr>
              <w:jc w:val="right"/>
              <w:ind w:right="341"/>
              <w:spacing w:after="0"/>
              <w:rPr>
                <w:sz w:val="20"/>
                <w:szCs w:val="20"/>
                <w:color w:val="auto"/>
              </w:rPr>
            </w:pPr>
            <w:r>
              <w:rPr>
                <w:rFonts w:ascii="Arial" w:cs="Arial" w:eastAsia="Arial" w:hAnsi="Arial"/>
                <w:sz w:val="14"/>
                <w:szCs w:val="14"/>
                <w:b w:val="1"/>
                <w:bCs w:val="1"/>
                <w:color w:val="auto"/>
              </w:rPr>
              <w:t>Aug. 28,</w:t>
            </w:r>
          </w:p>
        </w:tc>
        <w:tc>
          <w:tcPr>
            <w:tcW w:w="1020" w:type="dxa"/>
            <w:vAlign w:val="bottom"/>
          </w:tcPr>
          <w:p>
            <w:pPr>
              <w:jc w:val="right"/>
              <w:ind w:right="279"/>
              <w:spacing w:after="0"/>
              <w:rPr>
                <w:sz w:val="20"/>
                <w:szCs w:val="20"/>
                <w:color w:val="auto"/>
              </w:rPr>
            </w:pPr>
            <w:r>
              <w:rPr>
                <w:rFonts w:ascii="Arial" w:cs="Arial" w:eastAsia="Arial" w:hAnsi="Arial"/>
                <w:sz w:val="14"/>
                <w:szCs w:val="14"/>
                <w:b w:val="1"/>
                <w:bCs w:val="1"/>
                <w:color w:val="auto"/>
              </w:rPr>
              <w:t>Aug. 30,</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Aug. 31,</w:t>
            </w:r>
          </w:p>
        </w:tc>
        <w:tc>
          <w:tcPr>
            <w:tcW w:w="0" w:type="dxa"/>
            <w:vAlign w:val="bottom"/>
          </w:tcPr>
          <w:p>
            <w:pPr>
              <w:spacing w:after="0"/>
              <w:rPr>
                <w:sz w:val="1"/>
                <w:szCs w:val="1"/>
                <w:color w:val="auto"/>
              </w:rPr>
            </w:pPr>
          </w:p>
        </w:tc>
      </w:tr>
      <w:tr>
        <w:trPr>
          <w:trHeight w:val="174"/>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Unit Sales</w:t>
            </w: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2006</w:t>
            </w:r>
          </w:p>
        </w:tc>
        <w:tc>
          <w:tcPr>
            <w:tcW w:w="1000" w:type="dxa"/>
            <w:vAlign w:val="bottom"/>
          </w:tcPr>
          <w:p>
            <w:pPr>
              <w:jc w:val="right"/>
              <w:ind w:right="299"/>
              <w:spacing w:after="0"/>
              <w:rPr>
                <w:sz w:val="20"/>
                <w:szCs w:val="20"/>
                <w:color w:val="auto"/>
              </w:rPr>
            </w:pPr>
            <w:r>
              <w:rPr>
                <w:rFonts w:ascii="Arial" w:cs="Arial" w:eastAsia="Arial" w:hAnsi="Arial"/>
                <w:sz w:val="14"/>
                <w:szCs w:val="14"/>
                <w:b w:val="1"/>
                <w:bCs w:val="1"/>
                <w:color w:val="auto"/>
              </w:rPr>
              <w:t>2005</w:t>
            </w:r>
          </w:p>
        </w:tc>
        <w:tc>
          <w:tcPr>
            <w:tcW w:w="1200" w:type="dxa"/>
            <w:vAlign w:val="bottom"/>
          </w:tcPr>
          <w:p>
            <w:pPr>
              <w:jc w:val="right"/>
              <w:ind w:right="441"/>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2003</w:t>
            </w:r>
          </w:p>
        </w:tc>
        <w:tc>
          <w:tcPr>
            <w:tcW w:w="960" w:type="dxa"/>
            <w:vAlign w:val="bottom"/>
          </w:tcPr>
          <w:p>
            <w:pPr>
              <w:jc w:val="right"/>
              <w:ind w:right="279"/>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D6F3E8"/>
          </w:tcPr>
          <w:p>
            <w:pPr>
              <w:spacing w:after="0"/>
              <w:rPr>
                <w:sz w:val="20"/>
                <w:szCs w:val="20"/>
                <w:color w:val="auto"/>
              </w:rPr>
            </w:pPr>
            <w:r>
              <w:rPr>
                <w:rFonts w:ascii="Arial" w:cs="Arial" w:eastAsia="Arial" w:hAnsi="Arial"/>
                <w:sz w:val="18"/>
                <w:szCs w:val="18"/>
                <w:color w:val="auto"/>
              </w:rPr>
              <w:t>Class A</w:t>
            </w:r>
          </w:p>
        </w:tc>
        <w:tc>
          <w:tcPr>
            <w:tcW w:w="880" w:type="dxa"/>
            <w:vAlign w:val="bottom"/>
            <w:shd w:val="clear" w:color="auto" w:fill="D6F3E8"/>
          </w:tcPr>
          <w:p>
            <w:pPr>
              <w:jc w:val="right"/>
              <w:ind w:right="139"/>
              <w:spacing w:after="0"/>
              <w:rPr>
                <w:sz w:val="20"/>
                <w:szCs w:val="20"/>
                <w:color w:val="auto"/>
              </w:rPr>
            </w:pPr>
            <w:r>
              <w:rPr>
                <w:rFonts w:ascii="Arial" w:cs="Arial" w:eastAsia="Arial" w:hAnsi="Arial"/>
                <w:sz w:val="18"/>
                <w:szCs w:val="18"/>
                <w:b w:val="1"/>
                <w:bCs w:val="1"/>
                <w:color w:val="auto"/>
              </w:rPr>
              <w:t>4,455</w:t>
            </w:r>
          </w:p>
        </w:tc>
        <w:tc>
          <w:tcPr>
            <w:tcW w:w="1000" w:type="dxa"/>
            <w:vAlign w:val="bottom"/>
            <w:shd w:val="clear" w:color="auto" w:fill="D6F3E8"/>
          </w:tcPr>
          <w:p>
            <w:pPr>
              <w:jc w:val="right"/>
              <w:ind w:right="79"/>
              <w:spacing w:after="0"/>
              <w:rPr>
                <w:sz w:val="20"/>
                <w:szCs w:val="20"/>
                <w:color w:val="auto"/>
              </w:rPr>
            </w:pPr>
            <w:r>
              <w:rPr>
                <w:rFonts w:ascii="Arial" w:cs="Arial" w:eastAsia="Arial" w:hAnsi="Arial"/>
                <w:sz w:val="18"/>
                <w:szCs w:val="18"/>
                <w:color w:val="auto"/>
              </w:rPr>
              <w:t>6,674</w:t>
            </w:r>
          </w:p>
        </w:tc>
        <w:tc>
          <w:tcPr>
            <w:tcW w:w="1200" w:type="dxa"/>
            <w:vAlign w:val="bottom"/>
            <w:shd w:val="clear" w:color="auto" w:fill="D6F3E8"/>
          </w:tcPr>
          <w:p>
            <w:pPr>
              <w:jc w:val="right"/>
              <w:ind w:right="201"/>
              <w:spacing w:after="0"/>
              <w:rPr>
                <w:sz w:val="20"/>
                <w:szCs w:val="20"/>
                <w:color w:val="auto"/>
              </w:rPr>
            </w:pPr>
            <w:r>
              <w:rPr>
                <w:rFonts w:ascii="Arial" w:cs="Arial" w:eastAsia="Arial" w:hAnsi="Arial"/>
                <w:sz w:val="18"/>
                <w:szCs w:val="18"/>
                <w:color w:val="auto"/>
              </w:rPr>
              <w:t>8,108</w:t>
            </w:r>
          </w:p>
        </w:tc>
        <w:tc>
          <w:tcPr>
            <w:tcW w:w="1020" w:type="dxa"/>
            <w:vAlign w:val="bottom"/>
            <w:shd w:val="clear" w:color="auto" w:fill="D6F3E8"/>
          </w:tcPr>
          <w:p>
            <w:pPr>
              <w:jc w:val="right"/>
              <w:ind w:right="159"/>
              <w:spacing w:after="0"/>
              <w:rPr>
                <w:sz w:val="20"/>
                <w:szCs w:val="20"/>
                <w:color w:val="auto"/>
              </w:rPr>
            </w:pPr>
            <w:r>
              <w:rPr>
                <w:rFonts w:ascii="Arial" w:cs="Arial" w:eastAsia="Arial" w:hAnsi="Arial"/>
                <w:sz w:val="18"/>
                <w:szCs w:val="18"/>
                <w:color w:val="auto"/>
              </w:rPr>
              <w:t>6,705</w:t>
            </w:r>
          </w:p>
        </w:tc>
        <w:tc>
          <w:tcPr>
            <w:tcW w:w="96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rPr>
              <w:t>6,725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Class C</w:t>
            </w:r>
          </w:p>
        </w:tc>
        <w:tc>
          <w:tcPr>
            <w:tcW w:w="880" w:type="dxa"/>
            <w:vAlign w:val="bottom"/>
          </w:tcPr>
          <w:p>
            <w:pPr>
              <w:jc w:val="right"/>
              <w:ind w:right="139"/>
              <w:spacing w:after="0"/>
              <w:rPr>
                <w:sz w:val="20"/>
                <w:szCs w:val="20"/>
                <w:color w:val="auto"/>
              </w:rPr>
            </w:pPr>
            <w:r>
              <w:rPr>
                <w:rFonts w:ascii="Arial" w:cs="Arial" w:eastAsia="Arial" w:hAnsi="Arial"/>
                <w:sz w:val="18"/>
                <w:szCs w:val="18"/>
                <w:b w:val="1"/>
                <w:bCs w:val="1"/>
                <w:color w:val="auto"/>
              </w:rPr>
              <w:t>5,388</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3,963</w:t>
            </w:r>
          </w:p>
        </w:tc>
        <w:tc>
          <w:tcPr>
            <w:tcW w:w="1200" w:type="dxa"/>
            <w:vAlign w:val="bottom"/>
          </w:tcPr>
          <w:p>
            <w:pPr>
              <w:jc w:val="right"/>
              <w:ind w:right="201"/>
              <w:spacing w:after="0"/>
              <w:rPr>
                <w:sz w:val="20"/>
                <w:szCs w:val="20"/>
                <w:color w:val="auto"/>
              </w:rPr>
            </w:pPr>
            <w:r>
              <w:rPr>
                <w:rFonts w:ascii="Arial" w:cs="Arial" w:eastAsia="Arial" w:hAnsi="Arial"/>
                <w:sz w:val="18"/>
                <w:szCs w:val="18"/>
                <w:color w:val="auto"/>
              </w:rPr>
              <w:t>4,408</w:t>
            </w:r>
          </w:p>
        </w:tc>
        <w:tc>
          <w:tcPr>
            <w:tcW w:w="1020" w:type="dxa"/>
            <w:vAlign w:val="bottom"/>
          </w:tcPr>
          <w:p>
            <w:pPr>
              <w:jc w:val="right"/>
              <w:ind w:right="159"/>
              <w:spacing w:after="0"/>
              <w:rPr>
                <w:sz w:val="20"/>
                <w:szCs w:val="20"/>
                <w:color w:val="auto"/>
              </w:rPr>
            </w:pPr>
            <w:r>
              <w:rPr>
                <w:rFonts w:ascii="Arial" w:cs="Arial" w:eastAsia="Arial" w:hAnsi="Arial"/>
                <w:sz w:val="18"/>
                <w:szCs w:val="18"/>
                <w:color w:val="auto"/>
              </w:rPr>
              <w:t>4,021</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4,329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Total Class A &amp; C Motor Homes</w:t>
            </w:r>
          </w:p>
        </w:tc>
        <w:tc>
          <w:tcPr>
            <w:tcW w:w="880" w:type="dxa"/>
            <w:vAlign w:val="bottom"/>
            <w:shd w:val="clear" w:color="auto" w:fill="D6F3E8"/>
          </w:tcPr>
          <w:p>
            <w:pPr>
              <w:jc w:val="right"/>
              <w:ind w:right="139"/>
              <w:spacing w:after="0"/>
              <w:rPr>
                <w:sz w:val="20"/>
                <w:szCs w:val="20"/>
                <w:color w:val="auto"/>
              </w:rPr>
            </w:pPr>
            <w:r>
              <w:rPr>
                <w:rFonts w:ascii="Arial" w:cs="Arial" w:eastAsia="Arial" w:hAnsi="Arial"/>
                <w:sz w:val="18"/>
                <w:szCs w:val="18"/>
                <w:b w:val="1"/>
                <w:bCs w:val="1"/>
                <w:color w:val="auto"/>
              </w:rPr>
              <w:t>9,843</w:t>
            </w:r>
          </w:p>
        </w:tc>
        <w:tc>
          <w:tcPr>
            <w:tcW w:w="1000" w:type="dxa"/>
            <w:vAlign w:val="bottom"/>
            <w:shd w:val="clear" w:color="auto" w:fill="D6F3E8"/>
          </w:tcPr>
          <w:p>
            <w:pPr>
              <w:jc w:val="right"/>
              <w:ind w:right="79"/>
              <w:spacing w:after="0"/>
              <w:rPr>
                <w:sz w:val="20"/>
                <w:szCs w:val="20"/>
                <w:color w:val="auto"/>
              </w:rPr>
            </w:pPr>
            <w:r>
              <w:rPr>
                <w:rFonts w:ascii="Arial" w:cs="Arial" w:eastAsia="Arial" w:hAnsi="Arial"/>
                <w:sz w:val="18"/>
                <w:szCs w:val="18"/>
                <w:color w:val="auto"/>
              </w:rPr>
              <w:t>10,637</w:t>
            </w:r>
          </w:p>
        </w:tc>
        <w:tc>
          <w:tcPr>
            <w:tcW w:w="1200" w:type="dxa"/>
            <w:vAlign w:val="bottom"/>
            <w:shd w:val="clear" w:color="auto" w:fill="D6F3E8"/>
          </w:tcPr>
          <w:p>
            <w:pPr>
              <w:jc w:val="right"/>
              <w:ind w:right="201"/>
              <w:spacing w:after="0"/>
              <w:rPr>
                <w:sz w:val="20"/>
                <w:szCs w:val="20"/>
                <w:color w:val="auto"/>
              </w:rPr>
            </w:pPr>
            <w:r>
              <w:rPr>
                <w:rFonts w:ascii="Arial" w:cs="Arial" w:eastAsia="Arial" w:hAnsi="Arial"/>
                <w:sz w:val="18"/>
                <w:szCs w:val="18"/>
                <w:color w:val="auto"/>
              </w:rPr>
              <w:t>12,516</w:t>
            </w:r>
          </w:p>
        </w:tc>
        <w:tc>
          <w:tcPr>
            <w:tcW w:w="1020" w:type="dxa"/>
            <w:vAlign w:val="bottom"/>
            <w:shd w:val="clear" w:color="auto" w:fill="D6F3E8"/>
          </w:tcPr>
          <w:p>
            <w:pPr>
              <w:jc w:val="right"/>
              <w:ind w:right="159"/>
              <w:spacing w:after="0"/>
              <w:rPr>
                <w:sz w:val="20"/>
                <w:szCs w:val="20"/>
                <w:color w:val="auto"/>
              </w:rPr>
            </w:pPr>
            <w:r>
              <w:rPr>
                <w:rFonts w:ascii="Arial" w:cs="Arial" w:eastAsia="Arial" w:hAnsi="Arial"/>
                <w:sz w:val="18"/>
                <w:szCs w:val="18"/>
                <w:color w:val="auto"/>
              </w:rPr>
              <w:t>10,726</w:t>
            </w:r>
          </w:p>
        </w:tc>
        <w:tc>
          <w:tcPr>
            <w:tcW w:w="96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rPr>
              <w:t>11,054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Class B Conversions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(EuroVan Campers)</w:t>
            </w:r>
          </w:p>
        </w:tc>
        <w:tc>
          <w:tcPr>
            <w:tcW w:w="880" w:type="dxa"/>
            <w:vAlign w:val="bottom"/>
            <w:shd w:val="clear" w:color="auto" w:fill="D6F3E8"/>
          </w:tcPr>
          <w:p>
            <w:pPr>
              <w:jc w:val="right"/>
              <w:ind w:right="139"/>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6F3E8"/>
          </w:tcPr>
          <w:p>
            <w:pPr>
              <w:jc w:val="right"/>
              <w:ind w:right="79"/>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ind w:right="201"/>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ind w:right="159"/>
              <w:spacing w:after="0"/>
              <w:rPr>
                <w:sz w:val="20"/>
                <w:szCs w:val="20"/>
                <w:color w:val="auto"/>
              </w:rPr>
            </w:pPr>
            <w:r>
              <w:rPr>
                <w:rFonts w:ascii="Arial" w:cs="Arial" w:eastAsia="Arial" w:hAnsi="Arial"/>
                <w:sz w:val="18"/>
                <w:szCs w:val="18"/>
                <w:color w:val="auto"/>
              </w:rPr>
              <w:t>308</w:t>
            </w:r>
          </w:p>
        </w:tc>
        <w:tc>
          <w:tcPr>
            <w:tcW w:w="96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fiscal year ended August 31, 2002 contained 53 weeks, all other fiscal years contained 52 weeks.</w:t>
      </w:r>
    </w:p>
    <w:p>
      <w:pPr>
        <w:spacing w:after="0" w:line="225"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The primary use of recreation vehicles for leisure travel and outdoor recreation has historically led to a peak retail selling season concentrated in the spring and summer months. Our sales of recreation vehicles are generally influenced by this pattern in retail sales, but can also be affected by the level of dealer inventory. Our products are generally manufactured against orders from dealers and from time to time to build inventory to satisfy the peak selling season.</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Motor Home Parts and Services</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Motor home parts and service activities represent revenues generated by service work we perform for our retail customers at our Forest City, Iowa facility and parts we sell to our dealers. We maintain $2.6 million in parts inventory located in a 450,000-square foot warehouse with what we believe to be the most sophisticated distribution and tracking system in the industry. Our competitive strategy is to provide long-term proprietary manufactured parts available through our dealer network, which increases customer satisfaction and the value of our motor homes.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Manufactured Products</w:t>
      </w:r>
    </w:p>
    <w:p>
      <w:pPr>
        <w:spacing w:after="0" w:line="231"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We manufacture aluminum extrusions which are sold to over 75 customers. To a limited extent, we manufacture other component parts sold to outside manufacturers. We also manufacture commercial vehicles which are motor home shells, primarily custom designed for the buyer’s special needs and requirements, such as a law enforcement command center and mobile medical and dental clinics. These commercial vehicles are sold through our dealer network.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generally produce motor homes to order. We have the ability to increase our capacity by scheduling overtime and/or hiring additional production employees.</w:t>
      </w:r>
    </w:p>
    <w:p>
      <w:pPr>
        <w:spacing w:after="0" w:line="2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Forest City facilities have been designed to provide vertically integrated production line manufacturing. We produce substantially all of the raw aluminum extrusions used for main frame support and interior and exterior trim in our recreation vehicles. We also operate a fiberglass manufacturing and component assembly facility in Hampton, Iowa, and an assembly plant and a cabinet products manufacturing facility in Charles City, Iowa. Our motor home bodies are made from various materials and structural components which are typically laminated into rigid, lightweight panels. Body designs are developed with computer design and analysis, and subjected to a variety of tests and evaluations to meet our standards and requirements. We manufacture a number of components utilized in our motor homes, with the principal exception of the chassis, engines, generators and appliances.</w:t>
      </w:r>
    </w:p>
    <w:p>
      <w:pPr>
        <w:spacing w:after="0" w:line="1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Most of the raw materials and components that we utilize are obtainable from numerous sources. Certain components are produced by only a small group of quality suppliers who presently have the capacity to supply sufficient quantities to meet our needs. This is especially true in the case of motor home chassis, where Ford Motor Company, Freightliner Custom Chassis Corporation, Workhorse Custom Chassis LLC, DaimlerChrysler Motors Company LLC and Chevrolet General Motors Company are our dominant suppliers. We purchase Class A and C chassis from Ford Motor Company, Class A chassis from Freightliner Custom Chassis Corporation and Workhorse Custom Chassis LLC, and Class C chassis from DaimlerChrysler Motors Company LLC and Chevrolet General Motors Company. In Fiscal 2006, only four vendors, Ford Motor Company, Freightliner Custom Chassis Corporation, Workhorse Custom Chassis LLC and DaimlerChrysler Motors Company LLC, individually accounted for more than five percent of our raw material purchases, approximating 38 percent in aggregate.</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Financing</w:t>
      </w:r>
    </w:p>
    <w:p>
      <w:pPr>
        <w:spacing w:after="0" w:line="231"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We market our recreation vehicles on a wholesale basis to a diversified independent dealer organization located throughout the United States and, to a limited extent, in Canada. Foreign sales, including Canada, were less than five percent of net revenues during each of the past three fiscal years. As of August 26, 2006 and August 27, 2005, the motor home dealer organization in the United States and Canada included approximately 290 and 300 dealer locations, respectively. During Fiscal 2006, six dealer organizations accounted for approximately 25 percent of motor home unit sales and only one dealer organization accounted for more than five percent of motor home unit sales, that dealer being La Mesa RV Center, Inc. which accounted for approximately 9 percent of such sales.</w:t>
      </w:r>
    </w:p>
    <w:p>
      <w:pPr>
        <w:spacing w:after="0" w:line="15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sales and service agreements with dealers which generally have a term of ten years. Many of the dealers are also engaged in other areas of business, including the sale of automobiles, and many dealers carry one or more competitive lines. We continue to place high emphasis on the capability of our dealers to provide complete service for our recreation vehicles. Dealers are obligated to provide full service for owners of our recreation vehicles, or in lieu thereof, to secure such service at their own expense from other authorized firms.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August 26, 2006, we had a staff of 31 people engaged in field sales and service to the motor home dealer organization.</w:t>
      </w:r>
    </w:p>
    <w:p>
      <w:pPr>
        <w:spacing w:after="0" w:line="22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advertise and promote our products through national RV magazines, the Go RVing national advertising campaign, direct-mail campaigns, various national promotional opportunities and on a local basis through trade shows, television, radio and newspapers, primarily in connection with area dealers.</w:t>
      </w:r>
    </w:p>
    <w:p>
      <w:pPr>
        <w:spacing w:after="0" w:line="1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Recreation vehicle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recreation vehicle industry, we typically enter into a repurchase agreement with a lending institution financing a dealer’s purchase of our product upon the lending institution’s request and after completion of a credit check of the dealer involved. Our repurchase agreements provide that for up to 12 months after a unit is financed, in the event of default by the dealer on the agreement to pay the lending institution, we will repurchase the financed merchandise. Our maximum exposure under repurchase agreements varies significantly from time to time, depending upon general economic conditions, seasonal shipments, competition, dealer organization, gasoline availability and price and the cost of bank financing. (See Note 6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recreation vehicle market is highly competitive, both as to price and quality of the product. We believe our principal competitive advantages are our brand name recognition, the quality of our products and our warranty and service capability. We also believe that our prices are competitive with the competitions’ units of comparable size and quality.</w:t>
      </w:r>
    </w:p>
    <w:p>
      <w:pPr>
        <w:spacing w:after="0" w:line="19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are a leading U.S. manufacturer of motor homes. For the 12 months ended August 31, 2006, RVIA reported U.S. manufacturers’ factory shipments of 33,200 Class A motor homes and 20,500 Class C motor homes. Our unit sales of such products for the last five fiscal years are shown on page 3 of this report. We have numerous competitors and potential competitors in this industry. The six largest U.S. manufacturers represented approximately 74 percent of the combined Class A and Class C motor home retail sales for the eight months ended August 31, 2006, including our sales, which represented approximately 19 percent of the market. We are not a significant factor in the markets for our motor home parts and services and other manufactured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Trademarks and Patents</w:t>
      </w:r>
    </w:p>
    <w:p>
      <w:pPr>
        <w:spacing w:after="0" w:line="2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are subject to a variety of federal, state and local laws and regulations, including the National Traffic and Motor Vehicle Safety Act, under which the National Highway Traffic Safety Administration may require manufacturers to recall recreation vehicles that contain safety-related defects, and numerous state consumer protection laws and regulations relating to the operation of motor vehicles, including so-called “Lemon Laws.” We are subject to regulations promulgated by the Occupational Safety and Health Administration (OSHA). Our facilities are periodically inspected by federal and state agencies, such as OSHA. We believe that our products and facilities comply in all material respects with the applicable vehicle safety, consumer protection, RVIA and OSHA regulations and standards. Amendments to any of these regulations or the implementation of new regulations, however, could significantly increase the cost of manufacturing, purchasing, operating or selling our products and could have a material adverse effect on our results of operations. Our failure to comply with present or future regulations could result in fines being imposed on us, potential civil and criminal liability, suspension of sales or production, or cessation of operations. In addition, a major product recall could have a material adverse effect on our results of operations.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and disposal of hazardous materials and wastes and noise pollution. Although we believe that we currently are in material compliance with applicable environmental regulations, the failure by us to comply with present or future laws and regulations could result in fines being imposed on us, potential civil and criminal liability, suspension of production or operations, alterations to the manufacturing process, or costly cleanup or capital expenditures.</w:t>
      </w:r>
    </w:p>
    <w:p>
      <w:pPr>
        <w:spacing w:after="0" w:line="167"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We have several registered trademarks which include: Adventurer, Aspect, Cambria, Ellipse, Horizon, Itasca, Journey, Meridian, Navion, Outlook, Sightseer, Spirit, Suncruiser, Sunova, Sunrise, Tour, Vectra, View, Voyage, and Winnebago. We believe that our trademarks and trade names are significant to our business and we will vigorously protect them against infringement. We are not dependent upon any patents or technology licenses for the conduct of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Research and development expenditures are expensed as incurred. During Fiscal 2006, 2005 and 2004, we spent approximately $3.9 million, $3.6 million and $3.7 million, respectively, on research and development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31"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As of September 1, 2006, 2005 and 2004, we employed approximately 3,150, 3,610 and 4,220 persons, respectively. Of these, approximately 2,510, 2,940 and 3,530 persons, respectively, were engaged in manufacturing and shipping functions. None of our employees are covered under a collective bargaining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color w:val="auto"/>
        </w:rPr>
        <w:t>Risk Factors</w:t>
      </w:r>
    </w:p>
    <w:p>
      <w:pPr>
        <w:spacing w:after="0" w:line="2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risk factors should be considered carefully in addition to the other information contained in this Annual Report on Form 10-K. The risks and uncertainties described below are not the only ones we face, but represent some of the most significant risk factors that we believe may adversely affect the RV industry and our business, 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market for recreation vehicles is very competitive. Competition in this industry is based upon price, design, value, quality and service. There can be no assurance that existing or new competitors will not develop products that are superior to our recreation vehicles or that achieve better consumer acceptance, thereby adversely affecting market share, sales volume and profit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 and Seasonality</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recreation vehicle industry has been characterized by cycles of growth and contraction in consumer demand, reflecting prevailing economic, demographic, and political conditions, which affect disposable income for leisure-time activities. Consequently, the results for any prior period may not be indicative of results for any future period.</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Seasonal factors, over which we have no control, also have an effect on the demand for our products. Demand in the recreation vehicle industry generally declines over the winter season, while sales are generally highest during the spring and summer months. Also, unusually severe weather conditions in some markets may impact demand.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Availability and Prices</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Gasoline or diesel fuel is required for the operation of motorized recreation vehicles. There can be no assurance that the supply of these petroleum products will continue uninterrupted, that rationing will not be imposed or that the price of or tax on these petroleum products will not significantly increase in the future. Fuel shortages and substantial increases in fuel prices have had a material adverse effect on the recreation vehicle industry as a whole in the past and could have a material adverse effect on us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Economic Conditions and Certain Other External Factors</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Companies within the recreation vehicle industry are subject to volatility in operating results due to external factors such as general economic conditions and political changes. Specific factors affecting the recreation vehicle industry include:</w:t>
      </w:r>
    </w:p>
    <w:p>
      <w:pPr>
        <w:spacing w:after="0" w:line="199"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consumer confidence and the level of discretionary consumer spending;</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levels, including the level of retail sales at dealer locations;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employment trends;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adverse impact of global tensions on consumer spending and travel-related activities; and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adverse impact on margins of increases in raw material costs which we are unable to pass on to customers without negatively affecting sales.</w:t>
      </w:r>
    </w:p>
    <w:p>
      <w:pPr>
        <w:sectPr>
          <w:pgSz w:w="11900" w:h="16838" w:orient="portrait"/>
          <w:cols w:equalWidth="0" w:num="1">
            <w:col w:w="11420"/>
          </w:cols>
          <w:pgMar w:left="240" w:top="131" w:right="23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on Chassis Suppliers</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Most RV components are readily available from numerous sources. However, a few components are produced by only a small group of quality suppliers that have the capacity to supply large quantities on a national basis. This is especially true in the case of motor home chassis, where Ford Motor Company, Freightliner Custom Chassis Corporation, Workhorse Custom Chassis LLC, DaimlerChrysler Motors Company LLC and Chevrolet General Motors Company are the Company’s major suppliers. Decisions by suppliers to decrease production, utilize production internally, or shortages, production delays or work stoppages by the employees of such suppliers could have a material adverse effect on our ability to produce motor homes and ultimately, on the results from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Liabilities Under Repurchase Agreements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accordance with customary practice in the recreation vehicle industry, we enter into formal repurchase agreements with lending institutions pursuant to which it is agreed, in the event of a default by an independent retailer in its obligation to a lender, we will repurchase product at declining prices over the term of the agreements, typically 12 months. The difference between the gross repurchase price and the price at which the repurchased product can then be resold, which is typically at a discount to the gross repurchase price, represents a potential expense to us. Thus, if we were obligated to repurchase a large number of recreation vehicles in the future, this would increase costs, which could have a negative effect on earnings. Our maximum potential exposure under these formal repurchase agreements was approximately $278.6 million at August 26, 2006. Losses under these agreements have not been material in the past. Tightened credit standards by lenders and more aggressive attempts to accelerate collection of outstanding accounts with dealers could result in defaults by dealers and consequent repurchase obligations that may be higher than has historically been the case.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Claims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warranty claims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9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involved in legal proceedings in the ordinary course of business, including a variety of warranty, “Lemon Law” and product liability claims typical in the recreation vehicle industry. We are self-insured for a portion of product liability claims. Self-insurance retention liability for the past five fiscal years was $2.5 million per occurrence and $6.0 million in aggregate per policy year. In the event that the annual aggregate of the self-insured retention is exhausted by payment of claims and defense expenses, a deductible of $250,000, excluding defense expenses, is applicable to each claim covered under this policy. We cannot be certain that our insurance coverage will be sufficient to cover all future claims against us, which may have a material adverse effect on our results of operations and financial condition. In addition, if these claims rise to a level of frequency or size that are significantly higher than similar claims made against our competitors, our reputation and business may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are subject to numerous federal, state and local regulations governing the manufacture and sale of our products, including the provisions of the National Traffic and Motor Vehicle Safety Act (“the Motor Vehicle Act”), and the safety standards for recreation vehicles and components which have been promulgated under the Motor Vehicle Act by the Department of Transportation. The Motor Vehicle Act authorizes the National Highway Traffic Safety Administration to require a manufacturer to recall and repair vehicles which contain certain hazards or defects. Any recalls of our vehicles, voluntary or involuntary, could have a material adverse effect on our results of operations, financial condition and cash flows.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including motor homes that may be operated in certain jurisdictions or on certain roadways. Certain jurisdictions also prohibit the sale of vehicles exceeding length restrictions.</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Finally, federal and state authorities also have various environmental control standards relating to air, water, noise pollution and hazardous waste generation and disposal which affect us and our operations. Failure to comply with any of the foregoing laws or regulations could have an adverse impact on our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color w:val="auto"/>
        </w:rPr>
        <w:t>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Properties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principal manufacturing, maintenance and service operations are conducted in multi-building complexes owned by us. The following sets forth our material facilities as of August 26, 2006: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No.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Owned or</w:t>
            </w:r>
          </w:p>
        </w:tc>
        <w:tc>
          <w:tcPr>
            <w:tcW w:w="900" w:type="dxa"/>
            <w:vAlign w:val="bottom"/>
          </w:tcPr>
          <w:p>
            <w:pPr>
              <w:jc w:val="right"/>
              <w:ind w:right="177"/>
              <w:spacing w:after="0"/>
              <w:rPr>
                <w:sz w:val="20"/>
                <w:szCs w:val="20"/>
                <w:color w:val="auto"/>
              </w:rPr>
            </w:pPr>
            <w:r>
              <w:rPr>
                <w:rFonts w:ascii="Arial" w:cs="Arial" w:eastAsia="Arial" w:hAnsi="Arial"/>
                <w:sz w:val="14"/>
                <w:szCs w:val="14"/>
                <w:b w:val="1"/>
                <w:bCs w:val="1"/>
                <w:color w:val="auto"/>
              </w:rPr>
              <w:t>Square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Location</w:t>
            </w:r>
          </w:p>
        </w:tc>
        <w:tc>
          <w:tcPr>
            <w:tcW w:w="6520" w:type="dxa"/>
            <w:vAlign w:val="bottom"/>
            <w:gridSpan w:val="2"/>
          </w:tcPr>
          <w:p>
            <w:pPr>
              <w:ind w:left="2860"/>
              <w:spacing w:after="0"/>
              <w:rPr>
                <w:sz w:val="20"/>
                <w:szCs w:val="20"/>
                <w:color w:val="auto"/>
              </w:rPr>
            </w:pPr>
            <w:r>
              <w:rPr>
                <w:rFonts w:ascii="Arial" w:cs="Arial" w:eastAsia="Arial" w:hAnsi="Arial"/>
                <w:sz w:val="14"/>
                <w:szCs w:val="14"/>
                <w:b w:val="1"/>
                <w:bCs w:val="1"/>
                <w:color w:val="auto"/>
              </w:rPr>
              <w:t>Facility Type/Use</w:t>
            </w:r>
          </w:p>
        </w:tc>
        <w:tc>
          <w:tcPr>
            <w:tcW w:w="860" w:type="dxa"/>
            <w:vAlign w:val="bottom"/>
          </w:tcPr>
          <w:p>
            <w:pPr>
              <w:jc w:val="right"/>
              <w:ind w:right="97"/>
              <w:spacing w:after="0"/>
              <w:rPr>
                <w:sz w:val="20"/>
                <w:szCs w:val="20"/>
                <w:color w:val="auto"/>
              </w:rPr>
            </w:pPr>
            <w:r>
              <w:rPr>
                <w:rFonts w:ascii="Arial" w:cs="Arial" w:eastAsia="Arial" w:hAnsi="Arial"/>
                <w:sz w:val="14"/>
                <w:szCs w:val="14"/>
                <w:b w:val="1"/>
                <w:bCs w:val="1"/>
                <w:color w:val="auto"/>
              </w:rPr>
              <w:t>Buildings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2"/>
              </w:rPr>
              <w:t>Leased</w:t>
            </w: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Footage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60" w:type="dxa"/>
            <w:vAlign w:val="bottom"/>
            <w:gridSpan w:val="2"/>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6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D6F3E8"/>
          </w:tcPr>
          <w:p>
            <w:pPr>
              <w:spacing w:after="0"/>
              <w:rPr>
                <w:sz w:val="20"/>
                <w:szCs w:val="20"/>
                <w:color w:val="auto"/>
              </w:rPr>
            </w:pPr>
            <w:r>
              <w:rPr>
                <w:rFonts w:ascii="Arial" w:cs="Arial" w:eastAsia="Arial" w:hAnsi="Arial"/>
                <w:sz w:val="18"/>
                <w:szCs w:val="18"/>
                <w:color w:val="auto"/>
              </w:rPr>
              <w:t>Forest City, Iowa</w:t>
            </w:r>
          </w:p>
        </w:tc>
        <w:tc>
          <w:tcPr>
            <w:tcW w:w="6520" w:type="dxa"/>
            <w:vAlign w:val="bottom"/>
            <w:gridSpan w:val="2"/>
            <w:shd w:val="clear" w:color="auto" w:fill="D6F3E8"/>
          </w:tcPr>
          <w:p>
            <w:pPr>
              <w:ind w:left="420"/>
              <w:spacing w:after="0"/>
              <w:rPr>
                <w:sz w:val="20"/>
                <w:szCs w:val="20"/>
                <w:color w:val="auto"/>
              </w:rPr>
            </w:pPr>
            <w:r>
              <w:rPr>
                <w:rFonts w:ascii="Arial" w:cs="Arial" w:eastAsia="Arial" w:hAnsi="Arial"/>
                <w:sz w:val="18"/>
                <w:szCs w:val="18"/>
                <w:color w:val="auto"/>
              </w:rPr>
              <w:t>Manufacturing, maintenance, service and office</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w:t>
            </w:r>
          </w:p>
        </w:tc>
        <w:tc>
          <w:tcPr>
            <w:tcW w:w="12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Owned</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1,608,000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Forest City, Iowa</w:t>
            </w: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Warehouse</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900" w:type="dxa"/>
            <w:vAlign w:val="bottom"/>
          </w:tcPr>
          <w:p>
            <w:pPr>
              <w:jc w:val="right"/>
              <w:spacing w:after="0"/>
              <w:rPr>
                <w:sz w:val="20"/>
                <w:szCs w:val="20"/>
                <w:color w:val="auto"/>
              </w:rPr>
            </w:pPr>
            <w:r>
              <w:rPr>
                <w:rFonts w:ascii="Arial" w:cs="Arial" w:eastAsia="Arial" w:hAnsi="Arial"/>
                <w:sz w:val="18"/>
                <w:szCs w:val="18"/>
                <w:color w:val="auto"/>
              </w:rPr>
              <w:t>680,000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D6F3E8"/>
          </w:tcPr>
          <w:p>
            <w:pPr>
              <w:spacing w:after="0"/>
              <w:rPr>
                <w:sz w:val="20"/>
                <w:szCs w:val="20"/>
                <w:color w:val="auto"/>
              </w:rPr>
            </w:pPr>
            <w:r>
              <w:rPr>
                <w:rFonts w:ascii="Arial" w:cs="Arial" w:eastAsia="Arial" w:hAnsi="Arial"/>
                <w:sz w:val="18"/>
                <w:szCs w:val="18"/>
                <w:color w:val="auto"/>
              </w:rPr>
              <w:t>Charles City, Iowa</w:t>
            </w:r>
          </w:p>
        </w:tc>
        <w:tc>
          <w:tcPr>
            <w:tcW w:w="6520" w:type="dxa"/>
            <w:vAlign w:val="bottom"/>
            <w:gridSpan w:val="2"/>
            <w:shd w:val="clear" w:color="auto" w:fill="D6F3E8"/>
          </w:tcPr>
          <w:p>
            <w:pPr>
              <w:ind w:left="420"/>
              <w:spacing w:after="0"/>
              <w:rPr>
                <w:sz w:val="20"/>
                <w:szCs w:val="20"/>
                <w:color w:val="auto"/>
              </w:rPr>
            </w:pPr>
            <w:r>
              <w:rPr>
                <w:rFonts w:ascii="Arial" w:cs="Arial" w:eastAsia="Arial" w:hAnsi="Arial"/>
                <w:sz w:val="18"/>
                <w:szCs w:val="18"/>
                <w:color w:val="auto"/>
              </w:rPr>
              <w:t>Manufacturing</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w:t>
            </w:r>
          </w:p>
        </w:tc>
        <w:tc>
          <w:tcPr>
            <w:tcW w:w="12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Owned</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352,000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Hampton, Iowa</w:t>
            </w: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Manufacturing</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90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D6F3E8"/>
          </w:tcPr>
          <w:p>
            <w:pPr>
              <w:spacing w:after="0"/>
              <w:rPr>
                <w:sz w:val="20"/>
                <w:szCs w:val="20"/>
                <w:color w:val="auto"/>
              </w:rPr>
            </w:pPr>
            <w:r>
              <w:rPr>
                <w:rFonts w:ascii="Arial" w:cs="Arial" w:eastAsia="Arial" w:hAnsi="Arial"/>
                <w:sz w:val="18"/>
                <w:szCs w:val="18"/>
                <w:color w:val="auto"/>
              </w:rPr>
              <w:t>Hampton, Iowa</w:t>
            </w:r>
          </w:p>
        </w:tc>
        <w:tc>
          <w:tcPr>
            <w:tcW w:w="6520" w:type="dxa"/>
            <w:vAlign w:val="bottom"/>
            <w:gridSpan w:val="2"/>
            <w:shd w:val="clear" w:color="auto" w:fill="D6F3E8"/>
          </w:tcPr>
          <w:p>
            <w:pPr>
              <w:ind w:left="420"/>
              <w:spacing w:after="0"/>
              <w:rPr>
                <w:sz w:val="20"/>
                <w:szCs w:val="20"/>
                <w:color w:val="auto"/>
              </w:rPr>
            </w:pPr>
            <w:r>
              <w:rPr>
                <w:rFonts w:ascii="Arial" w:cs="Arial" w:eastAsia="Arial" w:hAnsi="Arial"/>
                <w:sz w:val="18"/>
                <w:szCs w:val="18"/>
                <w:color w:val="auto"/>
              </w:rPr>
              <w:t>Warehouse</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w:t>
            </w:r>
          </w:p>
        </w:tc>
        <w:tc>
          <w:tcPr>
            <w:tcW w:w="12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4"/>
              </w:rPr>
              <w:t>Leased</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2,792,000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lease on the Hampton facility will expire December 31, 2006. Our facilities in Forest City are located on approximately 780 acres of land, all owned by us. We lease 220,000 square feet of our warehouse facilities in Forest City to others. Most of our buildings are of steel or steel and concrete construction and are protected from fire with high-pressure sprinkler systems, dust collector systems, automatic fire doors and alarm systems. We believe that our facilities and equipment are well maintained, in excellent condition and suitable for the purposes for which they are intended. Should we require increased production capacity in the future, we believe that additional or alternative space adequate to serve our foreseeable needs would be available.</w:t>
      </w:r>
    </w:p>
    <w:p>
      <w:pPr>
        <w:spacing w:after="0" w:line="17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An unaffiliated third-party supplier of painting services (the “Supplier”) for our motor homes has leased paint facilities in Forest City, Iowa and Charles City, Iowa. We have guaranteed a portion of the lease payment obligations of the Supplier. (See Note 6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Legal Proceedings</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are involved in various legal proceedings which are ordinary routine litigation incidents to our business, some of which are covered in whole or in part by insurance. While it is impossible to estimate with certainty the ultimate legal and financial liability with respect to this litigation, we are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720" w:type="dxa"/>
            <w:vAlign w:val="bottom"/>
          </w:tcPr>
          <w:p>
            <w:pPr>
              <w:ind w:left="600"/>
              <w:spacing w:after="0"/>
              <w:rPr>
                <w:sz w:val="20"/>
                <w:szCs w:val="20"/>
                <w:color w:val="auto"/>
              </w:rPr>
            </w:pPr>
            <w:r>
              <w:rPr>
                <w:rFonts w:ascii="Arial" w:cs="Arial" w:eastAsia="Arial" w:hAnsi="Arial"/>
                <w:sz w:val="14"/>
                <w:szCs w:val="14"/>
                <w:b w:val="1"/>
                <w:bCs w:val="1"/>
                <w:color w:val="auto"/>
              </w:rPr>
              <w:t>Office (Year First Elected an Officer)</w:t>
            </w:r>
          </w:p>
        </w:tc>
        <w:tc>
          <w:tcPr>
            <w:tcW w:w="2660" w:type="dxa"/>
            <w:vAlign w:val="bottom"/>
            <w:gridSpan w:val="2"/>
          </w:tcPr>
          <w:p>
            <w:pPr>
              <w:jc w:val="center"/>
              <w:ind w:left="1394"/>
              <w:spacing w:after="0"/>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672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D6F3E8"/>
          </w:tcPr>
          <w:p>
            <w:pPr>
              <w:spacing w:after="0"/>
              <w:rPr>
                <w:sz w:val="20"/>
                <w:szCs w:val="20"/>
                <w:color w:val="auto"/>
              </w:rPr>
            </w:pPr>
            <w:r>
              <w:rPr>
                <w:rFonts w:ascii="Arial" w:cs="Arial" w:eastAsia="Arial" w:hAnsi="Arial"/>
                <w:sz w:val="18"/>
                <w:szCs w:val="18"/>
                <w:color w:val="auto"/>
              </w:rPr>
              <w:t>Bruce D. Hertzke +</w:t>
            </w:r>
          </w:p>
        </w:tc>
        <w:tc>
          <w:tcPr>
            <w:tcW w:w="6720" w:type="dxa"/>
            <w:vAlign w:val="bottom"/>
            <w:shd w:val="clear" w:color="auto" w:fill="D6F3E8"/>
          </w:tcPr>
          <w:p>
            <w:pPr>
              <w:ind w:left="600"/>
              <w:spacing w:after="0"/>
              <w:rPr>
                <w:sz w:val="20"/>
                <w:szCs w:val="20"/>
                <w:color w:val="auto"/>
              </w:rPr>
            </w:pPr>
            <w:r>
              <w:rPr>
                <w:rFonts w:ascii="Arial" w:cs="Arial" w:eastAsia="Arial" w:hAnsi="Arial"/>
                <w:sz w:val="18"/>
                <w:szCs w:val="18"/>
                <w:color w:val="auto"/>
              </w:rPr>
              <w:t>Chairman of the Board and Chief Executive Officer (1989)</w:t>
            </w:r>
          </w:p>
        </w:tc>
        <w:tc>
          <w:tcPr>
            <w:tcW w:w="2640" w:type="dxa"/>
            <w:vAlign w:val="bottom"/>
            <w:shd w:val="clear" w:color="auto" w:fill="D6F3E8"/>
          </w:tcPr>
          <w:p>
            <w:pPr>
              <w:jc w:val="center"/>
              <w:ind w:left="1414"/>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Edwin F. Barker</w:t>
            </w:r>
          </w:p>
        </w:tc>
        <w:tc>
          <w:tcPr>
            <w:tcW w:w="6720" w:type="dxa"/>
            <w:vAlign w:val="bottom"/>
          </w:tcPr>
          <w:p>
            <w:pPr>
              <w:ind w:left="600"/>
              <w:spacing w:after="0"/>
              <w:rPr>
                <w:sz w:val="20"/>
                <w:szCs w:val="20"/>
                <w:color w:val="auto"/>
              </w:rPr>
            </w:pPr>
            <w:r>
              <w:rPr>
                <w:rFonts w:ascii="Arial" w:cs="Arial" w:eastAsia="Arial" w:hAnsi="Arial"/>
                <w:sz w:val="18"/>
                <w:szCs w:val="18"/>
                <w:color w:val="auto"/>
              </w:rPr>
              <w:t>President (1980)</w:t>
            </w:r>
          </w:p>
        </w:tc>
        <w:tc>
          <w:tcPr>
            <w:tcW w:w="2640" w:type="dxa"/>
            <w:vAlign w:val="bottom"/>
          </w:tcPr>
          <w:p>
            <w:pPr>
              <w:jc w:val="center"/>
              <w:ind w:left="1414"/>
              <w:spacing w:after="0"/>
              <w:rPr>
                <w:sz w:val="20"/>
                <w:szCs w:val="20"/>
                <w:color w:val="auto"/>
              </w:rPr>
            </w:pPr>
            <w:r>
              <w:rPr>
                <w:rFonts w:ascii="Arial" w:cs="Arial" w:eastAsia="Arial" w:hAnsi="Arial"/>
                <w:sz w:val="18"/>
                <w:szCs w:val="18"/>
                <w:color w:val="auto"/>
                <w:w w:val="8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6720" w:type="dxa"/>
            <w:vAlign w:val="bottom"/>
            <w:shd w:val="clear" w:color="auto" w:fill="D6F3E8"/>
          </w:tcPr>
          <w:p>
            <w:pPr>
              <w:ind w:left="600"/>
              <w:spacing w:after="0"/>
              <w:rPr>
                <w:sz w:val="20"/>
                <w:szCs w:val="20"/>
                <w:color w:val="auto"/>
              </w:rPr>
            </w:pPr>
            <w:r>
              <w:rPr>
                <w:rFonts w:ascii="Arial" w:cs="Arial" w:eastAsia="Arial" w:hAnsi="Arial"/>
                <w:sz w:val="18"/>
                <w:szCs w:val="18"/>
                <w:color w:val="auto"/>
              </w:rPr>
              <w:t>Senior Vice President, Operations (1996)</w:t>
            </w:r>
          </w:p>
        </w:tc>
        <w:tc>
          <w:tcPr>
            <w:tcW w:w="2640" w:type="dxa"/>
            <w:vAlign w:val="bottom"/>
            <w:shd w:val="clear" w:color="auto" w:fill="D6F3E8"/>
          </w:tcPr>
          <w:p>
            <w:pPr>
              <w:jc w:val="center"/>
              <w:ind w:left="1414"/>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Raymond M. Beebe</w:t>
            </w:r>
          </w:p>
        </w:tc>
        <w:tc>
          <w:tcPr>
            <w:tcW w:w="6720" w:type="dxa"/>
            <w:vAlign w:val="bottom"/>
          </w:tcPr>
          <w:p>
            <w:pPr>
              <w:ind w:left="600"/>
              <w:spacing w:after="0"/>
              <w:rPr>
                <w:sz w:val="20"/>
                <w:szCs w:val="20"/>
                <w:color w:val="auto"/>
              </w:rPr>
            </w:pPr>
            <w:r>
              <w:rPr>
                <w:rFonts w:ascii="Arial" w:cs="Arial" w:eastAsia="Arial" w:hAnsi="Arial"/>
                <w:sz w:val="18"/>
                <w:szCs w:val="18"/>
                <w:color w:val="auto"/>
              </w:rPr>
              <w:t>Vice President, General Counsel &amp; Secretary (1974)</w:t>
            </w:r>
          </w:p>
        </w:tc>
        <w:tc>
          <w:tcPr>
            <w:tcW w:w="2640" w:type="dxa"/>
            <w:vAlign w:val="bottom"/>
          </w:tcPr>
          <w:p>
            <w:pPr>
              <w:jc w:val="center"/>
              <w:ind w:left="1414"/>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D6F3E8"/>
          </w:tcPr>
          <w:p>
            <w:pPr>
              <w:spacing w:after="0"/>
              <w:rPr>
                <w:sz w:val="20"/>
                <w:szCs w:val="20"/>
                <w:color w:val="auto"/>
              </w:rPr>
            </w:pPr>
            <w:r>
              <w:rPr>
                <w:rFonts w:ascii="Arial" w:cs="Arial" w:eastAsia="Arial" w:hAnsi="Arial"/>
                <w:sz w:val="18"/>
                <w:szCs w:val="18"/>
                <w:color w:val="auto"/>
              </w:rPr>
              <w:t>Robert L. Gossett</w:t>
            </w:r>
          </w:p>
        </w:tc>
        <w:tc>
          <w:tcPr>
            <w:tcW w:w="6720" w:type="dxa"/>
            <w:vAlign w:val="bottom"/>
            <w:shd w:val="clear" w:color="auto" w:fill="D6F3E8"/>
          </w:tcPr>
          <w:p>
            <w:pPr>
              <w:ind w:left="600"/>
              <w:spacing w:after="0"/>
              <w:rPr>
                <w:sz w:val="20"/>
                <w:szCs w:val="20"/>
                <w:color w:val="auto"/>
              </w:rPr>
            </w:pPr>
            <w:r>
              <w:rPr>
                <w:rFonts w:ascii="Arial" w:cs="Arial" w:eastAsia="Arial" w:hAnsi="Arial"/>
                <w:sz w:val="18"/>
                <w:szCs w:val="18"/>
                <w:color w:val="auto"/>
              </w:rPr>
              <w:t>Vice President, Administration (1998)</w:t>
            </w:r>
          </w:p>
        </w:tc>
        <w:tc>
          <w:tcPr>
            <w:tcW w:w="2640" w:type="dxa"/>
            <w:vAlign w:val="bottom"/>
            <w:shd w:val="clear" w:color="auto" w:fill="D6F3E8"/>
          </w:tcPr>
          <w:p>
            <w:pPr>
              <w:jc w:val="center"/>
              <w:ind w:left="1414"/>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Roger W. Martin</w:t>
            </w:r>
          </w:p>
        </w:tc>
        <w:tc>
          <w:tcPr>
            <w:tcW w:w="6720" w:type="dxa"/>
            <w:vAlign w:val="bottom"/>
          </w:tcPr>
          <w:p>
            <w:pPr>
              <w:ind w:left="600"/>
              <w:spacing w:after="0"/>
              <w:rPr>
                <w:sz w:val="20"/>
                <w:szCs w:val="20"/>
                <w:color w:val="auto"/>
              </w:rPr>
            </w:pPr>
            <w:r>
              <w:rPr>
                <w:rFonts w:ascii="Arial" w:cs="Arial" w:eastAsia="Arial" w:hAnsi="Arial"/>
                <w:sz w:val="18"/>
                <w:szCs w:val="18"/>
                <w:color w:val="auto"/>
              </w:rPr>
              <w:t>Vice President, Sales and Marketing (2003)</w:t>
            </w:r>
          </w:p>
        </w:tc>
        <w:tc>
          <w:tcPr>
            <w:tcW w:w="2640" w:type="dxa"/>
            <w:vAlign w:val="bottom"/>
          </w:tcPr>
          <w:p>
            <w:pPr>
              <w:jc w:val="center"/>
              <w:ind w:left="1414"/>
              <w:spacing w:after="0"/>
              <w:rPr>
                <w:sz w:val="20"/>
                <w:szCs w:val="20"/>
                <w:color w:val="auto"/>
              </w:rPr>
            </w:pPr>
            <w:r>
              <w:rPr>
                <w:rFonts w:ascii="Arial" w:cs="Arial" w:eastAsia="Arial" w:hAnsi="Arial"/>
                <w:sz w:val="18"/>
                <w:szCs w:val="18"/>
                <w:color w:val="auto"/>
                <w:w w:val="89"/>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D6F3E8"/>
          </w:tcPr>
          <w:p>
            <w:pPr>
              <w:spacing w:after="0"/>
              <w:rPr>
                <w:sz w:val="20"/>
                <w:szCs w:val="20"/>
                <w:color w:val="auto"/>
              </w:rPr>
            </w:pPr>
            <w:r>
              <w:rPr>
                <w:rFonts w:ascii="Arial" w:cs="Arial" w:eastAsia="Arial" w:hAnsi="Arial"/>
                <w:sz w:val="18"/>
                <w:szCs w:val="18"/>
                <w:color w:val="auto"/>
              </w:rPr>
              <w:t>Sarah N. Nielsen</w:t>
            </w:r>
          </w:p>
        </w:tc>
        <w:tc>
          <w:tcPr>
            <w:tcW w:w="6720" w:type="dxa"/>
            <w:vAlign w:val="bottom"/>
            <w:shd w:val="clear" w:color="auto" w:fill="D6F3E8"/>
          </w:tcPr>
          <w:p>
            <w:pPr>
              <w:ind w:left="600"/>
              <w:spacing w:after="0"/>
              <w:rPr>
                <w:sz w:val="20"/>
                <w:szCs w:val="20"/>
                <w:color w:val="auto"/>
              </w:rPr>
            </w:pPr>
            <w:r>
              <w:rPr>
                <w:rFonts w:ascii="Arial" w:cs="Arial" w:eastAsia="Arial" w:hAnsi="Arial"/>
                <w:sz w:val="18"/>
                <w:szCs w:val="18"/>
                <w:color w:val="auto"/>
              </w:rPr>
              <w:t>Vice President, Chief Financial Officer (2005)</w:t>
            </w:r>
          </w:p>
        </w:tc>
        <w:tc>
          <w:tcPr>
            <w:tcW w:w="2640" w:type="dxa"/>
            <w:vAlign w:val="bottom"/>
            <w:shd w:val="clear" w:color="auto" w:fill="D6F3E8"/>
          </w:tcPr>
          <w:p>
            <w:pPr>
              <w:jc w:val="center"/>
              <w:ind w:left="1414"/>
              <w:spacing w:after="0"/>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William J. O’Leary</w:t>
            </w:r>
          </w:p>
        </w:tc>
        <w:tc>
          <w:tcPr>
            <w:tcW w:w="6720" w:type="dxa"/>
            <w:vAlign w:val="bottom"/>
          </w:tcPr>
          <w:p>
            <w:pPr>
              <w:ind w:left="600"/>
              <w:spacing w:after="0"/>
              <w:rPr>
                <w:sz w:val="20"/>
                <w:szCs w:val="20"/>
                <w:color w:val="auto"/>
              </w:rPr>
            </w:pPr>
            <w:r>
              <w:rPr>
                <w:rFonts w:ascii="Arial" w:cs="Arial" w:eastAsia="Arial" w:hAnsi="Arial"/>
                <w:sz w:val="18"/>
                <w:szCs w:val="18"/>
                <w:color w:val="auto"/>
              </w:rPr>
              <w:t>Vice President, Product Development (2001)</w:t>
            </w:r>
          </w:p>
        </w:tc>
        <w:tc>
          <w:tcPr>
            <w:tcW w:w="2640" w:type="dxa"/>
            <w:vAlign w:val="bottom"/>
          </w:tcPr>
          <w:p>
            <w:pPr>
              <w:jc w:val="center"/>
              <w:ind w:left="1414"/>
              <w:spacing w:after="0"/>
              <w:rPr>
                <w:sz w:val="20"/>
                <w:szCs w:val="20"/>
                <w:color w:val="auto"/>
              </w:rPr>
            </w:pPr>
            <w:r>
              <w:rPr>
                <w:rFonts w:ascii="Arial" w:cs="Arial" w:eastAsia="Arial" w:hAnsi="Arial"/>
                <w:sz w:val="18"/>
                <w:szCs w:val="18"/>
                <w:color w:val="auto"/>
                <w:w w:val="89"/>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D6F3E8"/>
          </w:tcPr>
          <w:p>
            <w:pPr>
              <w:spacing w:after="0"/>
              <w:rPr>
                <w:sz w:val="20"/>
                <w:szCs w:val="20"/>
                <w:color w:val="auto"/>
              </w:rPr>
            </w:pPr>
            <w:r>
              <w:rPr>
                <w:rFonts w:ascii="Arial" w:cs="Arial" w:eastAsia="Arial" w:hAnsi="Arial"/>
                <w:sz w:val="18"/>
                <w:szCs w:val="18"/>
                <w:color w:val="auto"/>
              </w:rPr>
              <w:t>Randy J. Potts</w:t>
            </w:r>
          </w:p>
        </w:tc>
        <w:tc>
          <w:tcPr>
            <w:tcW w:w="6720" w:type="dxa"/>
            <w:vAlign w:val="bottom"/>
            <w:shd w:val="clear" w:color="auto" w:fill="D6F3E8"/>
          </w:tcPr>
          <w:p>
            <w:pPr>
              <w:ind w:left="600"/>
              <w:spacing w:after="0"/>
              <w:rPr>
                <w:sz w:val="20"/>
                <w:szCs w:val="20"/>
                <w:color w:val="auto"/>
              </w:rPr>
            </w:pPr>
            <w:r>
              <w:rPr>
                <w:rFonts w:ascii="Arial" w:cs="Arial" w:eastAsia="Arial" w:hAnsi="Arial"/>
                <w:sz w:val="18"/>
                <w:szCs w:val="18"/>
                <w:color w:val="auto"/>
              </w:rPr>
              <w:t>Vice President, Manufacturing (2006)</w:t>
            </w:r>
          </w:p>
        </w:tc>
        <w:tc>
          <w:tcPr>
            <w:tcW w:w="2640" w:type="dxa"/>
            <w:vAlign w:val="bottom"/>
            <w:shd w:val="clear" w:color="auto" w:fill="D6F3E8"/>
          </w:tcPr>
          <w:p>
            <w:pPr>
              <w:jc w:val="center"/>
              <w:ind w:left="1414"/>
              <w:spacing w:after="0"/>
              <w:rPr>
                <w:sz w:val="20"/>
                <w:szCs w:val="20"/>
                <w:color w:val="auto"/>
              </w:rPr>
            </w:pPr>
            <w:r>
              <w:rPr>
                <w:rFonts w:ascii="Arial" w:cs="Arial" w:eastAsia="Arial" w:hAnsi="Arial"/>
                <w:sz w:val="18"/>
                <w:szCs w:val="18"/>
                <w:color w:val="auto"/>
                <w:w w:val="89"/>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Brian J. Hrubes</w:t>
            </w:r>
          </w:p>
        </w:tc>
        <w:tc>
          <w:tcPr>
            <w:tcW w:w="6720" w:type="dxa"/>
            <w:vAlign w:val="bottom"/>
          </w:tcPr>
          <w:p>
            <w:pPr>
              <w:ind w:left="600"/>
              <w:spacing w:after="0"/>
              <w:rPr>
                <w:sz w:val="20"/>
                <w:szCs w:val="20"/>
                <w:color w:val="auto"/>
              </w:rPr>
            </w:pPr>
            <w:r>
              <w:rPr>
                <w:rFonts w:ascii="Arial" w:cs="Arial" w:eastAsia="Arial" w:hAnsi="Arial"/>
                <w:sz w:val="18"/>
                <w:szCs w:val="18"/>
                <w:color w:val="auto"/>
              </w:rPr>
              <w:t>Controller (1996)</w:t>
            </w:r>
          </w:p>
        </w:tc>
        <w:tc>
          <w:tcPr>
            <w:tcW w:w="2640" w:type="dxa"/>
            <w:vAlign w:val="bottom"/>
          </w:tcPr>
          <w:p>
            <w:pPr>
              <w:jc w:val="center"/>
              <w:ind w:left="1414"/>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D6F3E8"/>
          </w:tcPr>
          <w:p>
            <w:pPr>
              <w:spacing w:after="0"/>
              <w:rPr>
                <w:sz w:val="20"/>
                <w:szCs w:val="20"/>
                <w:color w:val="auto"/>
              </w:rPr>
            </w:pPr>
            <w:r>
              <w:rPr>
                <w:rFonts w:ascii="Arial" w:cs="Arial" w:eastAsia="Arial" w:hAnsi="Arial"/>
                <w:sz w:val="18"/>
                <w:szCs w:val="18"/>
                <w:color w:val="auto"/>
              </w:rPr>
              <w:t>Joseph L. Soczek, Jr.</w:t>
            </w:r>
          </w:p>
        </w:tc>
        <w:tc>
          <w:tcPr>
            <w:tcW w:w="6720" w:type="dxa"/>
            <w:vAlign w:val="bottom"/>
            <w:shd w:val="clear" w:color="auto" w:fill="D6F3E8"/>
          </w:tcPr>
          <w:p>
            <w:pPr>
              <w:ind w:left="600"/>
              <w:spacing w:after="0"/>
              <w:rPr>
                <w:sz w:val="20"/>
                <w:szCs w:val="20"/>
                <w:color w:val="auto"/>
              </w:rPr>
            </w:pPr>
            <w:r>
              <w:rPr>
                <w:rFonts w:ascii="Arial" w:cs="Arial" w:eastAsia="Arial" w:hAnsi="Arial"/>
                <w:sz w:val="18"/>
                <w:szCs w:val="18"/>
                <w:color w:val="auto"/>
              </w:rPr>
              <w:t>Treasurer (1996)</w:t>
            </w:r>
          </w:p>
        </w:tc>
        <w:tc>
          <w:tcPr>
            <w:tcW w:w="2640" w:type="dxa"/>
            <w:vAlign w:val="bottom"/>
            <w:shd w:val="clear" w:color="auto" w:fill="D6F3E8"/>
          </w:tcPr>
          <w:p>
            <w:pPr>
              <w:jc w:val="center"/>
              <w:ind w:left="1414"/>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Director</w:t>
      </w:r>
    </w:p>
    <w:p>
      <w:pPr>
        <w:sectPr>
          <w:pgSz w:w="11900" w:h="16838" w:orient="portrait"/>
          <w:cols w:equalWidth="0" w:num="1">
            <w:col w:w="11440"/>
          </w:cols>
          <w:pgMar w:left="240" w:top="131" w:right="21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Officers are elected annually by the Board of Directors. There are no family relationships between or among any of the Executive Officers or Directors of the Company.</w:t>
      </w:r>
    </w:p>
    <w:p>
      <w:pPr>
        <w:spacing w:after="0" w:line="18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Mr. Hertzke has over 35 years of experience with Winnebago Industries. He has been Chairman and Chief Executive Officer since 1998. He also served as President from 1996 to 2005. He was elected to the position of Chief Operating Officer (COO) in June 1995 and also served as Senior Vice President, COO from December 1995 to July 1996. Mr. Hertzke served a variety of management positions since joining the Company as an hourly employee in 1971.</w:t>
      </w:r>
    </w:p>
    <w:p>
      <w:pPr>
        <w:spacing w:after="0" w:line="16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Mr. Barker has over 37 years of experience with Winnebago Industries. He has been President since May 2005. In addition, he also served as Chief Financial Officer (CFO) until November 2005. Mr. Barker served as Senior Vice President, CFO from January 2003 until May 2005. He served as Vice President, CFO from 1989 to January 2003. He held a variety of management positions since joining the Company in 1969 as a cost accountant.</w:t>
      </w:r>
    </w:p>
    <w:p>
      <w:pPr>
        <w:spacing w:after="0" w:line="16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Mr. Olson has over 37 years of experience with Winnebago Industries. He has been Senior Vice President, Operations since January 2006. He served as Vice President, Manufacturing from August 1996 to January 2006. He served a variety of management and material handling positions since joining the Company as an hourly production employee in 1969.</w:t>
      </w:r>
    </w:p>
    <w:p>
      <w:pPr>
        <w:spacing w:after="0" w:line="19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Mr. Beebe has over 32 years of experience with Winnebago Industries. He has been Vice President, General Counsel and Secretary since 1986. He joined the Company as Secretary and General Counsel in 1974. Prior to joining the Company, Mr. Beebe was partner in the Law Firm of Cooper, Sinnard and Beebe; Assistant Attorney General for the State of Iowa; and Associate in the Law Firm of Jones, Cambridge and Carl.</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Gossett has over seven years of experience with Winnebago Industries. He has been Vice President, Administration since joining the Company in 1998. Prior to joining Winnebago Industries, Mr. Gossett served as Vice President of Human Resources and Administration for TCB, Inc. and served in various human resource and personnel positions with Newell Corporation, Anchor Hocking Division.</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Martin has over 12 years of experience with Winnebago Industries. He has been Vice President, Sales and Marketing since February 2003. He joined the Company as Director of Marketing in 1994. Prior to joining Winnebago Industries, he was employed as Account Supervisor for Carlson Marketing Group and as the Advertising and Sales Promotion Manager for Steiger Tractor, Inc.</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Ms. Nielsen has one year of experience with Winnebago Industries. She has been Vice President, Chief Financial Officer since November 2005. Ms. Nielsen joined the Company in August 2005 as Director of Special Projects and Training. Prior to joining Winnebago Industries, she was employed by Deloitte &amp; Touche LLP since 1995, most recently in the position of Assurance and Advisory Services Senior Manager since 2003 and a Manager since 2000.</w:t>
      </w:r>
    </w:p>
    <w:p>
      <w:pPr>
        <w:spacing w:after="0" w:line="16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Mr. O’Leary has over 34 years of experience with Winnebago Industries. He has been Vice President, Product Development since June 2001. He served as Director of Product Planning from February 1997 to June 2001 and as Director of Product Sales from January 1988 to February 1997. He has held several management positions since joining the Company in 1972 as an hourly production employee.</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Potts has over 23 years of experience with Winnebago Industries. He was elected Vice President, Manufacturing in October 2006. He served as Director of Manufacturing from February 2006 to October 2006. Prior to that time, he served as general manager of Manufacturing Services and various other manufacturing and engineering supervisory positions. He joined the Company in 1983 as a senior tool designer.</w:t>
      </w:r>
    </w:p>
    <w:p>
      <w:pPr>
        <w:spacing w:after="0" w:line="194"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Mr. Hrubes has over 35 years of experience with Winnebago Industries. He has been Controller since December 1996. He served as the General Accounting Manager from July 1983 to December 1996 and has held various positions in the finance area since joining the Company in 1971 as an accountant.</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Mr. Soczek has over 31 years of experience with Winnebago Industries. He has been Treasurer since December 1996. He served as Risk Manager from July 1989 to December 1996 and held several management positions since joining the Company in 1975 as a warranty auditor.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Market for the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Chicago and NYSE Arca Exchanges and our ticker symbol is WGO.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Below are the New York Stock Exchange high, low and closing prices of Winnebago Industries, Inc. stock for each quarter of Fiscal 2006 and Fiscal 2005.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Fiscal 2006</w:t>
            </w:r>
          </w:p>
        </w:tc>
        <w:tc>
          <w:tcPr>
            <w:tcW w:w="660" w:type="dxa"/>
            <w:vAlign w:val="bottom"/>
          </w:tcPr>
          <w:p>
            <w:pPr>
              <w:spacing w:after="0"/>
              <w:rPr>
                <w:sz w:val="15"/>
                <w:szCs w:val="15"/>
                <w:color w:val="auto"/>
              </w:rPr>
            </w:pPr>
          </w:p>
        </w:tc>
        <w:tc>
          <w:tcPr>
            <w:tcW w:w="880" w:type="dxa"/>
            <w:vAlign w:val="bottom"/>
          </w:tcPr>
          <w:p>
            <w:pPr>
              <w:jc w:val="right"/>
              <w:ind w:right="416"/>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15"/>
                <w:szCs w:val="15"/>
                <w:color w:val="auto"/>
              </w:rPr>
            </w:pPr>
          </w:p>
        </w:tc>
        <w:tc>
          <w:tcPr>
            <w:tcW w:w="800" w:type="dxa"/>
            <w:vAlign w:val="bottom"/>
          </w:tcPr>
          <w:p>
            <w:pPr>
              <w:jc w:val="right"/>
              <w:ind w:right="356"/>
              <w:spacing w:after="0"/>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5"/>
                <w:szCs w:val="15"/>
                <w:color w:val="auto"/>
              </w:rPr>
            </w:pPr>
          </w:p>
        </w:tc>
        <w:tc>
          <w:tcPr>
            <w:tcW w:w="860" w:type="dxa"/>
            <w:vAlign w:val="bottom"/>
          </w:tcPr>
          <w:p>
            <w:pPr>
              <w:jc w:val="right"/>
              <w:ind w:right="376"/>
              <w:spacing w:after="0"/>
              <w:rPr>
                <w:sz w:val="20"/>
                <w:szCs w:val="20"/>
                <w:color w:val="auto"/>
              </w:rPr>
            </w:pPr>
            <w:r>
              <w:rPr>
                <w:rFonts w:ascii="Arial" w:cs="Arial" w:eastAsia="Arial" w:hAnsi="Arial"/>
                <w:sz w:val="14"/>
                <w:szCs w:val="14"/>
                <w:b w:val="1"/>
                <w:bCs w:val="1"/>
                <w:color w:val="auto"/>
                <w:w w:val="99"/>
              </w:rPr>
              <w:t>Close</w:t>
            </w:r>
          </w:p>
        </w:tc>
        <w:tc>
          <w:tcPr>
            <w:tcW w:w="1880" w:type="dxa"/>
            <w:vAlign w:val="bottom"/>
          </w:tcPr>
          <w:p>
            <w:pPr>
              <w:ind w:left="180"/>
              <w:spacing w:after="0"/>
              <w:rPr>
                <w:sz w:val="20"/>
                <w:szCs w:val="20"/>
                <w:color w:val="auto"/>
              </w:rPr>
            </w:pPr>
            <w:r>
              <w:rPr>
                <w:rFonts w:ascii="Arial" w:cs="Arial" w:eastAsia="Arial" w:hAnsi="Arial"/>
                <w:sz w:val="14"/>
                <w:szCs w:val="14"/>
                <w:b w:val="1"/>
                <w:bCs w:val="1"/>
                <w:color w:val="auto"/>
              </w:rPr>
              <w:t>Fiscal 2005</w:t>
            </w:r>
          </w:p>
        </w:tc>
        <w:tc>
          <w:tcPr>
            <w:tcW w:w="780" w:type="dxa"/>
            <w:vAlign w:val="bottom"/>
          </w:tcPr>
          <w:p>
            <w:pPr>
              <w:spacing w:after="0"/>
              <w:rPr>
                <w:sz w:val="15"/>
                <w:szCs w:val="15"/>
                <w:color w:val="auto"/>
              </w:rPr>
            </w:pPr>
          </w:p>
        </w:tc>
        <w:tc>
          <w:tcPr>
            <w:tcW w:w="820" w:type="dxa"/>
            <w:vAlign w:val="bottom"/>
          </w:tcPr>
          <w:p>
            <w:pPr>
              <w:jc w:val="right"/>
              <w:ind w:right="356"/>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5"/>
                <w:szCs w:val="15"/>
                <w:color w:val="auto"/>
              </w:rPr>
            </w:pPr>
          </w:p>
        </w:tc>
        <w:tc>
          <w:tcPr>
            <w:tcW w:w="900" w:type="dxa"/>
            <w:vAlign w:val="bottom"/>
          </w:tcPr>
          <w:p>
            <w:pPr>
              <w:jc w:val="right"/>
              <w:ind w:right="416"/>
              <w:spacing w:after="0"/>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Close</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First Quarter</w:t>
            </w:r>
          </w:p>
        </w:tc>
        <w:tc>
          <w:tcPr>
            <w:tcW w:w="660" w:type="dxa"/>
            <w:vAlign w:val="bottom"/>
            <w:shd w:val="clear" w:color="auto" w:fill="D6F3E8"/>
          </w:tcPr>
          <w:p>
            <w:pPr>
              <w:jc w:val="right"/>
              <w:ind w:right="12"/>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D6F3E8"/>
          </w:tcPr>
          <w:p>
            <w:pPr>
              <w:jc w:val="right"/>
              <w:ind w:right="116"/>
              <w:spacing w:after="0"/>
              <w:rPr>
                <w:sz w:val="20"/>
                <w:szCs w:val="20"/>
                <w:color w:val="auto"/>
              </w:rPr>
            </w:pPr>
            <w:r>
              <w:rPr>
                <w:rFonts w:ascii="Arial" w:cs="Arial" w:eastAsia="Arial" w:hAnsi="Arial"/>
                <w:sz w:val="18"/>
                <w:szCs w:val="18"/>
                <w:b w:val="1"/>
                <w:bCs w:val="1"/>
                <w:color w:val="auto"/>
              </w:rPr>
              <w:t>33.15</w:t>
            </w:r>
          </w:p>
        </w:tc>
        <w:tc>
          <w:tcPr>
            <w:tcW w:w="380" w:type="dxa"/>
            <w:vAlign w:val="bottom"/>
            <w:shd w:val="clear" w:color="auto" w:fill="D6F3E8"/>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D6F3E8"/>
          </w:tcPr>
          <w:p>
            <w:pPr>
              <w:jc w:val="right"/>
              <w:ind w:right="36"/>
              <w:spacing w:after="0"/>
              <w:rPr>
                <w:sz w:val="20"/>
                <w:szCs w:val="20"/>
                <w:color w:val="auto"/>
              </w:rPr>
            </w:pPr>
            <w:r>
              <w:rPr>
                <w:rFonts w:ascii="Arial" w:cs="Arial" w:eastAsia="Arial" w:hAnsi="Arial"/>
                <w:sz w:val="18"/>
                <w:szCs w:val="18"/>
                <w:b w:val="1"/>
                <w:bCs w:val="1"/>
                <w:color w:val="auto"/>
              </w:rPr>
              <w:t>26.14</w:t>
            </w:r>
          </w:p>
        </w:tc>
        <w:tc>
          <w:tcPr>
            <w:tcW w:w="320" w:type="dxa"/>
            <w:vAlign w:val="bottom"/>
            <w:shd w:val="clear" w:color="auto" w:fill="D6F3E8"/>
          </w:tcPr>
          <w:p>
            <w:pPr>
              <w:jc w:val="right"/>
              <w:ind w:right="12"/>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6F3E8"/>
          </w:tcPr>
          <w:p>
            <w:pPr>
              <w:jc w:val="right"/>
              <w:ind w:right="96"/>
              <w:spacing w:after="0"/>
              <w:rPr>
                <w:sz w:val="20"/>
                <w:szCs w:val="20"/>
                <w:color w:val="auto"/>
              </w:rPr>
            </w:pPr>
            <w:r>
              <w:rPr>
                <w:rFonts w:ascii="Arial" w:cs="Arial" w:eastAsia="Arial" w:hAnsi="Arial"/>
                <w:sz w:val="18"/>
                <w:szCs w:val="18"/>
                <w:b w:val="1"/>
                <w:bCs w:val="1"/>
                <w:color w:val="auto"/>
              </w:rPr>
              <w:t>32.50</w:t>
            </w:r>
          </w:p>
        </w:tc>
        <w:tc>
          <w:tcPr>
            <w:tcW w:w="18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First Quarter</w:t>
            </w:r>
          </w:p>
        </w:tc>
        <w:tc>
          <w:tcPr>
            <w:tcW w:w="78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ind w:right="56"/>
              <w:spacing w:after="0"/>
              <w:rPr>
                <w:sz w:val="20"/>
                <w:szCs w:val="20"/>
                <w:color w:val="auto"/>
              </w:rPr>
            </w:pPr>
            <w:r>
              <w:rPr>
                <w:rFonts w:ascii="Arial" w:cs="Arial" w:eastAsia="Arial" w:hAnsi="Arial"/>
                <w:sz w:val="18"/>
                <w:szCs w:val="18"/>
                <w:color w:val="auto"/>
              </w:rPr>
              <w:t>39.25</w:t>
            </w:r>
          </w:p>
        </w:tc>
        <w:tc>
          <w:tcPr>
            <w:tcW w:w="3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29.74</w:t>
            </w:r>
          </w:p>
        </w:tc>
        <w:tc>
          <w:tcPr>
            <w:tcW w:w="32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38.25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Second Quarter</w:t>
            </w:r>
          </w:p>
        </w:tc>
        <w:tc>
          <w:tcPr>
            <w:tcW w:w="660" w:type="dxa"/>
            <w:vAlign w:val="bottom"/>
          </w:tcPr>
          <w:p>
            <w:pPr>
              <w:spacing w:after="0"/>
              <w:rPr>
                <w:sz w:val="18"/>
                <w:szCs w:val="18"/>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b w:val="1"/>
                <w:bCs w:val="1"/>
                <w:color w:val="auto"/>
              </w:rPr>
              <w:t>35.94</w:t>
            </w:r>
          </w:p>
        </w:tc>
        <w:tc>
          <w:tcPr>
            <w:tcW w:w="38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b w:val="1"/>
                <w:bCs w:val="1"/>
                <w:color w:val="auto"/>
              </w:rPr>
              <w:t>30.38</w:t>
            </w:r>
          </w:p>
        </w:tc>
        <w:tc>
          <w:tcPr>
            <w:tcW w:w="320" w:type="dxa"/>
            <w:vAlign w:val="bottom"/>
          </w:tcPr>
          <w:p>
            <w:pPr>
              <w:spacing w:after="0"/>
              <w:rPr>
                <w:sz w:val="18"/>
                <w:szCs w:val="18"/>
                <w:color w:val="auto"/>
              </w:rPr>
            </w:pPr>
          </w:p>
        </w:tc>
        <w:tc>
          <w:tcPr>
            <w:tcW w:w="860" w:type="dxa"/>
            <w:vAlign w:val="bottom"/>
          </w:tcPr>
          <w:p>
            <w:pPr>
              <w:jc w:val="right"/>
              <w:ind w:right="96"/>
              <w:spacing w:after="0"/>
              <w:rPr>
                <w:sz w:val="20"/>
                <w:szCs w:val="20"/>
                <w:color w:val="auto"/>
              </w:rPr>
            </w:pPr>
            <w:r>
              <w:rPr>
                <w:rFonts w:ascii="Arial" w:cs="Arial" w:eastAsia="Arial" w:hAnsi="Arial"/>
                <w:sz w:val="18"/>
                <w:szCs w:val="18"/>
                <w:b w:val="1"/>
                <w:bCs w:val="1"/>
                <w:color w:val="auto"/>
              </w:rPr>
              <w:t>31.36</w:t>
            </w:r>
          </w:p>
        </w:tc>
        <w:tc>
          <w:tcPr>
            <w:tcW w:w="18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78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40.64</w:t>
            </w:r>
          </w:p>
        </w:tc>
        <w:tc>
          <w:tcPr>
            <w:tcW w:w="34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33.64</w:t>
            </w:r>
          </w:p>
        </w:tc>
        <w:tc>
          <w:tcPr>
            <w:tcW w:w="32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34.90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Third Quarter</w:t>
            </w:r>
          </w:p>
        </w:tc>
        <w:tc>
          <w:tcPr>
            <w:tcW w:w="66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116"/>
              <w:spacing w:after="0"/>
              <w:rPr>
                <w:sz w:val="20"/>
                <w:szCs w:val="20"/>
                <w:color w:val="auto"/>
              </w:rPr>
            </w:pPr>
            <w:r>
              <w:rPr>
                <w:rFonts w:ascii="Arial" w:cs="Arial" w:eastAsia="Arial" w:hAnsi="Arial"/>
                <w:sz w:val="18"/>
                <w:szCs w:val="18"/>
                <w:b w:val="1"/>
                <w:bCs w:val="1"/>
                <w:color w:val="auto"/>
              </w:rPr>
              <w:t>34.44</w:t>
            </w:r>
          </w:p>
        </w:tc>
        <w:tc>
          <w:tcPr>
            <w:tcW w:w="380" w:type="dxa"/>
            <w:vAlign w:val="bottom"/>
            <w:shd w:val="clear" w:color="auto" w:fill="D6F3E8"/>
          </w:tcPr>
          <w:p>
            <w:pPr>
              <w:spacing w:after="0"/>
              <w:rPr>
                <w:sz w:val="18"/>
                <w:szCs w:val="18"/>
                <w:color w:val="auto"/>
              </w:rPr>
            </w:pPr>
          </w:p>
        </w:tc>
        <w:tc>
          <w:tcPr>
            <w:tcW w:w="800" w:type="dxa"/>
            <w:vAlign w:val="bottom"/>
            <w:shd w:val="clear" w:color="auto" w:fill="D6F3E8"/>
          </w:tcPr>
          <w:p>
            <w:pPr>
              <w:jc w:val="right"/>
              <w:ind w:right="36"/>
              <w:spacing w:after="0"/>
              <w:rPr>
                <w:sz w:val="20"/>
                <w:szCs w:val="20"/>
                <w:color w:val="auto"/>
              </w:rPr>
            </w:pPr>
            <w:r>
              <w:rPr>
                <w:rFonts w:ascii="Arial" w:cs="Arial" w:eastAsia="Arial" w:hAnsi="Arial"/>
                <w:sz w:val="18"/>
                <w:szCs w:val="18"/>
                <w:b w:val="1"/>
                <w:bCs w:val="1"/>
                <w:color w:val="auto"/>
              </w:rPr>
              <w:t>28.05</w:t>
            </w:r>
          </w:p>
        </w:tc>
        <w:tc>
          <w:tcPr>
            <w:tcW w:w="32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96"/>
              <w:spacing w:after="0"/>
              <w:rPr>
                <w:sz w:val="20"/>
                <w:szCs w:val="20"/>
                <w:color w:val="auto"/>
              </w:rPr>
            </w:pPr>
            <w:r>
              <w:rPr>
                <w:rFonts w:ascii="Arial" w:cs="Arial" w:eastAsia="Arial" w:hAnsi="Arial"/>
                <w:sz w:val="18"/>
                <w:szCs w:val="18"/>
                <w:b w:val="1"/>
                <w:bCs w:val="1"/>
                <w:color w:val="auto"/>
              </w:rPr>
              <w:t>29.14</w:t>
            </w:r>
          </w:p>
        </w:tc>
        <w:tc>
          <w:tcPr>
            <w:tcW w:w="18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Third Quarter</w:t>
            </w:r>
          </w:p>
        </w:tc>
        <w:tc>
          <w:tcPr>
            <w:tcW w:w="78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56"/>
              <w:spacing w:after="0"/>
              <w:rPr>
                <w:sz w:val="20"/>
                <w:szCs w:val="20"/>
                <w:color w:val="auto"/>
              </w:rPr>
            </w:pPr>
            <w:r>
              <w:rPr>
                <w:rFonts w:ascii="Arial" w:cs="Arial" w:eastAsia="Arial" w:hAnsi="Arial"/>
                <w:sz w:val="18"/>
                <w:szCs w:val="18"/>
                <w:color w:val="auto"/>
              </w:rPr>
              <w:t>37.14</w:t>
            </w:r>
          </w:p>
        </w:tc>
        <w:tc>
          <w:tcPr>
            <w:tcW w:w="34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28.32</w:t>
            </w:r>
          </w:p>
        </w:tc>
        <w:tc>
          <w:tcPr>
            <w:tcW w:w="320" w:type="dxa"/>
            <w:vAlign w:val="bottom"/>
            <w:shd w:val="clear" w:color="auto" w:fill="D6F3E8"/>
          </w:tcPr>
          <w:p>
            <w:pPr>
              <w:spacing w:after="0"/>
              <w:rPr>
                <w:sz w:val="18"/>
                <w:szCs w:val="18"/>
                <w:color w:val="auto"/>
              </w:rPr>
            </w:pPr>
          </w:p>
        </w:tc>
        <w:tc>
          <w:tcPr>
            <w:tcW w:w="8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32.88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Fourth Quarter</w:t>
            </w:r>
          </w:p>
        </w:tc>
        <w:tc>
          <w:tcPr>
            <w:tcW w:w="660" w:type="dxa"/>
            <w:vAlign w:val="bottom"/>
          </w:tcPr>
          <w:p>
            <w:pPr>
              <w:spacing w:after="0"/>
              <w:rPr>
                <w:sz w:val="19"/>
                <w:szCs w:val="19"/>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b w:val="1"/>
                <w:bCs w:val="1"/>
                <w:color w:val="auto"/>
              </w:rPr>
              <w:t>31.78</w:t>
            </w:r>
          </w:p>
        </w:tc>
        <w:tc>
          <w:tcPr>
            <w:tcW w:w="38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b w:val="1"/>
                <w:bCs w:val="1"/>
                <w:color w:val="auto"/>
              </w:rPr>
              <w:t>26.90</w:t>
            </w:r>
          </w:p>
        </w:tc>
        <w:tc>
          <w:tcPr>
            <w:tcW w:w="320" w:type="dxa"/>
            <w:vAlign w:val="bottom"/>
          </w:tcPr>
          <w:p>
            <w:pPr>
              <w:spacing w:after="0"/>
              <w:rPr>
                <w:sz w:val="19"/>
                <w:szCs w:val="19"/>
                <w:color w:val="auto"/>
              </w:rPr>
            </w:pPr>
          </w:p>
        </w:tc>
        <w:tc>
          <w:tcPr>
            <w:tcW w:w="860" w:type="dxa"/>
            <w:vAlign w:val="bottom"/>
          </w:tcPr>
          <w:p>
            <w:pPr>
              <w:jc w:val="right"/>
              <w:ind w:right="96"/>
              <w:spacing w:after="0"/>
              <w:rPr>
                <w:sz w:val="20"/>
                <w:szCs w:val="20"/>
                <w:color w:val="auto"/>
              </w:rPr>
            </w:pPr>
            <w:r>
              <w:rPr>
                <w:rFonts w:ascii="Arial" w:cs="Arial" w:eastAsia="Arial" w:hAnsi="Arial"/>
                <w:sz w:val="18"/>
                <w:szCs w:val="18"/>
                <w:b w:val="1"/>
                <w:bCs w:val="1"/>
                <w:color w:val="auto"/>
              </w:rPr>
              <w:t>28.41</w:t>
            </w:r>
          </w:p>
        </w:tc>
        <w:tc>
          <w:tcPr>
            <w:tcW w:w="18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780" w:type="dxa"/>
            <w:vAlign w:val="bottom"/>
          </w:tcPr>
          <w:p>
            <w:pPr>
              <w:spacing w:after="0"/>
              <w:rPr>
                <w:sz w:val="19"/>
                <w:szCs w:val="19"/>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39.71</w:t>
            </w:r>
          </w:p>
        </w:tc>
        <w:tc>
          <w:tcPr>
            <w:tcW w:w="34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32.03</w:t>
            </w:r>
          </w:p>
        </w:tc>
        <w:tc>
          <w:tcPr>
            <w:tcW w:w="3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32.53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 as of October 31, 2006: 3,871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Paid Per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Fiscal 2006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1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2005</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60" w:type="dxa"/>
            <w:vAlign w:val="bottom"/>
            <w:tcBorders>
              <w:bottom w:val="single" w:sz="8" w:color="auto"/>
            </w:tcBorders>
            <w:gridSpan w:val="2"/>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Date Paid</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6980" w:type="dxa"/>
            <w:vAlign w:val="bottom"/>
            <w:gridSpan w:val="3"/>
          </w:tcPr>
          <w:p>
            <w:pPr>
              <w:ind w:left="2820"/>
              <w:spacing w:after="0"/>
              <w:rPr>
                <w:sz w:val="20"/>
                <w:szCs w:val="20"/>
                <w:color w:val="auto"/>
              </w:rPr>
            </w:pPr>
            <w:r>
              <w:rPr>
                <w:rFonts w:ascii="Arial" w:cs="Arial" w:eastAsia="Arial" w:hAnsi="Arial"/>
                <w:sz w:val="14"/>
                <w:szCs w:val="14"/>
                <w:b w:val="1"/>
                <w:bCs w:val="1"/>
                <w:color w:val="auto"/>
              </w:rPr>
              <w:t>Date Paid</w:t>
            </w:r>
          </w:p>
        </w:tc>
        <w:tc>
          <w:tcPr>
            <w:tcW w:w="6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D6F3E8"/>
          </w:tcPr>
          <w:p>
            <w:pPr>
              <w:spacing w:after="0"/>
              <w:rPr>
                <w:sz w:val="20"/>
                <w:szCs w:val="20"/>
                <w:color w:val="auto"/>
              </w:rPr>
            </w:pPr>
            <w:r>
              <w:rPr>
                <w:rFonts w:ascii="Arial" w:cs="Arial" w:eastAsia="Arial" w:hAnsi="Arial"/>
                <w:sz w:val="18"/>
                <w:szCs w:val="18"/>
                <w:b w:val="1"/>
                <w:bCs w:val="1"/>
                <w:color w:val="auto"/>
              </w:rPr>
              <w:t>October 3, 2005</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0.09</w:t>
            </w:r>
          </w:p>
        </w:tc>
        <w:tc>
          <w:tcPr>
            <w:tcW w:w="2820" w:type="dxa"/>
            <w:vAlign w:val="bottom"/>
            <w:shd w:val="clear" w:color="auto" w:fill="D6F3E8"/>
          </w:tcPr>
          <w:p>
            <w:pPr>
              <w:spacing w:after="0"/>
              <w:rPr>
                <w:sz w:val="18"/>
                <w:szCs w:val="18"/>
                <w:color w:val="auto"/>
              </w:rPr>
            </w:pPr>
          </w:p>
        </w:tc>
        <w:tc>
          <w:tcPr>
            <w:tcW w:w="416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October 4, 2004</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96"/>
              </w:rPr>
              <w:t>0.07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January 9, 2006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2820" w:type="dxa"/>
            <w:vAlign w:val="bottom"/>
          </w:tcPr>
          <w:p>
            <w:pPr>
              <w:spacing w:after="0"/>
              <w:rPr>
                <w:sz w:val="18"/>
                <w:szCs w:val="18"/>
                <w:color w:val="auto"/>
              </w:rPr>
            </w:pPr>
          </w:p>
        </w:tc>
        <w:tc>
          <w:tcPr>
            <w:tcW w:w="4160" w:type="dxa"/>
            <w:vAlign w:val="bottom"/>
            <w:gridSpan w:val="2"/>
          </w:tcPr>
          <w:p>
            <w:pPr>
              <w:ind w:left="120"/>
              <w:spacing w:after="0"/>
              <w:rPr>
                <w:sz w:val="20"/>
                <w:szCs w:val="20"/>
                <w:color w:val="auto"/>
              </w:rPr>
            </w:pPr>
            <w:r>
              <w:rPr>
                <w:rFonts w:ascii="Arial" w:cs="Arial" w:eastAsia="Arial" w:hAnsi="Arial"/>
                <w:sz w:val="18"/>
                <w:szCs w:val="18"/>
                <w:color w:val="auto"/>
              </w:rPr>
              <w:t>January 5, 2005</w:t>
            </w:r>
          </w:p>
        </w:tc>
        <w:tc>
          <w:tcPr>
            <w:tcW w:w="16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96"/>
              </w:rPr>
              <w:t>0.07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D6F3E8"/>
          </w:tcPr>
          <w:p>
            <w:pPr>
              <w:spacing w:after="0"/>
              <w:rPr>
                <w:sz w:val="20"/>
                <w:szCs w:val="20"/>
                <w:color w:val="auto"/>
              </w:rPr>
            </w:pPr>
            <w:r>
              <w:rPr>
                <w:rFonts w:ascii="Arial" w:cs="Arial" w:eastAsia="Arial" w:hAnsi="Arial"/>
                <w:sz w:val="18"/>
                <w:szCs w:val="18"/>
                <w:b w:val="1"/>
                <w:bCs w:val="1"/>
                <w:color w:val="auto"/>
              </w:rPr>
              <w:t>April 3, 2006</w:t>
            </w:r>
          </w:p>
        </w:tc>
        <w:tc>
          <w:tcPr>
            <w:tcW w:w="100" w:type="dxa"/>
            <w:vAlign w:val="bottom"/>
            <w:shd w:val="clear" w:color="auto" w:fill="D6F3E8"/>
          </w:tcPr>
          <w:p>
            <w:pPr>
              <w:spacing w:after="0"/>
              <w:rPr>
                <w:sz w:val="18"/>
                <w:szCs w:val="18"/>
                <w:color w:val="auto"/>
              </w:rPr>
            </w:pP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0.09</w:t>
            </w:r>
          </w:p>
        </w:tc>
        <w:tc>
          <w:tcPr>
            <w:tcW w:w="2820" w:type="dxa"/>
            <w:vAlign w:val="bottom"/>
            <w:shd w:val="clear" w:color="auto" w:fill="D6F3E8"/>
          </w:tcPr>
          <w:p>
            <w:pPr>
              <w:spacing w:after="0"/>
              <w:rPr>
                <w:sz w:val="18"/>
                <w:szCs w:val="18"/>
                <w:color w:val="auto"/>
              </w:rPr>
            </w:pPr>
          </w:p>
        </w:tc>
        <w:tc>
          <w:tcPr>
            <w:tcW w:w="416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April 4, 2005</w:t>
            </w:r>
          </w:p>
        </w:tc>
        <w:tc>
          <w:tcPr>
            <w:tcW w:w="160" w:type="dxa"/>
            <w:vAlign w:val="bottom"/>
            <w:shd w:val="clear" w:color="auto" w:fill="D6F3E8"/>
          </w:tcPr>
          <w:p>
            <w:pPr>
              <w:spacing w:after="0"/>
              <w:rPr>
                <w:sz w:val="18"/>
                <w:szCs w:val="18"/>
                <w:color w:val="auto"/>
              </w:rPr>
            </w:pPr>
          </w:p>
        </w:tc>
        <w:tc>
          <w:tcPr>
            <w:tcW w:w="48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96"/>
              </w:rPr>
              <w:t>0.07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July 10, 2006</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2820" w:type="dxa"/>
            <w:vAlign w:val="bottom"/>
          </w:tcPr>
          <w:p>
            <w:pPr>
              <w:spacing w:after="0"/>
              <w:rPr>
                <w:sz w:val="19"/>
                <w:szCs w:val="19"/>
                <w:color w:val="auto"/>
              </w:rPr>
            </w:pPr>
          </w:p>
        </w:tc>
        <w:tc>
          <w:tcPr>
            <w:tcW w:w="4160" w:type="dxa"/>
            <w:vAlign w:val="bottom"/>
            <w:gridSpan w:val="2"/>
          </w:tcPr>
          <w:p>
            <w:pPr>
              <w:ind w:left="120"/>
              <w:spacing w:after="0"/>
              <w:rPr>
                <w:sz w:val="20"/>
                <w:szCs w:val="20"/>
                <w:color w:val="auto"/>
              </w:rPr>
            </w:pPr>
            <w:r>
              <w:rPr>
                <w:rFonts w:ascii="Arial" w:cs="Arial" w:eastAsia="Arial" w:hAnsi="Arial"/>
                <w:sz w:val="18"/>
                <w:szCs w:val="18"/>
                <w:color w:val="auto"/>
              </w:rPr>
              <w:t>July 6, 2005</w:t>
            </w:r>
          </w:p>
        </w:tc>
        <w:tc>
          <w:tcPr>
            <w:tcW w:w="16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96"/>
              </w:rPr>
              <w:t>0.07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D6F3E8"/>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0.36</w:t>
            </w:r>
          </w:p>
        </w:tc>
        <w:tc>
          <w:tcPr>
            <w:tcW w:w="2820" w:type="dxa"/>
            <w:vAlign w:val="bottom"/>
            <w:shd w:val="clear" w:color="auto" w:fill="D6F3E8"/>
          </w:tcPr>
          <w:p>
            <w:pPr>
              <w:spacing w:after="0"/>
              <w:rPr>
                <w:sz w:val="18"/>
                <w:szCs w:val="18"/>
                <w:color w:val="auto"/>
              </w:rPr>
            </w:pPr>
          </w:p>
        </w:tc>
        <w:tc>
          <w:tcPr>
            <w:tcW w:w="416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96"/>
              </w:rPr>
              <w:t>0.28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160"/>
        <w:spacing w:after="0" w:line="332" w:lineRule="auto"/>
        <w:rPr>
          <w:sz w:val="20"/>
          <w:szCs w:val="20"/>
          <w:color w:val="auto"/>
        </w:rPr>
      </w:pPr>
      <w:r>
        <w:rPr>
          <w:rFonts w:ascii="Arial" w:cs="Arial" w:eastAsia="Arial" w:hAnsi="Arial"/>
          <w:sz w:val="16"/>
          <w:szCs w:val="16"/>
          <w:color w:val="auto"/>
        </w:rPr>
        <w:t>On October 11, 2006, the Board of Directors declared a quarterly cash dividend of $0.10 per common share payable January 8, 2007 to shareholders of record as of December 8, 2006. We paid dividends of $0.36 per common share during Fiscal 2006 and $0.28 per common share during Fiscal 2005.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On April 12, 2006, the Board of Directors authorized the repurchase of outstanding shares of our common stock, depending on market conditions, for an aggregate consideration of up to $50 million. There is no time restriction on this authorization. As of August 26, 2006, there had been 970,000 shares, at an aggregate cost of $27.8 million, repurchased under this authorization, leaving approximately $22.2 million still available for additional purchases.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Under a previous authorization which was completed in April 2006, we repurchased 1,007,000 shares for $30.0 million during Fiscal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2006, we repurchased a total of 1,977,000 shares for an aggregate consideration of approximately $57.8 million.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fourth quarter of Fiscal 2006: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Number of Shares</w:t>
            </w:r>
          </w:p>
        </w:tc>
        <w:tc>
          <w:tcPr>
            <w:tcW w:w="2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Approximate Dollar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7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2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of Shares That May Yet Be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7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1"/>
              </w:rPr>
              <w:t>of Shares</w:t>
            </w:r>
          </w:p>
        </w:tc>
        <w:tc>
          <w:tcPr>
            <w:tcW w:w="1840" w:type="dxa"/>
            <w:vAlign w:val="bottom"/>
            <w:gridSpan w:val="2"/>
          </w:tcPr>
          <w:p>
            <w:pPr>
              <w:jc w:val="right"/>
              <w:ind w:right="432"/>
              <w:spacing w:after="0" w:line="149" w:lineRule="exact"/>
              <w:rPr>
                <w:sz w:val="20"/>
                <w:szCs w:val="20"/>
                <w:color w:val="auto"/>
              </w:rPr>
            </w:pPr>
            <w:r>
              <w:rPr>
                <w:rFonts w:ascii="Arial" w:cs="Arial" w:eastAsia="Arial" w:hAnsi="Arial"/>
                <w:sz w:val="14"/>
                <w:szCs w:val="14"/>
                <w:b w:val="1"/>
                <w:bCs w:val="1"/>
                <w:color w:val="auto"/>
              </w:rPr>
              <w:t>Average Price</w:t>
            </w:r>
          </w:p>
        </w:tc>
        <w:tc>
          <w:tcPr>
            <w:tcW w:w="26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6"/>
              </w:rPr>
              <w:t>Publicly Announced Plans</w:t>
            </w:r>
          </w:p>
        </w:tc>
        <w:tc>
          <w:tcPr>
            <w:tcW w:w="2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Purchased Under the Plans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720" w:type="dxa"/>
            <w:vAlign w:val="bottom"/>
          </w:tcPr>
          <w:p>
            <w:pPr>
              <w:jc w:val="center"/>
              <w:ind w:right="1"/>
              <w:spacing w:after="0"/>
              <w:rPr>
                <w:sz w:val="20"/>
                <w:szCs w:val="20"/>
                <w:color w:val="auto"/>
              </w:rPr>
            </w:pPr>
            <w:r>
              <w:rPr>
                <w:rFonts w:ascii="Arial" w:cs="Arial" w:eastAsia="Arial" w:hAnsi="Arial"/>
                <w:sz w:val="14"/>
                <w:szCs w:val="14"/>
                <w:b w:val="1"/>
                <w:bCs w:val="1"/>
                <w:color w:val="auto"/>
                <w:w w:val="83"/>
              </w:rPr>
              <w:t>Purchased</w:t>
            </w:r>
          </w:p>
        </w:tc>
        <w:tc>
          <w:tcPr>
            <w:tcW w:w="184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Paid per Share</w:t>
            </w:r>
          </w:p>
        </w:tc>
        <w:tc>
          <w:tcPr>
            <w:tcW w:w="26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or Programs</w:t>
            </w:r>
          </w:p>
        </w:tc>
        <w:tc>
          <w:tcPr>
            <w:tcW w:w="900" w:type="dxa"/>
            <w:vAlign w:val="bottom"/>
          </w:tcPr>
          <w:p>
            <w:pPr>
              <w:spacing w:after="0"/>
              <w:rPr>
                <w:sz w:val="15"/>
                <w:szCs w:val="15"/>
                <w:color w:val="auto"/>
              </w:rPr>
            </w:pPr>
          </w:p>
        </w:tc>
        <w:tc>
          <w:tcPr>
            <w:tcW w:w="19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6"/>
              </w:rPr>
              <w:t>or Programs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05/28/06 – 07/01/06</w:t>
            </w:r>
          </w:p>
        </w:tc>
        <w:tc>
          <w:tcPr>
            <w:tcW w:w="1720" w:type="dxa"/>
            <w:vAlign w:val="bottom"/>
            <w:shd w:val="clear" w:color="auto" w:fill="D6F3E8"/>
          </w:tcPr>
          <w:p>
            <w:pPr>
              <w:jc w:val="right"/>
              <w:ind w:right="501"/>
              <w:spacing w:after="0"/>
              <w:rPr>
                <w:sz w:val="20"/>
                <w:szCs w:val="20"/>
                <w:color w:val="auto"/>
              </w:rPr>
            </w:pPr>
            <w:r>
              <w:rPr>
                <w:rFonts w:ascii="Arial" w:cs="Arial" w:eastAsia="Arial" w:hAnsi="Arial"/>
                <w:sz w:val="18"/>
                <w:szCs w:val="18"/>
                <w:b w:val="1"/>
                <w:bCs w:val="1"/>
                <w:color w:val="auto"/>
              </w:rPr>
              <w:t>219,000</w:t>
            </w:r>
          </w:p>
        </w:tc>
        <w:tc>
          <w:tcPr>
            <w:tcW w:w="700" w:type="dxa"/>
            <w:vAlign w:val="bottom"/>
            <w:shd w:val="clear" w:color="auto" w:fill="D6F3E8"/>
          </w:tcPr>
          <w:p>
            <w:pPr>
              <w:jc w:val="right"/>
              <w:ind w:right="2"/>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6F3E8"/>
          </w:tcPr>
          <w:p>
            <w:pPr>
              <w:jc w:val="right"/>
              <w:ind w:right="592"/>
              <w:spacing w:after="0"/>
              <w:rPr>
                <w:sz w:val="20"/>
                <w:szCs w:val="20"/>
                <w:color w:val="auto"/>
              </w:rPr>
            </w:pPr>
            <w:r>
              <w:rPr>
                <w:rFonts w:ascii="Arial" w:cs="Arial" w:eastAsia="Arial" w:hAnsi="Arial"/>
                <w:sz w:val="18"/>
                <w:szCs w:val="18"/>
                <w:b w:val="1"/>
                <w:bCs w:val="1"/>
                <w:color w:val="auto"/>
                <w:w w:val="97"/>
              </w:rPr>
              <w:t>28.43</w:t>
            </w:r>
          </w:p>
        </w:tc>
        <w:tc>
          <w:tcPr>
            <w:tcW w:w="2640" w:type="dxa"/>
            <w:vAlign w:val="bottom"/>
            <w:shd w:val="clear" w:color="auto" w:fill="D6F3E8"/>
          </w:tcPr>
          <w:p>
            <w:pPr>
              <w:jc w:val="right"/>
              <w:ind w:right="982"/>
              <w:spacing w:after="0"/>
              <w:rPr>
                <w:sz w:val="20"/>
                <w:szCs w:val="20"/>
                <w:color w:val="auto"/>
              </w:rPr>
            </w:pPr>
            <w:r>
              <w:rPr>
                <w:rFonts w:ascii="Arial" w:cs="Arial" w:eastAsia="Arial" w:hAnsi="Arial"/>
                <w:sz w:val="18"/>
                <w:szCs w:val="18"/>
                <w:b w:val="1"/>
                <w:bCs w:val="1"/>
                <w:color w:val="auto"/>
              </w:rPr>
              <w:t>219,000</w:t>
            </w:r>
          </w:p>
        </w:tc>
        <w:tc>
          <w:tcPr>
            <w:tcW w:w="900" w:type="dxa"/>
            <w:vAlign w:val="bottom"/>
            <w:shd w:val="clear" w:color="auto" w:fill="D6F3E8"/>
          </w:tcPr>
          <w:p>
            <w:pPr>
              <w:jc w:val="right"/>
              <w:ind w:right="21"/>
              <w:spacing w:after="0"/>
              <w:rPr>
                <w:sz w:val="20"/>
                <w:szCs w:val="20"/>
                <w:color w:val="auto"/>
              </w:rPr>
            </w:pPr>
            <w:r>
              <w:rPr>
                <w:rFonts w:ascii="Arial" w:cs="Arial" w:eastAsia="Arial" w:hAnsi="Arial"/>
                <w:sz w:val="18"/>
                <w:szCs w:val="18"/>
                <w:b w:val="1"/>
                <w:bCs w:val="1"/>
                <w:color w:val="auto"/>
              </w:rPr>
              <w:t>$</w:t>
            </w:r>
          </w:p>
        </w:tc>
        <w:tc>
          <w:tcPr>
            <w:tcW w:w="1900" w:type="dxa"/>
            <w:vAlign w:val="bottom"/>
            <w:shd w:val="clear" w:color="auto" w:fill="D6F3E8"/>
          </w:tcPr>
          <w:p>
            <w:pPr>
              <w:jc w:val="right"/>
              <w:ind w:right="696"/>
              <w:spacing w:after="0"/>
              <w:rPr>
                <w:sz w:val="20"/>
                <w:szCs w:val="20"/>
                <w:color w:val="auto"/>
              </w:rPr>
            </w:pPr>
            <w:r>
              <w:rPr>
                <w:rFonts w:ascii="Arial" w:cs="Arial" w:eastAsia="Arial" w:hAnsi="Arial"/>
                <w:sz w:val="18"/>
                <w:szCs w:val="18"/>
                <w:b w:val="1"/>
                <w:bCs w:val="1"/>
                <w:color w:val="auto"/>
              </w:rPr>
              <w:t>22,197,500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07/02/06 – 07/29/06</w:t>
            </w:r>
          </w:p>
        </w:tc>
        <w:tc>
          <w:tcPr>
            <w:tcW w:w="1720" w:type="dxa"/>
            <w:vAlign w:val="bottom"/>
          </w:tcPr>
          <w:p>
            <w:pPr>
              <w:jc w:val="right"/>
              <w:ind w:right="501"/>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8"/>
                <w:szCs w:val="18"/>
                <w:color w:val="auto"/>
              </w:rPr>
            </w:pPr>
          </w:p>
        </w:tc>
        <w:tc>
          <w:tcPr>
            <w:tcW w:w="1140" w:type="dxa"/>
            <w:vAlign w:val="bottom"/>
          </w:tcPr>
          <w:p>
            <w:pPr>
              <w:jc w:val="right"/>
              <w:ind w:right="592"/>
              <w:spacing w:after="0"/>
              <w:rPr>
                <w:sz w:val="20"/>
                <w:szCs w:val="20"/>
                <w:color w:val="auto"/>
              </w:rPr>
            </w:pPr>
            <w:r>
              <w:rPr>
                <w:rFonts w:ascii="Arial" w:cs="Arial" w:eastAsia="Arial" w:hAnsi="Arial"/>
                <w:sz w:val="18"/>
                <w:szCs w:val="18"/>
                <w:b w:val="1"/>
                <w:bCs w:val="1"/>
                <w:color w:val="auto"/>
              </w:rPr>
              <w:t>—</w:t>
            </w:r>
          </w:p>
        </w:tc>
        <w:tc>
          <w:tcPr>
            <w:tcW w:w="2640" w:type="dxa"/>
            <w:vAlign w:val="bottom"/>
          </w:tcPr>
          <w:p>
            <w:pPr>
              <w:jc w:val="right"/>
              <w:ind w:right="98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ind w:right="696"/>
              <w:spacing w:after="0"/>
              <w:rPr>
                <w:sz w:val="20"/>
                <w:szCs w:val="20"/>
                <w:color w:val="auto"/>
              </w:rPr>
            </w:pPr>
            <w:r>
              <w:rPr>
                <w:rFonts w:ascii="Arial" w:cs="Arial" w:eastAsia="Arial" w:hAnsi="Arial"/>
                <w:sz w:val="18"/>
                <w:szCs w:val="18"/>
                <w:b w:val="1"/>
                <w:bCs w:val="1"/>
                <w:color w:val="auto"/>
              </w:rPr>
              <w:t>22,197,500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07/30/06 – 08/26/06</w:t>
            </w:r>
          </w:p>
        </w:tc>
        <w:tc>
          <w:tcPr>
            <w:tcW w:w="1720" w:type="dxa"/>
            <w:vAlign w:val="bottom"/>
            <w:shd w:val="clear" w:color="auto" w:fill="D6F3E8"/>
          </w:tcPr>
          <w:p>
            <w:pPr>
              <w:jc w:val="right"/>
              <w:ind w:right="501"/>
              <w:spacing w:after="0"/>
              <w:rPr>
                <w:sz w:val="20"/>
                <w:szCs w:val="20"/>
                <w:color w:val="auto"/>
              </w:rPr>
            </w:pPr>
            <w:r>
              <w:rPr>
                <w:rFonts w:ascii="Arial" w:cs="Arial" w:eastAsia="Arial" w:hAnsi="Arial"/>
                <w:sz w:val="18"/>
                <w:szCs w:val="18"/>
                <w:color w:val="auto"/>
              </w:rPr>
              <w:t>—</w:t>
            </w:r>
          </w:p>
        </w:tc>
        <w:tc>
          <w:tcPr>
            <w:tcW w:w="70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592"/>
              <w:spacing w:after="0"/>
              <w:rPr>
                <w:sz w:val="20"/>
                <w:szCs w:val="20"/>
                <w:color w:val="auto"/>
              </w:rPr>
            </w:pPr>
            <w:r>
              <w:rPr>
                <w:rFonts w:ascii="Arial" w:cs="Arial" w:eastAsia="Arial" w:hAnsi="Arial"/>
                <w:sz w:val="18"/>
                <w:szCs w:val="18"/>
                <w:b w:val="1"/>
                <w:bCs w:val="1"/>
                <w:color w:val="auto"/>
              </w:rPr>
              <w:t>—</w:t>
            </w:r>
          </w:p>
        </w:tc>
        <w:tc>
          <w:tcPr>
            <w:tcW w:w="2640" w:type="dxa"/>
            <w:vAlign w:val="bottom"/>
            <w:shd w:val="clear" w:color="auto" w:fill="D6F3E8"/>
          </w:tcPr>
          <w:p>
            <w:pPr>
              <w:jc w:val="right"/>
              <w:ind w:right="982"/>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6F3E8"/>
          </w:tcPr>
          <w:p>
            <w:pPr>
              <w:jc w:val="right"/>
              <w:ind w:right="21"/>
              <w:spacing w:after="0"/>
              <w:rPr>
                <w:sz w:val="20"/>
                <w:szCs w:val="20"/>
                <w:color w:val="auto"/>
              </w:rPr>
            </w:pPr>
            <w:r>
              <w:rPr>
                <w:rFonts w:ascii="Arial" w:cs="Arial" w:eastAsia="Arial" w:hAnsi="Arial"/>
                <w:sz w:val="18"/>
                <w:szCs w:val="18"/>
                <w:b w:val="1"/>
                <w:bCs w:val="1"/>
                <w:color w:val="auto"/>
              </w:rPr>
              <w:t>$</w:t>
            </w:r>
          </w:p>
        </w:tc>
        <w:tc>
          <w:tcPr>
            <w:tcW w:w="1900" w:type="dxa"/>
            <w:vAlign w:val="bottom"/>
            <w:shd w:val="clear" w:color="auto" w:fill="D6F3E8"/>
          </w:tcPr>
          <w:p>
            <w:pPr>
              <w:jc w:val="right"/>
              <w:ind w:right="696"/>
              <w:spacing w:after="0"/>
              <w:rPr>
                <w:sz w:val="20"/>
                <w:szCs w:val="20"/>
                <w:color w:val="auto"/>
              </w:rPr>
            </w:pPr>
            <w:r>
              <w:rPr>
                <w:rFonts w:ascii="Arial" w:cs="Arial" w:eastAsia="Arial" w:hAnsi="Arial"/>
                <w:sz w:val="18"/>
                <w:szCs w:val="18"/>
                <w:b w:val="1"/>
                <w:bCs w:val="1"/>
                <w:color w:val="auto"/>
              </w:rPr>
              <w:t>22,197,500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jc w:val="right"/>
              <w:ind w:right="501"/>
              <w:spacing w:after="0"/>
              <w:rPr>
                <w:sz w:val="20"/>
                <w:szCs w:val="20"/>
                <w:color w:val="auto"/>
              </w:rPr>
            </w:pPr>
            <w:r>
              <w:rPr>
                <w:rFonts w:ascii="Arial" w:cs="Arial" w:eastAsia="Arial" w:hAnsi="Arial"/>
                <w:sz w:val="18"/>
                <w:szCs w:val="18"/>
                <w:b w:val="1"/>
                <w:bCs w:val="1"/>
                <w:color w:val="auto"/>
              </w:rPr>
              <w:t>219,000</w:t>
            </w:r>
          </w:p>
        </w:tc>
        <w:tc>
          <w:tcPr>
            <w:tcW w:w="700" w:type="dxa"/>
            <w:vAlign w:val="bottom"/>
          </w:tcPr>
          <w:p>
            <w:pPr>
              <w:jc w:val="right"/>
              <w:ind w:right="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92"/>
              <w:spacing w:after="0"/>
              <w:rPr>
                <w:sz w:val="20"/>
                <w:szCs w:val="20"/>
                <w:color w:val="auto"/>
              </w:rPr>
            </w:pPr>
            <w:r>
              <w:rPr>
                <w:rFonts w:ascii="Arial" w:cs="Arial" w:eastAsia="Arial" w:hAnsi="Arial"/>
                <w:sz w:val="18"/>
                <w:szCs w:val="18"/>
                <w:b w:val="1"/>
                <w:bCs w:val="1"/>
                <w:color w:val="auto"/>
                <w:w w:val="97"/>
              </w:rPr>
              <w:t>28.43</w:t>
            </w:r>
          </w:p>
        </w:tc>
        <w:tc>
          <w:tcPr>
            <w:tcW w:w="2640" w:type="dxa"/>
            <w:vAlign w:val="bottom"/>
          </w:tcPr>
          <w:p>
            <w:pPr>
              <w:jc w:val="right"/>
              <w:ind w:right="982"/>
              <w:spacing w:after="0"/>
              <w:rPr>
                <w:sz w:val="20"/>
                <w:szCs w:val="20"/>
                <w:color w:val="auto"/>
              </w:rPr>
            </w:pPr>
            <w:r>
              <w:rPr>
                <w:rFonts w:ascii="Arial" w:cs="Arial" w:eastAsia="Arial" w:hAnsi="Arial"/>
                <w:sz w:val="18"/>
                <w:szCs w:val="18"/>
                <w:b w:val="1"/>
                <w:bCs w:val="1"/>
                <w:color w:val="auto"/>
              </w:rPr>
              <w:t>219,000</w:t>
            </w:r>
          </w:p>
        </w:tc>
        <w:tc>
          <w:tcPr>
            <w:tcW w:w="90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ind w:right="696"/>
              <w:spacing w:after="0"/>
              <w:rPr>
                <w:sz w:val="20"/>
                <w:szCs w:val="20"/>
                <w:color w:val="auto"/>
              </w:rPr>
            </w:pPr>
            <w:r>
              <w:rPr>
                <w:rFonts w:ascii="Arial" w:cs="Arial" w:eastAsia="Arial" w:hAnsi="Arial"/>
                <w:sz w:val="18"/>
                <w:szCs w:val="18"/>
                <w:b w:val="1"/>
                <w:bCs w:val="1"/>
                <w:color w:val="auto"/>
              </w:rPr>
              <w:t>22,197,500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following table provides information as of August 26, 2006 with respect to shares of our common stock that may be issued under our existing equity compensation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70" w:type="dxa"/>
            <w:vAlign w:val="bottom"/>
          </w:tcPr>
          <w:p>
            <w:pPr>
              <w:spacing w:after="0"/>
              <w:rPr>
                <w:sz w:val="14"/>
                <w:szCs w:val="14"/>
                <w:color w:val="auto"/>
              </w:rPr>
            </w:pPr>
          </w:p>
        </w:tc>
        <w:tc>
          <w:tcPr>
            <w:tcW w:w="1450" w:type="dxa"/>
            <w:vAlign w:val="bottom"/>
          </w:tcPr>
          <w:p>
            <w:pPr>
              <w:spacing w:after="0"/>
              <w:rPr>
                <w:sz w:val="14"/>
                <w:szCs w:val="14"/>
                <w:color w:val="auto"/>
              </w:rPr>
            </w:pP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70" w:type="dxa"/>
            <w:vAlign w:val="bottom"/>
          </w:tcPr>
          <w:p>
            <w:pPr>
              <w:spacing w:after="0"/>
              <w:rPr>
                <w:sz w:val="12"/>
                <w:szCs w:val="12"/>
                <w:color w:val="auto"/>
              </w:rPr>
            </w:pPr>
          </w:p>
        </w:tc>
        <w:tc>
          <w:tcPr>
            <w:tcW w:w="1450" w:type="dxa"/>
            <w:vAlign w:val="bottom"/>
          </w:tcPr>
          <w:p>
            <w:pPr>
              <w:spacing w:after="0"/>
              <w:rPr>
                <w:sz w:val="12"/>
                <w:szCs w:val="12"/>
                <w:color w:val="auto"/>
              </w:rPr>
            </w:pPr>
          </w:p>
        </w:tc>
        <w:tc>
          <w:tcPr>
            <w:tcW w:w="2700" w:type="dxa"/>
            <w:vAlign w:val="bottom"/>
            <w:gridSpan w:val="2"/>
          </w:tcPr>
          <w:p>
            <w:pPr>
              <w:jc w:val="center"/>
              <w:ind w:left="7"/>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70" w:type="dxa"/>
            <w:vAlign w:val="bottom"/>
          </w:tcPr>
          <w:p>
            <w:pPr>
              <w:spacing w:after="0"/>
              <w:rPr>
                <w:sz w:val="12"/>
                <w:szCs w:val="12"/>
                <w:color w:val="auto"/>
              </w:rPr>
            </w:pPr>
          </w:p>
        </w:tc>
        <w:tc>
          <w:tcPr>
            <w:tcW w:w="1450" w:type="dxa"/>
            <w:vAlign w:val="bottom"/>
          </w:tcPr>
          <w:p>
            <w:pPr>
              <w:spacing w:after="0"/>
              <w:rPr>
                <w:sz w:val="12"/>
                <w:szCs w:val="12"/>
                <w:color w:val="auto"/>
              </w:rPr>
            </w:pPr>
          </w:p>
        </w:tc>
        <w:tc>
          <w:tcPr>
            <w:tcW w:w="2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Pr>
          <w:p>
            <w:pPr>
              <w:jc w:val="center"/>
              <w:ind w:right="205"/>
              <w:spacing w:after="0" w:line="149" w:lineRule="exact"/>
              <w:rPr>
                <w:sz w:val="20"/>
                <w:szCs w:val="20"/>
                <w:color w:val="auto"/>
              </w:rPr>
            </w:pPr>
            <w:r>
              <w:rPr>
                <w:rFonts w:ascii="Arial" w:cs="Arial" w:eastAsia="Arial" w:hAnsi="Arial"/>
                <w:sz w:val="14"/>
                <w:szCs w:val="14"/>
                <w:b w:val="1"/>
                <w:bCs w:val="1"/>
                <w:color w:val="auto"/>
                <w:w w:val="93"/>
              </w:rPr>
              <w:t>(a)</w:t>
            </w:r>
          </w:p>
        </w:tc>
        <w:tc>
          <w:tcPr>
            <w:tcW w:w="1070" w:type="dxa"/>
            <w:vAlign w:val="bottom"/>
          </w:tcPr>
          <w:p>
            <w:pPr>
              <w:spacing w:after="0"/>
              <w:rPr>
                <w:sz w:val="12"/>
                <w:szCs w:val="12"/>
                <w:color w:val="auto"/>
              </w:rPr>
            </w:pPr>
          </w:p>
        </w:tc>
        <w:tc>
          <w:tcPr>
            <w:tcW w:w="1450" w:type="dxa"/>
            <w:vAlign w:val="bottom"/>
          </w:tcPr>
          <w:p>
            <w:pPr>
              <w:jc w:val="center"/>
              <w:ind w:right="1027"/>
              <w:spacing w:after="0" w:line="149" w:lineRule="exact"/>
              <w:rPr>
                <w:sz w:val="20"/>
                <w:szCs w:val="20"/>
                <w:color w:val="auto"/>
              </w:rPr>
            </w:pPr>
            <w:r>
              <w:rPr>
                <w:rFonts w:ascii="Arial" w:cs="Arial" w:eastAsia="Arial" w:hAnsi="Arial"/>
                <w:sz w:val="14"/>
                <w:szCs w:val="14"/>
                <w:b w:val="1"/>
                <w:bCs w:val="1"/>
                <w:color w:val="auto"/>
                <w:w w:val="89"/>
              </w:rPr>
              <w:t>(b)</w:t>
            </w:r>
          </w:p>
        </w:tc>
        <w:tc>
          <w:tcPr>
            <w:tcW w:w="2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Pr>
          <w:p>
            <w:pPr>
              <w:jc w:val="center"/>
              <w:ind w:right="185"/>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2700" w:type="dxa"/>
            <w:vAlign w:val="bottom"/>
            <w:gridSpan w:val="2"/>
          </w:tcPr>
          <w:p>
            <w:pPr>
              <w:jc w:val="center"/>
              <w:ind w:left="7"/>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(Adjusted for the 2-for-1</w:t>
            </w:r>
          </w:p>
        </w:tc>
        <w:tc>
          <w:tcPr>
            <w:tcW w:w="2800" w:type="dxa"/>
            <w:vAlign w:val="bottom"/>
          </w:tcPr>
          <w:p>
            <w:pPr>
              <w:jc w:val="center"/>
              <w:ind w:right="185"/>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2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700" w:type="dxa"/>
            <w:vAlign w:val="bottom"/>
            <w:gridSpan w:val="2"/>
          </w:tcPr>
          <w:p>
            <w:pPr>
              <w:jc w:val="center"/>
              <w:ind w:left="7"/>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Stock Split on March 5, 2004)</w:t>
            </w:r>
          </w:p>
        </w:tc>
        <w:tc>
          <w:tcPr>
            <w:tcW w:w="2800" w:type="dxa"/>
            <w:vAlign w:val="bottom"/>
          </w:tcPr>
          <w:p>
            <w:pPr>
              <w:jc w:val="center"/>
              <w:ind w:right="185"/>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Plan Category</w:t>
            </w:r>
          </w:p>
        </w:tc>
        <w:tc>
          <w:tcPr>
            <w:tcW w:w="2800" w:type="dxa"/>
            <w:vAlign w:val="bottom"/>
          </w:tcPr>
          <w:p>
            <w:pPr>
              <w:jc w:val="center"/>
              <w:ind w:right="185"/>
              <w:spacing w:after="0"/>
              <w:rPr>
                <w:sz w:val="20"/>
                <w:szCs w:val="20"/>
                <w:color w:val="auto"/>
              </w:rPr>
            </w:pPr>
            <w:r>
              <w:rPr>
                <w:rFonts w:ascii="Arial" w:cs="Arial" w:eastAsia="Arial" w:hAnsi="Arial"/>
                <w:sz w:val="14"/>
                <w:szCs w:val="14"/>
                <w:b w:val="1"/>
                <w:bCs w:val="1"/>
                <w:color w:val="auto"/>
                <w:w w:val="89"/>
              </w:rPr>
              <w:t>Warrants and Rights</w:t>
            </w: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700" w:type="dxa"/>
            <w:vAlign w:val="bottom"/>
            <w:gridSpan w:val="2"/>
          </w:tcPr>
          <w:p>
            <w:pPr>
              <w:jc w:val="center"/>
              <w:ind w:left="7"/>
              <w:spacing w:after="0"/>
              <w:rPr>
                <w:sz w:val="20"/>
                <w:szCs w:val="20"/>
                <w:color w:val="auto"/>
              </w:rPr>
            </w:pPr>
            <w:r>
              <w:rPr>
                <w:rFonts w:ascii="Arial" w:cs="Arial" w:eastAsia="Arial" w:hAnsi="Arial"/>
                <w:sz w:val="14"/>
                <w:szCs w:val="14"/>
                <w:b w:val="1"/>
                <w:bCs w:val="1"/>
                <w:color w:val="auto"/>
                <w:w w:val="89"/>
              </w:rPr>
              <w:t>Column (a)]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70" w:type="dxa"/>
            <w:vAlign w:val="bottom"/>
          </w:tcPr>
          <w:p>
            <w:pPr>
              <w:spacing w:after="0"/>
              <w:rPr>
                <w:sz w:val="8"/>
                <w:szCs w:val="8"/>
                <w:color w:val="auto"/>
              </w:rPr>
            </w:pPr>
          </w:p>
        </w:tc>
        <w:tc>
          <w:tcPr>
            <w:tcW w:w="145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0" w:type="dxa"/>
            <w:vAlign w:val="bottom"/>
            <w:tcBorders>
              <w:top w:val="single" w:sz="8" w:color="auto"/>
            </w:tcBorders>
          </w:tcPr>
          <w:p>
            <w:pPr>
              <w:spacing w:after="0"/>
              <w:rPr>
                <w:sz w:val="8"/>
                <w:szCs w:val="8"/>
                <w:color w:val="auto"/>
              </w:rPr>
            </w:pPr>
          </w:p>
        </w:tc>
        <w:tc>
          <w:tcPr>
            <w:tcW w:w="1070" w:type="dxa"/>
            <w:vAlign w:val="bottom"/>
            <w:tcBorders>
              <w:top w:val="single" w:sz="8" w:color="auto"/>
            </w:tcBorders>
          </w:tcPr>
          <w:p>
            <w:pPr>
              <w:spacing w:after="0"/>
              <w:rPr>
                <w:sz w:val="8"/>
                <w:szCs w:val="8"/>
                <w:color w:val="auto"/>
              </w:rPr>
            </w:pPr>
          </w:p>
        </w:tc>
        <w:tc>
          <w:tcPr>
            <w:tcW w:w="1450" w:type="dxa"/>
            <w:vAlign w:val="bottom"/>
            <w:tcBorders>
              <w:top w:val="single" w:sz="8" w:color="auto"/>
            </w:tcBorders>
          </w:tcPr>
          <w:p>
            <w:pPr>
              <w:spacing w:after="0"/>
              <w:rPr>
                <w:sz w:val="8"/>
                <w:szCs w:val="8"/>
                <w:color w:val="auto"/>
              </w:rPr>
            </w:pPr>
          </w:p>
        </w:tc>
        <w:tc>
          <w:tcPr>
            <w:tcW w:w="26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b w:val="1"/>
                <w:bCs w:val="1"/>
                <w:color w:val="auto"/>
                <w:w w:val="97"/>
              </w:rPr>
              <w:t>Equity compensation plans approved by</w:t>
            </w:r>
          </w:p>
        </w:tc>
        <w:tc>
          <w:tcPr>
            <w:tcW w:w="2800" w:type="dxa"/>
            <w:vAlign w:val="bottom"/>
            <w:shd w:val="clear" w:color="auto" w:fill="D6F3E8"/>
          </w:tcPr>
          <w:p>
            <w:pPr>
              <w:spacing w:after="0"/>
              <w:rPr>
                <w:sz w:val="17"/>
                <w:szCs w:val="17"/>
                <w:color w:val="auto"/>
              </w:rPr>
            </w:pPr>
          </w:p>
        </w:tc>
        <w:tc>
          <w:tcPr>
            <w:tcW w:w="1070" w:type="dxa"/>
            <w:vAlign w:val="bottom"/>
            <w:shd w:val="clear" w:color="auto" w:fill="D6F3E8"/>
          </w:tcPr>
          <w:p>
            <w:pPr>
              <w:spacing w:after="0"/>
              <w:rPr>
                <w:sz w:val="17"/>
                <w:szCs w:val="17"/>
                <w:color w:val="auto"/>
              </w:rPr>
            </w:pPr>
          </w:p>
        </w:tc>
        <w:tc>
          <w:tcPr>
            <w:tcW w:w="1450" w:type="dxa"/>
            <w:vAlign w:val="bottom"/>
            <w:shd w:val="clear" w:color="auto" w:fill="D6F3E8"/>
          </w:tcPr>
          <w:p>
            <w:pPr>
              <w:spacing w:after="0"/>
              <w:rPr>
                <w:sz w:val="17"/>
                <w:szCs w:val="17"/>
                <w:color w:val="auto"/>
              </w:rPr>
            </w:pPr>
          </w:p>
        </w:tc>
        <w:tc>
          <w:tcPr>
            <w:tcW w:w="2680" w:type="dxa"/>
            <w:vAlign w:val="bottom"/>
            <w:shd w:val="clear" w:color="auto" w:fill="D6F3E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D6F3E8"/>
          </w:tcPr>
          <w:p>
            <w:pPr>
              <w:spacing w:after="0"/>
              <w:rPr>
                <w:sz w:val="20"/>
                <w:szCs w:val="20"/>
                <w:color w:val="auto"/>
              </w:rPr>
            </w:pPr>
            <w:r>
              <w:rPr>
                <w:rFonts w:ascii="Arial" w:cs="Arial" w:eastAsia="Arial" w:hAnsi="Arial"/>
                <w:sz w:val="18"/>
                <w:szCs w:val="18"/>
                <w:b w:val="1"/>
                <w:bCs w:val="1"/>
                <w:color w:val="auto"/>
              </w:rPr>
              <w:t>shareholders</w:t>
            </w:r>
          </w:p>
        </w:tc>
        <w:tc>
          <w:tcPr>
            <w:tcW w:w="2800" w:type="dxa"/>
            <w:vAlign w:val="bottom"/>
            <w:shd w:val="clear" w:color="auto" w:fill="D6F3E8"/>
          </w:tcPr>
          <w:p>
            <w:pPr>
              <w:jc w:val="right"/>
              <w:ind w:right="945"/>
              <w:spacing w:after="0"/>
              <w:rPr>
                <w:sz w:val="20"/>
                <w:szCs w:val="20"/>
                <w:color w:val="auto"/>
              </w:rPr>
            </w:pPr>
            <w:r>
              <w:rPr>
                <w:rFonts w:ascii="Arial" w:cs="Arial" w:eastAsia="Arial" w:hAnsi="Arial"/>
                <w:sz w:val="18"/>
                <w:szCs w:val="18"/>
                <w:b w:val="1"/>
                <w:bCs w:val="1"/>
                <w:color w:val="auto"/>
              </w:rPr>
              <w:t>1,591,676(1)</w:t>
            </w:r>
          </w:p>
        </w:tc>
        <w:tc>
          <w:tcPr>
            <w:tcW w:w="107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1450" w:type="dxa"/>
            <w:vAlign w:val="bottom"/>
            <w:shd w:val="clear" w:color="auto" w:fill="D6F3E8"/>
          </w:tcPr>
          <w:p>
            <w:pPr>
              <w:jc w:val="right"/>
              <w:ind w:right="917"/>
              <w:spacing w:after="0"/>
              <w:rPr>
                <w:sz w:val="20"/>
                <w:szCs w:val="20"/>
                <w:color w:val="auto"/>
              </w:rPr>
            </w:pPr>
            <w:r>
              <w:rPr>
                <w:rFonts w:ascii="Arial" w:cs="Arial" w:eastAsia="Arial" w:hAnsi="Arial"/>
                <w:sz w:val="18"/>
                <w:szCs w:val="18"/>
                <w:b w:val="1"/>
                <w:bCs w:val="1"/>
                <w:color w:val="auto"/>
                <w:w w:val="93"/>
              </w:rPr>
              <w:t>23.93</w:t>
            </w:r>
          </w:p>
        </w:tc>
        <w:tc>
          <w:tcPr>
            <w:tcW w:w="2680" w:type="dxa"/>
            <w:vAlign w:val="bottom"/>
            <w:shd w:val="clear" w:color="auto" w:fill="D6F3E8"/>
          </w:tcPr>
          <w:p>
            <w:pPr>
              <w:jc w:val="right"/>
              <w:ind w:right="707"/>
              <w:spacing w:after="0"/>
              <w:rPr>
                <w:sz w:val="20"/>
                <w:szCs w:val="20"/>
                <w:color w:val="auto"/>
              </w:rPr>
            </w:pPr>
            <w:r>
              <w:rPr>
                <w:rFonts w:ascii="Arial" w:cs="Arial" w:eastAsia="Arial" w:hAnsi="Arial"/>
                <w:sz w:val="18"/>
                <w:szCs w:val="18"/>
                <w:b w:val="1"/>
                <w:bCs w:val="1"/>
                <w:color w:val="auto"/>
              </w:rPr>
              <w:t>1,213,500(2)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5"/>
              </w:rPr>
              <w:t>Equity compensation plans not approved</w:t>
            </w:r>
          </w:p>
        </w:tc>
        <w:tc>
          <w:tcPr>
            <w:tcW w:w="2800" w:type="dxa"/>
            <w:vAlign w:val="bottom"/>
          </w:tcPr>
          <w:p>
            <w:pPr>
              <w:spacing w:after="0"/>
              <w:rPr>
                <w:sz w:val="17"/>
                <w:szCs w:val="17"/>
                <w:color w:val="auto"/>
              </w:rPr>
            </w:pPr>
          </w:p>
        </w:tc>
        <w:tc>
          <w:tcPr>
            <w:tcW w:w="1070" w:type="dxa"/>
            <w:vAlign w:val="bottom"/>
          </w:tcPr>
          <w:p>
            <w:pPr>
              <w:spacing w:after="0"/>
              <w:rPr>
                <w:sz w:val="17"/>
                <w:szCs w:val="17"/>
                <w:color w:val="auto"/>
              </w:rPr>
            </w:pPr>
          </w:p>
        </w:tc>
        <w:tc>
          <w:tcPr>
            <w:tcW w:w="145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by shareholders (3)</w:t>
            </w:r>
          </w:p>
        </w:tc>
        <w:tc>
          <w:tcPr>
            <w:tcW w:w="2800" w:type="dxa"/>
            <w:vAlign w:val="bottom"/>
          </w:tcPr>
          <w:p>
            <w:pPr>
              <w:jc w:val="right"/>
              <w:ind w:right="945"/>
              <w:spacing w:after="0"/>
              <w:rPr>
                <w:sz w:val="20"/>
                <w:szCs w:val="20"/>
                <w:color w:val="auto"/>
              </w:rPr>
            </w:pPr>
            <w:r>
              <w:rPr>
                <w:rFonts w:ascii="Arial" w:cs="Arial" w:eastAsia="Arial" w:hAnsi="Arial"/>
                <w:sz w:val="18"/>
                <w:szCs w:val="18"/>
                <w:b w:val="1"/>
                <w:bCs w:val="1"/>
                <w:color w:val="auto"/>
              </w:rPr>
              <w:t>41,538(4)</w:t>
            </w:r>
          </w:p>
        </w:tc>
        <w:tc>
          <w:tcPr>
            <w:tcW w:w="107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50" w:type="dxa"/>
            <w:vAlign w:val="bottom"/>
          </w:tcPr>
          <w:p>
            <w:pPr>
              <w:jc w:val="right"/>
              <w:ind w:right="917"/>
              <w:spacing w:after="0"/>
              <w:rPr>
                <w:sz w:val="20"/>
                <w:szCs w:val="20"/>
                <w:color w:val="auto"/>
              </w:rPr>
            </w:pPr>
            <w:r>
              <w:rPr>
                <w:rFonts w:ascii="Arial" w:cs="Arial" w:eastAsia="Arial" w:hAnsi="Arial"/>
                <w:sz w:val="18"/>
                <w:szCs w:val="18"/>
                <w:b w:val="1"/>
                <w:bCs w:val="1"/>
                <w:color w:val="auto"/>
                <w:w w:val="93"/>
              </w:rPr>
              <w:t>19.06</w:t>
            </w:r>
          </w:p>
        </w:tc>
        <w:tc>
          <w:tcPr>
            <w:tcW w:w="27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N/A(5)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4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145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70" w:type="dxa"/>
            <w:vAlign w:val="bottom"/>
          </w:tcPr>
          <w:p>
            <w:pPr>
              <w:spacing w:after="0"/>
              <w:rPr>
                <w:sz w:val="8"/>
                <w:szCs w:val="8"/>
                <w:color w:val="auto"/>
              </w:rPr>
            </w:pPr>
          </w:p>
        </w:tc>
        <w:tc>
          <w:tcPr>
            <w:tcW w:w="145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D6F3E8"/>
          </w:tcPr>
          <w:p>
            <w:pPr>
              <w:spacing w:after="0"/>
              <w:rPr>
                <w:sz w:val="20"/>
                <w:szCs w:val="20"/>
                <w:color w:val="auto"/>
              </w:rPr>
            </w:pPr>
            <w:r>
              <w:rPr>
                <w:rFonts w:ascii="Arial" w:cs="Arial" w:eastAsia="Arial" w:hAnsi="Arial"/>
                <w:sz w:val="18"/>
                <w:szCs w:val="18"/>
                <w:b w:val="1"/>
                <w:bCs w:val="1"/>
                <w:color w:val="auto"/>
              </w:rPr>
              <w:t>Total</w:t>
            </w:r>
          </w:p>
        </w:tc>
        <w:tc>
          <w:tcPr>
            <w:tcW w:w="2800" w:type="dxa"/>
            <w:vAlign w:val="bottom"/>
            <w:shd w:val="clear" w:color="auto" w:fill="D6F3E8"/>
          </w:tcPr>
          <w:p>
            <w:pPr>
              <w:jc w:val="right"/>
              <w:ind w:right="1145"/>
              <w:spacing w:after="0"/>
              <w:rPr>
                <w:sz w:val="20"/>
                <w:szCs w:val="20"/>
                <w:color w:val="auto"/>
              </w:rPr>
            </w:pPr>
            <w:r>
              <w:rPr>
                <w:rFonts w:ascii="Arial" w:cs="Arial" w:eastAsia="Arial" w:hAnsi="Arial"/>
                <w:sz w:val="18"/>
                <w:szCs w:val="18"/>
                <w:b w:val="1"/>
                <w:bCs w:val="1"/>
                <w:color w:val="auto"/>
              </w:rPr>
              <w:t>1,633,214</w:t>
            </w:r>
          </w:p>
        </w:tc>
        <w:tc>
          <w:tcPr>
            <w:tcW w:w="107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1450" w:type="dxa"/>
            <w:vAlign w:val="bottom"/>
            <w:shd w:val="clear" w:color="auto" w:fill="D6F3E8"/>
          </w:tcPr>
          <w:p>
            <w:pPr>
              <w:jc w:val="right"/>
              <w:ind w:right="917"/>
              <w:spacing w:after="0"/>
              <w:rPr>
                <w:sz w:val="20"/>
                <w:szCs w:val="20"/>
                <w:color w:val="auto"/>
              </w:rPr>
            </w:pPr>
            <w:r>
              <w:rPr>
                <w:rFonts w:ascii="Arial" w:cs="Arial" w:eastAsia="Arial" w:hAnsi="Arial"/>
                <w:sz w:val="18"/>
                <w:szCs w:val="18"/>
                <w:b w:val="1"/>
                <w:bCs w:val="1"/>
                <w:color w:val="auto"/>
                <w:w w:val="93"/>
              </w:rPr>
              <w:t>23.81</w:t>
            </w:r>
          </w:p>
        </w:tc>
        <w:tc>
          <w:tcPr>
            <w:tcW w:w="2680" w:type="dxa"/>
            <w:vAlign w:val="bottom"/>
            <w:shd w:val="clear" w:color="auto" w:fill="D6F3E8"/>
          </w:tcPr>
          <w:p>
            <w:pPr>
              <w:jc w:val="right"/>
              <w:ind w:right="907"/>
              <w:spacing w:after="0"/>
              <w:rPr>
                <w:sz w:val="20"/>
                <w:szCs w:val="20"/>
                <w:color w:val="auto"/>
              </w:rPr>
            </w:pPr>
            <w:r>
              <w:rPr>
                <w:rFonts w:ascii="Arial" w:cs="Arial" w:eastAsia="Arial" w:hAnsi="Arial"/>
                <w:sz w:val="18"/>
                <w:szCs w:val="18"/>
                <w:b w:val="1"/>
                <w:bCs w:val="1"/>
                <w:color w:val="auto"/>
              </w:rPr>
              <w:t>1,213,500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145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33" w:lineRule="exact"/>
        <w:rPr>
          <w:sz w:val="20"/>
          <w:szCs w:val="20"/>
          <w:color w:val="auto"/>
        </w:rPr>
      </w:pPr>
    </w:p>
    <w:p>
      <w:pPr>
        <w:ind w:left="580" w:right="600" w:hanging="572"/>
        <w:spacing w:after="0" w:line="25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number includes 785,000 stock options granted under the 2004 Incentive Compensation Plan (the “Plan”). Also included are 806,676 options granted under the 1997 Stock Option Plan.</w:t>
      </w:r>
    </w:p>
    <w:p>
      <w:pPr>
        <w:ind w:left="580" w:right="80" w:hanging="572"/>
        <w:spacing w:after="0" w:line="28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number represents stock options available for grant under the Plan as of August 26, 2006. The Plan replaced the 1997 Stock Option Plan effective January 1, 2004. No new grants may be made under the 1997 Stock Option Plan. Any stock options previously granted under the 1997 Stock Option Plan will continue to vest and/or be exercisable in accordance with their original terms and conditions.</w:t>
      </w:r>
    </w:p>
    <w:p>
      <w:pPr>
        <w:spacing w:after="0" w:line="2" w:lineRule="exact"/>
        <w:rPr>
          <w:rFonts w:ascii="Arial" w:cs="Arial" w:eastAsia="Arial" w:hAnsi="Arial"/>
          <w:sz w:val="16"/>
          <w:szCs w:val="16"/>
          <w:color w:val="auto"/>
        </w:rPr>
      </w:pPr>
    </w:p>
    <w:p>
      <w:pPr>
        <w:jc w:val="both"/>
        <w:ind w:left="580" w:right="120" w:hanging="572"/>
        <w:spacing w:after="0" w:line="28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sole Equity Compensation Plan not previously submitted to our shareholders for approval is the Directors’ Deferred Compensation Plan. The Board of Directors may terminate the Directors’ Deferred Compensation Plan at any time. If not terminated earlier, the Directors’ Deferred Compensation Plan will automatically terminate on June 30, 2013. For a description of the key provisions of the Directors’ Deferred Compensation Plan, see the information in our Proxy Statement for the Annual Meeting of Shareholders scheduled to be held January 9, 2007 under the caption “Board of Directors, Committees of the Board and Corporate Governance - Director Compensation,” which information is incorporated by reference herein.</w:t>
      </w:r>
    </w:p>
    <w:p>
      <w:pPr>
        <w:spacing w:after="0" w:line="3" w:lineRule="exact"/>
        <w:rPr>
          <w:rFonts w:ascii="Arial" w:cs="Arial" w:eastAsia="Arial" w:hAnsi="Arial"/>
          <w:sz w:val="16"/>
          <w:szCs w:val="16"/>
          <w:color w:val="auto"/>
        </w:rPr>
      </w:pPr>
    </w:p>
    <w:p>
      <w:pPr>
        <w:ind w:left="580" w:right="26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shares of common stock underlying stock units, payable on a one-for-one basis, credited to stock unit accounts as of August 26, 2006 under the Directors’ Deferred Compensation Plan.</w:t>
      </w:r>
    </w:p>
    <w:p>
      <w:pPr>
        <w:ind w:left="580" w:right="60" w:hanging="572"/>
        <w:spacing w:after="0" w:line="25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Selected Financial Data (See Pages 45 and 46)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Winnebago Industries, Inc. is a leading motor home manufacturer with a proud history of manufacturing recreation vehicles for the last 48 years. Our current retail market share of Class A and Class C motor home retail sales is 18.9 percent for calendar year-to-date through August 2006 according to Statistical Surveys, Inc. There was a change in direction of the Company following our founder’s death in 1996. We divested ourselves of unprofitable business ventures with a strategy to refocus on producing quality motor homes in a profitable manner. We measure profitability by using five guidelines: return on assets (ROA), return on equity (ROE), return on invested capital (ROIC), operating income as a percent of net revenues, and net income as a percent of net revenues. Our primary goal is to be a leader in profitability in the recreation vehicle industry. Our financial performance for the last ten years is evidence of this focus on profitability. As a result of our performance, we have returned significant profits back to our shareholders through stock repurchases and dividends. For example, since 1997, we have repurchased 23.8 million shares of common stock (adjusted for the 2-for-1 stock split effective March 5, 2004) at an aggregate cost of approximately $336.3 million.</w:t>
      </w:r>
    </w:p>
    <w:p>
      <w:pPr>
        <w:spacing w:after="0" w:line="17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Fiscal 2006, we saw two principal factors impact us financially: volume decline and a product mix shift. Industry retail sales per Statistical Surveys, Inc., of Class A and Class C motor homes calendar year-to-date through August were down 13.1 percent, we believe, in response to rising interest rates and record fuel prices. Although our volume decline was not as extreme as the industry retail decline due to the popularity of our new Class C product offerings, our volume did decrease 7.5 percent from last fiscal year. We also noted a trend in the motorized retail market during Fiscal 2006 towards lower-priced products. Consequently, we have seen a shift in the mix of products that we sold to more Class C and lower-priced Class A products. As a result of both lower volumes and the shift in mix to lower-priced products during Fiscal 2006, our net</w:t>
      </w:r>
    </w:p>
    <w:p>
      <w:pPr>
        <w:sectPr>
          <w:pgSz w:w="11900" w:h="16838" w:orient="portrait"/>
          <w:cols w:equalWidth="0" w:num="1">
            <w:col w:w="11460"/>
          </w:cols>
          <w:pgMar w:left="240" w:top="131" w:right="199" w:bottom="1440" w:gutter="0" w:footer="0" w:header="0"/>
        </w:sectPr>
      </w:pP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revenues decreased and our profit margins were negatively impacted. However, we remained solidly profitable overall in Fiscal 2006, with earnings of $44.7 million, or $1.37 per diluted share. We also generated a record level of operating cash flow in Fiscal 2006 of $113.3 million due in large part to aggressive management of inventory and receivable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Some of the factors that contribute to this cyclicality include fuel availability and costs, interest rate levels, the level of discretionary spending and availability of credit and consumer confidence. An extended continuation of these conditions would materially adversely affect our business, results of operations and financial condition. The motorized portion of the recreation vehicle industry has experienced a volume decline now for over a year. We will continue to adjust our factory schedule as necessary to reflect the demand for our products. Should fuel prices remain lower than the record levels seen in the summer of 2006, interest rates continue to remain stable or decline and RV consumer sentiment begin to rise, the motor home market may improve next spring.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w w:val="91"/>
              </w:rPr>
              <w:t>Aug. 26,</w:t>
            </w:r>
          </w:p>
        </w:tc>
        <w:tc>
          <w:tcPr>
            <w:tcW w:w="320" w:type="dxa"/>
            <w:vAlign w:val="bottom"/>
          </w:tcPr>
          <w:p>
            <w:pPr>
              <w:spacing w:after="0"/>
              <w:rPr>
                <w:sz w:val="20"/>
                <w:szCs w:val="20"/>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Product Mix</w:t>
            </w: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Aug. 27,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Product Mix</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12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5"/>
                <w:szCs w:val="15"/>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126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Decrease</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b w:val="1"/>
                <w:bCs w:val="1"/>
                <w:color w:val="auto"/>
              </w:rPr>
              <w:t>530</w:t>
            </w: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b w:val="1"/>
                <w:bCs w:val="1"/>
                <w:color w:val="auto"/>
              </w:rPr>
              <w:t>31.3</w:t>
            </w:r>
          </w:p>
        </w:tc>
        <w:tc>
          <w:tcPr>
            <w:tcW w:w="82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637</w:t>
            </w:r>
          </w:p>
        </w:tc>
        <w:tc>
          <w:tcPr>
            <w:tcW w:w="1260" w:type="dxa"/>
            <w:vAlign w:val="bottom"/>
            <w:gridSpan w:val="4"/>
            <w:shd w:val="clear" w:color="auto" w:fill="D6F3E8"/>
          </w:tcPr>
          <w:p>
            <w:pPr>
              <w:jc w:val="right"/>
              <w:spacing w:after="0"/>
              <w:rPr>
                <w:sz w:val="20"/>
                <w:szCs w:val="20"/>
                <w:color w:val="auto"/>
              </w:rPr>
            </w:pPr>
            <w:r>
              <w:rPr>
                <w:rFonts w:ascii="Arial" w:cs="Arial" w:eastAsia="Arial" w:hAnsi="Arial"/>
                <w:sz w:val="18"/>
                <w:szCs w:val="18"/>
                <w:color w:val="auto"/>
              </w:rPr>
              <w:t>30.9</w:t>
            </w:r>
          </w:p>
        </w:tc>
        <w:tc>
          <w:tcPr>
            <w:tcW w:w="82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(107)</w:t>
            </w:r>
          </w:p>
        </w:tc>
        <w:tc>
          <w:tcPr>
            <w:tcW w:w="1260" w:type="dxa"/>
            <w:vAlign w:val="bottom"/>
            <w:gridSpan w:val="3"/>
            <w:shd w:val="clear" w:color="auto" w:fill="D6F3E8"/>
          </w:tcPr>
          <w:p>
            <w:pPr>
              <w:jc w:val="right"/>
              <w:ind w:right="44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Class A diesel</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270</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15.9</w:t>
            </w:r>
          </w:p>
        </w:tc>
        <w:tc>
          <w:tcPr>
            <w:tcW w:w="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16.3</w:t>
            </w:r>
          </w:p>
        </w:tc>
        <w:tc>
          <w:tcPr>
            <w:tcW w:w="82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(66)</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08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Total Class A</w:t>
            </w: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b w:val="1"/>
                <w:bCs w:val="1"/>
                <w:color w:val="auto"/>
              </w:rPr>
              <w:t>800</w:t>
            </w: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b w:val="1"/>
                <w:bCs w:val="1"/>
                <w:color w:val="auto"/>
              </w:rPr>
              <w:t>47.2</w:t>
            </w:r>
          </w:p>
        </w:tc>
        <w:tc>
          <w:tcPr>
            <w:tcW w:w="82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973</w:t>
            </w:r>
          </w:p>
        </w:tc>
        <w:tc>
          <w:tcPr>
            <w:tcW w:w="1260" w:type="dxa"/>
            <w:vAlign w:val="bottom"/>
            <w:gridSpan w:val="4"/>
            <w:shd w:val="clear" w:color="auto" w:fill="D6F3E8"/>
          </w:tcPr>
          <w:p>
            <w:pPr>
              <w:jc w:val="right"/>
              <w:spacing w:after="0"/>
              <w:rPr>
                <w:sz w:val="20"/>
                <w:szCs w:val="20"/>
                <w:color w:val="auto"/>
              </w:rPr>
            </w:pPr>
            <w:r>
              <w:rPr>
                <w:rFonts w:ascii="Arial" w:cs="Arial" w:eastAsia="Arial" w:hAnsi="Arial"/>
                <w:sz w:val="18"/>
                <w:szCs w:val="18"/>
                <w:color w:val="auto"/>
              </w:rPr>
              <w:t>47.2</w:t>
            </w:r>
          </w:p>
        </w:tc>
        <w:tc>
          <w:tcPr>
            <w:tcW w:w="82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(173)</w:t>
            </w:r>
          </w:p>
        </w:tc>
        <w:tc>
          <w:tcPr>
            <w:tcW w:w="1260" w:type="dxa"/>
            <w:vAlign w:val="bottom"/>
            <w:gridSpan w:val="3"/>
            <w:shd w:val="clear" w:color="auto" w:fill="D6F3E8"/>
          </w:tcPr>
          <w:p>
            <w:pPr>
              <w:jc w:val="right"/>
              <w:ind w:right="440"/>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Class C</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896</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52.8</w:t>
            </w:r>
          </w:p>
        </w:tc>
        <w:tc>
          <w:tcPr>
            <w:tcW w:w="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1,086</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52.8</w:t>
            </w:r>
          </w:p>
        </w:tc>
        <w:tc>
          <w:tcPr>
            <w:tcW w:w="82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(190)</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08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Total backlog</w:t>
            </w: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b w:val="1"/>
                <w:bCs w:val="1"/>
                <w:color w:val="auto"/>
              </w:rPr>
              <w:t>1,696</w:t>
            </w: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b w:val="1"/>
                <w:bCs w:val="1"/>
                <w:color w:val="auto"/>
              </w:rPr>
              <w:t>100.0</w:t>
            </w:r>
          </w:p>
        </w:tc>
        <w:tc>
          <w:tcPr>
            <w:tcW w:w="82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2,059</w:t>
            </w:r>
          </w:p>
        </w:tc>
        <w:tc>
          <w:tcPr>
            <w:tcW w:w="1260" w:type="dxa"/>
            <w:vAlign w:val="bottom"/>
            <w:gridSpan w:val="4"/>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(363)</w:t>
            </w:r>
          </w:p>
        </w:tc>
        <w:tc>
          <w:tcPr>
            <w:tcW w:w="1260" w:type="dxa"/>
            <w:vAlign w:val="bottom"/>
            <w:gridSpan w:val="3"/>
            <w:shd w:val="clear" w:color="auto" w:fill="D6F3E8"/>
          </w:tcPr>
          <w:p>
            <w:pPr>
              <w:jc w:val="right"/>
              <w:ind w:right="44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Total approximate revenue dollars (in</w:t>
            </w:r>
          </w:p>
        </w:tc>
        <w:tc>
          <w:tcPr>
            <w:tcW w:w="14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3080" w:type="dxa"/>
            <w:vAlign w:val="bottom"/>
            <w:gridSpan w:val="2"/>
            <w:vMerge w:val="continue"/>
          </w:tcPr>
          <w:p>
            <w:pPr>
              <w:spacing w:after="0"/>
              <w:rPr>
                <w:sz w:val="24"/>
                <w:szCs w:val="2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6"/>
              </w:rPr>
              <w:t>$  142,000</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thousands)</w:t>
            </w:r>
          </w:p>
        </w:tc>
        <w:tc>
          <w:tcPr>
            <w:tcW w:w="8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6"/>
              </w:rPr>
              <w:t>$  170,000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w w:val="97"/>
              </w:rPr>
              <w:t>$   (28,000)</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3080" w:type="dxa"/>
            <w:vAlign w:val="bottom"/>
            <w:gridSpan w:val="2"/>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Dealer inventory (units)</w:t>
            </w: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b w:val="1"/>
                <w:bCs w:val="1"/>
                <w:color w:val="auto"/>
              </w:rPr>
              <w:t>4,733</w:t>
            </w:r>
          </w:p>
        </w:tc>
        <w:tc>
          <w:tcPr>
            <w:tcW w:w="32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4,794</w:t>
            </w:r>
          </w:p>
        </w:tc>
        <w:tc>
          <w:tcPr>
            <w:tcW w:w="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(61)</w:t>
            </w:r>
          </w:p>
        </w:tc>
        <w:tc>
          <w:tcPr>
            <w:tcW w:w="1260" w:type="dxa"/>
            <w:vAlign w:val="bottom"/>
            <w:gridSpan w:val="3"/>
            <w:shd w:val="clear" w:color="auto" w:fill="D6F3E8"/>
          </w:tcPr>
          <w:p>
            <w:pPr>
              <w:jc w:val="right"/>
              <w:ind w:right="4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-766445</wp:posOffset>
            </wp:positionV>
            <wp:extent cx="55308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-766445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-766445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-766445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-766445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-766445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-766445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-766445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-766445</wp:posOffset>
            </wp:positionV>
            <wp:extent cx="57023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-766445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-766445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-329565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-329565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-329565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-329565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-329565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-329565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-329565</wp:posOffset>
            </wp:positionV>
            <wp:extent cx="57023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-329565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-329565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include in our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Long-term demographics are favorable for us as our target market of consumers age 50 and older is expected to substantially increase over the next 30 years due to the aging of the baby boom market. Also, according to a 2005 study conducted by the University of Michigan, the age at which the motor home consumer is purchasing motor homes has broadened. Motor home buyers are entering the market earlier that in the past, as young as 35, and living active and healthier lives with more buyers remaining in the RV lifestyle over the age of 75. The study also indicates that owners are now using their motor homes for more than just traditional camping, having a positive impact on long-term motor home market growth. The study shows that motor homes are used to pursue consumers’ many lifestyle passions which may include riding their ATVs in the desert or going to motor sports events or tailgating at sporting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1"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Our consolidated financial statements are prepared in accordance with generally accepted accounting principles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Our significant accounting policies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Consolidated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Annual Report</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on Form 10-K.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55"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Revenues from the sales of our OEM and motor home related parts are recorded as the products are shipped from our location. The title of ownership transfers on these products as they leave our location due to the freight terms of F.O.B. - Forest City, Iowa.</w:t>
      </w:r>
    </w:p>
    <w:p>
      <w:pPr>
        <w:spacing w:after="0" w:line="180"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Postretirement Benefits Obligations and Costs. </w:t>
      </w:r>
      <w:r>
        <w:rPr>
          <w:rFonts w:ascii="Arial" w:cs="Arial" w:eastAsia="Arial" w:hAnsi="Arial"/>
          <w:sz w:val="16"/>
          <w:szCs w:val="16"/>
          <w:color w:val="auto"/>
        </w:rPr>
        <w:t>We provide certain health care and other benefits for retired employees, hired before April 1, 2001, who have</w:t>
      </w:r>
      <w:r>
        <w:rPr>
          <w:rFonts w:ascii="Arial" w:cs="Arial" w:eastAsia="Arial" w:hAnsi="Arial"/>
          <w:sz w:val="16"/>
          <w:szCs w:val="16"/>
          <w:b w:val="1"/>
          <w:bCs w:val="1"/>
          <w:color w:val="auto"/>
        </w:rPr>
        <w:t xml:space="preserve"> </w:t>
      </w:r>
      <w:r>
        <w:rPr>
          <w:rFonts w:ascii="Arial" w:cs="Arial" w:eastAsia="Arial" w:hAnsi="Arial"/>
          <w:sz w:val="16"/>
          <w:szCs w:val="16"/>
          <w:color w:val="auto"/>
        </w:rPr>
        <w:t>fulfilled eligibility requirements at age 55 with 15 years of continuous service. Postretirement benefit liabilities are determined by actuaries using assumptions about the discount rate and health care cost-trend rates. A significant increase or decrease in interest rates could have a significant impact on our operating results. Further discussion of our postretirement benefit plan and related assumptions are included in Note 5.</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We provide with the purchase of any new motor home, a comprehensive 12-month/15,000-mile warranty and a 3-year/36,000-mile warranty on</w:t>
      </w:r>
      <w:r>
        <w:rPr>
          <w:rFonts w:ascii="Arial" w:cs="Arial" w:eastAsia="Arial" w:hAnsi="Arial"/>
          <w:sz w:val="16"/>
          <w:szCs w:val="16"/>
          <w:b w:val="1"/>
          <w:bCs w:val="1"/>
          <w:color w:val="auto"/>
        </w:rPr>
        <w:t xml:space="preserve"> </w:t>
      </w:r>
      <w:r>
        <w:rPr>
          <w:rFonts w:ascii="Arial" w:cs="Arial" w:eastAsia="Arial" w:hAnsi="Arial"/>
          <w:sz w:val="16"/>
          <w:szCs w:val="16"/>
          <w:color w:val="auto"/>
        </w:rPr>
        <w:t>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are included in Note 4 to the Consolidated Financial Statements.</w:t>
      </w:r>
    </w:p>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Repurchase Commitments. </w:t>
      </w:r>
      <w:r>
        <w:rPr>
          <w:rFonts w:ascii="Arial" w:cs="Arial" w:eastAsia="Arial" w:hAnsi="Arial"/>
          <w:sz w:val="16"/>
          <w:szCs w:val="16"/>
          <w:color w:val="auto"/>
        </w:rPr>
        <w:t>Generally, companies in the RV industry enter into repurchase agreements with lending institutions which have provided wholesale</w:t>
      </w:r>
      <w:r>
        <w:rPr>
          <w:rFonts w:ascii="Arial" w:cs="Arial" w:eastAsia="Arial" w:hAnsi="Arial"/>
          <w:sz w:val="16"/>
          <w:szCs w:val="16"/>
          <w:b w:val="1"/>
          <w:bCs w:val="1"/>
          <w:color w:val="auto"/>
        </w:rPr>
        <w:t xml:space="preserve"> </w:t>
      </w:r>
      <w:r>
        <w:rPr>
          <w:rFonts w:ascii="Arial" w:cs="Arial" w:eastAsia="Arial" w:hAnsi="Arial"/>
          <w:sz w:val="16"/>
          <w:szCs w:val="16"/>
          <w:color w:val="auto"/>
        </w:rPr>
        <w:t>floorplan financing to dealers. Our repurchase agreements provide that, in the event of default by the dealer on the agreement to pay the lending institution, we will repurchase the financed motor homes. The agreements also provide that our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Our obligation under these repurchase agreements are reduced by the proceeds received upon the resale of any repurchased unit. The gross repurchase obligation will vary depending on the season and the level of dealer inventories. Past losses under these agreements have not been significant. Further discussion of our repurchase obligations is included in Note 6 to the Consolidated Financial Statements.</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Historically, we have granted stock options to our key employees and nonemployee directors as part of their compensation.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stock option compensation expense incurred and to be incurred in future periods is dependent upon a number of factors, such as the number of options granted, the timing of incentive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 in the determination of stock option compensation expense. These assumptions include our expected stock price volatility and the expected life of our stock options, which are based primarily on our historical experience. The fair value of each option is amortized into compensation expense on a straight-line basis over the requisite service period or to an employee’s eligible retirement date, if earlier. This is because our options typically vest over three years or upon retirement if earlier; thus, options are expensed immediately upon grant for retirement eligible employees which results in relatively higher expense in the period of grant (typically our first fiscal quarter) and relatively less expense in the remaining quarters in a fiscal year. (See Note 9 to the Consolidated Financial Statements)</w:t>
      </w:r>
    </w:p>
    <w:p>
      <w:pPr>
        <w:spacing w:after="0" w:line="1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have reserves for other loss exposures, such as litigation, taxes, product liability, worker’s compensation, employee medical claims,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2006 Compared to Fiscal 2005</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year ended August 26, 2006 compared to the year ended August 27, 2005.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Year Ended</w:t>
            </w: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95"/>
        </w:trPr>
        <w:tc>
          <w:tcPr>
            <w:tcW w:w="39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4"/>
                <w:szCs w:val="14"/>
                <w:b w:val="1"/>
                <w:bCs w:val="1"/>
                <w:color w:val="auto"/>
              </w:rPr>
              <w:t>(In thousands, except percent</w:t>
            </w:r>
          </w:p>
        </w:tc>
        <w:tc>
          <w:tcPr>
            <w:tcW w:w="1060" w:type="dxa"/>
            <w:vAlign w:val="bottom"/>
          </w:tcPr>
          <w:p>
            <w:pPr>
              <w:jc w:val="center"/>
              <w:ind w:right="192"/>
              <w:spacing w:after="0"/>
              <w:rPr>
                <w:sz w:val="20"/>
                <w:szCs w:val="20"/>
                <w:color w:val="auto"/>
              </w:rPr>
            </w:pPr>
            <w:r>
              <w:rPr>
                <w:rFonts w:ascii="Arial" w:cs="Arial" w:eastAsia="Arial" w:hAnsi="Arial"/>
                <w:sz w:val="14"/>
                <w:szCs w:val="14"/>
                <w:b w:val="1"/>
                <w:bCs w:val="1"/>
                <w:color w:val="auto"/>
                <w:w w:val="88"/>
              </w:rPr>
              <w:t>Aug. 26,</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920" w:type="dxa"/>
            <w:vAlign w:val="bottom"/>
          </w:tcPr>
          <w:p>
            <w:pPr>
              <w:jc w:val="center"/>
              <w:ind w:left="312"/>
              <w:spacing w:after="0"/>
              <w:rPr>
                <w:sz w:val="20"/>
                <w:szCs w:val="20"/>
                <w:color w:val="auto"/>
              </w:rPr>
            </w:pPr>
            <w:r>
              <w:rPr>
                <w:rFonts w:ascii="Arial" w:cs="Arial" w:eastAsia="Arial" w:hAnsi="Arial"/>
                <w:sz w:val="14"/>
                <w:szCs w:val="14"/>
                <w:b w:val="1"/>
                <w:bCs w:val="1"/>
                <w:color w:val="auto"/>
                <w:w w:val="84"/>
              </w:rPr>
              <w:t>Aug. 27,</w:t>
            </w:r>
          </w:p>
        </w:tc>
        <w:tc>
          <w:tcPr>
            <w:tcW w:w="1600" w:type="dxa"/>
            <w:vAlign w:val="bottom"/>
          </w:tcPr>
          <w:p>
            <w:pPr>
              <w:jc w:val="center"/>
              <w:ind w:left="332"/>
              <w:spacing w:after="0"/>
              <w:rPr>
                <w:sz w:val="20"/>
                <w:szCs w:val="20"/>
                <w:color w:val="auto"/>
              </w:rPr>
            </w:pPr>
            <w:r>
              <w:rPr>
                <w:rFonts w:ascii="Arial" w:cs="Arial" w:eastAsia="Arial" w:hAnsi="Arial"/>
                <w:sz w:val="14"/>
                <w:szCs w:val="14"/>
                <w:b w:val="1"/>
                <w:bCs w:val="1"/>
                <w:color w:val="auto"/>
                <w:w w:val="94"/>
              </w:rPr>
              <w:t>%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1220" w:type="dxa"/>
            <w:vAlign w:val="bottom"/>
          </w:tcPr>
          <w:p>
            <w:pPr>
              <w:jc w:val="right"/>
              <w:ind w:right="512"/>
              <w:spacing w:after="0"/>
              <w:rPr>
                <w:sz w:val="20"/>
                <w:szCs w:val="20"/>
                <w:color w:val="auto"/>
              </w:rPr>
            </w:pPr>
            <w:r>
              <w:rPr>
                <w:rFonts w:ascii="Arial" w:cs="Arial" w:eastAsia="Arial" w:hAnsi="Arial"/>
                <w:sz w:val="14"/>
                <w:szCs w:val="14"/>
                <w:b w:val="1"/>
                <w:bCs w:val="1"/>
                <w:color w:val="auto"/>
              </w:rPr>
              <w:t>%</w:t>
            </w:r>
          </w:p>
        </w:tc>
      </w:tr>
      <w:tr>
        <w:trPr>
          <w:trHeight w:val="174"/>
        </w:trPr>
        <w:tc>
          <w:tcPr>
            <w:tcW w:w="3960" w:type="dxa"/>
            <w:vAlign w:val="bottom"/>
          </w:tcPr>
          <w:p>
            <w:pPr>
              <w:spacing w:after="0"/>
              <w:rPr>
                <w:sz w:val="20"/>
                <w:szCs w:val="20"/>
                <w:color w:val="auto"/>
              </w:rPr>
            </w:pPr>
            <w:r>
              <w:rPr>
                <w:rFonts w:ascii="Arial" w:cs="Arial" w:eastAsia="Arial" w:hAnsi="Arial"/>
                <w:sz w:val="14"/>
                <w:szCs w:val="14"/>
                <w:b w:val="1"/>
                <w:bCs w:val="1"/>
                <w:color w:val="auto"/>
              </w:rPr>
              <w:t>and per share data)</w:t>
            </w: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2006</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920" w:type="dxa"/>
            <w:vAlign w:val="bottom"/>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600" w:type="dxa"/>
            <w:vAlign w:val="bottom"/>
          </w:tcPr>
          <w:p>
            <w:pPr>
              <w:jc w:val="center"/>
              <w:ind w:left="352"/>
              <w:spacing w:after="0"/>
              <w:rPr>
                <w:sz w:val="20"/>
                <w:szCs w:val="20"/>
                <w:color w:val="auto"/>
              </w:rPr>
            </w:pPr>
            <w:r>
              <w:rPr>
                <w:rFonts w:ascii="Arial" w:cs="Arial" w:eastAsia="Arial" w:hAnsi="Arial"/>
                <w:sz w:val="14"/>
                <w:szCs w:val="14"/>
                <w:b w:val="1"/>
                <w:bCs w:val="1"/>
                <w:color w:val="auto"/>
                <w:w w:val="81"/>
              </w:rPr>
              <w:t>Revenues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r>
      <w:tr>
        <w:trPr>
          <w:trHeight w:val="95"/>
        </w:trPr>
        <w:tc>
          <w:tcPr>
            <w:tcW w:w="39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125"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w w:val="79"/>
              </w:rPr>
              <w:t>$</w:t>
            </w:r>
          </w:p>
        </w:tc>
        <w:tc>
          <w:tcPr>
            <w:tcW w:w="1035" w:type="dxa"/>
            <w:vAlign w:val="bottom"/>
            <w:shd w:val="clear" w:color="auto" w:fill="D6F3E8"/>
          </w:tcPr>
          <w:p>
            <w:pPr>
              <w:jc w:val="right"/>
              <w:ind w:right="234"/>
              <w:spacing w:after="0"/>
              <w:rPr>
                <w:sz w:val="20"/>
                <w:szCs w:val="20"/>
                <w:color w:val="auto"/>
              </w:rPr>
            </w:pPr>
            <w:r>
              <w:rPr>
                <w:rFonts w:ascii="Arial" w:cs="Arial" w:eastAsia="Arial" w:hAnsi="Arial"/>
                <w:sz w:val="18"/>
                <w:szCs w:val="18"/>
                <w:b w:val="1"/>
                <w:bCs w:val="1"/>
                <w:color w:val="auto"/>
              </w:rPr>
              <w:t>864,403</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100.0</w:t>
            </w:r>
          </w:p>
        </w:tc>
        <w:tc>
          <w:tcPr>
            <w:tcW w:w="70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991,975</w:t>
            </w:r>
          </w:p>
        </w:tc>
        <w:tc>
          <w:tcPr>
            <w:tcW w:w="48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375"/>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(127,572)</w:t>
            </w:r>
          </w:p>
        </w:tc>
        <w:tc>
          <w:tcPr>
            <w:tcW w:w="100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5" w:type="dxa"/>
            <w:vAlign w:val="bottom"/>
          </w:tcPr>
          <w:p>
            <w:pPr>
              <w:spacing w:after="0"/>
              <w:rPr>
                <w:sz w:val="19"/>
                <w:szCs w:val="19"/>
                <w:color w:val="auto"/>
              </w:rPr>
            </w:pPr>
          </w:p>
        </w:tc>
        <w:tc>
          <w:tcPr>
            <w:tcW w:w="1035" w:type="dxa"/>
            <w:vAlign w:val="bottom"/>
          </w:tcPr>
          <w:p>
            <w:pPr>
              <w:jc w:val="right"/>
              <w:ind w:right="234"/>
              <w:spacing w:after="0"/>
              <w:rPr>
                <w:sz w:val="20"/>
                <w:szCs w:val="20"/>
                <w:color w:val="auto"/>
              </w:rPr>
            </w:pPr>
            <w:r>
              <w:rPr>
                <w:rFonts w:ascii="Arial" w:cs="Arial" w:eastAsia="Arial" w:hAnsi="Arial"/>
                <w:sz w:val="18"/>
                <w:szCs w:val="18"/>
                <w:b w:val="1"/>
                <w:bCs w:val="1"/>
                <w:color w:val="auto"/>
              </w:rPr>
              <w:t>759,502</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87.9</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854,997</w:t>
            </w:r>
          </w:p>
        </w:tc>
        <w:tc>
          <w:tcPr>
            <w:tcW w:w="480" w:type="dxa"/>
            <w:vAlign w:val="bottom"/>
          </w:tcPr>
          <w:p>
            <w:pPr>
              <w:spacing w:after="0"/>
              <w:rPr>
                <w:sz w:val="19"/>
                <w:szCs w:val="19"/>
                <w:color w:val="auto"/>
              </w:rPr>
            </w:pPr>
          </w:p>
        </w:tc>
        <w:tc>
          <w:tcPr>
            <w:tcW w:w="1060" w:type="dxa"/>
            <w:vAlign w:val="bottom"/>
          </w:tcPr>
          <w:p>
            <w:pPr>
              <w:jc w:val="right"/>
              <w:ind w:right="375"/>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9"/>
                <w:szCs w:val="19"/>
                <w:color w:val="auto"/>
              </w:rPr>
            </w:pP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(95,495)</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9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35"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35"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Gross profit</w:t>
            </w:r>
          </w:p>
        </w:tc>
        <w:tc>
          <w:tcPr>
            <w:tcW w:w="125" w:type="dxa"/>
            <w:vAlign w:val="bottom"/>
            <w:shd w:val="clear" w:color="auto" w:fill="D6F3E8"/>
          </w:tcPr>
          <w:p>
            <w:pPr>
              <w:spacing w:after="0"/>
              <w:rPr>
                <w:sz w:val="18"/>
                <w:szCs w:val="18"/>
                <w:color w:val="auto"/>
              </w:rPr>
            </w:pPr>
          </w:p>
        </w:tc>
        <w:tc>
          <w:tcPr>
            <w:tcW w:w="1035" w:type="dxa"/>
            <w:vAlign w:val="bottom"/>
            <w:shd w:val="clear" w:color="auto" w:fill="D6F3E8"/>
          </w:tcPr>
          <w:p>
            <w:pPr>
              <w:jc w:val="right"/>
              <w:ind w:right="234"/>
              <w:spacing w:after="0"/>
              <w:rPr>
                <w:sz w:val="20"/>
                <w:szCs w:val="20"/>
                <w:color w:val="auto"/>
              </w:rPr>
            </w:pPr>
            <w:r>
              <w:rPr>
                <w:rFonts w:ascii="Arial" w:cs="Arial" w:eastAsia="Arial" w:hAnsi="Arial"/>
                <w:sz w:val="18"/>
                <w:szCs w:val="18"/>
                <w:b w:val="1"/>
                <w:bCs w:val="1"/>
                <w:color w:val="auto"/>
              </w:rPr>
              <w:t>104,901</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12.1</w:t>
            </w:r>
          </w:p>
        </w:tc>
        <w:tc>
          <w:tcPr>
            <w:tcW w:w="7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136,978</w:t>
            </w:r>
          </w:p>
        </w:tc>
        <w:tc>
          <w:tcPr>
            <w:tcW w:w="48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375"/>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(32,077)</w:t>
            </w:r>
          </w:p>
        </w:tc>
        <w:tc>
          <w:tcPr>
            <w:tcW w:w="100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Selling</w:t>
            </w:r>
          </w:p>
        </w:tc>
        <w:tc>
          <w:tcPr>
            <w:tcW w:w="125" w:type="dxa"/>
            <w:vAlign w:val="bottom"/>
          </w:tcPr>
          <w:p>
            <w:pPr>
              <w:spacing w:after="0"/>
              <w:rPr>
                <w:sz w:val="18"/>
                <w:szCs w:val="18"/>
                <w:color w:val="auto"/>
              </w:rPr>
            </w:pPr>
          </w:p>
        </w:tc>
        <w:tc>
          <w:tcPr>
            <w:tcW w:w="1035" w:type="dxa"/>
            <w:vAlign w:val="bottom"/>
          </w:tcPr>
          <w:p>
            <w:pPr>
              <w:jc w:val="right"/>
              <w:ind w:right="234"/>
              <w:spacing w:after="0"/>
              <w:rPr>
                <w:sz w:val="20"/>
                <w:szCs w:val="20"/>
                <w:color w:val="auto"/>
              </w:rPr>
            </w:pPr>
            <w:r>
              <w:rPr>
                <w:rFonts w:ascii="Arial" w:cs="Arial" w:eastAsia="Arial" w:hAnsi="Arial"/>
                <w:sz w:val="18"/>
                <w:szCs w:val="18"/>
                <w:b w:val="1"/>
                <w:bCs w:val="1"/>
                <w:color w:val="auto"/>
              </w:rPr>
              <w:t>19,619</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19,936</w:t>
            </w:r>
          </w:p>
        </w:tc>
        <w:tc>
          <w:tcPr>
            <w:tcW w:w="480" w:type="dxa"/>
            <w:vAlign w:val="bottom"/>
          </w:tcPr>
          <w:p>
            <w:pPr>
              <w:spacing w:after="0"/>
              <w:rPr>
                <w:sz w:val="18"/>
                <w:szCs w:val="18"/>
                <w:color w:val="auto"/>
              </w:rPr>
            </w:pPr>
          </w:p>
        </w:tc>
        <w:tc>
          <w:tcPr>
            <w:tcW w:w="1060" w:type="dxa"/>
            <w:vAlign w:val="bottom"/>
          </w:tcPr>
          <w:p>
            <w:pPr>
              <w:jc w:val="right"/>
              <w:ind w:right="375"/>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(317)</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125" w:type="dxa"/>
            <w:vAlign w:val="bottom"/>
            <w:shd w:val="clear" w:color="auto" w:fill="D6F3E8"/>
          </w:tcPr>
          <w:p>
            <w:pPr>
              <w:spacing w:after="0"/>
              <w:rPr>
                <w:sz w:val="18"/>
                <w:szCs w:val="18"/>
                <w:color w:val="auto"/>
              </w:rPr>
            </w:pPr>
          </w:p>
        </w:tc>
        <w:tc>
          <w:tcPr>
            <w:tcW w:w="1035" w:type="dxa"/>
            <w:vAlign w:val="bottom"/>
            <w:shd w:val="clear" w:color="auto" w:fill="D6F3E8"/>
          </w:tcPr>
          <w:p>
            <w:pPr>
              <w:jc w:val="right"/>
              <w:ind w:right="234"/>
              <w:spacing w:after="0"/>
              <w:rPr>
                <w:sz w:val="20"/>
                <w:szCs w:val="20"/>
                <w:color w:val="auto"/>
              </w:rPr>
            </w:pPr>
            <w:r>
              <w:rPr>
                <w:rFonts w:ascii="Arial" w:cs="Arial" w:eastAsia="Arial" w:hAnsi="Arial"/>
                <w:sz w:val="18"/>
                <w:szCs w:val="18"/>
                <w:b w:val="1"/>
                <w:bCs w:val="1"/>
                <w:color w:val="auto"/>
              </w:rPr>
              <w:t>22,184</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2.6</w:t>
            </w:r>
          </w:p>
        </w:tc>
        <w:tc>
          <w:tcPr>
            <w:tcW w:w="7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18,787</w:t>
            </w:r>
          </w:p>
        </w:tc>
        <w:tc>
          <w:tcPr>
            <w:tcW w:w="48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375"/>
              <w:spacing w:after="0"/>
              <w:rPr>
                <w:sz w:val="20"/>
                <w:szCs w:val="20"/>
                <w:color w:val="auto"/>
              </w:rPr>
            </w:pPr>
            <w:r>
              <w:rPr>
                <w:rFonts w:ascii="Arial" w:cs="Arial" w:eastAsia="Arial" w:hAnsi="Arial"/>
                <w:sz w:val="18"/>
                <w:szCs w:val="18"/>
                <w:color w:val="auto"/>
              </w:rPr>
              <w:t>1.9</w:t>
            </w:r>
          </w:p>
        </w:tc>
        <w:tc>
          <w:tcPr>
            <w:tcW w:w="1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274"/>
              <w:spacing w:after="0"/>
              <w:rPr>
                <w:sz w:val="20"/>
                <w:szCs w:val="20"/>
                <w:color w:val="auto"/>
              </w:rPr>
            </w:pPr>
            <w:r>
              <w:rPr>
                <w:rFonts w:ascii="Arial" w:cs="Arial" w:eastAsia="Arial" w:hAnsi="Arial"/>
                <w:sz w:val="18"/>
                <w:szCs w:val="18"/>
                <w:color w:val="auto"/>
              </w:rPr>
              <w:t>3,397</w:t>
            </w:r>
          </w:p>
        </w:tc>
        <w:tc>
          <w:tcPr>
            <w:tcW w:w="1000" w:type="dxa"/>
            <w:vAlign w:val="bottom"/>
            <w:shd w:val="clear" w:color="auto" w:fill="D6F3E8"/>
          </w:tcPr>
          <w:p>
            <w:pPr>
              <w:jc w:val="right"/>
              <w:ind w:right="274"/>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35"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6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25" w:type="dxa"/>
            <w:vAlign w:val="bottom"/>
          </w:tcPr>
          <w:p>
            <w:pPr>
              <w:spacing w:after="0"/>
              <w:rPr>
                <w:sz w:val="24"/>
                <w:szCs w:val="24"/>
                <w:color w:val="auto"/>
              </w:rPr>
            </w:pPr>
          </w:p>
        </w:tc>
        <w:tc>
          <w:tcPr>
            <w:tcW w:w="1035" w:type="dxa"/>
            <w:vAlign w:val="bottom"/>
          </w:tcPr>
          <w:p>
            <w:pPr>
              <w:jc w:val="right"/>
              <w:ind w:right="234"/>
              <w:spacing w:after="0"/>
              <w:rPr>
                <w:sz w:val="20"/>
                <w:szCs w:val="20"/>
                <w:color w:val="auto"/>
              </w:rPr>
            </w:pPr>
            <w:r>
              <w:rPr>
                <w:rFonts w:ascii="Arial" w:cs="Arial" w:eastAsia="Arial" w:hAnsi="Arial"/>
                <w:sz w:val="18"/>
                <w:szCs w:val="18"/>
                <w:b w:val="1"/>
                <w:bCs w:val="1"/>
                <w:color w:val="auto"/>
              </w:rPr>
              <w:t>63,098</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98,255</w:t>
            </w:r>
          </w:p>
        </w:tc>
        <w:tc>
          <w:tcPr>
            <w:tcW w:w="480" w:type="dxa"/>
            <w:vAlign w:val="bottom"/>
          </w:tcPr>
          <w:p>
            <w:pPr>
              <w:spacing w:after="0"/>
              <w:rPr>
                <w:sz w:val="24"/>
                <w:szCs w:val="24"/>
                <w:color w:val="auto"/>
              </w:rPr>
            </w:pPr>
          </w:p>
        </w:tc>
        <w:tc>
          <w:tcPr>
            <w:tcW w:w="1060" w:type="dxa"/>
            <w:vAlign w:val="bottom"/>
          </w:tcPr>
          <w:p>
            <w:pPr>
              <w:jc w:val="right"/>
              <w:ind w:right="375"/>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4"/>
                <w:szCs w:val="24"/>
                <w:color w:val="auto"/>
              </w:rPr>
            </w:pP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(35,157)</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25" w:type="dxa"/>
            <w:vAlign w:val="bottom"/>
            <w:shd w:val="clear" w:color="auto" w:fill="D6F3E8"/>
          </w:tcPr>
          <w:p>
            <w:pPr>
              <w:spacing w:after="0"/>
              <w:rPr>
                <w:sz w:val="18"/>
                <w:szCs w:val="18"/>
                <w:color w:val="auto"/>
              </w:rPr>
            </w:pPr>
          </w:p>
        </w:tc>
        <w:tc>
          <w:tcPr>
            <w:tcW w:w="1035" w:type="dxa"/>
            <w:vAlign w:val="bottom"/>
            <w:shd w:val="clear" w:color="auto" w:fill="D6F3E8"/>
          </w:tcPr>
          <w:p>
            <w:pPr>
              <w:jc w:val="right"/>
              <w:ind w:right="234"/>
              <w:spacing w:after="0"/>
              <w:rPr>
                <w:sz w:val="20"/>
                <w:szCs w:val="20"/>
                <w:color w:val="auto"/>
              </w:rPr>
            </w:pPr>
            <w:r>
              <w:rPr>
                <w:rFonts w:ascii="Arial" w:cs="Arial" w:eastAsia="Arial" w:hAnsi="Arial"/>
                <w:sz w:val="18"/>
                <w:szCs w:val="18"/>
                <w:b w:val="1"/>
                <w:bCs w:val="1"/>
                <w:color w:val="auto"/>
              </w:rPr>
              <w:t>5,097</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.6</w:t>
            </w:r>
          </w:p>
        </w:tc>
        <w:tc>
          <w:tcPr>
            <w:tcW w:w="7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2,635</w:t>
            </w:r>
          </w:p>
        </w:tc>
        <w:tc>
          <w:tcPr>
            <w:tcW w:w="48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375"/>
              <w:spacing w:after="0"/>
              <w:rPr>
                <w:sz w:val="20"/>
                <w:szCs w:val="20"/>
                <w:color w:val="auto"/>
              </w:rPr>
            </w:pPr>
            <w:r>
              <w:rPr>
                <w:rFonts w:ascii="Arial" w:cs="Arial" w:eastAsia="Arial" w:hAnsi="Arial"/>
                <w:sz w:val="18"/>
                <w:szCs w:val="18"/>
                <w:color w:val="auto"/>
              </w:rPr>
              <w:t>.3</w:t>
            </w:r>
          </w:p>
        </w:tc>
        <w:tc>
          <w:tcPr>
            <w:tcW w:w="1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274"/>
              <w:spacing w:after="0"/>
              <w:rPr>
                <w:sz w:val="20"/>
                <w:szCs w:val="20"/>
                <w:color w:val="auto"/>
              </w:rPr>
            </w:pPr>
            <w:r>
              <w:rPr>
                <w:rFonts w:ascii="Arial" w:cs="Arial" w:eastAsia="Arial" w:hAnsi="Arial"/>
                <w:sz w:val="18"/>
                <w:szCs w:val="18"/>
                <w:color w:val="auto"/>
              </w:rPr>
              <w:t>2,462</w:t>
            </w:r>
          </w:p>
        </w:tc>
        <w:tc>
          <w:tcPr>
            <w:tcW w:w="1000" w:type="dxa"/>
            <w:vAlign w:val="bottom"/>
            <w:shd w:val="clear" w:color="auto" w:fill="D6F3E8"/>
          </w:tcPr>
          <w:p>
            <w:pPr>
              <w:jc w:val="right"/>
              <w:ind w:right="274"/>
              <w:spacing w:after="0"/>
              <w:rPr>
                <w:sz w:val="20"/>
                <w:szCs w:val="20"/>
                <w:color w:val="auto"/>
              </w:rPr>
            </w:pPr>
            <w:r>
              <w:rPr>
                <w:rFonts w:ascii="Arial" w:cs="Arial" w:eastAsia="Arial" w:hAnsi="Arial"/>
                <w:sz w:val="18"/>
                <w:szCs w:val="18"/>
                <w:color w:val="auto"/>
              </w:rPr>
              <w:t>93.4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Provision for taxes</w:t>
            </w:r>
          </w:p>
        </w:tc>
        <w:tc>
          <w:tcPr>
            <w:tcW w:w="125" w:type="dxa"/>
            <w:vAlign w:val="bottom"/>
          </w:tcPr>
          <w:p>
            <w:pPr>
              <w:spacing w:after="0"/>
              <w:rPr>
                <w:sz w:val="19"/>
                <w:szCs w:val="19"/>
                <w:color w:val="auto"/>
              </w:rPr>
            </w:pPr>
          </w:p>
        </w:tc>
        <w:tc>
          <w:tcPr>
            <w:tcW w:w="1035" w:type="dxa"/>
            <w:vAlign w:val="bottom"/>
          </w:tcPr>
          <w:p>
            <w:pPr>
              <w:jc w:val="right"/>
              <w:ind w:right="234"/>
              <w:spacing w:after="0"/>
              <w:rPr>
                <w:sz w:val="20"/>
                <w:szCs w:val="20"/>
                <w:color w:val="auto"/>
              </w:rPr>
            </w:pPr>
            <w:r>
              <w:rPr>
                <w:rFonts w:ascii="Arial" w:cs="Arial" w:eastAsia="Arial" w:hAnsi="Arial"/>
                <w:sz w:val="18"/>
                <w:szCs w:val="18"/>
                <w:b w:val="1"/>
                <w:bCs w:val="1"/>
                <w:color w:val="auto"/>
              </w:rPr>
              <w:t>23,451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35,817</w:t>
            </w:r>
          </w:p>
        </w:tc>
        <w:tc>
          <w:tcPr>
            <w:tcW w:w="480" w:type="dxa"/>
            <w:vAlign w:val="bottom"/>
          </w:tcPr>
          <w:p>
            <w:pPr>
              <w:spacing w:after="0"/>
              <w:rPr>
                <w:sz w:val="19"/>
                <w:szCs w:val="19"/>
                <w:color w:val="auto"/>
              </w:rPr>
            </w:pPr>
          </w:p>
        </w:tc>
        <w:tc>
          <w:tcPr>
            <w:tcW w:w="1060" w:type="dxa"/>
            <w:vAlign w:val="bottom"/>
          </w:tcPr>
          <w:p>
            <w:pPr>
              <w:jc w:val="right"/>
              <w:ind w:right="375"/>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(12,366)</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9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35"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35"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income</w:t>
            </w:r>
          </w:p>
        </w:tc>
        <w:tc>
          <w:tcPr>
            <w:tcW w:w="125"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w w:val="79"/>
              </w:rPr>
              <w:t>$</w:t>
            </w:r>
          </w:p>
        </w:tc>
        <w:tc>
          <w:tcPr>
            <w:tcW w:w="1035" w:type="dxa"/>
            <w:vAlign w:val="bottom"/>
            <w:shd w:val="clear" w:color="auto" w:fill="D6F3E8"/>
          </w:tcPr>
          <w:p>
            <w:pPr>
              <w:jc w:val="right"/>
              <w:ind w:right="234"/>
              <w:spacing w:after="0"/>
              <w:rPr>
                <w:sz w:val="20"/>
                <w:szCs w:val="20"/>
                <w:color w:val="auto"/>
              </w:rPr>
            </w:pPr>
            <w:r>
              <w:rPr>
                <w:rFonts w:ascii="Arial" w:cs="Arial" w:eastAsia="Arial" w:hAnsi="Arial"/>
                <w:sz w:val="18"/>
                <w:szCs w:val="18"/>
                <w:b w:val="1"/>
                <w:bCs w:val="1"/>
                <w:color w:val="auto"/>
              </w:rPr>
              <w:t>44,744</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5.2</w:t>
            </w:r>
          </w:p>
        </w:tc>
        <w:tc>
          <w:tcPr>
            <w:tcW w:w="70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65,073</w:t>
            </w:r>
          </w:p>
        </w:tc>
        <w:tc>
          <w:tcPr>
            <w:tcW w:w="48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375"/>
              <w:spacing w:after="0"/>
              <w:rPr>
                <w:sz w:val="20"/>
                <w:szCs w:val="20"/>
                <w:color w:val="auto"/>
              </w:rPr>
            </w:pPr>
            <w:r>
              <w:rPr>
                <w:rFonts w:ascii="Arial" w:cs="Arial" w:eastAsia="Arial" w:hAnsi="Arial"/>
                <w:sz w:val="18"/>
                <w:szCs w:val="18"/>
                <w:color w:val="auto"/>
              </w:rPr>
              <w:t>6.6</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(20,329)</w:t>
            </w:r>
          </w:p>
        </w:tc>
        <w:tc>
          <w:tcPr>
            <w:tcW w:w="100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9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035"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Diluted income per share</w:t>
            </w:r>
          </w:p>
        </w:tc>
        <w:tc>
          <w:tcPr>
            <w:tcW w:w="125"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35" w:type="dxa"/>
            <w:vAlign w:val="bottom"/>
          </w:tcPr>
          <w:p>
            <w:pPr>
              <w:jc w:val="right"/>
              <w:ind w:right="234"/>
              <w:spacing w:after="0"/>
              <w:rPr>
                <w:sz w:val="20"/>
                <w:szCs w:val="20"/>
                <w:color w:val="auto"/>
              </w:rPr>
            </w:pPr>
            <w:r>
              <w:rPr>
                <w:rFonts w:ascii="Arial" w:cs="Arial" w:eastAsia="Arial" w:hAnsi="Arial"/>
                <w:sz w:val="18"/>
                <w:szCs w:val="18"/>
                <w:b w:val="1"/>
                <w:bCs w:val="1"/>
                <w:color w:val="auto"/>
              </w:rPr>
              <w:t>1.37</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(0.55)</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035"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5" w:type="dxa"/>
            <w:vAlign w:val="bottom"/>
          </w:tcPr>
          <w:p>
            <w:pPr>
              <w:spacing w:after="0"/>
              <w:rPr>
                <w:sz w:val="9"/>
                <w:szCs w:val="9"/>
                <w:color w:val="auto"/>
              </w:rPr>
            </w:pPr>
          </w:p>
        </w:tc>
        <w:tc>
          <w:tcPr>
            <w:tcW w:w="1035"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Fully diluted average shares outstanding</w:t>
            </w:r>
          </w:p>
        </w:tc>
        <w:tc>
          <w:tcPr>
            <w:tcW w:w="125" w:type="dxa"/>
            <w:vAlign w:val="bottom"/>
            <w:shd w:val="clear" w:color="auto" w:fill="D6F3E8"/>
          </w:tcPr>
          <w:p>
            <w:pPr>
              <w:spacing w:after="0"/>
              <w:rPr>
                <w:sz w:val="18"/>
                <w:szCs w:val="18"/>
                <w:color w:val="auto"/>
              </w:rPr>
            </w:pPr>
          </w:p>
        </w:tc>
        <w:tc>
          <w:tcPr>
            <w:tcW w:w="1035" w:type="dxa"/>
            <w:vAlign w:val="bottom"/>
            <w:shd w:val="clear" w:color="auto" w:fill="D6F3E8"/>
          </w:tcPr>
          <w:p>
            <w:pPr>
              <w:jc w:val="right"/>
              <w:ind w:right="234"/>
              <w:spacing w:after="0"/>
              <w:rPr>
                <w:sz w:val="20"/>
                <w:szCs w:val="20"/>
                <w:color w:val="auto"/>
              </w:rPr>
            </w:pPr>
            <w:r>
              <w:rPr>
                <w:rFonts w:ascii="Arial" w:cs="Arial" w:eastAsia="Arial" w:hAnsi="Arial"/>
                <w:sz w:val="18"/>
                <w:szCs w:val="18"/>
                <w:b w:val="1"/>
                <w:bCs w:val="1"/>
                <w:color w:val="auto"/>
              </w:rPr>
              <w:t>32,550</w:t>
            </w:r>
          </w:p>
        </w:tc>
        <w:tc>
          <w:tcPr>
            <w:tcW w:w="80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33,812</w:t>
            </w:r>
          </w:p>
        </w:tc>
        <w:tc>
          <w:tcPr>
            <w:tcW w:w="48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(1,262)</w:t>
            </w:r>
          </w:p>
        </w:tc>
        <w:tc>
          <w:tcPr>
            <w:tcW w:w="100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960" w:type="dxa"/>
            <w:vAlign w:val="bottom"/>
            <w:gridSpan w:val="3"/>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125" w:type="dxa"/>
            <w:vAlign w:val="bottom"/>
            <w:tcBorders>
              <w:bottom w:val="single" w:sz="8" w:color="auto"/>
            </w:tcBorders>
          </w:tcPr>
          <w:p>
            <w:pPr>
              <w:spacing w:after="0"/>
              <w:rPr>
                <w:sz w:val="11"/>
                <w:szCs w:val="11"/>
                <w:color w:val="auto"/>
              </w:rPr>
            </w:pPr>
          </w:p>
        </w:tc>
        <w:tc>
          <w:tcPr>
            <w:tcW w:w="1035"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960" w:type="dxa"/>
            <w:vAlign w:val="bottom"/>
            <w:gridSpan w:val="3"/>
            <w:vMerge w:val="continue"/>
          </w:tcPr>
          <w:p>
            <w:pPr>
              <w:spacing w:after="0"/>
              <w:rPr>
                <w:sz w:val="24"/>
                <w:szCs w:val="24"/>
                <w:color w:val="auto"/>
              </w:rPr>
            </w:pPr>
          </w:p>
        </w:tc>
        <w:tc>
          <w:tcPr>
            <w:tcW w:w="125" w:type="dxa"/>
            <w:vAlign w:val="bottom"/>
          </w:tcPr>
          <w:p>
            <w:pPr>
              <w:spacing w:after="0"/>
              <w:rPr>
                <w:sz w:val="24"/>
                <w:szCs w:val="24"/>
                <w:color w:val="auto"/>
              </w:rPr>
            </w:pPr>
          </w:p>
        </w:tc>
        <w:tc>
          <w:tcPr>
            <w:tcW w:w="1035"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035"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460"/>
              <w:spacing w:after="0"/>
              <w:rPr>
                <w:sz w:val="20"/>
                <w:szCs w:val="20"/>
                <w:color w:val="auto"/>
              </w:rPr>
            </w:pPr>
            <w:r>
              <w:rPr>
                <w:rFonts w:ascii="Arial" w:cs="Arial" w:eastAsia="Arial" w:hAnsi="Arial"/>
                <w:sz w:val="14"/>
                <w:szCs w:val="14"/>
                <w:b w:val="1"/>
                <w:bCs w:val="1"/>
                <w:color w:val="auto"/>
                <w:w w:val="90"/>
              </w:rPr>
              <w:t>Year Ended</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35"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1035" w:type="dxa"/>
            <w:vAlign w:val="bottom"/>
          </w:tcPr>
          <w:p>
            <w:pPr>
              <w:jc w:val="right"/>
              <w:ind w:right="334"/>
              <w:spacing w:after="0"/>
              <w:rPr>
                <w:sz w:val="20"/>
                <w:szCs w:val="20"/>
                <w:color w:val="auto"/>
              </w:rPr>
            </w:pPr>
            <w:r>
              <w:rPr>
                <w:rFonts w:ascii="Arial" w:cs="Arial" w:eastAsia="Arial" w:hAnsi="Arial"/>
                <w:sz w:val="14"/>
                <w:szCs w:val="14"/>
                <w:b w:val="1"/>
                <w:bCs w:val="1"/>
                <w:color w:val="auto"/>
              </w:rPr>
              <w:t>Aug. 26,</w:t>
            </w: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Product Mix</w:t>
            </w:r>
          </w:p>
        </w:tc>
        <w:tc>
          <w:tcPr>
            <w:tcW w:w="18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 27,</w:t>
            </w:r>
          </w:p>
        </w:tc>
        <w:tc>
          <w:tcPr>
            <w:tcW w:w="1060" w:type="dxa"/>
            <w:vAlign w:val="bottom"/>
          </w:tcPr>
          <w:p>
            <w:pPr>
              <w:jc w:val="right"/>
              <w:ind w:right="195"/>
              <w:spacing w:after="0"/>
              <w:rPr>
                <w:sz w:val="20"/>
                <w:szCs w:val="20"/>
                <w:color w:val="auto"/>
              </w:rPr>
            </w:pPr>
            <w:r>
              <w:rPr>
                <w:rFonts w:ascii="Arial" w:cs="Arial" w:eastAsia="Arial" w:hAnsi="Arial"/>
                <w:sz w:val="14"/>
                <w:szCs w:val="14"/>
                <w:b w:val="1"/>
                <w:bCs w:val="1"/>
                <w:color w:val="auto"/>
                <w:w w:val="94"/>
              </w:rPr>
              <w:t>Product Mix</w:t>
            </w:r>
          </w:p>
        </w:tc>
        <w:tc>
          <w:tcPr>
            <w:tcW w:w="140" w:type="dxa"/>
            <w:vAlign w:val="bottom"/>
          </w:tcPr>
          <w:p>
            <w:pPr>
              <w:spacing w:after="0"/>
              <w:rPr>
                <w:sz w:val="20"/>
                <w:szCs w:val="20"/>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(Decrease)</w:t>
            </w: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Motor home unit deliveries</w:t>
            </w:r>
          </w:p>
        </w:tc>
        <w:tc>
          <w:tcPr>
            <w:tcW w:w="125" w:type="dxa"/>
            <w:vAlign w:val="bottom"/>
          </w:tcPr>
          <w:p>
            <w:pPr>
              <w:spacing w:after="0"/>
              <w:rPr>
                <w:sz w:val="15"/>
                <w:szCs w:val="15"/>
                <w:color w:val="auto"/>
              </w:rPr>
            </w:pPr>
          </w:p>
        </w:tc>
        <w:tc>
          <w:tcPr>
            <w:tcW w:w="1035" w:type="dxa"/>
            <w:vAlign w:val="bottom"/>
          </w:tcPr>
          <w:p>
            <w:pPr>
              <w:jc w:val="right"/>
              <w:ind w:right="434"/>
              <w:spacing w:after="0"/>
              <w:rPr>
                <w:sz w:val="20"/>
                <w:szCs w:val="20"/>
                <w:color w:val="auto"/>
              </w:rPr>
            </w:pPr>
            <w:r>
              <w:rPr>
                <w:rFonts w:ascii="Arial" w:cs="Arial" w:eastAsia="Arial" w:hAnsi="Arial"/>
                <w:sz w:val="14"/>
                <w:szCs w:val="14"/>
                <w:b w:val="1"/>
                <w:bCs w:val="1"/>
                <w:color w:val="auto"/>
              </w:rPr>
              <w:t>2006</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1060" w:type="dxa"/>
            <w:vAlign w:val="bottom"/>
          </w:tcPr>
          <w:p>
            <w:pPr>
              <w:jc w:val="right"/>
              <w:ind w:right="49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240" w:type="dxa"/>
            <w:vAlign w:val="bottom"/>
          </w:tcPr>
          <w:p>
            <w:pPr>
              <w:jc w:val="right"/>
              <w:ind w:right="334"/>
              <w:spacing w:after="0"/>
              <w:rPr>
                <w:sz w:val="20"/>
                <w:szCs w:val="20"/>
                <w:color w:val="auto"/>
              </w:rPr>
            </w:pPr>
            <w:r>
              <w:rPr>
                <w:rFonts w:ascii="Arial" w:cs="Arial" w:eastAsia="Arial" w:hAnsi="Arial"/>
                <w:sz w:val="14"/>
                <w:szCs w:val="14"/>
                <w:b w:val="1"/>
                <w:bCs w:val="1"/>
                <w:color w:val="auto"/>
              </w:rPr>
              <w:t>Increase</w:t>
            </w:r>
          </w:p>
        </w:tc>
        <w:tc>
          <w:tcPr>
            <w:tcW w:w="100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35"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35"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Class A gas</w:t>
            </w:r>
          </w:p>
        </w:tc>
        <w:tc>
          <w:tcPr>
            <w:tcW w:w="125" w:type="dxa"/>
            <w:vAlign w:val="bottom"/>
            <w:shd w:val="clear" w:color="auto" w:fill="D6F3E8"/>
          </w:tcPr>
          <w:p>
            <w:pPr>
              <w:spacing w:after="0"/>
              <w:rPr>
                <w:sz w:val="18"/>
                <w:szCs w:val="18"/>
                <w:color w:val="auto"/>
              </w:rPr>
            </w:pPr>
          </w:p>
        </w:tc>
        <w:tc>
          <w:tcPr>
            <w:tcW w:w="1035" w:type="dxa"/>
            <w:vAlign w:val="bottom"/>
            <w:shd w:val="clear" w:color="auto" w:fill="D6F3E8"/>
          </w:tcPr>
          <w:p>
            <w:pPr>
              <w:jc w:val="right"/>
              <w:ind w:right="214"/>
              <w:spacing w:after="0"/>
              <w:rPr>
                <w:sz w:val="20"/>
                <w:szCs w:val="20"/>
                <w:color w:val="auto"/>
              </w:rPr>
            </w:pPr>
            <w:r>
              <w:rPr>
                <w:rFonts w:ascii="Arial" w:cs="Arial" w:eastAsia="Arial" w:hAnsi="Arial"/>
                <w:sz w:val="18"/>
                <w:szCs w:val="18"/>
                <w:b w:val="1"/>
                <w:bCs w:val="1"/>
                <w:color w:val="auto"/>
              </w:rPr>
              <w:t>2,961</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30.1</w:t>
            </w:r>
          </w:p>
        </w:tc>
        <w:tc>
          <w:tcPr>
            <w:tcW w:w="7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4,527</w:t>
            </w:r>
          </w:p>
        </w:tc>
        <w:tc>
          <w:tcPr>
            <w:tcW w:w="48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435"/>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174"/>
              <w:spacing w:after="0"/>
              <w:rPr>
                <w:sz w:val="20"/>
                <w:szCs w:val="20"/>
                <w:color w:val="auto"/>
              </w:rPr>
            </w:pPr>
            <w:r>
              <w:rPr>
                <w:rFonts w:ascii="Arial" w:cs="Arial" w:eastAsia="Arial" w:hAnsi="Arial"/>
                <w:sz w:val="18"/>
                <w:szCs w:val="18"/>
                <w:color w:val="auto"/>
              </w:rPr>
              <w:t>(1,566)</w:t>
            </w:r>
          </w:p>
        </w:tc>
        <w:tc>
          <w:tcPr>
            <w:tcW w:w="1000" w:type="dxa"/>
            <w:vAlign w:val="bottom"/>
            <w:shd w:val="clear" w:color="auto" w:fill="D6F3E8"/>
          </w:tcPr>
          <w:p>
            <w:pPr>
              <w:jc w:val="right"/>
              <w:ind w:right="174"/>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125" w:type="dxa"/>
            <w:vAlign w:val="bottom"/>
          </w:tcPr>
          <w:p>
            <w:pPr>
              <w:spacing w:after="0"/>
              <w:rPr>
                <w:sz w:val="19"/>
                <w:szCs w:val="19"/>
                <w:color w:val="auto"/>
              </w:rPr>
            </w:pPr>
          </w:p>
        </w:tc>
        <w:tc>
          <w:tcPr>
            <w:tcW w:w="1035" w:type="dxa"/>
            <w:vAlign w:val="bottom"/>
          </w:tcPr>
          <w:p>
            <w:pPr>
              <w:jc w:val="right"/>
              <w:ind w:right="214"/>
              <w:spacing w:after="0"/>
              <w:rPr>
                <w:sz w:val="20"/>
                <w:szCs w:val="20"/>
                <w:color w:val="auto"/>
              </w:rPr>
            </w:pPr>
            <w:r>
              <w:rPr>
                <w:rFonts w:ascii="Arial" w:cs="Arial" w:eastAsia="Arial" w:hAnsi="Arial"/>
                <w:sz w:val="18"/>
                <w:szCs w:val="18"/>
                <w:b w:val="1"/>
                <w:bCs w:val="1"/>
                <w:color w:val="auto"/>
              </w:rPr>
              <w:t>1,494</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2,147</w:t>
            </w:r>
          </w:p>
        </w:tc>
        <w:tc>
          <w:tcPr>
            <w:tcW w:w="480" w:type="dxa"/>
            <w:vAlign w:val="bottom"/>
          </w:tcPr>
          <w:p>
            <w:pPr>
              <w:spacing w:after="0"/>
              <w:rPr>
                <w:sz w:val="19"/>
                <w:szCs w:val="19"/>
                <w:color w:val="auto"/>
              </w:rPr>
            </w:pPr>
          </w:p>
        </w:tc>
        <w:tc>
          <w:tcPr>
            <w:tcW w:w="1060" w:type="dxa"/>
            <w:vAlign w:val="bottom"/>
          </w:tcPr>
          <w:p>
            <w:pPr>
              <w:jc w:val="right"/>
              <w:ind w:right="435"/>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1240" w:type="dxa"/>
            <w:vAlign w:val="bottom"/>
          </w:tcPr>
          <w:p>
            <w:pPr>
              <w:jc w:val="right"/>
              <w:ind w:right="174"/>
              <w:spacing w:after="0"/>
              <w:rPr>
                <w:sz w:val="20"/>
                <w:szCs w:val="20"/>
                <w:color w:val="auto"/>
              </w:rPr>
            </w:pPr>
            <w:r>
              <w:rPr>
                <w:rFonts w:ascii="Arial" w:cs="Arial" w:eastAsia="Arial" w:hAnsi="Arial"/>
                <w:sz w:val="18"/>
                <w:szCs w:val="18"/>
                <w:color w:val="auto"/>
              </w:rPr>
              <w:t>(653)</w:t>
            </w: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90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35"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35"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Class A</w:t>
            </w:r>
          </w:p>
        </w:tc>
        <w:tc>
          <w:tcPr>
            <w:tcW w:w="125" w:type="dxa"/>
            <w:vAlign w:val="bottom"/>
            <w:shd w:val="clear" w:color="auto" w:fill="D6F3E8"/>
          </w:tcPr>
          <w:p>
            <w:pPr>
              <w:spacing w:after="0"/>
              <w:rPr>
                <w:sz w:val="18"/>
                <w:szCs w:val="18"/>
                <w:color w:val="auto"/>
              </w:rPr>
            </w:pPr>
          </w:p>
        </w:tc>
        <w:tc>
          <w:tcPr>
            <w:tcW w:w="1035" w:type="dxa"/>
            <w:vAlign w:val="bottom"/>
            <w:shd w:val="clear" w:color="auto" w:fill="D6F3E8"/>
          </w:tcPr>
          <w:p>
            <w:pPr>
              <w:jc w:val="right"/>
              <w:ind w:right="214"/>
              <w:spacing w:after="0"/>
              <w:rPr>
                <w:sz w:val="20"/>
                <w:szCs w:val="20"/>
                <w:color w:val="auto"/>
              </w:rPr>
            </w:pPr>
            <w:r>
              <w:rPr>
                <w:rFonts w:ascii="Arial" w:cs="Arial" w:eastAsia="Arial" w:hAnsi="Arial"/>
                <w:sz w:val="18"/>
                <w:szCs w:val="18"/>
                <w:b w:val="1"/>
                <w:bCs w:val="1"/>
                <w:color w:val="auto"/>
              </w:rPr>
              <w:t>4,455</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45.3</w:t>
            </w:r>
          </w:p>
        </w:tc>
        <w:tc>
          <w:tcPr>
            <w:tcW w:w="7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6,674</w:t>
            </w:r>
          </w:p>
        </w:tc>
        <w:tc>
          <w:tcPr>
            <w:tcW w:w="48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435"/>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174"/>
              <w:spacing w:after="0"/>
              <w:rPr>
                <w:sz w:val="20"/>
                <w:szCs w:val="20"/>
                <w:color w:val="auto"/>
              </w:rPr>
            </w:pPr>
            <w:r>
              <w:rPr>
                <w:rFonts w:ascii="Arial" w:cs="Arial" w:eastAsia="Arial" w:hAnsi="Arial"/>
                <w:sz w:val="18"/>
                <w:szCs w:val="18"/>
                <w:color w:val="auto"/>
              </w:rPr>
              <w:t>(2,219)</w:t>
            </w:r>
          </w:p>
        </w:tc>
        <w:tc>
          <w:tcPr>
            <w:tcW w:w="1000" w:type="dxa"/>
            <w:vAlign w:val="bottom"/>
            <w:shd w:val="clear" w:color="auto" w:fill="D6F3E8"/>
          </w:tcPr>
          <w:p>
            <w:pPr>
              <w:jc w:val="right"/>
              <w:ind w:right="174"/>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Class C</w:t>
            </w:r>
          </w:p>
        </w:tc>
        <w:tc>
          <w:tcPr>
            <w:tcW w:w="125" w:type="dxa"/>
            <w:vAlign w:val="bottom"/>
          </w:tcPr>
          <w:p>
            <w:pPr>
              <w:spacing w:after="0"/>
              <w:rPr>
                <w:sz w:val="19"/>
                <w:szCs w:val="19"/>
                <w:color w:val="auto"/>
              </w:rPr>
            </w:pPr>
          </w:p>
        </w:tc>
        <w:tc>
          <w:tcPr>
            <w:tcW w:w="1035" w:type="dxa"/>
            <w:vAlign w:val="bottom"/>
          </w:tcPr>
          <w:p>
            <w:pPr>
              <w:jc w:val="right"/>
              <w:ind w:right="214"/>
              <w:spacing w:after="0"/>
              <w:rPr>
                <w:sz w:val="20"/>
                <w:szCs w:val="20"/>
                <w:color w:val="auto"/>
              </w:rPr>
            </w:pPr>
            <w:r>
              <w:rPr>
                <w:rFonts w:ascii="Arial" w:cs="Arial" w:eastAsia="Arial" w:hAnsi="Arial"/>
                <w:sz w:val="18"/>
                <w:szCs w:val="18"/>
                <w:b w:val="1"/>
                <w:bCs w:val="1"/>
                <w:color w:val="auto"/>
              </w:rPr>
              <w:t>5,388</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54.7</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3,963</w:t>
            </w:r>
          </w:p>
        </w:tc>
        <w:tc>
          <w:tcPr>
            <w:tcW w:w="480" w:type="dxa"/>
            <w:vAlign w:val="bottom"/>
          </w:tcPr>
          <w:p>
            <w:pPr>
              <w:spacing w:after="0"/>
              <w:rPr>
                <w:sz w:val="19"/>
                <w:szCs w:val="19"/>
                <w:color w:val="auto"/>
              </w:rPr>
            </w:pPr>
          </w:p>
        </w:tc>
        <w:tc>
          <w:tcPr>
            <w:tcW w:w="1060" w:type="dxa"/>
            <w:vAlign w:val="bottom"/>
          </w:tcPr>
          <w:p>
            <w:pPr>
              <w:jc w:val="right"/>
              <w:ind w:right="435"/>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9"/>
                <w:szCs w:val="19"/>
                <w:color w:val="auto"/>
              </w:rPr>
            </w:pP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1,425</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90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35"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35"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deliveries</w:t>
            </w:r>
          </w:p>
        </w:tc>
        <w:tc>
          <w:tcPr>
            <w:tcW w:w="125" w:type="dxa"/>
            <w:vAlign w:val="bottom"/>
            <w:shd w:val="clear" w:color="auto" w:fill="D6F3E8"/>
          </w:tcPr>
          <w:p>
            <w:pPr>
              <w:spacing w:after="0"/>
              <w:rPr>
                <w:sz w:val="18"/>
                <w:szCs w:val="18"/>
                <w:color w:val="auto"/>
              </w:rPr>
            </w:pPr>
          </w:p>
        </w:tc>
        <w:tc>
          <w:tcPr>
            <w:tcW w:w="1035" w:type="dxa"/>
            <w:vAlign w:val="bottom"/>
            <w:shd w:val="clear" w:color="auto" w:fill="D6F3E8"/>
          </w:tcPr>
          <w:p>
            <w:pPr>
              <w:jc w:val="right"/>
              <w:ind w:right="214"/>
              <w:spacing w:after="0"/>
              <w:rPr>
                <w:sz w:val="20"/>
                <w:szCs w:val="20"/>
                <w:color w:val="auto"/>
              </w:rPr>
            </w:pPr>
            <w:r>
              <w:rPr>
                <w:rFonts w:ascii="Arial" w:cs="Arial" w:eastAsia="Arial" w:hAnsi="Arial"/>
                <w:sz w:val="18"/>
                <w:szCs w:val="18"/>
                <w:b w:val="1"/>
                <w:bCs w:val="1"/>
                <w:color w:val="auto"/>
              </w:rPr>
              <w:t>9,843</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100.0</w:t>
            </w:r>
          </w:p>
        </w:tc>
        <w:tc>
          <w:tcPr>
            <w:tcW w:w="7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10,637</w:t>
            </w:r>
          </w:p>
        </w:tc>
        <w:tc>
          <w:tcPr>
            <w:tcW w:w="48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435"/>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174"/>
              <w:spacing w:after="0"/>
              <w:rPr>
                <w:sz w:val="20"/>
                <w:szCs w:val="20"/>
                <w:color w:val="auto"/>
              </w:rPr>
            </w:pPr>
            <w:r>
              <w:rPr>
                <w:rFonts w:ascii="Arial" w:cs="Arial" w:eastAsia="Arial" w:hAnsi="Arial"/>
                <w:sz w:val="18"/>
                <w:szCs w:val="18"/>
                <w:color w:val="auto"/>
              </w:rPr>
              <w:t>(794)</w:t>
            </w:r>
          </w:p>
        </w:tc>
        <w:tc>
          <w:tcPr>
            <w:tcW w:w="1000" w:type="dxa"/>
            <w:vAlign w:val="bottom"/>
            <w:shd w:val="clear" w:color="auto" w:fill="D6F3E8"/>
          </w:tcPr>
          <w:p>
            <w:pPr>
              <w:jc w:val="right"/>
              <w:ind w:right="174"/>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035"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-2764790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-2764790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-2764790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-2764790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-2764790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-2764790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-2764790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-2764790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-2764790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-2764790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-2764790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-2764790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-2764790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-2764790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-2764790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-2764790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-2764790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-2764790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-2764790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-2464435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-2464435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-2464435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-2464435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-2464435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-2464435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-2464435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-2464435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-2464435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-2464435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-2464435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-2464435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-2464435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-2464435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-2464435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-2164715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-2164715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-2164715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-2164715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-2164715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-2164715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-2164715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-2164715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-2164715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-2164715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-2164715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-2164715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-2164715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-2164715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-2164715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140"/>
        <w:spacing w:after="0" w:line="318" w:lineRule="auto"/>
        <w:rPr>
          <w:sz w:val="20"/>
          <w:szCs w:val="20"/>
          <w:color w:val="auto"/>
        </w:rPr>
      </w:pPr>
      <w:r>
        <w:rPr>
          <w:rFonts w:ascii="Arial" w:cs="Arial" w:eastAsia="Arial" w:hAnsi="Arial"/>
          <w:sz w:val="15"/>
          <w:szCs w:val="15"/>
          <w:color w:val="auto"/>
        </w:rPr>
        <w:t>Net revenues for the year ended August 26, 2006 decreased $127.6 million, or 12.9 percent, primarily as a result of a 7.5 percent decrease in unit deliveries. Net revenues declined at a higher rate than deliveries due to a shift in product mix weighted more heavily towards lower-priced products, particularly Class C motor homes, which resulted in a 7.7 percent decrease in our average selling price of motor homes during the fiscal year. The increase in Class C unit deliveries of 36.0 percent in Fiscal 2006 was primarily due to the popularity of new product offerings, such as the Winnebago View and Itasca Navion Class C diesels. In contrast, the overall market for Class C motor homes decreased 6.2 percent for the eight months ended August 31, 2006 according to statistics published by RVIA.</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profit margin decreased from 13.8 percent during Fiscal 2005 to 12.1 percent during Fiscal 2006. The deterioration in margin was primarily due to the change in our mix to lower-priced products with lower margins and higher fixed costs per unit of production resulting from lower production volumes. Also contributing, to a lesser extent, to the reduced margin was stock option expense recorded as a result of the adoption of SFAS No. 123R. Partially offsetting the decline in gross profit margin was the liquidation of last-in, first-out (LIFO) inventory values as a result of a significant reduction of inventory levels during 2006. (See Note 3 to the Consolidated Financial Statements)</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Selling expenses decreased $317,000, or 1.6 percent, during fiscal year ended August 26, 2006. However, as a percent of net revenues, selling expenses were 2.2 percent during Fiscal 2006 compared to 2.0 percent for Fiscal 2005. The decrease in dollars was due primarily to lower advertising expenses offset partially by the recording of stock option expense as a result of the adoption of SFAS No. 123R.</w:t>
      </w:r>
    </w:p>
    <w:p>
      <w:pPr>
        <w:sectPr>
          <w:pgSz w:w="11900" w:h="16838" w:orient="portrait"/>
          <w:cols w:equalWidth="0" w:num="1">
            <w:col w:w="11460"/>
          </w:cols>
          <w:pgMar w:left="240" w:top="131" w:right="199" w:bottom="1440" w:gutter="0" w:footer="0" w:header="0"/>
        </w:sectPr>
      </w:pP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General and administrative expenses increased $3.4 million, or 18.1 percent, during Fiscal 2006. The increase in expense was due primarily to the recording of stock option expense and to a lesser extent an increase in our product liability expense offset partially by a reduction in management incentive compensation expense.</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Financial income increased $2.5 million, or 93.4 percent, during the fiscal year ended August 26, 2006. The increase in financial income during Fiscal 2006 was due to a higher average interest rate earned on investments and a higher average short-term investment balance.</w:t>
      </w:r>
    </w:p>
    <w:p>
      <w:pPr>
        <w:spacing w:after="0" w:line="18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overall effective income tax rate decreased to 34.4 percent for Fiscal 2006 from 35.5 percent for Fiscal 2005. The decrease was primarily a result of the domestic production activities credit of the American Jobs Creation Act and an increase in tax-free investment income offset partially by incentive stock option expense not deductible for tax purposes.</w:t>
      </w:r>
    </w:p>
    <w:p>
      <w:pPr>
        <w:spacing w:after="0" w:line="19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Net income decreased by 31.2 percent and income per diluted share decreased by 28.6 percent when comparing Fiscal 2006 to Fiscal 2005. The smaller percentage decrease in income per diluted share was due to a lower number of shares of common stock outstanding during the fiscal year ended August 26, 2006, as a result of shares of common stock repurchased by the Company. (See Note 11 to the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2005 Compared to Fiscal 2004</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year ended August 27, 2005 compared to the year ended August 28, 2004.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250" w:type="dxa"/>
            <w:vAlign w:val="bottom"/>
            <w:gridSpan w:val="2"/>
          </w:tcPr>
          <w:p>
            <w:pPr>
              <w:ind w:left="550"/>
              <w:spacing w:after="0"/>
              <w:rPr>
                <w:sz w:val="20"/>
                <w:szCs w:val="20"/>
                <w:color w:val="auto"/>
              </w:rPr>
            </w:pPr>
            <w:r>
              <w:rPr>
                <w:rFonts w:ascii="Arial" w:cs="Arial" w:eastAsia="Arial" w:hAnsi="Arial"/>
                <w:sz w:val="14"/>
                <w:szCs w:val="14"/>
                <w:b w:val="1"/>
                <w:bCs w:val="1"/>
                <w:color w:val="auto"/>
                <w:w w:val="88"/>
              </w:rPr>
              <w:t>Year Ended</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percent</w:t>
            </w:r>
          </w:p>
        </w:tc>
        <w:tc>
          <w:tcPr>
            <w:tcW w:w="140" w:type="dxa"/>
            <w:vAlign w:val="bottom"/>
          </w:tcPr>
          <w:p>
            <w:pPr>
              <w:spacing w:after="0"/>
              <w:rPr>
                <w:sz w:val="20"/>
                <w:szCs w:val="20"/>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Aug. 27,</w:t>
            </w:r>
          </w:p>
        </w:tc>
        <w:tc>
          <w:tcPr>
            <w:tcW w:w="1440" w:type="dxa"/>
            <w:vAlign w:val="bottom"/>
          </w:tcPr>
          <w:p>
            <w:pPr>
              <w:jc w:val="right"/>
              <w:ind w:right="337"/>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1250" w:type="dxa"/>
            <w:vAlign w:val="bottom"/>
            <w:gridSpan w:val="2"/>
          </w:tcPr>
          <w:p>
            <w:pPr>
              <w:ind w:left="70"/>
              <w:spacing w:after="0"/>
              <w:rPr>
                <w:sz w:val="20"/>
                <w:szCs w:val="20"/>
                <w:color w:val="auto"/>
              </w:rPr>
            </w:pPr>
            <w:r>
              <w:rPr>
                <w:rFonts w:ascii="Arial" w:cs="Arial" w:eastAsia="Arial" w:hAnsi="Arial"/>
                <w:sz w:val="14"/>
                <w:szCs w:val="14"/>
                <w:b w:val="1"/>
                <w:bCs w:val="1"/>
                <w:color w:val="auto"/>
              </w:rPr>
              <w:t>Aug. 28,</w:t>
            </w: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1115"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(Decrease)</w:t>
            </w:r>
          </w:p>
        </w:tc>
        <w:tc>
          <w:tcPr>
            <w:tcW w:w="112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and per share data)</w:t>
            </w:r>
          </w:p>
        </w:tc>
        <w:tc>
          <w:tcPr>
            <w:tcW w:w="140" w:type="dxa"/>
            <w:vAlign w:val="bottom"/>
          </w:tcPr>
          <w:p>
            <w:pPr>
              <w:spacing w:after="0"/>
              <w:rPr>
                <w:sz w:val="15"/>
                <w:szCs w:val="15"/>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1440" w:type="dxa"/>
            <w:vAlign w:val="bottom"/>
          </w:tcPr>
          <w:p>
            <w:pPr>
              <w:jc w:val="right"/>
              <w:ind w:right="217"/>
              <w:spacing w:after="0"/>
              <w:rPr>
                <w:sz w:val="20"/>
                <w:szCs w:val="20"/>
                <w:color w:val="auto"/>
              </w:rPr>
            </w:pPr>
            <w:r>
              <w:rPr>
                <w:rFonts w:ascii="Arial" w:cs="Arial" w:eastAsia="Arial" w:hAnsi="Arial"/>
                <w:sz w:val="14"/>
                <w:szCs w:val="14"/>
                <w:b w:val="1"/>
                <w:bCs w:val="1"/>
                <w:color w:val="auto"/>
              </w:rPr>
              <w:t>Revenues</w:t>
            </w:r>
          </w:p>
        </w:tc>
        <w:tc>
          <w:tcPr>
            <w:tcW w:w="3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70" w:type="dxa"/>
            <w:vAlign w:val="bottom"/>
          </w:tcPr>
          <w:p>
            <w:pPr>
              <w:jc w:val="right"/>
              <w:ind w:right="238"/>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b w:val="1"/>
                <w:bCs w:val="1"/>
                <w:color w:val="auto"/>
                <w:w w:val="90"/>
              </w:rPr>
              <w:t>Revenues</w:t>
            </w:r>
          </w:p>
        </w:tc>
        <w:tc>
          <w:tcPr>
            <w:tcW w:w="2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15"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Increase</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77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991,975</w:t>
            </w:r>
          </w:p>
        </w:tc>
        <w:tc>
          <w:tcPr>
            <w:tcW w:w="1440" w:type="dxa"/>
            <w:vAlign w:val="bottom"/>
            <w:shd w:val="clear" w:color="auto" w:fill="D6F3E8"/>
          </w:tcPr>
          <w:p>
            <w:pPr>
              <w:jc w:val="right"/>
              <w:ind w:right="297"/>
              <w:spacing w:after="0"/>
              <w:rPr>
                <w:sz w:val="20"/>
                <w:szCs w:val="20"/>
                <w:color w:val="auto"/>
              </w:rPr>
            </w:pPr>
            <w:r>
              <w:rPr>
                <w:rFonts w:ascii="Arial" w:cs="Arial" w:eastAsia="Arial" w:hAnsi="Arial"/>
                <w:sz w:val="18"/>
                <w:szCs w:val="18"/>
                <w:color w:val="auto"/>
              </w:rPr>
              <w:t>100.0</w:t>
            </w:r>
          </w:p>
        </w:tc>
        <w:tc>
          <w:tcPr>
            <w:tcW w:w="470" w:type="dxa"/>
            <w:vAlign w:val="bottom"/>
            <w:gridSpan w:val="2"/>
            <w:shd w:val="clear" w:color="auto" w:fill="D6F3E8"/>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9"/>
              </w:rPr>
              <w:t>1,114,154</w:t>
            </w:r>
          </w:p>
        </w:tc>
        <w:tc>
          <w:tcPr>
            <w:tcW w:w="48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177"/>
              <w:spacing w:after="0"/>
              <w:rPr>
                <w:sz w:val="20"/>
                <w:szCs w:val="20"/>
                <w:color w:val="auto"/>
              </w:rPr>
            </w:pPr>
            <w:r>
              <w:rPr>
                <w:rFonts w:ascii="Arial" w:cs="Arial" w:eastAsia="Arial" w:hAnsi="Arial"/>
                <w:sz w:val="18"/>
                <w:szCs w:val="18"/>
                <w:color w:val="auto"/>
              </w:rPr>
              <w:t>100.0</w:t>
            </w:r>
          </w:p>
        </w:tc>
        <w:tc>
          <w:tcPr>
            <w:tcW w:w="325" w:type="dxa"/>
            <w:vAlign w:val="bottom"/>
            <w:gridSpan w:val="2"/>
            <w:shd w:val="clear" w:color="auto" w:fill="D6F3E8"/>
          </w:tcPr>
          <w:p>
            <w:pPr>
              <w:jc w:val="right"/>
              <w:ind w:right="45"/>
              <w:spacing w:after="0"/>
              <w:rPr>
                <w:sz w:val="20"/>
                <w:szCs w:val="20"/>
                <w:color w:val="auto"/>
              </w:rPr>
            </w:pPr>
            <w:r>
              <w:rPr>
                <w:rFonts w:ascii="Arial" w:cs="Arial" w:eastAsia="Arial" w:hAnsi="Arial"/>
                <w:sz w:val="18"/>
                <w:szCs w:val="18"/>
                <w:color w:val="auto"/>
              </w:rPr>
              <w:t>$</w:t>
            </w:r>
          </w:p>
        </w:tc>
        <w:tc>
          <w:tcPr>
            <w:tcW w:w="935"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(122,179)</w:t>
            </w: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216"/>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854,997</w:t>
            </w:r>
          </w:p>
        </w:tc>
        <w:tc>
          <w:tcPr>
            <w:tcW w:w="1440" w:type="dxa"/>
            <w:vAlign w:val="bottom"/>
          </w:tcPr>
          <w:p>
            <w:pPr>
              <w:jc w:val="right"/>
              <w:ind w:right="297"/>
              <w:spacing w:after="0"/>
              <w:rPr>
                <w:sz w:val="20"/>
                <w:szCs w:val="20"/>
                <w:color w:val="auto"/>
              </w:rPr>
            </w:pPr>
            <w:r>
              <w:rPr>
                <w:rFonts w:ascii="Arial" w:cs="Arial" w:eastAsia="Arial" w:hAnsi="Arial"/>
                <w:sz w:val="18"/>
                <w:szCs w:val="18"/>
                <w:color w:val="auto"/>
              </w:rPr>
              <w:t>86.2</w:t>
            </w:r>
          </w:p>
        </w:tc>
        <w:tc>
          <w:tcPr>
            <w:tcW w:w="34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951,985</w:t>
            </w:r>
          </w:p>
        </w:tc>
        <w:tc>
          <w:tcPr>
            <w:tcW w:w="480" w:type="dxa"/>
            <w:vAlign w:val="bottom"/>
          </w:tcPr>
          <w:p>
            <w:pPr>
              <w:spacing w:after="0"/>
              <w:rPr>
                <w:sz w:val="19"/>
                <w:szCs w:val="19"/>
                <w:color w:val="auto"/>
              </w:rPr>
            </w:pPr>
          </w:p>
        </w:tc>
        <w:tc>
          <w:tcPr>
            <w:tcW w:w="860" w:type="dxa"/>
            <w:vAlign w:val="bottom"/>
          </w:tcPr>
          <w:p>
            <w:pPr>
              <w:jc w:val="right"/>
              <w:ind w:right="177"/>
              <w:spacing w:after="0"/>
              <w:rPr>
                <w:sz w:val="20"/>
                <w:szCs w:val="20"/>
                <w:color w:val="auto"/>
              </w:rPr>
            </w:pPr>
            <w:r>
              <w:rPr>
                <w:rFonts w:ascii="Arial" w:cs="Arial" w:eastAsia="Arial" w:hAnsi="Arial"/>
                <w:sz w:val="18"/>
                <w:szCs w:val="18"/>
                <w:color w:val="auto"/>
              </w:rPr>
              <w:t>85.4</w:t>
            </w:r>
          </w:p>
        </w:tc>
        <w:tc>
          <w:tcPr>
            <w:tcW w:w="2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(96,988)</w:t>
            </w:r>
          </w:p>
        </w:tc>
        <w:tc>
          <w:tcPr>
            <w:tcW w:w="180" w:type="dxa"/>
            <w:vAlign w:val="bottom"/>
          </w:tcPr>
          <w:p>
            <w:pPr>
              <w:spacing w:after="0"/>
              <w:rPr>
                <w:sz w:val="19"/>
                <w:szCs w:val="19"/>
                <w:color w:val="auto"/>
              </w:rPr>
            </w:pPr>
          </w:p>
        </w:tc>
        <w:tc>
          <w:tcPr>
            <w:tcW w:w="1120" w:type="dxa"/>
            <w:vAlign w:val="bottom"/>
          </w:tcPr>
          <w:p>
            <w:pPr>
              <w:jc w:val="right"/>
              <w:ind w:right="216"/>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9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77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136,978</w:t>
            </w:r>
          </w:p>
        </w:tc>
        <w:tc>
          <w:tcPr>
            <w:tcW w:w="1440" w:type="dxa"/>
            <w:vAlign w:val="bottom"/>
            <w:shd w:val="clear" w:color="auto" w:fill="D6F3E8"/>
          </w:tcPr>
          <w:p>
            <w:pPr>
              <w:jc w:val="right"/>
              <w:ind w:right="297"/>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D6F3E8"/>
          </w:tcPr>
          <w:p>
            <w:pPr>
              <w:spacing w:after="0"/>
              <w:rPr>
                <w:sz w:val="18"/>
                <w:szCs w:val="18"/>
                <w:color w:val="auto"/>
              </w:rPr>
            </w:pPr>
          </w:p>
        </w:tc>
        <w:tc>
          <w:tcPr>
            <w:tcW w:w="130" w:type="dxa"/>
            <w:vAlign w:val="bottom"/>
            <w:shd w:val="clear" w:color="auto" w:fill="D6F3E8"/>
          </w:tcPr>
          <w:p>
            <w:pPr>
              <w:spacing w:after="0"/>
              <w:rPr>
                <w:sz w:val="18"/>
                <w:szCs w:val="18"/>
                <w:color w:val="auto"/>
              </w:rPr>
            </w:pPr>
          </w:p>
        </w:tc>
        <w:tc>
          <w:tcPr>
            <w:tcW w:w="77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162,169</w:t>
            </w:r>
          </w:p>
        </w:tc>
        <w:tc>
          <w:tcPr>
            <w:tcW w:w="48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177"/>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D6F3E8"/>
          </w:tcPr>
          <w:p>
            <w:pPr>
              <w:spacing w:after="0"/>
              <w:rPr>
                <w:sz w:val="18"/>
                <w:szCs w:val="18"/>
                <w:color w:val="auto"/>
              </w:rPr>
            </w:pPr>
          </w:p>
        </w:tc>
        <w:tc>
          <w:tcPr>
            <w:tcW w:w="125" w:type="dxa"/>
            <w:vAlign w:val="bottom"/>
            <w:shd w:val="clear" w:color="auto" w:fill="D6F3E8"/>
          </w:tcPr>
          <w:p>
            <w:pPr>
              <w:spacing w:after="0"/>
              <w:rPr>
                <w:sz w:val="18"/>
                <w:szCs w:val="18"/>
                <w:color w:val="auto"/>
              </w:rPr>
            </w:pPr>
          </w:p>
        </w:tc>
        <w:tc>
          <w:tcPr>
            <w:tcW w:w="935"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(25,191)</w:t>
            </w: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216"/>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Selling</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19,936</w:t>
            </w:r>
          </w:p>
        </w:tc>
        <w:tc>
          <w:tcPr>
            <w:tcW w:w="1440" w:type="dxa"/>
            <w:vAlign w:val="bottom"/>
          </w:tcPr>
          <w:p>
            <w:pPr>
              <w:jc w:val="right"/>
              <w:ind w:right="297"/>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20,764</w:t>
            </w:r>
          </w:p>
        </w:tc>
        <w:tc>
          <w:tcPr>
            <w:tcW w:w="480" w:type="dxa"/>
            <w:vAlign w:val="bottom"/>
          </w:tcPr>
          <w:p>
            <w:pPr>
              <w:spacing w:after="0"/>
              <w:rPr>
                <w:sz w:val="18"/>
                <w:szCs w:val="18"/>
                <w:color w:val="auto"/>
              </w:rPr>
            </w:pPr>
          </w:p>
        </w:tc>
        <w:tc>
          <w:tcPr>
            <w:tcW w:w="860" w:type="dxa"/>
            <w:vAlign w:val="bottom"/>
          </w:tcPr>
          <w:p>
            <w:pPr>
              <w:jc w:val="right"/>
              <w:ind w:right="177"/>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8"/>
                <w:szCs w:val="18"/>
                <w:color w:val="auto"/>
              </w:rPr>
            </w:pPr>
          </w:p>
        </w:tc>
        <w:tc>
          <w:tcPr>
            <w:tcW w:w="1120" w:type="dxa"/>
            <w:vAlign w:val="bottom"/>
          </w:tcPr>
          <w:p>
            <w:pPr>
              <w:jc w:val="right"/>
              <w:ind w:right="216"/>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18,787</w:t>
            </w:r>
          </w:p>
        </w:tc>
        <w:tc>
          <w:tcPr>
            <w:tcW w:w="1440" w:type="dxa"/>
            <w:vAlign w:val="bottom"/>
            <w:shd w:val="clear" w:color="auto" w:fill="D6F3E8"/>
          </w:tcPr>
          <w:p>
            <w:pPr>
              <w:jc w:val="right"/>
              <w:ind w:right="297"/>
              <w:spacing w:after="0"/>
              <w:rPr>
                <w:sz w:val="20"/>
                <w:szCs w:val="20"/>
                <w:color w:val="auto"/>
              </w:rPr>
            </w:pPr>
            <w:r>
              <w:rPr>
                <w:rFonts w:ascii="Arial" w:cs="Arial" w:eastAsia="Arial" w:hAnsi="Arial"/>
                <w:sz w:val="18"/>
                <w:szCs w:val="18"/>
                <w:color w:val="auto"/>
              </w:rPr>
              <w:t>1.9</w:t>
            </w:r>
          </w:p>
        </w:tc>
        <w:tc>
          <w:tcPr>
            <w:tcW w:w="340" w:type="dxa"/>
            <w:vAlign w:val="bottom"/>
            <w:shd w:val="clear" w:color="auto" w:fill="D6F3E8"/>
          </w:tcPr>
          <w:p>
            <w:pPr>
              <w:spacing w:after="0"/>
              <w:rPr>
                <w:sz w:val="18"/>
                <w:szCs w:val="18"/>
                <w:color w:val="auto"/>
              </w:rPr>
            </w:pPr>
          </w:p>
        </w:tc>
        <w:tc>
          <w:tcPr>
            <w:tcW w:w="130" w:type="dxa"/>
            <w:vAlign w:val="bottom"/>
            <w:shd w:val="clear" w:color="auto" w:fill="D6F3E8"/>
          </w:tcPr>
          <w:p>
            <w:pPr>
              <w:spacing w:after="0"/>
              <w:rPr>
                <w:sz w:val="18"/>
                <w:szCs w:val="18"/>
                <w:color w:val="auto"/>
              </w:rPr>
            </w:pPr>
          </w:p>
        </w:tc>
        <w:tc>
          <w:tcPr>
            <w:tcW w:w="77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30,607</w:t>
            </w:r>
          </w:p>
        </w:tc>
        <w:tc>
          <w:tcPr>
            <w:tcW w:w="48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177"/>
              <w:spacing w:after="0"/>
              <w:rPr>
                <w:sz w:val="20"/>
                <w:szCs w:val="20"/>
                <w:color w:val="auto"/>
              </w:rPr>
            </w:pPr>
            <w:r>
              <w:rPr>
                <w:rFonts w:ascii="Arial" w:cs="Arial" w:eastAsia="Arial" w:hAnsi="Arial"/>
                <w:sz w:val="18"/>
                <w:szCs w:val="18"/>
                <w:color w:val="auto"/>
              </w:rPr>
              <w:t>2.7</w:t>
            </w:r>
          </w:p>
        </w:tc>
        <w:tc>
          <w:tcPr>
            <w:tcW w:w="200" w:type="dxa"/>
            <w:vAlign w:val="bottom"/>
            <w:shd w:val="clear" w:color="auto" w:fill="D6F3E8"/>
          </w:tcPr>
          <w:p>
            <w:pPr>
              <w:spacing w:after="0"/>
              <w:rPr>
                <w:sz w:val="18"/>
                <w:szCs w:val="18"/>
                <w:color w:val="auto"/>
              </w:rPr>
            </w:pPr>
          </w:p>
        </w:tc>
        <w:tc>
          <w:tcPr>
            <w:tcW w:w="125" w:type="dxa"/>
            <w:vAlign w:val="bottom"/>
            <w:shd w:val="clear" w:color="auto" w:fill="D6F3E8"/>
          </w:tcPr>
          <w:p>
            <w:pPr>
              <w:spacing w:after="0"/>
              <w:rPr>
                <w:sz w:val="18"/>
                <w:szCs w:val="18"/>
                <w:color w:val="auto"/>
              </w:rPr>
            </w:pPr>
          </w:p>
        </w:tc>
        <w:tc>
          <w:tcPr>
            <w:tcW w:w="935"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(11,820)</w:t>
            </w: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216"/>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6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98,255</w:t>
            </w:r>
          </w:p>
        </w:tc>
        <w:tc>
          <w:tcPr>
            <w:tcW w:w="1440" w:type="dxa"/>
            <w:vAlign w:val="bottom"/>
          </w:tcPr>
          <w:p>
            <w:pPr>
              <w:jc w:val="right"/>
              <w:ind w:right="297"/>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110,798</w:t>
            </w:r>
          </w:p>
        </w:tc>
        <w:tc>
          <w:tcPr>
            <w:tcW w:w="480" w:type="dxa"/>
            <w:vAlign w:val="bottom"/>
          </w:tcPr>
          <w:p>
            <w:pPr>
              <w:spacing w:after="0"/>
              <w:rPr>
                <w:sz w:val="24"/>
                <w:szCs w:val="24"/>
                <w:color w:val="auto"/>
              </w:rPr>
            </w:pPr>
          </w:p>
        </w:tc>
        <w:tc>
          <w:tcPr>
            <w:tcW w:w="860" w:type="dxa"/>
            <w:vAlign w:val="bottom"/>
          </w:tcPr>
          <w:p>
            <w:pPr>
              <w:jc w:val="right"/>
              <w:ind w:right="177"/>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(12,543)</w:t>
            </w:r>
          </w:p>
        </w:tc>
        <w:tc>
          <w:tcPr>
            <w:tcW w:w="180" w:type="dxa"/>
            <w:vAlign w:val="bottom"/>
          </w:tcPr>
          <w:p>
            <w:pPr>
              <w:spacing w:after="0"/>
              <w:rPr>
                <w:sz w:val="24"/>
                <w:szCs w:val="24"/>
                <w:color w:val="auto"/>
              </w:rPr>
            </w:pPr>
          </w:p>
        </w:tc>
        <w:tc>
          <w:tcPr>
            <w:tcW w:w="1120" w:type="dxa"/>
            <w:vAlign w:val="bottom"/>
          </w:tcPr>
          <w:p>
            <w:pPr>
              <w:jc w:val="right"/>
              <w:ind w:right="216"/>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2,635</w:t>
            </w:r>
          </w:p>
        </w:tc>
        <w:tc>
          <w:tcPr>
            <w:tcW w:w="1440" w:type="dxa"/>
            <w:vAlign w:val="bottom"/>
            <w:shd w:val="clear" w:color="auto" w:fill="D6F3E8"/>
          </w:tcPr>
          <w:p>
            <w:pPr>
              <w:jc w:val="right"/>
              <w:ind w:right="297"/>
              <w:spacing w:after="0"/>
              <w:rPr>
                <w:sz w:val="20"/>
                <w:szCs w:val="20"/>
                <w:color w:val="auto"/>
              </w:rPr>
            </w:pPr>
            <w:r>
              <w:rPr>
                <w:rFonts w:ascii="Arial" w:cs="Arial" w:eastAsia="Arial" w:hAnsi="Arial"/>
                <w:sz w:val="18"/>
                <w:szCs w:val="18"/>
                <w:color w:val="auto"/>
              </w:rPr>
              <w:t>.3</w:t>
            </w:r>
          </w:p>
        </w:tc>
        <w:tc>
          <w:tcPr>
            <w:tcW w:w="340" w:type="dxa"/>
            <w:vAlign w:val="bottom"/>
            <w:shd w:val="clear" w:color="auto" w:fill="D6F3E8"/>
          </w:tcPr>
          <w:p>
            <w:pPr>
              <w:spacing w:after="0"/>
              <w:rPr>
                <w:sz w:val="18"/>
                <w:szCs w:val="18"/>
                <w:color w:val="auto"/>
              </w:rPr>
            </w:pPr>
          </w:p>
        </w:tc>
        <w:tc>
          <w:tcPr>
            <w:tcW w:w="130" w:type="dxa"/>
            <w:vAlign w:val="bottom"/>
            <w:shd w:val="clear" w:color="auto" w:fill="D6F3E8"/>
          </w:tcPr>
          <w:p>
            <w:pPr>
              <w:spacing w:after="0"/>
              <w:rPr>
                <w:sz w:val="18"/>
                <w:szCs w:val="18"/>
                <w:color w:val="auto"/>
              </w:rPr>
            </w:pPr>
          </w:p>
        </w:tc>
        <w:tc>
          <w:tcPr>
            <w:tcW w:w="77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1,436</w:t>
            </w:r>
          </w:p>
        </w:tc>
        <w:tc>
          <w:tcPr>
            <w:tcW w:w="48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177"/>
              <w:spacing w:after="0"/>
              <w:rPr>
                <w:sz w:val="20"/>
                <w:szCs w:val="20"/>
                <w:color w:val="auto"/>
              </w:rPr>
            </w:pPr>
            <w:r>
              <w:rPr>
                <w:rFonts w:ascii="Arial" w:cs="Arial" w:eastAsia="Arial" w:hAnsi="Arial"/>
                <w:sz w:val="18"/>
                <w:szCs w:val="18"/>
                <w:color w:val="auto"/>
              </w:rPr>
              <w:t>.1</w:t>
            </w:r>
          </w:p>
        </w:tc>
        <w:tc>
          <w:tcPr>
            <w:tcW w:w="200" w:type="dxa"/>
            <w:vAlign w:val="bottom"/>
            <w:shd w:val="clear" w:color="auto" w:fill="D6F3E8"/>
          </w:tcPr>
          <w:p>
            <w:pPr>
              <w:spacing w:after="0"/>
              <w:rPr>
                <w:sz w:val="18"/>
                <w:szCs w:val="18"/>
                <w:color w:val="auto"/>
              </w:rPr>
            </w:pPr>
          </w:p>
        </w:tc>
        <w:tc>
          <w:tcPr>
            <w:tcW w:w="125" w:type="dxa"/>
            <w:vAlign w:val="bottom"/>
            <w:shd w:val="clear" w:color="auto" w:fill="D6F3E8"/>
          </w:tcPr>
          <w:p>
            <w:pPr>
              <w:spacing w:after="0"/>
              <w:rPr>
                <w:sz w:val="18"/>
                <w:szCs w:val="18"/>
                <w:color w:val="auto"/>
              </w:rPr>
            </w:pPr>
          </w:p>
        </w:tc>
        <w:tc>
          <w:tcPr>
            <w:tcW w:w="935"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1,199</w:t>
            </w: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276"/>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Provision for taxes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35,817</w:t>
            </w:r>
          </w:p>
        </w:tc>
        <w:tc>
          <w:tcPr>
            <w:tcW w:w="1440" w:type="dxa"/>
            <w:vAlign w:val="bottom"/>
          </w:tcPr>
          <w:p>
            <w:pPr>
              <w:jc w:val="right"/>
              <w:ind w:right="297"/>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41,593</w:t>
            </w:r>
          </w:p>
        </w:tc>
        <w:tc>
          <w:tcPr>
            <w:tcW w:w="480" w:type="dxa"/>
            <w:vAlign w:val="bottom"/>
          </w:tcPr>
          <w:p>
            <w:pPr>
              <w:spacing w:after="0"/>
              <w:rPr>
                <w:sz w:val="19"/>
                <w:szCs w:val="19"/>
                <w:color w:val="auto"/>
              </w:rPr>
            </w:pPr>
          </w:p>
        </w:tc>
        <w:tc>
          <w:tcPr>
            <w:tcW w:w="860" w:type="dxa"/>
            <w:vAlign w:val="bottom"/>
          </w:tcPr>
          <w:p>
            <w:pPr>
              <w:jc w:val="right"/>
              <w:ind w:right="177"/>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(5,776)</w:t>
            </w:r>
          </w:p>
        </w:tc>
        <w:tc>
          <w:tcPr>
            <w:tcW w:w="180" w:type="dxa"/>
            <w:vAlign w:val="bottom"/>
          </w:tcPr>
          <w:p>
            <w:pPr>
              <w:spacing w:after="0"/>
              <w:rPr>
                <w:sz w:val="19"/>
                <w:szCs w:val="19"/>
                <w:color w:val="auto"/>
              </w:rPr>
            </w:pPr>
          </w:p>
        </w:tc>
        <w:tc>
          <w:tcPr>
            <w:tcW w:w="1120" w:type="dxa"/>
            <w:vAlign w:val="bottom"/>
          </w:tcPr>
          <w:p>
            <w:pPr>
              <w:jc w:val="right"/>
              <w:ind w:right="216"/>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9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77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65,073</w:t>
            </w:r>
          </w:p>
        </w:tc>
        <w:tc>
          <w:tcPr>
            <w:tcW w:w="1440" w:type="dxa"/>
            <w:vAlign w:val="bottom"/>
            <w:shd w:val="clear" w:color="auto" w:fill="D6F3E8"/>
          </w:tcPr>
          <w:p>
            <w:pPr>
              <w:jc w:val="right"/>
              <w:ind w:right="297"/>
              <w:spacing w:after="0"/>
              <w:rPr>
                <w:sz w:val="20"/>
                <w:szCs w:val="20"/>
                <w:color w:val="auto"/>
              </w:rPr>
            </w:pPr>
            <w:r>
              <w:rPr>
                <w:rFonts w:ascii="Arial" w:cs="Arial" w:eastAsia="Arial" w:hAnsi="Arial"/>
                <w:sz w:val="18"/>
                <w:szCs w:val="18"/>
                <w:color w:val="auto"/>
              </w:rPr>
              <w:t>6.6</w:t>
            </w:r>
          </w:p>
        </w:tc>
        <w:tc>
          <w:tcPr>
            <w:tcW w:w="470" w:type="dxa"/>
            <w:vAlign w:val="bottom"/>
            <w:gridSpan w:val="2"/>
            <w:shd w:val="clear" w:color="auto" w:fill="D6F3E8"/>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70,641</w:t>
            </w:r>
          </w:p>
        </w:tc>
        <w:tc>
          <w:tcPr>
            <w:tcW w:w="48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177"/>
              <w:spacing w:after="0"/>
              <w:rPr>
                <w:sz w:val="20"/>
                <w:szCs w:val="20"/>
                <w:color w:val="auto"/>
              </w:rPr>
            </w:pPr>
            <w:r>
              <w:rPr>
                <w:rFonts w:ascii="Arial" w:cs="Arial" w:eastAsia="Arial" w:hAnsi="Arial"/>
                <w:sz w:val="18"/>
                <w:szCs w:val="18"/>
                <w:color w:val="auto"/>
              </w:rPr>
              <w:t>6.3</w:t>
            </w:r>
          </w:p>
        </w:tc>
        <w:tc>
          <w:tcPr>
            <w:tcW w:w="325" w:type="dxa"/>
            <w:vAlign w:val="bottom"/>
            <w:gridSpan w:val="2"/>
            <w:shd w:val="clear" w:color="auto" w:fill="D6F3E8"/>
          </w:tcPr>
          <w:p>
            <w:pPr>
              <w:jc w:val="right"/>
              <w:ind w:right="45"/>
              <w:spacing w:after="0"/>
              <w:rPr>
                <w:sz w:val="20"/>
                <w:szCs w:val="20"/>
                <w:color w:val="auto"/>
              </w:rPr>
            </w:pPr>
            <w:r>
              <w:rPr>
                <w:rFonts w:ascii="Arial" w:cs="Arial" w:eastAsia="Arial" w:hAnsi="Arial"/>
                <w:sz w:val="18"/>
                <w:szCs w:val="18"/>
                <w:color w:val="auto"/>
              </w:rPr>
              <w:t>$</w:t>
            </w:r>
          </w:p>
        </w:tc>
        <w:tc>
          <w:tcPr>
            <w:tcW w:w="935"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(5,568)</w:t>
            </w: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216"/>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9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Diluted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1.92</w:t>
            </w:r>
          </w:p>
        </w:tc>
        <w:tc>
          <w:tcPr>
            <w:tcW w:w="1440" w:type="dxa"/>
            <w:vAlign w:val="bottom"/>
          </w:tcPr>
          <w:p>
            <w:pPr>
              <w:spacing w:after="0"/>
              <w:rPr>
                <w:sz w:val="24"/>
                <w:szCs w:val="24"/>
                <w:color w:val="auto"/>
              </w:rPr>
            </w:pPr>
          </w:p>
        </w:tc>
        <w:tc>
          <w:tcPr>
            <w:tcW w:w="47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tcPr>
          <w:p>
            <w:pPr>
              <w:jc w:val="right"/>
              <w:spacing w:after="0"/>
              <w:rPr>
                <w:sz w:val="20"/>
                <w:szCs w:val="20"/>
                <w:color w:val="auto"/>
              </w:rPr>
            </w:pPr>
            <w:r>
              <w:rPr>
                <w:rFonts w:ascii="Arial" w:cs="Arial" w:eastAsia="Arial" w:hAnsi="Arial"/>
                <w:sz w:val="18"/>
                <w:szCs w:val="18"/>
                <w:color w:val="auto"/>
              </w:rPr>
              <w:t>2.03</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5"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35"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24"/>
                <w:szCs w:val="24"/>
                <w:color w:val="auto"/>
              </w:rPr>
            </w:pPr>
          </w:p>
        </w:tc>
        <w:tc>
          <w:tcPr>
            <w:tcW w:w="1120" w:type="dxa"/>
            <w:vAlign w:val="bottom"/>
          </w:tcPr>
          <w:p>
            <w:pPr>
              <w:jc w:val="right"/>
              <w:ind w:right="216"/>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 w:type="dxa"/>
            <w:vAlign w:val="bottom"/>
          </w:tcPr>
          <w:p>
            <w:pPr>
              <w:spacing w:after="0"/>
              <w:rPr>
                <w:sz w:val="9"/>
                <w:szCs w:val="9"/>
                <w:color w:val="auto"/>
              </w:rPr>
            </w:pPr>
          </w:p>
        </w:tc>
        <w:tc>
          <w:tcPr>
            <w:tcW w:w="77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5" w:type="dxa"/>
            <w:vAlign w:val="bottom"/>
          </w:tcPr>
          <w:p>
            <w:pPr>
              <w:spacing w:after="0"/>
              <w:rPr>
                <w:sz w:val="9"/>
                <w:szCs w:val="9"/>
                <w:color w:val="auto"/>
              </w:rPr>
            </w:pPr>
          </w:p>
        </w:tc>
        <w:tc>
          <w:tcPr>
            <w:tcW w:w="935"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Fully diluted average shares outstanding</w:t>
            </w: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33,812</w:t>
            </w:r>
          </w:p>
        </w:tc>
        <w:tc>
          <w:tcPr>
            <w:tcW w:w="14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30" w:type="dxa"/>
            <w:vAlign w:val="bottom"/>
            <w:shd w:val="clear" w:color="auto" w:fill="D6F3E8"/>
          </w:tcPr>
          <w:p>
            <w:pPr>
              <w:spacing w:after="0"/>
              <w:rPr>
                <w:sz w:val="18"/>
                <w:szCs w:val="18"/>
                <w:color w:val="auto"/>
              </w:rPr>
            </w:pPr>
          </w:p>
        </w:tc>
        <w:tc>
          <w:tcPr>
            <w:tcW w:w="77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34,789</w:t>
            </w:r>
          </w:p>
        </w:tc>
        <w:tc>
          <w:tcPr>
            <w:tcW w:w="48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5" w:type="dxa"/>
            <w:vAlign w:val="bottom"/>
            <w:shd w:val="clear" w:color="auto" w:fill="D6F3E8"/>
          </w:tcPr>
          <w:p>
            <w:pPr>
              <w:spacing w:after="0"/>
              <w:rPr>
                <w:sz w:val="18"/>
                <w:szCs w:val="18"/>
                <w:color w:val="auto"/>
              </w:rPr>
            </w:pPr>
          </w:p>
        </w:tc>
        <w:tc>
          <w:tcPr>
            <w:tcW w:w="935"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(977)</w:t>
            </w: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216"/>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960" w:type="dxa"/>
            <w:vAlign w:val="bottom"/>
            <w:gridSpan w:val="3"/>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9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250" w:type="dxa"/>
            <w:vAlign w:val="bottom"/>
            <w:gridSpan w:val="2"/>
          </w:tcPr>
          <w:p>
            <w:pPr>
              <w:ind w:left="510"/>
              <w:spacing w:after="0"/>
              <w:rPr>
                <w:sz w:val="20"/>
                <w:szCs w:val="20"/>
                <w:color w:val="auto"/>
              </w:rPr>
            </w:pPr>
            <w:r>
              <w:rPr>
                <w:rFonts w:ascii="Arial" w:cs="Arial" w:eastAsia="Arial" w:hAnsi="Arial"/>
                <w:sz w:val="14"/>
                <w:szCs w:val="14"/>
                <w:b w:val="1"/>
                <w:bCs w:val="1"/>
                <w:color w:val="auto"/>
                <w:w w:val="93"/>
              </w:rPr>
              <w:t>Year Ended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90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25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Motor home</w:t>
            </w:r>
          </w:p>
        </w:tc>
        <w:tc>
          <w:tcPr>
            <w:tcW w:w="140" w:type="dxa"/>
            <w:vAlign w:val="bottom"/>
          </w:tcPr>
          <w:p>
            <w:pPr>
              <w:spacing w:after="0"/>
              <w:rPr>
                <w:sz w:val="20"/>
                <w:szCs w:val="20"/>
                <w:color w:val="auto"/>
              </w:rPr>
            </w:pPr>
          </w:p>
        </w:tc>
        <w:tc>
          <w:tcPr>
            <w:tcW w:w="740" w:type="dxa"/>
            <w:vAlign w:val="bottom"/>
          </w:tcPr>
          <w:p>
            <w:pPr>
              <w:jc w:val="right"/>
              <w:ind w:right="56"/>
              <w:spacing w:after="0"/>
              <w:rPr>
                <w:sz w:val="20"/>
                <w:szCs w:val="20"/>
                <w:color w:val="auto"/>
              </w:rPr>
            </w:pPr>
            <w:r>
              <w:rPr>
                <w:rFonts w:ascii="Arial" w:cs="Arial" w:eastAsia="Arial" w:hAnsi="Arial"/>
                <w:sz w:val="14"/>
                <w:szCs w:val="14"/>
                <w:b w:val="1"/>
                <w:bCs w:val="1"/>
                <w:color w:val="auto"/>
              </w:rPr>
              <w:t>Aug. 27,</w:t>
            </w:r>
          </w:p>
        </w:tc>
        <w:tc>
          <w:tcPr>
            <w:tcW w:w="1440" w:type="dxa"/>
            <w:vAlign w:val="bottom"/>
          </w:tcPr>
          <w:p>
            <w:pPr>
              <w:jc w:val="right"/>
              <w:ind w:right="37"/>
              <w:spacing w:after="0"/>
              <w:rPr>
                <w:sz w:val="20"/>
                <w:szCs w:val="20"/>
                <w:color w:val="auto"/>
              </w:rPr>
            </w:pPr>
            <w:r>
              <w:rPr>
                <w:rFonts w:ascii="Arial" w:cs="Arial" w:eastAsia="Arial" w:hAnsi="Arial"/>
                <w:sz w:val="14"/>
                <w:szCs w:val="14"/>
                <w:b w:val="1"/>
                <w:bCs w:val="1"/>
                <w:color w:val="auto"/>
              </w:rPr>
              <w:t>Product Mix</w:t>
            </w:r>
          </w:p>
        </w:tc>
        <w:tc>
          <w:tcPr>
            <w:tcW w:w="34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1250" w:type="dxa"/>
            <w:vAlign w:val="bottom"/>
            <w:gridSpan w:val="2"/>
          </w:tcPr>
          <w:p>
            <w:pPr>
              <w:ind w:left="190"/>
              <w:spacing w:after="0"/>
              <w:rPr>
                <w:sz w:val="20"/>
                <w:szCs w:val="20"/>
                <w:color w:val="auto"/>
              </w:rPr>
            </w:pPr>
            <w:r>
              <w:rPr>
                <w:rFonts w:ascii="Arial" w:cs="Arial" w:eastAsia="Arial" w:hAnsi="Arial"/>
                <w:sz w:val="14"/>
                <w:szCs w:val="14"/>
                <w:b w:val="1"/>
                <w:bCs w:val="1"/>
                <w:color w:val="auto"/>
              </w:rPr>
              <w:t>Aug. 28,</w:t>
            </w:r>
          </w:p>
        </w:tc>
        <w:tc>
          <w:tcPr>
            <w:tcW w:w="860" w:type="dxa"/>
            <w:vAlign w:val="bottom"/>
          </w:tcPr>
          <w:p>
            <w:pPr>
              <w:jc w:val="right"/>
              <w:ind w:right="17"/>
              <w:spacing w:after="0"/>
              <w:rPr>
                <w:sz w:val="20"/>
                <w:szCs w:val="20"/>
                <w:color w:val="auto"/>
              </w:rPr>
            </w:pPr>
            <w:r>
              <w:rPr>
                <w:rFonts w:ascii="Arial" w:cs="Arial" w:eastAsia="Arial" w:hAnsi="Arial"/>
                <w:sz w:val="14"/>
                <w:szCs w:val="14"/>
                <w:b w:val="1"/>
                <w:bCs w:val="1"/>
                <w:color w:val="auto"/>
                <w:w w:val="92"/>
              </w:rPr>
              <w:t>Product Mix</w:t>
            </w:r>
          </w:p>
        </w:tc>
        <w:tc>
          <w:tcPr>
            <w:tcW w:w="20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935"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unit deliveries</w:t>
            </w:r>
          </w:p>
        </w:tc>
        <w:tc>
          <w:tcPr>
            <w:tcW w:w="140" w:type="dxa"/>
            <w:vAlign w:val="bottom"/>
          </w:tcPr>
          <w:p>
            <w:pPr>
              <w:spacing w:after="0"/>
              <w:rPr>
                <w:sz w:val="15"/>
                <w:szCs w:val="15"/>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144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70" w:type="dxa"/>
            <w:vAlign w:val="bottom"/>
          </w:tcPr>
          <w:p>
            <w:pPr>
              <w:jc w:val="right"/>
              <w:ind w:right="118"/>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860" w:type="dxa"/>
            <w:vAlign w:val="bottom"/>
          </w:tcPr>
          <w:p>
            <w:pPr>
              <w:jc w:val="right"/>
              <w:ind w:right="31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15"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Decrease</w:t>
            </w:r>
          </w:p>
        </w:tc>
        <w:tc>
          <w:tcPr>
            <w:tcW w:w="114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77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Class A gas</w:t>
            </w: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4,527</w:t>
            </w:r>
          </w:p>
        </w:tc>
        <w:tc>
          <w:tcPr>
            <w:tcW w:w="1440" w:type="dxa"/>
            <w:vAlign w:val="bottom"/>
            <w:shd w:val="clear" w:color="auto" w:fill="D6F3E8"/>
          </w:tcPr>
          <w:p>
            <w:pPr>
              <w:jc w:val="right"/>
              <w:ind w:right="337"/>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D6F3E8"/>
          </w:tcPr>
          <w:p>
            <w:pPr>
              <w:spacing w:after="0"/>
              <w:rPr>
                <w:sz w:val="18"/>
                <w:szCs w:val="18"/>
                <w:color w:val="auto"/>
              </w:rPr>
            </w:pPr>
          </w:p>
        </w:tc>
        <w:tc>
          <w:tcPr>
            <w:tcW w:w="130" w:type="dxa"/>
            <w:vAlign w:val="bottom"/>
            <w:shd w:val="clear" w:color="auto" w:fill="D6F3E8"/>
          </w:tcPr>
          <w:p>
            <w:pPr>
              <w:spacing w:after="0"/>
              <w:rPr>
                <w:sz w:val="18"/>
                <w:szCs w:val="18"/>
                <w:color w:val="auto"/>
              </w:rPr>
            </w:pPr>
          </w:p>
        </w:tc>
        <w:tc>
          <w:tcPr>
            <w:tcW w:w="77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5,277</w:t>
            </w:r>
          </w:p>
        </w:tc>
        <w:tc>
          <w:tcPr>
            <w:tcW w:w="48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257"/>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D6F3E8"/>
          </w:tcPr>
          <w:p>
            <w:pPr>
              <w:spacing w:after="0"/>
              <w:rPr>
                <w:sz w:val="18"/>
                <w:szCs w:val="18"/>
                <w:color w:val="auto"/>
              </w:rPr>
            </w:pPr>
          </w:p>
        </w:tc>
        <w:tc>
          <w:tcPr>
            <w:tcW w:w="125" w:type="dxa"/>
            <w:vAlign w:val="bottom"/>
            <w:shd w:val="clear" w:color="auto" w:fill="D6F3E8"/>
          </w:tcPr>
          <w:p>
            <w:pPr>
              <w:spacing w:after="0"/>
              <w:rPr>
                <w:sz w:val="18"/>
                <w:szCs w:val="18"/>
                <w:color w:val="auto"/>
              </w:rPr>
            </w:pPr>
          </w:p>
        </w:tc>
        <w:tc>
          <w:tcPr>
            <w:tcW w:w="1115"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(750)</w:t>
            </w:r>
          </w:p>
        </w:tc>
        <w:tc>
          <w:tcPr>
            <w:tcW w:w="1120" w:type="dxa"/>
            <w:vAlign w:val="bottom"/>
            <w:shd w:val="clear" w:color="auto" w:fill="D6F3E8"/>
          </w:tcPr>
          <w:p>
            <w:pPr>
              <w:ind w:left="44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2,147</w:t>
            </w:r>
          </w:p>
        </w:tc>
        <w:tc>
          <w:tcPr>
            <w:tcW w:w="1440" w:type="dxa"/>
            <w:vAlign w:val="bottom"/>
          </w:tcPr>
          <w:p>
            <w:pPr>
              <w:jc w:val="right"/>
              <w:ind w:right="337"/>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2,831</w:t>
            </w:r>
          </w:p>
        </w:tc>
        <w:tc>
          <w:tcPr>
            <w:tcW w:w="480" w:type="dxa"/>
            <w:vAlign w:val="bottom"/>
          </w:tcPr>
          <w:p>
            <w:pPr>
              <w:spacing w:after="0"/>
              <w:rPr>
                <w:sz w:val="19"/>
                <w:szCs w:val="19"/>
                <w:color w:val="auto"/>
              </w:rPr>
            </w:pPr>
          </w:p>
        </w:tc>
        <w:tc>
          <w:tcPr>
            <w:tcW w:w="860" w:type="dxa"/>
            <w:vAlign w:val="bottom"/>
          </w:tcPr>
          <w:p>
            <w:pPr>
              <w:jc w:val="right"/>
              <w:ind w:right="257"/>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15" w:type="dxa"/>
            <w:vAlign w:val="bottom"/>
            <w:gridSpan w:val="2"/>
          </w:tcPr>
          <w:p>
            <w:pPr>
              <w:jc w:val="right"/>
              <w:ind w:right="140"/>
              <w:spacing w:after="0"/>
              <w:rPr>
                <w:sz w:val="20"/>
                <w:szCs w:val="20"/>
                <w:color w:val="auto"/>
              </w:rPr>
            </w:pPr>
            <w:r>
              <w:rPr>
                <w:rFonts w:ascii="Arial" w:cs="Arial" w:eastAsia="Arial" w:hAnsi="Arial"/>
                <w:sz w:val="18"/>
                <w:szCs w:val="18"/>
                <w:color w:val="auto"/>
              </w:rPr>
              <w:t>(684)</w:t>
            </w:r>
          </w:p>
        </w:tc>
        <w:tc>
          <w:tcPr>
            <w:tcW w:w="1120" w:type="dxa"/>
            <w:vAlign w:val="bottom"/>
          </w:tcPr>
          <w:p>
            <w:pPr>
              <w:ind w:left="440"/>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90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77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Class A</w:t>
            </w: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6,674</w:t>
            </w:r>
          </w:p>
        </w:tc>
        <w:tc>
          <w:tcPr>
            <w:tcW w:w="1440" w:type="dxa"/>
            <w:vAlign w:val="bottom"/>
            <w:shd w:val="clear" w:color="auto" w:fill="D6F3E8"/>
          </w:tcPr>
          <w:p>
            <w:pPr>
              <w:jc w:val="right"/>
              <w:ind w:right="337"/>
              <w:spacing w:after="0"/>
              <w:rPr>
                <w:sz w:val="20"/>
                <w:szCs w:val="20"/>
                <w:color w:val="auto"/>
              </w:rPr>
            </w:pPr>
            <w:r>
              <w:rPr>
                <w:rFonts w:ascii="Arial" w:cs="Arial" w:eastAsia="Arial" w:hAnsi="Arial"/>
                <w:sz w:val="18"/>
                <w:szCs w:val="18"/>
                <w:color w:val="auto"/>
              </w:rPr>
              <w:t>62.8</w:t>
            </w:r>
          </w:p>
        </w:tc>
        <w:tc>
          <w:tcPr>
            <w:tcW w:w="340" w:type="dxa"/>
            <w:vAlign w:val="bottom"/>
            <w:shd w:val="clear" w:color="auto" w:fill="D6F3E8"/>
          </w:tcPr>
          <w:p>
            <w:pPr>
              <w:spacing w:after="0"/>
              <w:rPr>
                <w:sz w:val="18"/>
                <w:szCs w:val="18"/>
                <w:color w:val="auto"/>
              </w:rPr>
            </w:pPr>
          </w:p>
        </w:tc>
        <w:tc>
          <w:tcPr>
            <w:tcW w:w="130" w:type="dxa"/>
            <w:vAlign w:val="bottom"/>
            <w:shd w:val="clear" w:color="auto" w:fill="D6F3E8"/>
          </w:tcPr>
          <w:p>
            <w:pPr>
              <w:spacing w:after="0"/>
              <w:rPr>
                <w:sz w:val="18"/>
                <w:szCs w:val="18"/>
                <w:color w:val="auto"/>
              </w:rPr>
            </w:pPr>
          </w:p>
        </w:tc>
        <w:tc>
          <w:tcPr>
            <w:tcW w:w="77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8,108</w:t>
            </w:r>
          </w:p>
        </w:tc>
        <w:tc>
          <w:tcPr>
            <w:tcW w:w="48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257"/>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D6F3E8"/>
          </w:tcPr>
          <w:p>
            <w:pPr>
              <w:spacing w:after="0"/>
              <w:rPr>
                <w:sz w:val="18"/>
                <w:szCs w:val="18"/>
                <w:color w:val="auto"/>
              </w:rPr>
            </w:pPr>
          </w:p>
        </w:tc>
        <w:tc>
          <w:tcPr>
            <w:tcW w:w="125" w:type="dxa"/>
            <w:vAlign w:val="bottom"/>
            <w:shd w:val="clear" w:color="auto" w:fill="D6F3E8"/>
          </w:tcPr>
          <w:p>
            <w:pPr>
              <w:spacing w:after="0"/>
              <w:rPr>
                <w:sz w:val="18"/>
                <w:szCs w:val="18"/>
                <w:color w:val="auto"/>
              </w:rPr>
            </w:pPr>
          </w:p>
        </w:tc>
        <w:tc>
          <w:tcPr>
            <w:tcW w:w="1115"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(1,434)</w:t>
            </w:r>
          </w:p>
        </w:tc>
        <w:tc>
          <w:tcPr>
            <w:tcW w:w="1120" w:type="dxa"/>
            <w:vAlign w:val="bottom"/>
            <w:shd w:val="clear" w:color="auto" w:fill="D6F3E8"/>
          </w:tcPr>
          <w:p>
            <w:pPr>
              <w:ind w:left="44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Class C</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3,963</w:t>
            </w:r>
          </w:p>
        </w:tc>
        <w:tc>
          <w:tcPr>
            <w:tcW w:w="1440" w:type="dxa"/>
            <w:vAlign w:val="bottom"/>
          </w:tcPr>
          <w:p>
            <w:pPr>
              <w:jc w:val="right"/>
              <w:ind w:right="337"/>
              <w:spacing w:after="0"/>
              <w:rPr>
                <w:sz w:val="20"/>
                <w:szCs w:val="20"/>
                <w:color w:val="auto"/>
              </w:rPr>
            </w:pPr>
            <w:r>
              <w:rPr>
                <w:rFonts w:ascii="Arial" w:cs="Arial" w:eastAsia="Arial" w:hAnsi="Arial"/>
                <w:sz w:val="18"/>
                <w:szCs w:val="18"/>
                <w:color w:val="auto"/>
              </w:rPr>
              <w:t>37.2</w:t>
            </w:r>
          </w:p>
        </w:tc>
        <w:tc>
          <w:tcPr>
            <w:tcW w:w="34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4,408</w:t>
            </w:r>
          </w:p>
        </w:tc>
        <w:tc>
          <w:tcPr>
            <w:tcW w:w="480" w:type="dxa"/>
            <w:vAlign w:val="bottom"/>
          </w:tcPr>
          <w:p>
            <w:pPr>
              <w:spacing w:after="0"/>
              <w:rPr>
                <w:sz w:val="19"/>
                <w:szCs w:val="19"/>
                <w:color w:val="auto"/>
              </w:rPr>
            </w:pPr>
          </w:p>
        </w:tc>
        <w:tc>
          <w:tcPr>
            <w:tcW w:w="860" w:type="dxa"/>
            <w:vAlign w:val="bottom"/>
          </w:tcPr>
          <w:p>
            <w:pPr>
              <w:jc w:val="right"/>
              <w:ind w:right="257"/>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15"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1120" w:type="dxa"/>
            <w:vAlign w:val="bottom"/>
          </w:tcPr>
          <w:p>
            <w:pPr>
              <w:ind w:left="4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90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77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deliveries</w:t>
            </w: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10,637</w:t>
            </w:r>
          </w:p>
        </w:tc>
        <w:tc>
          <w:tcPr>
            <w:tcW w:w="1440" w:type="dxa"/>
            <w:vAlign w:val="bottom"/>
            <w:shd w:val="clear" w:color="auto" w:fill="D6F3E8"/>
          </w:tcPr>
          <w:p>
            <w:pPr>
              <w:jc w:val="right"/>
              <w:ind w:right="337"/>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D6F3E8"/>
          </w:tcPr>
          <w:p>
            <w:pPr>
              <w:spacing w:after="0"/>
              <w:rPr>
                <w:sz w:val="18"/>
                <w:szCs w:val="18"/>
                <w:color w:val="auto"/>
              </w:rPr>
            </w:pPr>
          </w:p>
        </w:tc>
        <w:tc>
          <w:tcPr>
            <w:tcW w:w="130" w:type="dxa"/>
            <w:vAlign w:val="bottom"/>
            <w:shd w:val="clear" w:color="auto" w:fill="D6F3E8"/>
          </w:tcPr>
          <w:p>
            <w:pPr>
              <w:spacing w:after="0"/>
              <w:rPr>
                <w:sz w:val="18"/>
                <w:szCs w:val="18"/>
                <w:color w:val="auto"/>
              </w:rPr>
            </w:pPr>
          </w:p>
        </w:tc>
        <w:tc>
          <w:tcPr>
            <w:tcW w:w="77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12,516</w:t>
            </w:r>
          </w:p>
        </w:tc>
        <w:tc>
          <w:tcPr>
            <w:tcW w:w="48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257"/>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D6F3E8"/>
          </w:tcPr>
          <w:p>
            <w:pPr>
              <w:spacing w:after="0"/>
              <w:rPr>
                <w:sz w:val="18"/>
                <w:szCs w:val="18"/>
                <w:color w:val="auto"/>
              </w:rPr>
            </w:pPr>
          </w:p>
        </w:tc>
        <w:tc>
          <w:tcPr>
            <w:tcW w:w="125" w:type="dxa"/>
            <w:vAlign w:val="bottom"/>
            <w:shd w:val="clear" w:color="auto" w:fill="D6F3E8"/>
          </w:tcPr>
          <w:p>
            <w:pPr>
              <w:spacing w:after="0"/>
              <w:rPr>
                <w:sz w:val="18"/>
                <w:szCs w:val="18"/>
                <w:color w:val="auto"/>
              </w:rPr>
            </w:pPr>
          </w:p>
        </w:tc>
        <w:tc>
          <w:tcPr>
            <w:tcW w:w="1115"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(1,879)</w:t>
            </w:r>
          </w:p>
        </w:tc>
        <w:tc>
          <w:tcPr>
            <w:tcW w:w="1120" w:type="dxa"/>
            <w:vAlign w:val="bottom"/>
            <w:shd w:val="clear" w:color="auto" w:fill="D6F3E8"/>
          </w:tcPr>
          <w:p>
            <w:pPr>
              <w:ind w:left="44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-2764790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-2764790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-2764790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-2764790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-2764790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-2764790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-2764790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-2764790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-2764790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-2764790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-2764790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-2764790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-2764790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-2764790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-2764790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-2764790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-2764790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-2764790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-2764790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-2464435</wp:posOffset>
            </wp:positionV>
            <wp:extent cx="55308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-2464435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-2464435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-2464435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-2464435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-2464435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-2464435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-2464435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-2464435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-2464435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-2464435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-2164715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-2164715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-2164715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-2164715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-2164715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-2164715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-2164715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-2164715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-2164715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-2164715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-2164715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-2164715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-2164715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revenues decreased $122.2 million or 11.0 percent during the fiscal year ended August 27, 2005, while unit deliveries decreased 15.0 percent. The percentage decrease in net revenues was less than the percentage decrease in unit deliveries due to an increase in the average sales price per unit when comparing the two fiscal years. In Fiscal 2005, the decrease in deliveries, especially in Class A motor homes which are higher priced, was a result of lower consumer confidence caused primarily by increases in fuel costs.</w:t>
      </w:r>
    </w:p>
    <w:p>
      <w:pPr>
        <w:sectPr>
          <w:pgSz w:w="11900" w:h="16838" w:orient="portrait"/>
          <w:cols w:equalWidth="0" w:num="1">
            <w:col w:w="11460"/>
          </w:cols>
          <w:pgMar w:left="240" w:top="131" w:right="199" w:bottom="1440" w:gutter="0" w:footer="0" w:header="0"/>
        </w:sectPr>
      </w:pP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Gross profit as a percentage of net revenue decreased 0.8 percent from Fiscal 2004 to Fiscal 2005. The gross profit percentage of 13.8 percent for Fiscal 2005 was unfavorably impacted by a decrease in production volume which increased fixed costs per unit of production and resulted in a decline in manufacturing efficiencies. Partially offsetting this decrease was a reduction in net postretirement health care benefit expense of $6.0 million due to a plan amendment made at the beginning of the fiscal year which established maximum employer contributions to be paid in Fiscal 2005 and subsequent years.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Selling expenses decreased 4.0 percent or $828,000 from Fiscal 2004 to Fiscal 2005. The decrease was primarily a result of a reduction in incentive compensation to our field sales force and a reduction in net postretirement health care benefit expense.</w:t>
      </w:r>
    </w:p>
    <w:p>
      <w:pPr>
        <w:spacing w:after="0" w:line="186"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General and administrative expenses decreased 38.6 percent or $11.8 million from Fiscal 2004 to Fiscal 2005. The decrease was primarily a result of a $7.3 million charge that was recorded in Fiscal 2004 in connection with a lawsuit settlement relating to deferred compensation and in Fiscal 2005, a reduction of approximately $4.2 million in management incentive compensation costs and a reduction in net postretirement health care benefit expense.</w:t>
      </w:r>
    </w:p>
    <w:p>
      <w:pPr>
        <w:spacing w:after="0" w:line="161"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Financial income increased 83.5 percent when comparing Fiscal 2005 ($2.6 million) to Fiscal 2004 ($1.4 million). The increase in financial income when comparing the two periods was due primarily to a higher average rate of return and more cash available for investing during the year ended August 27, 2005.</w:t>
      </w:r>
    </w:p>
    <w:p>
      <w:pPr>
        <w:spacing w:after="0" w:line="11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The overall effective income tax rate decreased to 35.5 percent for Fiscal 2005 from 37.1 percent for Fiscal 2004. The decrease was primarily due to the elimination of nondeductible losses in Winnebago Health Care Management Company, a subsidiary of the Company.</w:t>
      </w:r>
    </w:p>
    <w:p>
      <w:pPr>
        <w:spacing w:after="0" w:line="13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Net income and earnings per diluted share decreased by 7.9 and 5.4 percent, respectively, when comparing the year ended August 27, 2005 to the year ended August 28, 2004. The difference in percentages was primarily due to a lower number of outstanding shares of the Company’s common stock during the fiscal year ended August 27, 2005 as a result of the repurchases of approximately 860,000 shares of the Company’s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23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recent fiscal years, we have generated substantial cash from operations, which has enabled us to meet our working capital needs and make appropriate investments in manufacturing equipment and facilities, as well as pay increased cash dividends and repurchase stock. Cash and cash equivalents totaled $24.9 million and $19.5 million as of August 26, 2006 and August 27, 2005, respectively. Short-term investments consisting primarily of highly liquid investments totaled $130.0 million and $93.1 million as of August 26, 2006 and August 27, 2005, respectively. Working capital at August 26, 2006 and August 27, 2005 was $187.0 million and $197.5 million, respectively, a decrease of $10.5 million. We have no long-term debt. We currently expect our cash on hand and funds from operations to be sufficient to cover both short- and long-term operation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provided by operating activities was $113.3 million in Fiscal 2006, or $34.5 million higher when compared to Fiscal 2005. The increase in net cash provided by operating activities was primarily attributable to a significant decrease in our finished goods and work-in-process inventories and a significant decrease in our accounts receivables year end balance which was partially offset by a decrease in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Uses of cash for investing activities were for manufacturing equipment and facilities purchases of $4.8 million for the fiscal year ended August 26, 2006, compared to $9.7 million during the fiscal year ended August 27, 2005. We purchased $214.8 million of short-term investments and received proceeds of $178.0 million from the sale or maturity of short-term investments during the fiscal year ended August 26, 2006. During the fiscal year ended August 27, 2005, we purchased $255.0 million of short-term investments and received proceeds of $213.0 million from the sale or maturity of short-term investments.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1"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Primary uses of cash in financing activities for the fiscal year ended August 26, 2006 were $57.8 million for the repurchases of our common stock and payments of $11.7 million in dividends. Primary uses of cash in financing activities for the fiscal year ended August 27, 2005 were $26.8 million for the repurchase of our common stock and $9.4 million for the payment of dividends. (See Consolidated Statements of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up to $22.2 million of our outstanding shares of common stock remain available under the April 12, 2006 Board of Directors authorization.</w:t>
      </w:r>
    </w:p>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Estimated uses at August 26, 2006 of our liquid assets for Fiscal 2007 include $12.5 million for payments of cash dividends. Additionally, spending for capital expenditures, primarily for manufacturing equipment and facilities, is expected to be similar to the level of Fiscal 2006.</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October 11, 2006, the Board of Directors declared a quarterly cash dividend of $0.10 per common share payable January 8, 2007 to shareholders of record as of December 8,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contractual obligations and commercial commitments as of August 26, 2006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Payments Due By Period</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Fiscal</w:t>
            </w:r>
          </w:p>
        </w:tc>
        <w:tc>
          <w:tcPr>
            <w:tcW w:w="460" w:type="dxa"/>
            <w:vAlign w:val="bottom"/>
          </w:tcPr>
          <w:p>
            <w:pPr>
              <w:spacing w:after="0"/>
              <w:rPr>
                <w:sz w:val="20"/>
                <w:szCs w:val="20"/>
                <w:color w:val="auto"/>
              </w:rPr>
            </w:pPr>
          </w:p>
        </w:tc>
        <w:tc>
          <w:tcPr>
            <w:tcW w:w="1420" w:type="dxa"/>
            <w:vAlign w:val="bottom"/>
          </w:tcPr>
          <w:p>
            <w:pPr>
              <w:jc w:val="center"/>
              <w:ind w:right="399"/>
              <w:spacing w:after="0"/>
              <w:rPr>
                <w:sz w:val="20"/>
                <w:szCs w:val="20"/>
                <w:color w:val="auto"/>
              </w:rPr>
            </w:pPr>
            <w:r>
              <w:rPr>
                <w:rFonts w:ascii="Arial" w:cs="Arial" w:eastAsia="Arial" w:hAnsi="Arial"/>
                <w:sz w:val="14"/>
                <w:szCs w:val="14"/>
                <w:b w:val="1"/>
                <w:bCs w:val="1"/>
                <w:color w:val="auto"/>
                <w:w w:val="85"/>
              </w:rPr>
              <w:t>Fiscal</w:t>
            </w:r>
          </w:p>
        </w:tc>
        <w:tc>
          <w:tcPr>
            <w:tcW w:w="2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More Than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5"/>
                <w:szCs w:val="15"/>
                <w:color w:val="auto"/>
              </w:rPr>
            </w:pPr>
          </w:p>
        </w:tc>
        <w:tc>
          <w:tcPr>
            <w:tcW w:w="900" w:type="dxa"/>
            <w:vAlign w:val="bottom"/>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120" w:type="dxa"/>
            <w:vAlign w:val="bottom"/>
          </w:tcPr>
          <w:p>
            <w:pPr>
              <w:jc w:val="right"/>
              <w:ind w:right="298"/>
              <w:spacing w:after="0"/>
              <w:rPr>
                <w:sz w:val="20"/>
                <w:szCs w:val="20"/>
                <w:color w:val="auto"/>
              </w:rPr>
            </w:pPr>
            <w:r>
              <w:rPr>
                <w:rFonts w:ascii="Arial" w:cs="Arial" w:eastAsia="Arial" w:hAnsi="Arial"/>
                <w:sz w:val="14"/>
                <w:szCs w:val="14"/>
                <w:b w:val="1"/>
                <w:bCs w:val="1"/>
                <w:color w:val="auto"/>
                <w:w w:val="96"/>
              </w:rPr>
              <w:t>Fiscal 2007</w:t>
            </w:r>
          </w:p>
        </w:tc>
        <w:tc>
          <w:tcPr>
            <w:tcW w:w="280" w:type="dxa"/>
            <w:vAlign w:val="bottom"/>
          </w:tcPr>
          <w:p>
            <w:pPr>
              <w:spacing w:after="0"/>
              <w:rPr>
                <w:sz w:val="15"/>
                <w:szCs w:val="15"/>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2008-2009</w:t>
            </w:r>
          </w:p>
        </w:tc>
        <w:tc>
          <w:tcPr>
            <w:tcW w:w="460" w:type="dxa"/>
            <w:vAlign w:val="bottom"/>
          </w:tcPr>
          <w:p>
            <w:pPr>
              <w:spacing w:after="0"/>
              <w:rPr>
                <w:sz w:val="15"/>
                <w:szCs w:val="15"/>
                <w:color w:val="auto"/>
              </w:rPr>
            </w:pPr>
          </w:p>
        </w:tc>
        <w:tc>
          <w:tcPr>
            <w:tcW w:w="1420" w:type="dxa"/>
            <w:vAlign w:val="bottom"/>
          </w:tcPr>
          <w:p>
            <w:pPr>
              <w:jc w:val="center"/>
              <w:ind w:right="399"/>
              <w:spacing w:after="0"/>
              <w:rPr>
                <w:sz w:val="20"/>
                <w:szCs w:val="20"/>
                <w:color w:val="auto"/>
              </w:rPr>
            </w:pPr>
            <w:r>
              <w:rPr>
                <w:rFonts w:ascii="Arial" w:cs="Arial" w:eastAsia="Arial" w:hAnsi="Arial"/>
                <w:sz w:val="14"/>
                <w:szCs w:val="14"/>
                <w:b w:val="1"/>
                <w:bCs w:val="1"/>
                <w:color w:val="auto"/>
                <w:w w:val="86"/>
              </w:rPr>
              <w:t>2010-2011</w:t>
            </w: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5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D6F3E8"/>
          </w:tcPr>
          <w:p>
            <w:pPr>
              <w:spacing w:after="0"/>
              <w:rPr>
                <w:sz w:val="20"/>
                <w:szCs w:val="20"/>
                <w:color w:val="auto"/>
              </w:rPr>
            </w:pPr>
            <w:r>
              <w:rPr>
                <w:rFonts w:ascii="Arial" w:cs="Arial" w:eastAsia="Arial" w:hAnsi="Arial"/>
                <w:sz w:val="18"/>
                <w:szCs w:val="18"/>
                <w:color w:val="auto"/>
              </w:rPr>
              <w:t>Operating leases (1)</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D6F3E8"/>
          </w:tcPr>
          <w:p>
            <w:pPr>
              <w:jc w:val="right"/>
              <w:ind w:right="76"/>
              <w:spacing w:after="0"/>
              <w:rPr>
                <w:sz w:val="20"/>
                <w:szCs w:val="20"/>
                <w:color w:val="auto"/>
              </w:rPr>
            </w:pPr>
            <w:r>
              <w:rPr>
                <w:rFonts w:ascii="Arial" w:cs="Arial" w:eastAsia="Arial" w:hAnsi="Arial"/>
                <w:sz w:val="18"/>
                <w:szCs w:val="18"/>
                <w:b w:val="1"/>
                <w:bCs w:val="1"/>
                <w:color w:val="auto"/>
              </w:rPr>
              <w:t>215</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85</w:t>
            </w: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259"/>
              <w:spacing w:after="0"/>
              <w:rPr>
                <w:sz w:val="20"/>
                <w:szCs w:val="20"/>
                <w:color w:val="auto"/>
              </w:rPr>
            </w:pPr>
            <w:r>
              <w:rPr>
                <w:rFonts w:ascii="Arial" w:cs="Arial" w:eastAsia="Arial" w:hAnsi="Arial"/>
                <w:sz w:val="18"/>
                <w:szCs w:val="18"/>
                <w:color w:val="auto"/>
              </w:rPr>
              <w:t>22</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Executive share option obligations (2) (3)</w:t>
            </w:r>
          </w:p>
        </w:tc>
        <w:tc>
          <w:tcPr>
            <w:tcW w:w="220" w:type="dxa"/>
            <w:vAlign w:val="bottom"/>
          </w:tcPr>
          <w:p>
            <w:pPr>
              <w:spacing w:after="0"/>
              <w:rPr>
                <w:sz w:val="18"/>
                <w:szCs w:val="18"/>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b w:val="1"/>
                <w:bCs w:val="1"/>
                <w:color w:val="auto"/>
              </w:rPr>
              <w:t>10,673</w:t>
            </w:r>
          </w:p>
        </w:tc>
        <w:tc>
          <w:tcPr>
            <w:tcW w:w="300" w:type="dxa"/>
            <w:vAlign w:val="bottom"/>
          </w:tcPr>
          <w:p>
            <w:pPr>
              <w:spacing w:after="0"/>
              <w:rPr>
                <w:sz w:val="18"/>
                <w:szCs w:val="18"/>
                <w:color w:val="auto"/>
              </w:rPr>
            </w:pPr>
          </w:p>
        </w:tc>
        <w:tc>
          <w:tcPr>
            <w:tcW w:w="112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D6F3E8"/>
          </w:tcPr>
          <w:p>
            <w:pPr>
              <w:spacing w:after="0"/>
              <w:rPr>
                <w:sz w:val="20"/>
                <w:szCs w:val="20"/>
                <w:color w:val="auto"/>
              </w:rPr>
            </w:pPr>
            <w:r>
              <w:rPr>
                <w:rFonts w:ascii="Arial" w:cs="Arial" w:eastAsia="Arial" w:hAnsi="Arial"/>
                <w:sz w:val="18"/>
                <w:szCs w:val="18"/>
                <w:color w:val="auto"/>
              </w:rPr>
              <w:t>Deferred compensation obligations (3)</w:t>
            </w:r>
          </w:p>
        </w:tc>
        <w:tc>
          <w:tcPr>
            <w:tcW w:w="22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76"/>
              <w:spacing w:after="0"/>
              <w:rPr>
                <w:sz w:val="20"/>
                <w:szCs w:val="20"/>
                <w:color w:val="auto"/>
              </w:rPr>
            </w:pPr>
            <w:r>
              <w:rPr>
                <w:rFonts w:ascii="Arial" w:cs="Arial" w:eastAsia="Arial" w:hAnsi="Arial"/>
                <w:sz w:val="18"/>
                <w:szCs w:val="18"/>
                <w:b w:val="1"/>
                <w:bCs w:val="1"/>
                <w:color w:val="auto"/>
              </w:rPr>
              <w:t>26,576</w:t>
            </w:r>
          </w:p>
        </w:tc>
        <w:tc>
          <w:tcPr>
            <w:tcW w:w="30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1,442</w:t>
            </w:r>
          </w:p>
        </w:tc>
        <w:tc>
          <w:tcPr>
            <w:tcW w:w="2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5,198</w:t>
            </w:r>
          </w:p>
        </w:tc>
        <w:tc>
          <w:tcPr>
            <w:tcW w:w="460" w:type="dxa"/>
            <w:vAlign w:val="bottom"/>
            <w:shd w:val="clear" w:color="auto" w:fill="D6F3E8"/>
          </w:tcPr>
          <w:p>
            <w:pPr>
              <w:spacing w:after="0"/>
              <w:rPr>
                <w:sz w:val="18"/>
                <w:szCs w:val="18"/>
                <w:color w:val="auto"/>
              </w:rPr>
            </w:pPr>
          </w:p>
        </w:tc>
        <w:tc>
          <w:tcPr>
            <w:tcW w:w="1420" w:type="dxa"/>
            <w:vAlign w:val="bottom"/>
            <w:shd w:val="clear" w:color="auto" w:fill="D6F3E8"/>
          </w:tcPr>
          <w:p>
            <w:pPr>
              <w:jc w:val="right"/>
              <w:ind w:right="259"/>
              <w:spacing w:after="0"/>
              <w:rPr>
                <w:sz w:val="20"/>
                <w:szCs w:val="20"/>
                <w:color w:val="auto"/>
              </w:rPr>
            </w:pPr>
            <w:r>
              <w:rPr>
                <w:rFonts w:ascii="Arial" w:cs="Arial" w:eastAsia="Arial" w:hAnsi="Arial"/>
                <w:sz w:val="18"/>
                <w:szCs w:val="18"/>
                <w:color w:val="auto"/>
              </w:rPr>
              <w:t>5,185</w:t>
            </w:r>
          </w:p>
        </w:tc>
        <w:tc>
          <w:tcPr>
            <w:tcW w:w="22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rPr>
              <w:t>14,751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Postretirement health care obligations (3)</w:t>
            </w:r>
          </w:p>
        </w:tc>
        <w:tc>
          <w:tcPr>
            <w:tcW w:w="220" w:type="dxa"/>
            <w:vAlign w:val="bottom"/>
          </w:tcPr>
          <w:p>
            <w:pPr>
              <w:spacing w:after="0"/>
              <w:rPr>
                <w:sz w:val="19"/>
                <w:szCs w:val="19"/>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b w:val="1"/>
                <w:bCs w:val="1"/>
                <w:color w:val="auto"/>
              </w:rPr>
              <w:t>51,486</w:t>
            </w:r>
          </w:p>
        </w:tc>
        <w:tc>
          <w:tcPr>
            <w:tcW w:w="300" w:type="dxa"/>
            <w:vAlign w:val="bottom"/>
          </w:tcPr>
          <w:p>
            <w:pPr>
              <w:spacing w:after="0"/>
              <w:rPr>
                <w:sz w:val="19"/>
                <w:szCs w:val="19"/>
                <w:color w:val="auto"/>
              </w:rPr>
            </w:pPr>
          </w:p>
        </w:tc>
        <w:tc>
          <w:tcPr>
            <w:tcW w:w="1120" w:type="dxa"/>
            <w:vAlign w:val="bottom"/>
          </w:tcPr>
          <w:p>
            <w:pPr>
              <w:jc w:val="right"/>
              <w:ind w:right="98"/>
              <w:spacing w:after="0"/>
              <w:rPr>
                <w:sz w:val="20"/>
                <w:szCs w:val="20"/>
                <w:color w:val="auto"/>
              </w:rPr>
            </w:pPr>
            <w:r>
              <w:rPr>
                <w:rFonts w:ascii="Arial" w:cs="Arial" w:eastAsia="Arial" w:hAnsi="Arial"/>
                <w:sz w:val="18"/>
                <w:szCs w:val="18"/>
                <w:color w:val="auto"/>
              </w:rPr>
              <w:t>903</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2,181</w:t>
            </w:r>
          </w:p>
        </w:tc>
        <w:tc>
          <w:tcPr>
            <w:tcW w:w="460" w:type="dxa"/>
            <w:vAlign w:val="bottom"/>
          </w:tcPr>
          <w:p>
            <w:pPr>
              <w:spacing w:after="0"/>
              <w:rPr>
                <w:sz w:val="19"/>
                <w:szCs w:val="19"/>
                <w:color w:val="auto"/>
              </w:rPr>
            </w:pPr>
          </w:p>
        </w:tc>
        <w:tc>
          <w:tcPr>
            <w:tcW w:w="1420" w:type="dxa"/>
            <w:vAlign w:val="bottom"/>
          </w:tcPr>
          <w:p>
            <w:pPr>
              <w:jc w:val="right"/>
              <w:ind w:right="259"/>
              <w:spacing w:after="0"/>
              <w:rPr>
                <w:sz w:val="20"/>
                <w:szCs w:val="20"/>
                <w:color w:val="auto"/>
              </w:rPr>
            </w:pPr>
            <w:r>
              <w:rPr>
                <w:rFonts w:ascii="Arial" w:cs="Arial" w:eastAsia="Arial" w:hAnsi="Arial"/>
                <w:sz w:val="18"/>
                <w:szCs w:val="18"/>
                <w:color w:val="auto"/>
              </w:rPr>
              <w:t>2,840</w:t>
            </w:r>
          </w:p>
        </w:tc>
        <w:tc>
          <w:tcPr>
            <w:tcW w:w="22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45,562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160" w:type="dxa"/>
            <w:vAlign w:val="bottom"/>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D6F3E8"/>
          </w:tcPr>
          <w:p>
            <w:pPr>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D6F3E8"/>
          </w:tcPr>
          <w:p>
            <w:pPr>
              <w:jc w:val="right"/>
              <w:ind w:right="76"/>
              <w:spacing w:after="0"/>
              <w:rPr>
                <w:sz w:val="20"/>
                <w:szCs w:val="20"/>
                <w:color w:val="auto"/>
              </w:rPr>
            </w:pPr>
            <w:r>
              <w:rPr>
                <w:rFonts w:ascii="Arial" w:cs="Arial" w:eastAsia="Arial" w:hAnsi="Arial"/>
                <w:sz w:val="18"/>
                <w:szCs w:val="18"/>
                <w:b w:val="1"/>
                <w:bCs w:val="1"/>
                <w:color w:val="auto"/>
              </w:rPr>
              <w:t>88,950</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2,453</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7,464</w:t>
            </w: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259"/>
              <w:spacing w:after="0"/>
              <w:rPr>
                <w:sz w:val="20"/>
                <w:szCs w:val="20"/>
                <w:color w:val="auto"/>
              </w:rPr>
            </w:pPr>
            <w:r>
              <w:rPr>
                <w:rFonts w:ascii="Arial" w:cs="Arial" w:eastAsia="Arial" w:hAnsi="Arial"/>
                <w:sz w:val="18"/>
                <w:szCs w:val="18"/>
                <w:color w:val="auto"/>
              </w:rPr>
              <w:t>8,047</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rPr>
              <w:t>60,313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160" w:type="dxa"/>
            <w:vAlign w:val="bottom"/>
            <w:gridSpan w:val="2"/>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3"/>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80" w:type="dxa"/>
            <w:vAlign w:val="bottom"/>
            <w:gridSpan w:val="5"/>
          </w:tcPr>
          <w:p>
            <w:pPr>
              <w:jc w:val="right"/>
              <w:ind w:right="799"/>
              <w:spacing w:after="0"/>
              <w:rPr>
                <w:sz w:val="20"/>
                <w:szCs w:val="20"/>
                <w:color w:val="auto"/>
              </w:rPr>
            </w:pPr>
            <w:r>
              <w:rPr>
                <w:rFonts w:ascii="Arial" w:cs="Arial" w:eastAsia="Arial" w:hAnsi="Arial"/>
                <w:sz w:val="14"/>
                <w:szCs w:val="14"/>
                <w:b w:val="1"/>
                <w:bCs w:val="1"/>
                <w:color w:val="auto"/>
              </w:rPr>
              <w:t>Amount of Commitment Expiration By Period</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Fiscal</w:t>
            </w:r>
          </w:p>
        </w:tc>
        <w:tc>
          <w:tcPr>
            <w:tcW w:w="460" w:type="dxa"/>
            <w:vAlign w:val="bottom"/>
          </w:tcPr>
          <w:p>
            <w:pPr>
              <w:spacing w:after="0"/>
              <w:rPr>
                <w:sz w:val="20"/>
                <w:szCs w:val="20"/>
                <w:color w:val="auto"/>
              </w:rPr>
            </w:pPr>
          </w:p>
        </w:tc>
        <w:tc>
          <w:tcPr>
            <w:tcW w:w="1420" w:type="dxa"/>
            <w:vAlign w:val="bottom"/>
          </w:tcPr>
          <w:p>
            <w:pPr>
              <w:jc w:val="center"/>
              <w:ind w:right="399"/>
              <w:spacing w:after="0"/>
              <w:rPr>
                <w:sz w:val="20"/>
                <w:szCs w:val="20"/>
                <w:color w:val="auto"/>
              </w:rPr>
            </w:pPr>
            <w:r>
              <w:rPr>
                <w:rFonts w:ascii="Arial" w:cs="Arial" w:eastAsia="Arial" w:hAnsi="Arial"/>
                <w:sz w:val="14"/>
                <w:szCs w:val="14"/>
                <w:b w:val="1"/>
                <w:bCs w:val="1"/>
                <w:color w:val="auto"/>
                <w:w w:val="85"/>
              </w:rPr>
              <w:t>Fiscal</w:t>
            </w:r>
          </w:p>
        </w:tc>
        <w:tc>
          <w:tcPr>
            <w:tcW w:w="2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More Than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Commercial Commitments</w:t>
            </w:r>
          </w:p>
        </w:tc>
        <w:tc>
          <w:tcPr>
            <w:tcW w:w="220" w:type="dxa"/>
            <w:vAlign w:val="bottom"/>
          </w:tcPr>
          <w:p>
            <w:pPr>
              <w:spacing w:after="0"/>
              <w:rPr>
                <w:sz w:val="15"/>
                <w:szCs w:val="15"/>
                <w:color w:val="auto"/>
              </w:rPr>
            </w:pPr>
          </w:p>
        </w:tc>
        <w:tc>
          <w:tcPr>
            <w:tcW w:w="900" w:type="dxa"/>
            <w:vAlign w:val="bottom"/>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120" w:type="dxa"/>
            <w:vAlign w:val="bottom"/>
          </w:tcPr>
          <w:p>
            <w:pPr>
              <w:jc w:val="right"/>
              <w:ind w:right="298"/>
              <w:spacing w:after="0"/>
              <w:rPr>
                <w:sz w:val="20"/>
                <w:szCs w:val="20"/>
                <w:color w:val="auto"/>
              </w:rPr>
            </w:pPr>
            <w:r>
              <w:rPr>
                <w:rFonts w:ascii="Arial" w:cs="Arial" w:eastAsia="Arial" w:hAnsi="Arial"/>
                <w:sz w:val="14"/>
                <w:szCs w:val="14"/>
                <w:b w:val="1"/>
                <w:bCs w:val="1"/>
                <w:color w:val="auto"/>
                <w:w w:val="96"/>
              </w:rPr>
              <w:t>Fiscal 2007</w:t>
            </w:r>
          </w:p>
        </w:tc>
        <w:tc>
          <w:tcPr>
            <w:tcW w:w="280" w:type="dxa"/>
            <w:vAlign w:val="bottom"/>
          </w:tcPr>
          <w:p>
            <w:pPr>
              <w:spacing w:after="0"/>
              <w:rPr>
                <w:sz w:val="15"/>
                <w:szCs w:val="15"/>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2008-2009</w:t>
            </w:r>
          </w:p>
        </w:tc>
        <w:tc>
          <w:tcPr>
            <w:tcW w:w="460" w:type="dxa"/>
            <w:vAlign w:val="bottom"/>
          </w:tcPr>
          <w:p>
            <w:pPr>
              <w:spacing w:after="0"/>
              <w:rPr>
                <w:sz w:val="15"/>
                <w:szCs w:val="15"/>
                <w:color w:val="auto"/>
              </w:rPr>
            </w:pPr>
          </w:p>
        </w:tc>
        <w:tc>
          <w:tcPr>
            <w:tcW w:w="1420" w:type="dxa"/>
            <w:vAlign w:val="bottom"/>
          </w:tcPr>
          <w:p>
            <w:pPr>
              <w:jc w:val="center"/>
              <w:ind w:right="399"/>
              <w:spacing w:after="0"/>
              <w:rPr>
                <w:sz w:val="20"/>
                <w:szCs w:val="20"/>
                <w:color w:val="auto"/>
              </w:rPr>
            </w:pPr>
            <w:r>
              <w:rPr>
                <w:rFonts w:ascii="Arial" w:cs="Arial" w:eastAsia="Arial" w:hAnsi="Arial"/>
                <w:sz w:val="14"/>
                <w:szCs w:val="14"/>
                <w:b w:val="1"/>
                <w:bCs w:val="1"/>
                <w:color w:val="auto"/>
                <w:w w:val="86"/>
              </w:rPr>
              <w:t>2010-2011</w:t>
            </w: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5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D6F3E8"/>
          </w:tcPr>
          <w:p>
            <w:pPr>
              <w:spacing w:after="0"/>
              <w:rPr>
                <w:sz w:val="20"/>
                <w:szCs w:val="20"/>
                <w:color w:val="auto"/>
              </w:rPr>
            </w:pPr>
            <w:r>
              <w:rPr>
                <w:rFonts w:ascii="Arial" w:cs="Arial" w:eastAsia="Arial" w:hAnsi="Arial"/>
                <w:sz w:val="18"/>
                <w:szCs w:val="18"/>
                <w:color w:val="auto"/>
              </w:rPr>
              <w:t>Guarantees (1)</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D6F3E8"/>
          </w:tcPr>
          <w:p>
            <w:pPr>
              <w:jc w:val="right"/>
              <w:ind w:right="76"/>
              <w:spacing w:after="0"/>
              <w:rPr>
                <w:sz w:val="20"/>
                <w:szCs w:val="20"/>
                <w:color w:val="auto"/>
              </w:rPr>
            </w:pPr>
            <w:r>
              <w:rPr>
                <w:rFonts w:ascii="Arial" w:cs="Arial" w:eastAsia="Arial" w:hAnsi="Arial"/>
                <w:sz w:val="18"/>
                <w:szCs w:val="18"/>
                <w:b w:val="1"/>
                <w:bCs w:val="1"/>
                <w:color w:val="auto"/>
              </w:rPr>
              <w:t>5,268</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3,482</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1,786</w:t>
            </w: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259"/>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Formal repurchase obligations (1)</w:t>
            </w:r>
          </w:p>
        </w:tc>
        <w:tc>
          <w:tcPr>
            <w:tcW w:w="220" w:type="dxa"/>
            <w:vAlign w:val="bottom"/>
          </w:tcPr>
          <w:p>
            <w:pPr>
              <w:spacing w:after="0"/>
              <w:rPr>
                <w:sz w:val="19"/>
                <w:szCs w:val="19"/>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b w:val="1"/>
                <w:bCs w:val="1"/>
                <w:color w:val="auto"/>
              </w:rPr>
              <w:t>278,564</w:t>
            </w:r>
          </w:p>
        </w:tc>
        <w:tc>
          <w:tcPr>
            <w:tcW w:w="300" w:type="dxa"/>
            <w:vAlign w:val="bottom"/>
          </w:tcPr>
          <w:p>
            <w:pPr>
              <w:spacing w:after="0"/>
              <w:rPr>
                <w:sz w:val="19"/>
                <w:szCs w:val="19"/>
                <w:color w:val="auto"/>
              </w:rPr>
            </w:pPr>
          </w:p>
        </w:tc>
        <w:tc>
          <w:tcPr>
            <w:tcW w:w="1120" w:type="dxa"/>
            <w:vAlign w:val="bottom"/>
          </w:tcPr>
          <w:p>
            <w:pPr>
              <w:jc w:val="right"/>
              <w:ind w:right="98"/>
              <w:spacing w:after="0"/>
              <w:rPr>
                <w:sz w:val="20"/>
                <w:szCs w:val="20"/>
                <w:color w:val="auto"/>
              </w:rPr>
            </w:pPr>
            <w:r>
              <w:rPr>
                <w:rFonts w:ascii="Arial" w:cs="Arial" w:eastAsia="Arial" w:hAnsi="Arial"/>
                <w:sz w:val="18"/>
                <w:szCs w:val="18"/>
                <w:color w:val="auto"/>
              </w:rPr>
              <w:t>278,564</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2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160" w:type="dxa"/>
            <w:vAlign w:val="bottom"/>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D6F3E8"/>
          </w:tcPr>
          <w:p>
            <w:pPr>
              <w:spacing w:after="0"/>
              <w:rPr>
                <w:sz w:val="20"/>
                <w:szCs w:val="20"/>
                <w:color w:val="auto"/>
              </w:rPr>
            </w:pPr>
            <w:r>
              <w:rPr>
                <w:rFonts w:ascii="Arial" w:cs="Arial" w:eastAsia="Arial" w:hAnsi="Arial"/>
                <w:sz w:val="18"/>
                <w:szCs w:val="18"/>
                <w:color w:val="auto"/>
              </w:rPr>
              <w:t>Total commitments</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D6F3E8"/>
          </w:tcPr>
          <w:p>
            <w:pPr>
              <w:jc w:val="right"/>
              <w:ind w:right="76"/>
              <w:spacing w:after="0"/>
              <w:rPr>
                <w:sz w:val="20"/>
                <w:szCs w:val="20"/>
                <w:color w:val="auto"/>
              </w:rPr>
            </w:pPr>
            <w:r>
              <w:rPr>
                <w:rFonts w:ascii="Arial" w:cs="Arial" w:eastAsia="Arial" w:hAnsi="Arial"/>
                <w:sz w:val="18"/>
                <w:szCs w:val="18"/>
                <w:b w:val="1"/>
                <w:bCs w:val="1"/>
                <w:color w:val="auto"/>
              </w:rPr>
              <w:t>283,832</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282,046</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1,786</w:t>
            </w: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259"/>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-1487170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-1487170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-1487170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-1487170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-1487170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-1487170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-1487170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-1487170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-1487170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-1487170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-1487170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-1487170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-1487170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-1487170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-1487170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-1487170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33"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Note 6 to the Consolidated Financial Statements.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Payments by period cannot be determined as the participating individual may elect to exercise part or all of an option at their discretion.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Note 5 to the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3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Historically, the impact of inflation on our operations has not been significantly detrimental, as we have usually been able to adjust our prices to reflect the inflationary impact on the cost of manufacturing our product. In recent months, the costs of a number of raw materials and component parts utilized in manufacturing our motor homes have increased. While we have been able to pass on these increases historically, in the event we are unable to continue to do so, future increases in manufacturing costs could have a material adverse effect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color w:val="auto"/>
        </w:rPr>
        <w:t>Quantitative and Qualitative Disclosures About Market Risk</w:t>
      </w:r>
    </w:p>
    <w:p>
      <w:pPr>
        <w:spacing w:after="0" w:line="23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of August 26, 2006, we have an investment portfolio of cash and cash equivalents of $24.9 million and available-for-sale securities of $130.0 million. Taking into account the credit risk criteria of our investment policy, the primary market risk associated with these investments is interest rate risk and a decline in value if market interest rates increase. However, we have the ability to hold our fixed income investments until maturity or for the typical Dutch auction period (an average of 73 days) and based upon historical experience, we do not believe there are significant risks of a failed Dutch auction. Therefore, we would not expect to recognize a material adverse impact in income or cash flows in the event of a decline in value due to an increase in market interest rates.</w:t>
      </w:r>
    </w:p>
    <w:p>
      <w:pPr>
        <w:sectPr>
          <w:pgSz w:w="11900" w:h="16838" w:orient="portrait"/>
          <w:cols w:equalWidth="0" w:num="1">
            <w:col w:w="11460"/>
          </w:cols>
          <w:pgMar w:left="240" w:top="131" w:right="199" w:bottom="1440" w:gutter="0" w:footer="0" w:header="0"/>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77"/>
              </w:rPr>
              <w:t>Page</w:t>
            </w:r>
          </w:p>
        </w:tc>
        <w:tc>
          <w:tcPr>
            <w:tcW w:w="20" w:type="dxa"/>
            <w:vAlign w:val="bottom"/>
          </w:tcPr>
          <w:p>
            <w:pPr>
              <w:spacing w:after="0"/>
              <w:rPr>
                <w:sz w:val="15"/>
                <w:szCs w:val="15"/>
                <w:color w:val="auto"/>
              </w:rPr>
            </w:pPr>
          </w:p>
        </w:tc>
      </w:tr>
      <w:tr>
        <w:trPr>
          <w:trHeight w:val="95"/>
        </w:trPr>
        <w:tc>
          <w:tcPr>
            <w:tcW w:w="30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426"/>
        </w:trPr>
        <w:tc>
          <w:tcPr>
            <w:tcW w:w="48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Management’s Report on Internal Control Over Financial Reporting</w:t>
              </w:r>
            </w:hyperlink>
          </w:p>
        </w:tc>
        <w:tc>
          <w:tcPr>
            <w:tcW w:w="6040" w:type="dxa"/>
            <w:vAlign w:val="bottom"/>
            <w:gridSpan w:val="7"/>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0" w:type="dxa"/>
            <w:vAlign w:val="bottom"/>
          </w:tcPr>
          <w:p>
            <w:pPr>
              <w:spacing w:after="0"/>
              <w:rPr>
                <w:sz w:val="24"/>
                <w:szCs w:val="24"/>
                <w:color w:val="auto"/>
              </w:rPr>
            </w:pPr>
          </w:p>
        </w:tc>
      </w:tr>
      <w:tr>
        <w:trPr>
          <w:trHeight w:val="196"/>
        </w:trPr>
        <w:tc>
          <w:tcPr>
            <w:tcW w:w="7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Report of Independent Registered Public Accounting Firm on Internal Control Over Financial Reporting</w:t>
              </w:r>
            </w:hyperlink>
          </w:p>
        </w:tc>
        <w:tc>
          <w:tcPr>
            <w:tcW w:w="3480" w:type="dxa"/>
            <w:vAlign w:val="bottom"/>
            <w:gridSpan w:val="4"/>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20" w:type="dxa"/>
            <w:vAlign w:val="bottom"/>
          </w:tcPr>
          <w:p>
            <w:pPr>
              <w:spacing w:after="0"/>
              <w:rPr>
                <w:sz w:val="17"/>
                <w:szCs w:val="17"/>
                <w:color w:val="auto"/>
              </w:rPr>
            </w:pPr>
          </w:p>
        </w:tc>
      </w:tr>
      <w:tr>
        <w:trPr>
          <w:trHeight w:val="196"/>
        </w:trPr>
        <w:tc>
          <w:tcPr>
            <w:tcW w:w="10840" w:type="dxa"/>
            <w:vAlign w:val="bottom"/>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Report of Independent Registered Public Accounting Firm on Consolidated Financial Statements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20" w:type="dxa"/>
            <w:vAlign w:val="bottom"/>
          </w:tcPr>
          <w:p>
            <w:pPr>
              <w:spacing w:after="0"/>
              <w:rPr>
                <w:sz w:val="17"/>
                <w:szCs w:val="17"/>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9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Consolidated Statements of Income for the Years Ended August 26, 2006, August 27, 2005, and August 28, 2004</w:t>
              </w:r>
            </w:hyperlink>
          </w:p>
        </w:tc>
        <w:tc>
          <w:tcPr>
            <w:tcW w:w="2880" w:type="dxa"/>
            <w:vAlign w:val="bottom"/>
            <w:gridSpan w:val="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17"/>
                <w:szCs w:val="17"/>
                <w:color w:val="auto"/>
              </w:rPr>
            </w:pPr>
          </w:p>
        </w:tc>
      </w:tr>
      <w:tr>
        <w:trPr>
          <w:trHeight w:val="196"/>
        </w:trPr>
        <w:tc>
          <w:tcPr>
            <w:tcW w:w="10840" w:type="dxa"/>
            <w:vAlign w:val="bottom"/>
            <w:gridSpan w:val="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Consolidated Balance Sheets as of August 26, 2006 and August 27, 2005</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20" w:type="dxa"/>
            <w:vAlign w:val="bottom"/>
          </w:tcPr>
          <w:p>
            <w:pPr>
              <w:spacing w:after="0"/>
              <w:rPr>
                <w:sz w:val="17"/>
                <w:szCs w:val="17"/>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7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Consolidated Statements of Changes in Stockholders’ Equity for the Years Ended August 26, 2006, August 27, 2005 and August 28, 2004</w:t>
              </w:r>
            </w:hyperlink>
          </w:p>
        </w:tc>
        <w:tc>
          <w:tcPr>
            <w:tcW w:w="114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20" w:type="dxa"/>
            <w:vAlign w:val="bottom"/>
          </w:tcPr>
          <w:p>
            <w:pPr>
              <w:spacing w:after="0"/>
              <w:rPr>
                <w:sz w:val="17"/>
                <w:szCs w:val="17"/>
                <w:color w:val="auto"/>
              </w:rPr>
            </w:pPr>
          </w:p>
        </w:tc>
      </w:tr>
      <w:tr>
        <w:trPr>
          <w:trHeight w:val="196"/>
        </w:trPr>
        <w:tc>
          <w:tcPr>
            <w:tcW w:w="82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Consolidated Statements of Cash Flows for the Years Ended August 26, 2006, August 27, 2005, and August 28, 2004</w:t>
              </w:r>
            </w:hyperlink>
          </w:p>
        </w:tc>
        <w:tc>
          <w:tcPr>
            <w:tcW w:w="2580" w:type="dxa"/>
            <w:vAlign w:val="bottom"/>
            <w:gridSpan w:val="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7"/>
                <w:szCs w:val="17"/>
                <w:color w:val="auto"/>
              </w:rPr>
            </w:pPr>
          </w:p>
        </w:tc>
      </w:tr>
      <w:tr>
        <w:trPr>
          <w:trHeight w:val="196"/>
        </w:trPr>
        <w:tc>
          <w:tcPr>
            <w:tcW w:w="10840" w:type="dxa"/>
            <w:vAlign w:val="bottom"/>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Notes to Consolidated Financial Statements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20" w:type="dxa"/>
            <w:vAlign w:val="bottom"/>
          </w:tcPr>
          <w:p>
            <w:pPr>
              <w:spacing w:after="0"/>
              <w:rPr>
                <w:sz w:val="17"/>
                <w:szCs w:val="17"/>
                <w:color w:val="auto"/>
              </w:rPr>
            </w:pPr>
          </w:p>
        </w:tc>
      </w:tr>
      <w:tr>
        <w:trPr>
          <w:trHeight w:val="451"/>
        </w:trPr>
        <w:tc>
          <w:tcPr>
            <w:tcW w:w="3080" w:type="dxa"/>
            <w:vAlign w:val="bottom"/>
            <w:tcBorders>
              <w:top w:val="single" w:sz="8" w:color="0000EE"/>
            </w:tcBorders>
          </w:tcPr>
          <w:p>
            <w:pPr>
              <w:spacing w:after="0"/>
              <w:rPr>
                <w:sz w:val="24"/>
                <w:szCs w:val="24"/>
                <w:color w:val="auto"/>
              </w:rPr>
            </w:pPr>
          </w:p>
        </w:tc>
        <w:tc>
          <w:tcPr>
            <w:tcW w:w="3740" w:type="dxa"/>
            <w:vAlign w:val="bottom"/>
            <w:gridSpan w:val="3"/>
          </w:tcPr>
          <w:p>
            <w:pPr>
              <w:jc w:val="right"/>
              <w:ind w:right="1020"/>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3080" w:type="dxa"/>
            <w:vAlign w:val="bottom"/>
            <w:tcBorders>
              <w:bottom w:val="single" w:sz="8" w:color="808080"/>
            </w:tcBorders>
          </w:tcPr>
          <w:p>
            <w:pPr>
              <w:spacing w:after="0"/>
              <w:rPr>
                <w:sz w:val="21"/>
                <w:szCs w:val="21"/>
                <w:color w:val="auto"/>
              </w:rPr>
            </w:pPr>
          </w:p>
        </w:tc>
        <w:tc>
          <w:tcPr>
            <w:tcW w:w="172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68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Management of Winnebago Industries, Inc. and its subsidiaries (the “Company”) is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consolidated financial statements for external purposes in accordance with generally accepted accounting principles.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internal control over financial reporting is supported by written policies and procedures that:</w:t>
      </w:r>
    </w:p>
    <w:p>
      <w:pPr>
        <w:spacing w:after="0" w:line="239" w:lineRule="exact"/>
        <w:rPr>
          <w:sz w:val="20"/>
          <w:szCs w:val="20"/>
          <w:color w:val="auto"/>
        </w:rPr>
      </w:pPr>
    </w:p>
    <w:p>
      <w:pPr>
        <w:ind w:left="840" w:hanging="251"/>
        <w:spacing w:after="0"/>
        <w:tabs>
          <w:tab w:leader="none" w:pos="840" w:val="left"/>
        </w:tabs>
        <w:numPr>
          <w:ilvl w:val="0"/>
          <w:numId w:val="8"/>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Company’s assets;</w:t>
      </w:r>
    </w:p>
    <w:p>
      <w:pPr>
        <w:spacing w:after="0" w:line="192" w:lineRule="exact"/>
        <w:rPr>
          <w:rFonts w:ascii="Arial" w:cs="Arial" w:eastAsia="Arial" w:hAnsi="Arial"/>
          <w:sz w:val="15"/>
          <w:szCs w:val="15"/>
          <w:color w:val="auto"/>
        </w:rPr>
      </w:pPr>
    </w:p>
    <w:p>
      <w:pPr>
        <w:ind w:left="580" w:right="80" w:firstLine="9"/>
        <w:spacing w:after="0" w:line="259" w:lineRule="auto"/>
        <w:tabs>
          <w:tab w:leader="none" w:pos="829"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the Company’s management and directors; and</w:t>
      </w:r>
    </w:p>
    <w:p>
      <w:pPr>
        <w:spacing w:after="0" w:line="126" w:lineRule="exact"/>
        <w:rPr>
          <w:rFonts w:ascii="Arial" w:cs="Arial" w:eastAsia="Arial" w:hAnsi="Arial"/>
          <w:sz w:val="18"/>
          <w:szCs w:val="18"/>
          <w:color w:val="auto"/>
        </w:rPr>
      </w:pPr>
    </w:p>
    <w:p>
      <w:pPr>
        <w:ind w:left="580" w:right="340" w:firstLine="9"/>
        <w:spacing w:after="0" w:line="268" w:lineRule="auto"/>
        <w:tabs>
          <w:tab w:leader="none" w:pos="829"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recommends to the Board of Directors the selection of the independent registered public accounting firm.</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In connection with the preparation of the Company’s annual consolidated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26, 2006.</w:t>
      </w:r>
    </w:p>
    <w:p>
      <w:pPr>
        <w:spacing w:after="0" w:line="24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consolidated financial statements included in this Annual Report on Form 10-K, has issued an unqualified attestation report included herein, on management’s assessment of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/s/ Bruce D. Hertzke</w:t>
            </w:r>
          </w:p>
        </w:tc>
        <w:tc>
          <w:tcPr>
            <w:tcW w:w="5760" w:type="dxa"/>
            <w:vAlign w:val="bottom"/>
            <w:gridSpan w:val="2"/>
          </w:tcPr>
          <w:p>
            <w:pPr>
              <w:ind w:left="3520"/>
              <w:spacing w:after="0"/>
              <w:rPr>
                <w:sz w:val="20"/>
                <w:szCs w:val="20"/>
                <w:color w:val="auto"/>
              </w:rPr>
            </w:pPr>
            <w:r>
              <w:rPr>
                <w:rFonts w:ascii="Arial" w:cs="Arial" w:eastAsia="Arial" w:hAnsi="Arial"/>
                <w:sz w:val="18"/>
                <w:szCs w:val="18"/>
                <w:color w:val="auto"/>
              </w:rPr>
              <w:t>/s/ Sarah N. Nielsen</w:t>
            </w:r>
          </w:p>
        </w:tc>
        <w:tc>
          <w:tcPr>
            <w:tcW w:w="3100" w:type="dxa"/>
            <w:vAlign w:val="bottom"/>
          </w:tcPr>
          <w:p>
            <w:pPr>
              <w:spacing w:after="0"/>
              <w:rPr>
                <w:sz w:val="19"/>
                <w:szCs w:val="19"/>
                <w:color w:val="auto"/>
              </w:rPr>
            </w:pPr>
          </w:p>
        </w:tc>
      </w:tr>
      <w:tr>
        <w:trPr>
          <w:trHeight w:val="110"/>
        </w:trPr>
        <w:tc>
          <w:tcPr>
            <w:tcW w:w="2600" w:type="dxa"/>
            <w:vAlign w:val="bottom"/>
            <w:tcBorders>
              <w:bottom w:val="single" w:sz="8" w:color="808080"/>
            </w:tcBorders>
          </w:tcPr>
          <w:p>
            <w:pPr>
              <w:spacing w:after="0"/>
              <w:rPr>
                <w:sz w:val="9"/>
                <w:szCs w:val="9"/>
                <w:color w:val="auto"/>
              </w:rPr>
            </w:pPr>
          </w:p>
        </w:tc>
        <w:tc>
          <w:tcPr>
            <w:tcW w:w="352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3100" w:type="dxa"/>
            <w:vAlign w:val="bottom"/>
          </w:tcPr>
          <w:p>
            <w:pPr>
              <w:spacing w:after="0"/>
              <w:rPr>
                <w:sz w:val="9"/>
                <w:szCs w:val="9"/>
                <w:color w:val="auto"/>
              </w:rPr>
            </w:pPr>
          </w:p>
        </w:tc>
      </w:tr>
      <w:tr>
        <w:trPr>
          <w:trHeight w:val="309"/>
        </w:trPr>
        <w:tc>
          <w:tcPr>
            <w:tcW w:w="2600" w:type="dxa"/>
            <w:vAlign w:val="bottom"/>
          </w:tcPr>
          <w:p>
            <w:pPr>
              <w:spacing w:after="0"/>
              <w:rPr>
                <w:sz w:val="20"/>
                <w:szCs w:val="20"/>
                <w:color w:val="auto"/>
              </w:rPr>
            </w:pPr>
            <w:r>
              <w:rPr>
                <w:rFonts w:ascii="Arial" w:cs="Arial" w:eastAsia="Arial" w:hAnsi="Arial"/>
                <w:sz w:val="18"/>
                <w:szCs w:val="18"/>
                <w:color w:val="auto"/>
              </w:rPr>
              <w:t>Bruce D. Hertzke</w:t>
            </w:r>
          </w:p>
        </w:tc>
        <w:tc>
          <w:tcPr>
            <w:tcW w:w="5760" w:type="dxa"/>
            <w:vAlign w:val="bottom"/>
            <w:gridSpan w:val="2"/>
          </w:tcPr>
          <w:p>
            <w:pPr>
              <w:ind w:left="3520"/>
              <w:spacing w:after="0"/>
              <w:rPr>
                <w:sz w:val="20"/>
                <w:szCs w:val="20"/>
                <w:color w:val="auto"/>
              </w:rPr>
            </w:pPr>
            <w:r>
              <w:rPr>
                <w:rFonts w:ascii="Arial" w:cs="Arial" w:eastAsia="Arial" w:hAnsi="Arial"/>
                <w:sz w:val="18"/>
                <w:szCs w:val="18"/>
                <w:color w:val="auto"/>
              </w:rPr>
              <w:t>Sarah N. Nielsen</w:t>
            </w:r>
          </w:p>
        </w:tc>
        <w:tc>
          <w:tcPr>
            <w:tcW w:w="31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Chairman of the Board and</w:t>
            </w:r>
          </w:p>
        </w:tc>
        <w:tc>
          <w:tcPr>
            <w:tcW w:w="5760" w:type="dxa"/>
            <w:vAlign w:val="bottom"/>
            <w:gridSpan w:val="2"/>
          </w:tcPr>
          <w:p>
            <w:pPr>
              <w:ind w:left="3520"/>
              <w:spacing w:after="0"/>
              <w:rPr>
                <w:sz w:val="20"/>
                <w:szCs w:val="20"/>
                <w:color w:val="auto"/>
              </w:rPr>
            </w:pPr>
            <w:r>
              <w:rPr>
                <w:rFonts w:ascii="Arial" w:cs="Arial" w:eastAsia="Arial" w:hAnsi="Arial"/>
                <w:sz w:val="18"/>
                <w:szCs w:val="18"/>
                <w:color w:val="auto"/>
              </w:rPr>
              <w:t>Vice President,</w:t>
            </w:r>
          </w:p>
        </w:tc>
        <w:tc>
          <w:tcPr>
            <w:tcW w:w="310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60" w:type="dxa"/>
            <w:vAlign w:val="bottom"/>
            <w:gridSpan w:val="2"/>
          </w:tcPr>
          <w:p>
            <w:pPr>
              <w:ind w:left="3520"/>
              <w:spacing w:after="0"/>
              <w:rPr>
                <w:sz w:val="20"/>
                <w:szCs w:val="20"/>
                <w:color w:val="auto"/>
              </w:rPr>
            </w:pPr>
            <w:r>
              <w:rPr>
                <w:rFonts w:ascii="Arial" w:cs="Arial" w:eastAsia="Arial" w:hAnsi="Arial"/>
                <w:sz w:val="18"/>
                <w:szCs w:val="18"/>
                <w:color w:val="auto"/>
              </w:rPr>
              <w:t>Chief Financial Officer</w:t>
            </w:r>
          </w:p>
        </w:tc>
        <w:tc>
          <w:tcPr>
            <w:tcW w:w="3100" w:type="dxa"/>
            <w:vAlign w:val="bottom"/>
          </w:tcPr>
          <w:p>
            <w:pPr>
              <w:spacing w:after="0"/>
              <w:rPr>
                <w:sz w:val="19"/>
                <w:szCs w:val="19"/>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November 9, 2006</w:t>
            </w:r>
          </w:p>
        </w:tc>
        <w:tc>
          <w:tcPr>
            <w:tcW w:w="3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32"/>
        </w:trPr>
        <w:tc>
          <w:tcPr>
            <w:tcW w:w="2600" w:type="dxa"/>
            <w:vAlign w:val="bottom"/>
          </w:tcPr>
          <w:p>
            <w:pPr>
              <w:spacing w:after="0"/>
              <w:rPr>
                <w:sz w:val="24"/>
                <w:szCs w:val="24"/>
                <w:color w:val="auto"/>
              </w:rPr>
            </w:pPr>
          </w:p>
        </w:tc>
        <w:tc>
          <w:tcPr>
            <w:tcW w:w="3520" w:type="dxa"/>
            <w:vAlign w:val="bottom"/>
          </w:tcPr>
          <w:p>
            <w:pPr>
              <w:ind w:left="3020"/>
              <w:spacing w:after="0"/>
              <w:rPr>
                <w:sz w:val="20"/>
                <w:szCs w:val="20"/>
                <w:color w:val="auto"/>
              </w:rPr>
            </w:pPr>
            <w:r>
              <w:rPr>
                <w:rFonts w:ascii="Arial" w:cs="Arial" w:eastAsia="Arial" w:hAnsi="Arial"/>
                <w:sz w:val="18"/>
                <w:szCs w:val="18"/>
                <w:color w:val="auto"/>
              </w:rPr>
              <w:t>18</w:t>
            </w:r>
          </w:p>
        </w:tc>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42"/>
        </w:trPr>
        <w:tc>
          <w:tcPr>
            <w:tcW w:w="2600" w:type="dxa"/>
            <w:vAlign w:val="bottom"/>
            <w:tcBorders>
              <w:bottom w:val="single" w:sz="8" w:color="808080"/>
            </w:tcBorders>
          </w:tcPr>
          <w:p>
            <w:pPr>
              <w:spacing w:after="0"/>
              <w:rPr>
                <w:sz w:val="21"/>
                <w:szCs w:val="21"/>
                <w:color w:val="auto"/>
              </w:rPr>
            </w:pPr>
          </w:p>
        </w:tc>
        <w:tc>
          <w:tcPr>
            <w:tcW w:w="3520" w:type="dxa"/>
            <w:vAlign w:val="bottom"/>
            <w:tcBorders>
              <w:bottom w:val="single" w:sz="8" w:color="808080"/>
            </w:tcBorders>
          </w:tcPr>
          <w:p>
            <w:pPr>
              <w:spacing w:after="0"/>
              <w:rPr>
                <w:sz w:val="21"/>
                <w:szCs w:val="21"/>
                <w:color w:val="auto"/>
              </w:rPr>
            </w:pPr>
          </w:p>
        </w:tc>
        <w:tc>
          <w:tcPr>
            <w:tcW w:w="2240" w:type="dxa"/>
            <w:vAlign w:val="bottom"/>
            <w:tcBorders>
              <w:bottom w:val="single" w:sz="8" w:color="808080"/>
            </w:tcBorders>
          </w:tcPr>
          <w:p>
            <w:pPr>
              <w:spacing w:after="0"/>
              <w:rPr>
                <w:sz w:val="21"/>
                <w:szCs w:val="21"/>
                <w:color w:val="auto"/>
              </w:rPr>
            </w:pPr>
          </w:p>
        </w:tc>
        <w:tc>
          <w:tcPr>
            <w:tcW w:w="31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Management’s Report on Internal Control over Financial Reporting, that Winnebago Industries, Inc. and subsidiaries (the “Company”) maintained effective internal control over financial reporting as of August 26, 2006,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COSO framework).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August 26, 2006, is fairly stated, in all material respects, based on the criteria established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August 26, 2006, based on the criteria established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Committee of Sponsoring Organizations of the Treadway Commission.</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August 26, 2006, of the Company and our report dated November 9, 2006, expressed an unqualified opinion on those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61226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audited the accompanying consolidated balance sheets of Winnebago Industries, Inc. and subsidiaries (the “Company”) as of August 26, 2006 and August 27, 2005, and the related consolidated statements of income, stockholders’ equity, and cash flows for each of the three years in the period ended August 26, 2006.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referred to above.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at August 26, 2006 and August 27, 2005, and the results of their operations and their cash flows for each of the three years in the period ended August 26, 2006, in conformity with accounting principles generally accepted in the United States of America.</w:t>
      </w:r>
    </w:p>
    <w:p>
      <w:pPr>
        <w:spacing w:after="0" w:line="19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As discussed in Note 9 to the consolidated financial statements, the Company changed its method of accounting for share-based payments to conform to Statement of Financial Accounting Standards No. 123R in the quarter ended November 26, 2005.</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August 26, 2006,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and our report dated November 9, 2006,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5347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340" w:type="dxa"/>
            <w:vAlign w:val="bottom"/>
          </w:tcPr>
          <w:p>
            <w:pPr>
              <w:spacing w:after="0"/>
              <w:rPr>
                <w:sz w:val="15"/>
                <w:szCs w:val="15"/>
                <w:color w:val="auto"/>
              </w:rPr>
            </w:pPr>
          </w:p>
        </w:tc>
      </w:tr>
      <w:tr>
        <w:trPr>
          <w:trHeight w:val="95"/>
        </w:trPr>
        <w:tc>
          <w:tcPr>
            <w:tcW w:w="75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86"/>
              </w:rPr>
              <w:t>August 26,</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August 27,</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August 28,</w:t>
            </w:r>
          </w:p>
        </w:tc>
      </w:tr>
      <w:tr>
        <w:trPr>
          <w:trHeight w:val="174"/>
        </w:trPr>
        <w:tc>
          <w:tcPr>
            <w:tcW w:w="752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2006</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3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2004</w:t>
            </w:r>
          </w:p>
        </w:tc>
      </w:tr>
      <w:tr>
        <w:trPr>
          <w:trHeight w:val="95"/>
        </w:trPr>
        <w:tc>
          <w:tcPr>
            <w:tcW w:w="75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D6F3E8"/>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864,403</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991,975</w:t>
            </w:r>
          </w:p>
        </w:tc>
        <w:tc>
          <w:tcPr>
            <w:tcW w:w="5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1,114,154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759,502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854,997</w:t>
            </w:r>
          </w:p>
        </w:tc>
        <w:tc>
          <w:tcPr>
            <w:tcW w:w="52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951,985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5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104,901</w:t>
            </w:r>
          </w:p>
        </w:tc>
        <w:tc>
          <w:tcPr>
            <w:tcW w:w="28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136,978</w:t>
            </w:r>
          </w:p>
        </w:tc>
        <w:tc>
          <w:tcPr>
            <w:tcW w:w="52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162,169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4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75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Selling</w:t>
            </w: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19,619</w:t>
            </w:r>
          </w:p>
        </w:tc>
        <w:tc>
          <w:tcPr>
            <w:tcW w:w="28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19,936</w:t>
            </w:r>
          </w:p>
        </w:tc>
        <w:tc>
          <w:tcPr>
            <w:tcW w:w="52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20,764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22,184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18,787</w:t>
            </w:r>
          </w:p>
        </w:tc>
        <w:tc>
          <w:tcPr>
            <w:tcW w:w="52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30,607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41,803</w:t>
            </w:r>
          </w:p>
        </w:tc>
        <w:tc>
          <w:tcPr>
            <w:tcW w:w="28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38,723</w:t>
            </w:r>
          </w:p>
        </w:tc>
        <w:tc>
          <w:tcPr>
            <w:tcW w:w="52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51,371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75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63,098</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98,255</w:t>
            </w:r>
          </w:p>
        </w:tc>
        <w:tc>
          <w:tcPr>
            <w:tcW w:w="5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110,798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5,097</w:t>
            </w:r>
          </w:p>
        </w:tc>
        <w:tc>
          <w:tcPr>
            <w:tcW w:w="28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2,635</w:t>
            </w:r>
          </w:p>
        </w:tc>
        <w:tc>
          <w:tcPr>
            <w:tcW w:w="52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68,195</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100,890</w:t>
            </w:r>
          </w:p>
        </w:tc>
        <w:tc>
          <w:tcPr>
            <w:tcW w:w="5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112,234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Provision for taxes</w:t>
            </w: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23,451</w:t>
            </w:r>
          </w:p>
        </w:tc>
        <w:tc>
          <w:tcPr>
            <w:tcW w:w="28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35,817</w:t>
            </w:r>
          </w:p>
        </w:tc>
        <w:tc>
          <w:tcPr>
            <w:tcW w:w="52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41,593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44,744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65,073</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70,641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52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752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per common share:</w:t>
            </w: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1.39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D6F3E8"/>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1.37</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1.92</w:t>
            </w:r>
          </w:p>
        </w:tc>
        <w:tc>
          <w:tcPr>
            <w:tcW w:w="5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52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754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32,265</w:t>
            </w:r>
          </w:p>
        </w:tc>
        <w:tc>
          <w:tcPr>
            <w:tcW w:w="28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33,382</w:t>
            </w:r>
          </w:p>
        </w:tc>
        <w:tc>
          <w:tcPr>
            <w:tcW w:w="52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34,214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32,550</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33,812</w:t>
            </w:r>
          </w:p>
        </w:tc>
        <w:tc>
          <w:tcPr>
            <w:tcW w:w="52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34,789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-1441450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-1441450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-1441450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-1441450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-1441450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-1441450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-1441450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-1441450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-1441450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-1441450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-909955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-909955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-909955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-909955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-909955</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-909955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-909955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-909955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-909955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-909955</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-609600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-609600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-609600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-609600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-609600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-609600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-609600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-609600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-609600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-609600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210" w:lineRule="exact"/>
        <w:rPr>
          <w:sz w:val="20"/>
          <w:szCs w:val="20"/>
          <w:color w:val="auto"/>
        </w:rPr>
      </w:pPr>
    </w:p>
    <w:p>
      <w:pPr>
        <w:spacing w:after="0"/>
        <w:tabs>
          <w:tab w:leader="none" w:pos="8680" w:val="left"/>
          <w:tab w:leader="none" w:pos="10220" w:val="left"/>
        </w:tabs>
        <w:rPr>
          <w:sz w:val="20"/>
          <w:szCs w:val="20"/>
          <w:color w:val="auto"/>
        </w:rPr>
      </w:pPr>
      <w:r>
        <w:rPr>
          <w:rFonts w:ascii="Arial" w:cs="Arial" w:eastAsia="Arial" w:hAnsi="Arial"/>
          <w:sz w:val="14"/>
          <w:szCs w:val="14"/>
          <w:b w:val="1"/>
          <w:bCs w:val="1"/>
          <w:color w:val="auto"/>
        </w:rPr>
        <w:t>(In thousands, except per share data)</w:t>
      </w:r>
      <w:r>
        <w:rPr>
          <w:sz w:val="20"/>
          <w:szCs w:val="20"/>
          <w:color w:val="auto"/>
        </w:rPr>
        <w:tab/>
      </w:r>
      <w:r>
        <w:rPr>
          <w:rFonts w:ascii="Arial" w:cs="Arial" w:eastAsia="Arial" w:hAnsi="Arial"/>
          <w:sz w:val="14"/>
          <w:szCs w:val="14"/>
          <w:b w:val="1"/>
          <w:bCs w:val="1"/>
          <w:color w:val="auto"/>
        </w:rPr>
        <w:t>August 26, 2006</w:t>
      </w:r>
      <w:r>
        <w:rPr>
          <w:sz w:val="20"/>
          <w:szCs w:val="20"/>
          <w:color w:val="auto"/>
        </w:rPr>
        <w:tab/>
      </w:r>
      <w:r>
        <w:rPr>
          <w:rFonts w:ascii="Arial" w:cs="Arial" w:eastAsia="Arial" w:hAnsi="Arial"/>
          <w:sz w:val="12"/>
          <w:szCs w:val="12"/>
          <w:b w:val="1"/>
          <w:bCs w:val="1"/>
          <w:color w:val="auto"/>
        </w:rPr>
        <w:t>August 27,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5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24"/>
                <w:szCs w:val="24"/>
                <w:color w:val="auto"/>
              </w:rPr>
            </w:pPr>
          </w:p>
        </w:tc>
        <w:tc>
          <w:tcPr>
            <w:tcW w:w="127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D6F3E8"/>
          </w:tcPr>
          <w:p>
            <w:pPr>
              <w:jc w:val="right"/>
              <w:spacing w:after="0"/>
              <w:rPr>
                <w:sz w:val="20"/>
                <w:szCs w:val="20"/>
                <w:color w:val="auto"/>
              </w:rPr>
            </w:pPr>
            <w:r>
              <w:rPr>
                <w:rFonts w:ascii="Arial" w:cs="Arial" w:eastAsia="Arial" w:hAnsi="Arial"/>
                <w:sz w:val="15"/>
                <w:szCs w:val="15"/>
                <w:b w:val="1"/>
                <w:bCs w:val="1"/>
                <w:color w:val="auto"/>
                <w:w w:val="71"/>
              </w:rPr>
              <w:t>$</w:t>
            </w: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24,934</w:t>
            </w:r>
          </w:p>
        </w:tc>
        <w:tc>
          <w:tcPr>
            <w:tcW w:w="4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19,484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10" w:type="dxa"/>
            <w:vAlign w:val="bottom"/>
          </w:tcPr>
          <w:p>
            <w:pPr>
              <w:spacing w:after="0"/>
              <w:rPr>
                <w:sz w:val="18"/>
                <w:szCs w:val="18"/>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129,950</w:t>
            </w:r>
          </w:p>
        </w:tc>
        <w:tc>
          <w:tcPr>
            <w:tcW w:w="4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93,100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Receivables, less allowance for doubtful accounts ($164 and $270, respectively)</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20,859</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40,910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77,081</w:t>
            </w:r>
          </w:p>
        </w:tc>
        <w:tc>
          <w:tcPr>
            <w:tcW w:w="4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120,655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Prepaid expenses and other assets</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5,269</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4,333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110" w:type="dxa"/>
            <w:vAlign w:val="bottom"/>
          </w:tcPr>
          <w:p>
            <w:pPr>
              <w:spacing w:after="0"/>
              <w:rPr>
                <w:sz w:val="19"/>
                <w:szCs w:val="19"/>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9,067</w:t>
            </w:r>
          </w:p>
        </w:tc>
        <w:tc>
          <w:tcPr>
            <w:tcW w:w="4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9,610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2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2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267,160</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288,092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80" w:type="dxa"/>
            <w:vAlign w:val="bottom"/>
            <w:gridSpan w:val="3"/>
            <w:vMerge w:val="restart"/>
          </w:tcPr>
          <w:p>
            <w:pPr>
              <w:spacing w:after="0"/>
              <w:rPr>
                <w:sz w:val="20"/>
                <w:szCs w:val="20"/>
                <w:color w:val="auto"/>
              </w:rPr>
            </w:pPr>
            <w:r>
              <w:rPr>
                <w:rFonts w:ascii="Arial" w:cs="Arial" w:eastAsia="Arial" w:hAnsi="Arial"/>
                <w:sz w:val="18"/>
                <w:szCs w:val="18"/>
                <w:color w:val="auto"/>
              </w:rPr>
              <w:t>Property and equipment, at cost:</w:t>
            </w:r>
          </w:p>
        </w:tc>
        <w:tc>
          <w:tcPr>
            <w:tcW w:w="110" w:type="dxa"/>
            <w:vAlign w:val="bottom"/>
            <w:tcBorders>
              <w:bottom w:val="single" w:sz="8" w:color="auto"/>
            </w:tcBorders>
          </w:tcPr>
          <w:p>
            <w:pPr>
              <w:spacing w:after="0"/>
              <w:rPr>
                <w:sz w:val="9"/>
                <w:szCs w:val="9"/>
                <w:color w:val="auto"/>
              </w:rPr>
            </w:pPr>
          </w:p>
        </w:tc>
        <w:tc>
          <w:tcPr>
            <w:tcW w:w="127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580" w:type="dxa"/>
            <w:vAlign w:val="bottom"/>
            <w:gridSpan w:val="3"/>
            <w:vMerge w:val="continue"/>
          </w:tcPr>
          <w:p>
            <w:pPr>
              <w:spacing w:after="0"/>
              <w:rPr>
                <w:sz w:val="24"/>
                <w:szCs w:val="24"/>
                <w:color w:val="auto"/>
              </w:rPr>
            </w:pPr>
          </w:p>
        </w:tc>
        <w:tc>
          <w:tcPr>
            <w:tcW w:w="110" w:type="dxa"/>
            <w:vAlign w:val="bottom"/>
          </w:tcPr>
          <w:p>
            <w:pPr>
              <w:spacing w:after="0"/>
              <w:rPr>
                <w:sz w:val="24"/>
                <w:szCs w:val="24"/>
                <w:color w:val="auto"/>
              </w:rPr>
            </w:pPr>
          </w:p>
        </w:tc>
        <w:tc>
          <w:tcPr>
            <w:tcW w:w="127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Land</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946</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40"/>
              <w:spacing w:after="0"/>
              <w:rPr>
                <w:sz w:val="20"/>
                <w:szCs w:val="20"/>
                <w:color w:val="auto"/>
              </w:rPr>
            </w:pPr>
            <w:r>
              <w:rPr>
                <w:rFonts w:ascii="Arial" w:cs="Arial" w:eastAsia="Arial" w:hAnsi="Arial"/>
                <w:sz w:val="18"/>
                <w:szCs w:val="18"/>
                <w:color w:val="auto"/>
              </w:rPr>
              <w:t>Buildings</w:t>
            </w:r>
          </w:p>
        </w:tc>
        <w:tc>
          <w:tcPr>
            <w:tcW w:w="110" w:type="dxa"/>
            <w:vAlign w:val="bottom"/>
          </w:tcPr>
          <w:p>
            <w:pPr>
              <w:spacing w:after="0"/>
              <w:rPr>
                <w:sz w:val="18"/>
                <w:szCs w:val="18"/>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59,378</w:t>
            </w:r>
          </w:p>
        </w:tc>
        <w:tc>
          <w:tcPr>
            <w:tcW w:w="4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60,282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Machinery and equipment</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99,839</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100,601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gridSpan w:val="2"/>
          </w:tcPr>
          <w:p>
            <w:pPr>
              <w:ind w:left="140"/>
              <w:spacing w:after="0"/>
              <w:rPr>
                <w:sz w:val="20"/>
                <w:szCs w:val="20"/>
                <w:color w:val="auto"/>
              </w:rPr>
            </w:pPr>
            <w:r>
              <w:rPr>
                <w:rFonts w:ascii="Arial" w:cs="Arial" w:eastAsia="Arial" w:hAnsi="Arial"/>
                <w:sz w:val="18"/>
                <w:szCs w:val="18"/>
                <w:color w:val="auto"/>
              </w:rPr>
              <w:t>Transportation equipment</w:t>
            </w:r>
          </w:p>
        </w:tc>
        <w:tc>
          <w:tcPr>
            <w:tcW w:w="110" w:type="dxa"/>
            <w:vAlign w:val="bottom"/>
          </w:tcPr>
          <w:p>
            <w:pPr>
              <w:spacing w:after="0"/>
              <w:rPr>
                <w:sz w:val="19"/>
                <w:szCs w:val="19"/>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9,561</w:t>
            </w:r>
          </w:p>
        </w:tc>
        <w:tc>
          <w:tcPr>
            <w:tcW w:w="4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9,487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2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2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Total property and equipment, at cost</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169,724</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171,370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gridSpan w:val="2"/>
          </w:tcPr>
          <w:p>
            <w:pPr>
              <w:ind w:left="140"/>
              <w:spacing w:after="0"/>
              <w:rPr>
                <w:sz w:val="20"/>
                <w:szCs w:val="20"/>
                <w:color w:val="auto"/>
              </w:rPr>
            </w:pPr>
            <w:r>
              <w:rPr>
                <w:rFonts w:ascii="Arial" w:cs="Arial" w:eastAsia="Arial" w:hAnsi="Arial"/>
                <w:sz w:val="18"/>
                <w:szCs w:val="18"/>
                <w:color w:val="auto"/>
              </w:rPr>
              <w:t>Accumulated depreciation</w:t>
            </w:r>
          </w:p>
        </w:tc>
        <w:tc>
          <w:tcPr>
            <w:tcW w:w="110" w:type="dxa"/>
            <w:vAlign w:val="bottom"/>
          </w:tcPr>
          <w:p>
            <w:pPr>
              <w:spacing w:after="0"/>
              <w:rPr>
                <w:sz w:val="19"/>
                <w:szCs w:val="19"/>
                <w:color w:val="auto"/>
              </w:rPr>
            </w:pPr>
          </w:p>
        </w:tc>
        <w:tc>
          <w:tcPr>
            <w:tcW w:w="1270" w:type="dxa"/>
            <w:vAlign w:val="bottom"/>
          </w:tcPr>
          <w:p>
            <w:pPr>
              <w:jc w:val="right"/>
              <w:ind w:right="72"/>
              <w:spacing w:after="0"/>
              <w:rPr>
                <w:sz w:val="20"/>
                <w:szCs w:val="20"/>
                <w:color w:val="auto"/>
              </w:rPr>
            </w:pPr>
            <w:r>
              <w:rPr>
                <w:rFonts w:ascii="Arial" w:cs="Arial" w:eastAsia="Arial" w:hAnsi="Arial"/>
                <w:sz w:val="18"/>
                <w:szCs w:val="18"/>
                <w:b w:val="1"/>
                <w:bCs w:val="1"/>
                <w:color w:val="auto"/>
              </w:rPr>
              <w:t>(112,817)</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2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2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Total property and equipment, net</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56,907</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63,853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27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580" w:type="dxa"/>
            <w:vAlign w:val="bottom"/>
            <w:gridSpan w:val="3"/>
          </w:tcPr>
          <w:p>
            <w:pPr>
              <w:spacing w:after="0"/>
              <w:rPr>
                <w:sz w:val="20"/>
                <w:szCs w:val="20"/>
                <w:color w:val="auto"/>
              </w:rPr>
            </w:pPr>
            <w:r>
              <w:rPr>
                <w:rFonts w:ascii="Arial" w:cs="Arial" w:eastAsia="Arial" w:hAnsi="Arial"/>
                <w:sz w:val="18"/>
                <w:szCs w:val="18"/>
                <w:color w:val="auto"/>
              </w:rPr>
              <w:t>Investment in life insurance</w:t>
            </w:r>
          </w:p>
        </w:tc>
        <w:tc>
          <w:tcPr>
            <w:tcW w:w="110" w:type="dxa"/>
            <w:vAlign w:val="bottom"/>
          </w:tcPr>
          <w:p>
            <w:pPr>
              <w:spacing w:after="0"/>
              <w:rPr>
                <w:sz w:val="24"/>
                <w:szCs w:val="24"/>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20,814</w:t>
            </w:r>
          </w:p>
        </w:tc>
        <w:tc>
          <w:tcPr>
            <w:tcW w:w="4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22,066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25,002</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24,997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9"/>
                <w:szCs w:val="19"/>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14,832</w:t>
            </w:r>
          </w:p>
        </w:tc>
        <w:tc>
          <w:tcPr>
            <w:tcW w:w="4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13,952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2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2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D6F3E8"/>
          </w:tcPr>
          <w:p>
            <w:pPr>
              <w:jc w:val="right"/>
              <w:spacing w:after="0"/>
              <w:rPr>
                <w:sz w:val="20"/>
                <w:szCs w:val="20"/>
                <w:color w:val="auto"/>
              </w:rPr>
            </w:pPr>
            <w:r>
              <w:rPr>
                <w:rFonts w:ascii="Arial" w:cs="Arial" w:eastAsia="Arial" w:hAnsi="Arial"/>
                <w:sz w:val="15"/>
                <w:szCs w:val="15"/>
                <w:b w:val="1"/>
                <w:bCs w:val="1"/>
                <w:color w:val="auto"/>
                <w:w w:val="71"/>
              </w:rPr>
              <w:t>$</w:t>
            </w: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384,715</w:t>
            </w:r>
          </w:p>
        </w:tc>
        <w:tc>
          <w:tcPr>
            <w:tcW w:w="4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412,960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5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27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0" w:type="dxa"/>
            <w:vAlign w:val="bottom"/>
          </w:tcPr>
          <w:p>
            <w:pPr>
              <w:spacing w:after="0"/>
              <w:rPr>
                <w:sz w:val="24"/>
                <w:szCs w:val="24"/>
                <w:color w:val="auto"/>
              </w:rPr>
            </w:pPr>
          </w:p>
        </w:tc>
        <w:tc>
          <w:tcPr>
            <w:tcW w:w="127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560" w:type="dxa"/>
            <w:vAlign w:val="bottom"/>
            <w:gridSpan w:val="2"/>
          </w:tcPr>
          <w:p>
            <w:pPr>
              <w:spacing w:after="0"/>
              <w:rPr>
                <w:sz w:val="13"/>
                <w:szCs w:val="13"/>
                <w:color w:val="auto"/>
              </w:rPr>
            </w:pPr>
          </w:p>
        </w:tc>
        <w:tc>
          <w:tcPr>
            <w:tcW w:w="110" w:type="dxa"/>
            <w:vAlign w:val="bottom"/>
          </w:tcPr>
          <w:p>
            <w:pPr>
              <w:spacing w:after="0"/>
              <w:rPr>
                <w:sz w:val="13"/>
                <w:szCs w:val="13"/>
                <w:color w:val="auto"/>
              </w:rPr>
            </w:pPr>
          </w:p>
        </w:tc>
        <w:tc>
          <w:tcPr>
            <w:tcW w:w="127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11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27,923</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34,660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Income taxes payable</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7,876</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4,458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110" w:type="dxa"/>
            <w:vAlign w:val="bottom"/>
          </w:tcPr>
          <w:p>
            <w:pPr>
              <w:spacing w:after="0"/>
              <w:rPr>
                <w:sz w:val="18"/>
                <w:szCs w:val="18"/>
                <w:color w:val="auto"/>
              </w:rPr>
            </w:pPr>
          </w:p>
        </w:tc>
        <w:tc>
          <w:tcPr>
            <w:tcW w:w="127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Accrued compensation</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12,498</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16,380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60"/>
              <w:spacing w:after="0"/>
              <w:rPr>
                <w:sz w:val="20"/>
                <w:szCs w:val="20"/>
                <w:color w:val="auto"/>
              </w:rPr>
            </w:pPr>
            <w:r>
              <w:rPr>
                <w:rFonts w:ascii="Arial" w:cs="Arial" w:eastAsia="Arial" w:hAnsi="Arial"/>
                <w:sz w:val="18"/>
                <w:szCs w:val="18"/>
                <w:color w:val="auto"/>
              </w:rPr>
              <w:t>Product warranties</w:t>
            </w:r>
          </w:p>
        </w:tc>
        <w:tc>
          <w:tcPr>
            <w:tcW w:w="110" w:type="dxa"/>
            <w:vAlign w:val="bottom"/>
          </w:tcPr>
          <w:p>
            <w:pPr>
              <w:spacing w:after="0"/>
              <w:rPr>
                <w:sz w:val="18"/>
                <w:szCs w:val="18"/>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9,523</w:t>
            </w:r>
          </w:p>
        </w:tc>
        <w:tc>
          <w:tcPr>
            <w:tcW w:w="4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12,183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Self-insurance</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7,842</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6,728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60"/>
              <w:spacing w:after="0"/>
              <w:rPr>
                <w:sz w:val="20"/>
                <w:szCs w:val="20"/>
                <w:color w:val="auto"/>
              </w:rPr>
            </w:pPr>
            <w:r>
              <w:rPr>
                <w:rFonts w:ascii="Arial" w:cs="Arial" w:eastAsia="Arial" w:hAnsi="Arial"/>
                <w:sz w:val="18"/>
                <w:szCs w:val="18"/>
                <w:color w:val="auto"/>
              </w:rPr>
              <w:t>Promotional</w:t>
            </w:r>
          </w:p>
        </w:tc>
        <w:tc>
          <w:tcPr>
            <w:tcW w:w="110" w:type="dxa"/>
            <w:vAlign w:val="bottom"/>
          </w:tcPr>
          <w:p>
            <w:pPr>
              <w:spacing w:after="0"/>
              <w:rPr>
                <w:sz w:val="18"/>
                <w:szCs w:val="18"/>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5,253</w:t>
            </w:r>
          </w:p>
        </w:tc>
        <w:tc>
          <w:tcPr>
            <w:tcW w:w="4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Accrued dividends</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3,109</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gridSpan w:val="2"/>
          </w:tcPr>
          <w:p>
            <w:pPr>
              <w:ind w:left="460"/>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19"/>
                <w:szCs w:val="19"/>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6,098</w:t>
            </w:r>
          </w:p>
        </w:tc>
        <w:tc>
          <w:tcPr>
            <w:tcW w:w="4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7,756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60" w:type="dxa"/>
            <w:vAlign w:val="bottom"/>
            <w:gridSpan w:val="2"/>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2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60" w:type="dxa"/>
            <w:vAlign w:val="bottom"/>
            <w:gridSpan w:val="2"/>
          </w:tcPr>
          <w:p>
            <w:pPr>
              <w:spacing w:after="0"/>
              <w:rPr>
                <w:sz w:val="8"/>
                <w:szCs w:val="8"/>
                <w:color w:val="auto"/>
              </w:rPr>
            </w:pPr>
          </w:p>
        </w:tc>
        <w:tc>
          <w:tcPr>
            <w:tcW w:w="110" w:type="dxa"/>
            <w:vAlign w:val="bottom"/>
          </w:tcPr>
          <w:p>
            <w:pPr>
              <w:spacing w:after="0"/>
              <w:rPr>
                <w:sz w:val="8"/>
                <w:szCs w:val="8"/>
                <w:color w:val="auto"/>
              </w:rPr>
            </w:pPr>
          </w:p>
        </w:tc>
        <w:tc>
          <w:tcPr>
            <w:tcW w:w="12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62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80,122</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90,623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80" w:type="dxa"/>
            <w:vAlign w:val="bottom"/>
            <w:gridSpan w:val="3"/>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27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580" w:type="dxa"/>
            <w:vAlign w:val="bottom"/>
            <w:gridSpan w:val="3"/>
          </w:tcPr>
          <w:p>
            <w:pPr>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110" w:type="dxa"/>
            <w:vAlign w:val="bottom"/>
          </w:tcPr>
          <w:p>
            <w:pPr>
              <w:spacing w:after="0"/>
              <w:rPr>
                <w:sz w:val="24"/>
                <w:szCs w:val="24"/>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86,271</w:t>
            </w:r>
          </w:p>
        </w:tc>
        <w:tc>
          <w:tcPr>
            <w:tcW w:w="4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86,450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580" w:type="dxa"/>
            <w:vAlign w:val="bottom"/>
            <w:gridSpan w:val="3"/>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27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60" w:type="dxa"/>
            <w:vAlign w:val="bottom"/>
            <w:gridSpan w:val="2"/>
          </w:tcPr>
          <w:p>
            <w:pPr>
              <w:spacing w:after="0"/>
              <w:rPr>
                <w:sz w:val="8"/>
                <w:szCs w:val="8"/>
                <w:color w:val="auto"/>
              </w:rPr>
            </w:pPr>
          </w:p>
        </w:tc>
        <w:tc>
          <w:tcPr>
            <w:tcW w:w="110" w:type="dxa"/>
            <w:vAlign w:val="bottom"/>
          </w:tcPr>
          <w:p>
            <w:pPr>
              <w:spacing w:after="0"/>
              <w:rPr>
                <w:sz w:val="8"/>
                <w:szCs w:val="8"/>
                <w:color w:val="auto"/>
              </w:rPr>
            </w:pPr>
          </w:p>
        </w:tc>
        <w:tc>
          <w:tcPr>
            <w:tcW w:w="12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Contingent liabilities and commitments</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10" w:type="dxa"/>
            <w:vAlign w:val="bottom"/>
          </w:tcPr>
          <w:p>
            <w:pPr>
              <w:spacing w:after="0"/>
              <w:rPr>
                <w:sz w:val="18"/>
                <w:szCs w:val="18"/>
                <w:color w:val="auto"/>
              </w:rPr>
            </w:pPr>
          </w:p>
        </w:tc>
        <w:tc>
          <w:tcPr>
            <w:tcW w:w="127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Capital stock common, par value $0.50; authorized 60,000 shares, issued 51,776 shares</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25,888</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25,888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110" w:type="dxa"/>
            <w:vAlign w:val="bottom"/>
          </w:tcPr>
          <w:p>
            <w:pPr>
              <w:spacing w:after="0"/>
              <w:rPr>
                <w:sz w:val="18"/>
                <w:szCs w:val="18"/>
                <w:color w:val="auto"/>
              </w:rPr>
            </w:pP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22,268</w:t>
            </w:r>
          </w:p>
        </w:tc>
        <w:tc>
          <w:tcPr>
            <w:tcW w:w="4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16,811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Retained earnings</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480,446</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447,518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gridSpan w:val="2"/>
          </w:tcPr>
          <w:p>
            <w:pPr>
              <w:ind w:left="140"/>
              <w:spacing w:after="0"/>
              <w:rPr>
                <w:sz w:val="20"/>
                <w:szCs w:val="20"/>
                <w:color w:val="auto"/>
              </w:rPr>
            </w:pPr>
            <w:r>
              <w:rPr>
                <w:rFonts w:ascii="Arial" w:cs="Arial" w:eastAsia="Arial" w:hAnsi="Arial"/>
                <w:sz w:val="18"/>
                <w:szCs w:val="18"/>
                <w:color w:val="auto"/>
              </w:rPr>
              <w:t>Treasury stock, at cost (20,633 and 18,787 shares, respectively)</w:t>
            </w:r>
          </w:p>
        </w:tc>
        <w:tc>
          <w:tcPr>
            <w:tcW w:w="110" w:type="dxa"/>
            <w:vAlign w:val="bottom"/>
          </w:tcPr>
          <w:p>
            <w:pPr>
              <w:spacing w:after="0"/>
              <w:rPr>
                <w:sz w:val="19"/>
                <w:szCs w:val="19"/>
                <w:color w:val="auto"/>
              </w:rPr>
            </w:pPr>
          </w:p>
        </w:tc>
        <w:tc>
          <w:tcPr>
            <w:tcW w:w="1270" w:type="dxa"/>
            <w:vAlign w:val="bottom"/>
          </w:tcPr>
          <w:p>
            <w:pPr>
              <w:jc w:val="right"/>
              <w:ind w:right="72"/>
              <w:spacing w:after="0"/>
              <w:rPr>
                <w:sz w:val="20"/>
                <w:szCs w:val="20"/>
                <w:color w:val="auto"/>
              </w:rPr>
            </w:pPr>
            <w:r>
              <w:rPr>
                <w:rFonts w:ascii="Arial" w:cs="Arial" w:eastAsia="Arial" w:hAnsi="Arial"/>
                <w:sz w:val="18"/>
                <w:szCs w:val="18"/>
                <w:b w:val="1"/>
                <w:bCs w:val="1"/>
                <w:color w:val="auto"/>
              </w:rPr>
              <w:t>(310,280)</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(254,330)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60" w:type="dxa"/>
            <w:vAlign w:val="bottom"/>
            <w:gridSpan w:val="2"/>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2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60" w:type="dxa"/>
            <w:vAlign w:val="bottom"/>
            <w:gridSpan w:val="2"/>
          </w:tcPr>
          <w:p>
            <w:pPr>
              <w:spacing w:after="0"/>
              <w:rPr>
                <w:sz w:val="8"/>
                <w:szCs w:val="8"/>
                <w:color w:val="auto"/>
              </w:rPr>
            </w:pPr>
          </w:p>
        </w:tc>
        <w:tc>
          <w:tcPr>
            <w:tcW w:w="110" w:type="dxa"/>
            <w:vAlign w:val="bottom"/>
          </w:tcPr>
          <w:p>
            <w:pPr>
              <w:spacing w:after="0"/>
              <w:rPr>
                <w:sz w:val="8"/>
                <w:szCs w:val="8"/>
                <w:color w:val="auto"/>
              </w:rPr>
            </w:pPr>
          </w:p>
        </w:tc>
        <w:tc>
          <w:tcPr>
            <w:tcW w:w="12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D6F3E8"/>
          </w:tcPr>
          <w:p>
            <w:pPr>
              <w:spacing w:after="0"/>
              <w:rPr>
                <w:sz w:val="18"/>
                <w:szCs w:val="18"/>
                <w:color w:val="auto"/>
              </w:rPr>
            </w:pPr>
          </w:p>
        </w:tc>
        <w:tc>
          <w:tcPr>
            <w:tcW w:w="1270" w:type="dxa"/>
            <w:vAlign w:val="bottom"/>
            <w:shd w:val="clear" w:color="auto" w:fill="D6F3E8"/>
          </w:tcPr>
          <w:p>
            <w:pPr>
              <w:jc w:val="right"/>
              <w:ind w:right="132"/>
              <w:spacing w:after="0"/>
              <w:rPr>
                <w:sz w:val="20"/>
                <w:szCs w:val="20"/>
                <w:color w:val="auto"/>
              </w:rPr>
            </w:pPr>
            <w:r>
              <w:rPr>
                <w:rFonts w:ascii="Arial" w:cs="Arial" w:eastAsia="Arial" w:hAnsi="Arial"/>
                <w:sz w:val="18"/>
                <w:szCs w:val="18"/>
                <w:b w:val="1"/>
                <w:bCs w:val="1"/>
                <w:color w:val="auto"/>
              </w:rPr>
              <w:t>218,322</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235,887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60" w:type="dxa"/>
            <w:vAlign w:val="bottom"/>
            <w:gridSpan w:val="2"/>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27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1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70" w:type="dxa"/>
            <w:vAlign w:val="bottom"/>
          </w:tcPr>
          <w:p>
            <w:pPr>
              <w:jc w:val="right"/>
              <w:ind w:right="132"/>
              <w:spacing w:after="0"/>
              <w:rPr>
                <w:sz w:val="20"/>
                <w:szCs w:val="20"/>
                <w:color w:val="auto"/>
              </w:rPr>
            </w:pPr>
            <w:r>
              <w:rPr>
                <w:rFonts w:ascii="Arial" w:cs="Arial" w:eastAsia="Arial" w:hAnsi="Arial"/>
                <w:sz w:val="18"/>
                <w:szCs w:val="18"/>
                <w:b w:val="1"/>
                <w:bCs w:val="1"/>
                <w:color w:val="auto"/>
              </w:rPr>
              <w:t>384,715</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412,960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27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-3990975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-3990975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-3990975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-3990975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-3990975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-3990975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-3990975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60"/>
          </w:cols>
          <w:pgMar w:left="240" w:top="131" w:right="199" w:bottom="1076"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076"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jc w:val="center"/>
              <w:ind w:left="32"/>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2860" w:type="dxa"/>
            <w:vAlign w:val="bottom"/>
            <w:gridSpan w:val="2"/>
          </w:tcPr>
          <w:p>
            <w:pPr>
              <w:ind w:left="1160"/>
              <w:spacing w:after="0" w:line="149" w:lineRule="exact"/>
              <w:rPr>
                <w:sz w:val="20"/>
                <w:szCs w:val="20"/>
                <w:color w:val="auto"/>
              </w:rPr>
            </w:pPr>
            <w:r>
              <w:rPr>
                <w:rFonts w:ascii="Arial" w:cs="Arial" w:eastAsia="Arial" w:hAnsi="Arial"/>
                <w:sz w:val="14"/>
                <w:szCs w:val="14"/>
                <w:b w:val="1"/>
                <w:bCs w:val="1"/>
                <w:color w:val="auto"/>
              </w:rPr>
              <w:t>Common Shares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126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Retained</w:t>
            </w:r>
          </w:p>
        </w:tc>
        <w:tc>
          <w:tcPr>
            <w:tcW w:w="2520" w:type="dxa"/>
            <w:vAlign w:val="bottom"/>
            <w:gridSpan w:val="2"/>
          </w:tcPr>
          <w:p>
            <w:pPr>
              <w:ind w:left="840"/>
              <w:spacing w:after="0" w:line="149" w:lineRule="exact"/>
              <w:rPr>
                <w:sz w:val="20"/>
                <w:szCs w:val="20"/>
                <w:color w:val="auto"/>
              </w:rPr>
            </w:pPr>
            <w:r>
              <w:rPr>
                <w:rFonts w:ascii="Arial" w:cs="Arial" w:eastAsia="Arial" w:hAnsi="Arial"/>
                <w:sz w:val="14"/>
                <w:szCs w:val="14"/>
                <w:b w:val="1"/>
                <w:bCs w:val="1"/>
                <w:color w:val="auto"/>
              </w:rPr>
              <w:t>Treasury Stock</w:t>
            </w:r>
          </w:p>
        </w:tc>
        <w:tc>
          <w:tcPr>
            <w:tcW w:w="14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Stockholders’</w:t>
            </w:r>
          </w:p>
        </w:tc>
      </w:tr>
      <w:tr>
        <w:trPr>
          <w:trHeight w:val="174"/>
        </w:trPr>
        <w:tc>
          <w:tcPr>
            <w:tcW w:w="2040" w:type="dxa"/>
            <w:vAlign w:val="bottom"/>
          </w:tcPr>
          <w:p>
            <w:pPr>
              <w:spacing w:after="0"/>
              <w:rPr>
                <w:sz w:val="20"/>
                <w:szCs w:val="20"/>
                <w:color w:val="auto"/>
              </w:rPr>
            </w:pPr>
            <w:r>
              <w:rPr>
                <w:rFonts w:ascii="Arial" w:cs="Arial" w:eastAsia="Arial" w:hAnsi="Arial"/>
                <w:sz w:val="14"/>
                <w:szCs w:val="14"/>
                <w:b w:val="1"/>
                <w:bCs w:val="1"/>
                <w:color w:val="auto"/>
              </w:rPr>
              <w:t>except per share data)</w:t>
            </w:r>
          </w:p>
        </w:tc>
        <w:tc>
          <w:tcPr>
            <w:tcW w:w="1620" w:type="dxa"/>
            <w:vAlign w:val="bottom"/>
          </w:tcPr>
          <w:p>
            <w:pPr>
              <w:ind w:left="760"/>
              <w:spacing w:after="0"/>
              <w:rPr>
                <w:sz w:val="20"/>
                <w:szCs w:val="20"/>
                <w:color w:val="auto"/>
              </w:rPr>
            </w:pPr>
            <w:r>
              <w:rPr>
                <w:rFonts w:ascii="Arial" w:cs="Arial" w:eastAsia="Arial" w:hAnsi="Arial"/>
                <w:sz w:val="14"/>
                <w:szCs w:val="14"/>
                <w:b w:val="1"/>
                <w:bCs w:val="1"/>
                <w:color w:val="auto"/>
              </w:rPr>
              <w:t>Number</w:t>
            </w:r>
          </w:p>
        </w:tc>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60" w:type="dxa"/>
            <w:vAlign w:val="bottom"/>
          </w:tcPr>
          <w:p>
            <w:pPr>
              <w:ind w:left="360"/>
              <w:spacing w:after="0"/>
              <w:rPr>
                <w:sz w:val="20"/>
                <w:szCs w:val="20"/>
                <w:color w:val="auto"/>
              </w:rPr>
            </w:pPr>
            <w:r>
              <w:rPr>
                <w:rFonts w:ascii="Arial" w:cs="Arial" w:eastAsia="Arial" w:hAnsi="Arial"/>
                <w:sz w:val="14"/>
                <w:szCs w:val="14"/>
                <w:b w:val="1"/>
                <w:bCs w:val="1"/>
                <w:color w:val="auto"/>
              </w:rPr>
              <w:t>Earnings</w:t>
            </w:r>
          </w:p>
        </w:tc>
        <w:tc>
          <w:tcPr>
            <w:tcW w:w="1280" w:type="dxa"/>
            <w:vAlign w:val="bottom"/>
          </w:tcPr>
          <w:p>
            <w:pPr>
              <w:ind w:left="400"/>
              <w:spacing w:after="0"/>
              <w:rPr>
                <w:sz w:val="20"/>
                <w:szCs w:val="20"/>
                <w:color w:val="auto"/>
              </w:rPr>
            </w:pPr>
            <w:r>
              <w:rPr>
                <w:rFonts w:ascii="Arial" w:cs="Arial" w:eastAsia="Arial" w:hAnsi="Arial"/>
                <w:sz w:val="14"/>
                <w:szCs w:val="14"/>
                <w:b w:val="1"/>
                <w:bCs w:val="1"/>
                <w:color w:val="auto"/>
              </w:rPr>
              <w:t>Number</w:t>
            </w:r>
          </w:p>
        </w:tc>
        <w:tc>
          <w:tcPr>
            <w:tcW w:w="1240" w:type="dxa"/>
            <w:vAlign w:val="bottom"/>
          </w:tcPr>
          <w:p>
            <w:pPr>
              <w:ind w:left="420"/>
              <w:spacing w:after="0"/>
              <w:rPr>
                <w:sz w:val="20"/>
                <w:szCs w:val="20"/>
                <w:color w:val="auto"/>
              </w:rPr>
            </w:pPr>
            <w:r>
              <w:rPr>
                <w:rFonts w:ascii="Arial" w:cs="Arial" w:eastAsia="Arial" w:hAnsi="Arial"/>
                <w:sz w:val="14"/>
                <w:szCs w:val="14"/>
                <w:b w:val="1"/>
                <w:bCs w:val="1"/>
                <w:color w:val="auto"/>
              </w:rPr>
              <w:t>Amount</w:t>
            </w:r>
          </w:p>
        </w:tc>
        <w:tc>
          <w:tcPr>
            <w:tcW w:w="1440" w:type="dxa"/>
            <w:vAlign w:val="bottom"/>
          </w:tcPr>
          <w:p>
            <w:pPr>
              <w:jc w:val="center"/>
              <w:ind w:left="12"/>
              <w:spacing w:after="0"/>
              <w:rPr>
                <w:sz w:val="20"/>
                <w:szCs w:val="20"/>
                <w:color w:val="auto"/>
              </w:rPr>
            </w:pPr>
            <w:r>
              <w:rPr>
                <w:rFonts w:ascii="Arial" w:cs="Arial" w:eastAsia="Arial" w:hAnsi="Arial"/>
                <w:sz w:val="14"/>
                <w:szCs w:val="14"/>
                <w:b w:val="1"/>
                <w:bCs w:val="1"/>
                <w:color w:val="auto"/>
                <w:w w:val="93"/>
              </w:rPr>
              <w:t>Equity</w:t>
            </w:r>
          </w:p>
        </w:tc>
      </w:tr>
      <w:tr>
        <w:trPr>
          <w:trHeight w:val="95"/>
        </w:trPr>
        <w:tc>
          <w:tcPr>
            <w:tcW w:w="20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shd w:val="clear" w:color="auto" w:fill="D6F3E8"/>
          </w:tcPr>
          <w:p>
            <w:pPr>
              <w:spacing w:after="0"/>
              <w:rPr>
                <w:sz w:val="20"/>
                <w:szCs w:val="20"/>
                <w:color w:val="auto"/>
              </w:rPr>
            </w:pPr>
            <w:r>
              <w:rPr>
                <w:rFonts w:ascii="Arial" w:cs="Arial" w:eastAsia="Arial" w:hAnsi="Arial"/>
                <w:sz w:val="18"/>
                <w:szCs w:val="18"/>
                <w:color w:val="auto"/>
              </w:rPr>
              <w:t>Balance, August 30, 2003</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25,888</w:t>
            </w:r>
          </w:p>
        </w:tc>
        <w:tc>
          <w:tcPr>
            <w:tcW w:w="44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12,944</w:t>
            </w:r>
          </w:p>
        </w:tc>
        <w:tc>
          <w:tcPr>
            <w:tcW w:w="4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25,969</w:t>
            </w:r>
          </w:p>
        </w:tc>
        <w:tc>
          <w:tcPr>
            <w:tcW w:w="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color w:val="auto"/>
              </w:rPr>
              <w:t>331,039</w:t>
            </w:r>
          </w:p>
        </w:tc>
        <w:tc>
          <w:tcPr>
            <w:tcW w:w="100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(7,659)</w:t>
            </w:r>
          </w:p>
        </w:tc>
        <w:tc>
          <w:tcPr>
            <w:tcW w:w="3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(159,326)</w:t>
            </w:r>
          </w:p>
        </w:tc>
        <w:tc>
          <w:tcPr>
            <w:tcW w:w="4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210,626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(1,074)</w:t>
            </w:r>
          </w:p>
        </w:tc>
        <w:tc>
          <w:tcPr>
            <w:tcW w:w="380" w:type="dxa"/>
            <w:vAlign w:val="bottom"/>
          </w:tcPr>
          <w:p>
            <w:pPr>
              <w:spacing w:after="0"/>
              <w:rPr>
                <w:sz w:val="24"/>
                <w:szCs w:val="24"/>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5,939</w:t>
            </w:r>
          </w:p>
        </w:tc>
        <w:tc>
          <w:tcPr>
            <w:tcW w:w="44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Issuance of stock to directors</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46</w:t>
            </w: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4</w:t>
            </w: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42</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Tax benefit of stock options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2,573</w:t>
            </w:r>
          </w:p>
        </w:tc>
        <w:tc>
          <w:tcPr>
            <w:tcW w:w="38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Repurchase of common stock</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(3,401)</w:t>
            </w: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(77,668)</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(77,668)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Cash dividends paid and</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8"/>
                <w:szCs w:val="18"/>
                <w:color w:val="auto"/>
              </w:rPr>
              <w:t>accrued on common stock -</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ind w:left="300"/>
              <w:spacing w:after="0"/>
              <w:rPr>
                <w:sz w:val="20"/>
                <w:szCs w:val="20"/>
                <w:color w:val="auto"/>
              </w:rPr>
            </w:pPr>
            <w:r>
              <w:rPr>
                <w:rFonts w:ascii="Arial" w:cs="Arial" w:eastAsia="Arial" w:hAnsi="Arial"/>
                <w:sz w:val="18"/>
                <w:szCs w:val="18"/>
                <w:color w:val="auto"/>
              </w:rPr>
              <w:t>$0.27 per share (1)</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(9,250)</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Stock split - 2-for-1 March 5,</w:t>
            </w:r>
          </w:p>
        </w:tc>
        <w:tc>
          <w:tcPr>
            <w:tcW w:w="108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2004</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25,888</w:t>
            </w:r>
          </w:p>
        </w:tc>
        <w:tc>
          <w:tcPr>
            <w:tcW w:w="440" w:type="dxa"/>
            <w:vAlign w:val="bottom"/>
            <w:shd w:val="clear" w:color="auto" w:fill="D6F3E8"/>
          </w:tcPr>
          <w:p>
            <w:pPr>
              <w:spacing w:after="0"/>
              <w:rPr>
                <w:sz w:val="19"/>
                <w:szCs w:val="19"/>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12,944</w:t>
            </w:r>
          </w:p>
        </w:tc>
        <w:tc>
          <w:tcPr>
            <w:tcW w:w="440" w:type="dxa"/>
            <w:vAlign w:val="bottom"/>
            <w:shd w:val="clear" w:color="auto" w:fill="D6F3E8"/>
          </w:tcPr>
          <w:p>
            <w:pPr>
              <w:spacing w:after="0"/>
              <w:rPr>
                <w:sz w:val="19"/>
                <w:szCs w:val="19"/>
                <w:color w:val="auto"/>
              </w:rPr>
            </w:pPr>
          </w:p>
        </w:tc>
        <w:tc>
          <w:tcPr>
            <w:tcW w:w="100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(12,944)</w:t>
            </w:r>
          </w:p>
        </w:tc>
        <w:tc>
          <w:tcPr>
            <w:tcW w:w="380" w:type="dxa"/>
            <w:vAlign w:val="bottom"/>
            <w:shd w:val="clear" w:color="auto" w:fill="D6F3E8"/>
          </w:tcPr>
          <w:p>
            <w:pPr>
              <w:spacing w:after="0"/>
              <w:rPr>
                <w:sz w:val="19"/>
                <w:szCs w:val="19"/>
                <w:color w:val="auto"/>
              </w:rPr>
            </w:pP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(7,659)</w:t>
            </w:r>
          </w:p>
        </w:tc>
        <w:tc>
          <w:tcPr>
            <w:tcW w:w="360" w:type="dxa"/>
            <w:vAlign w:val="bottom"/>
            <w:shd w:val="clear" w:color="auto" w:fill="D6F3E8"/>
          </w:tcPr>
          <w:p>
            <w:pPr>
              <w:spacing w:after="0"/>
              <w:rPr>
                <w:sz w:val="19"/>
                <w:szCs w:val="19"/>
                <w:color w:val="auto"/>
              </w:rPr>
            </w:pPr>
          </w:p>
        </w:tc>
        <w:tc>
          <w:tcPr>
            <w:tcW w:w="9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9"/>
                <w:szCs w:val="19"/>
                <w:color w:val="auto"/>
              </w:rPr>
            </w:pPr>
          </w:p>
        </w:tc>
        <w:tc>
          <w:tcPr>
            <w:tcW w:w="9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70,641</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70,641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D6F3E8"/>
          </w:tcPr>
          <w:p>
            <w:pPr>
              <w:spacing w:after="0"/>
              <w:rPr>
                <w:sz w:val="20"/>
                <w:szCs w:val="20"/>
                <w:color w:val="auto"/>
              </w:rPr>
            </w:pPr>
            <w:r>
              <w:rPr>
                <w:rFonts w:ascii="Arial" w:cs="Arial" w:eastAsia="Arial" w:hAnsi="Arial"/>
                <w:sz w:val="18"/>
                <w:szCs w:val="18"/>
                <w:color w:val="auto"/>
              </w:rPr>
              <w:t>Balance, August 28, 2004</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51,776</w:t>
            </w:r>
          </w:p>
        </w:tc>
        <w:tc>
          <w:tcPr>
            <w:tcW w:w="44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4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14,570</w:t>
            </w:r>
          </w:p>
        </w:tc>
        <w:tc>
          <w:tcPr>
            <w:tcW w:w="38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color w:val="auto"/>
              </w:rPr>
              <w:t>392,430</w:t>
            </w:r>
          </w:p>
        </w:tc>
        <w:tc>
          <w:tcPr>
            <w:tcW w:w="100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(18,195)</w:t>
            </w:r>
          </w:p>
        </w:tc>
        <w:tc>
          <w:tcPr>
            <w:tcW w:w="3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(231,013)</w:t>
            </w:r>
          </w:p>
        </w:tc>
        <w:tc>
          <w:tcPr>
            <w:tcW w:w="4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201,875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263</w:t>
            </w:r>
          </w:p>
        </w:tc>
        <w:tc>
          <w:tcPr>
            <w:tcW w:w="3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3,408</w:t>
            </w:r>
          </w:p>
        </w:tc>
        <w:tc>
          <w:tcPr>
            <w:tcW w:w="44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Issuance of stock to directors</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72</w:t>
            </w: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5</w:t>
            </w: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71</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Tax benefit of stock options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1,177</w:t>
            </w:r>
          </w:p>
        </w:tc>
        <w:tc>
          <w:tcPr>
            <w:tcW w:w="38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Repurchase of common stock</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(860)</w:t>
            </w: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(26,796)</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(26,796)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Cash dividends paid and</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8"/>
                <w:szCs w:val="18"/>
                <w:color w:val="auto"/>
              </w:rPr>
              <w:t>accrued on common stock -</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ind w:left="300"/>
              <w:spacing w:after="0"/>
              <w:rPr>
                <w:sz w:val="20"/>
                <w:szCs w:val="20"/>
                <w:color w:val="auto"/>
              </w:rPr>
            </w:pPr>
            <w:r>
              <w:rPr>
                <w:rFonts w:ascii="Arial" w:cs="Arial" w:eastAsia="Arial" w:hAnsi="Arial"/>
                <w:sz w:val="18"/>
                <w:szCs w:val="18"/>
                <w:color w:val="auto"/>
              </w:rPr>
              <w:t>$0.30 per share</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(9,985)</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(9,985)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color w:val="auto"/>
              </w:rPr>
              <w:t>65,073</w:t>
            </w:r>
          </w:p>
        </w:tc>
        <w:tc>
          <w:tcPr>
            <w:tcW w:w="10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65,073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80" w:type="dxa"/>
            <w:vAlign w:val="bottom"/>
            <w:gridSpan w:val="2"/>
          </w:tcPr>
          <w:p>
            <w:pPr>
              <w:spacing w:after="0"/>
              <w:rPr>
                <w:sz w:val="20"/>
                <w:szCs w:val="20"/>
                <w:color w:val="auto"/>
              </w:rPr>
            </w:pPr>
            <w:r>
              <w:rPr>
                <w:rFonts w:ascii="Arial" w:cs="Arial" w:eastAsia="Arial" w:hAnsi="Arial"/>
                <w:sz w:val="18"/>
                <w:szCs w:val="18"/>
                <w:color w:val="auto"/>
              </w:rPr>
              <w:t>Balance, August 27, 2005</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51,776</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25,888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16,811</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447,518</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(18,787)</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(254,330)</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235,887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D6F3E8"/>
          </w:tcPr>
          <w:p>
            <w:pPr>
              <w:ind w:left="140"/>
              <w:spacing w:after="0"/>
              <w:rPr>
                <w:sz w:val="20"/>
                <w:szCs w:val="20"/>
                <w:color w:val="auto"/>
              </w:rPr>
            </w:pPr>
            <w:r>
              <w:rPr>
                <w:rFonts w:ascii="Arial" w:cs="Arial" w:eastAsia="Arial" w:hAnsi="Arial"/>
                <w:sz w:val="18"/>
                <w:szCs w:val="18"/>
                <w:b w:val="1"/>
                <w:bCs w:val="1"/>
                <w:color w:val="auto"/>
              </w:rPr>
              <w:t>Exercise of stock options</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143</w:t>
            </w: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123</w:t>
            </w: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1,735</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rPr>
              <w:t>1,878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40"/>
              <w:spacing w:after="0"/>
              <w:rPr>
                <w:sz w:val="20"/>
                <w:szCs w:val="20"/>
                <w:color w:val="auto"/>
              </w:rPr>
            </w:pPr>
            <w:r>
              <w:rPr>
                <w:rFonts w:ascii="Arial" w:cs="Arial" w:eastAsia="Arial" w:hAnsi="Arial"/>
                <w:sz w:val="18"/>
                <w:szCs w:val="18"/>
                <w:b w:val="1"/>
                <w:bCs w:val="1"/>
                <w:color w:val="auto"/>
                <w:w w:val="94"/>
              </w:rPr>
              <w:t>Issuance of stock to directors</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135</w:t>
            </w:r>
          </w:p>
        </w:tc>
        <w:tc>
          <w:tcPr>
            <w:tcW w:w="38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8</w:t>
            </w:r>
          </w:p>
        </w:tc>
        <w:tc>
          <w:tcPr>
            <w:tcW w:w="36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117</w:t>
            </w:r>
          </w:p>
        </w:tc>
        <w:tc>
          <w:tcPr>
            <w:tcW w:w="4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252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D6F3E8"/>
          </w:tcPr>
          <w:p>
            <w:pPr>
              <w:ind w:left="140"/>
              <w:spacing w:after="0"/>
              <w:rPr>
                <w:sz w:val="20"/>
                <w:szCs w:val="20"/>
                <w:color w:val="auto"/>
              </w:rPr>
            </w:pPr>
            <w:r>
              <w:rPr>
                <w:rFonts w:ascii="Arial" w:cs="Arial" w:eastAsia="Arial" w:hAnsi="Arial"/>
                <w:sz w:val="18"/>
                <w:szCs w:val="18"/>
                <w:b w:val="1"/>
                <w:bCs w:val="1"/>
                <w:color w:val="auto"/>
              </w:rPr>
              <w:t>Tax benefit of stock options</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537</w:t>
            </w: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rPr>
              <w:t>537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ind w:left="140"/>
              <w:spacing w:after="0" w:line="201" w:lineRule="exact"/>
              <w:rPr>
                <w:sz w:val="20"/>
                <w:szCs w:val="20"/>
                <w:color w:val="auto"/>
              </w:rPr>
            </w:pPr>
            <w:r>
              <w:rPr>
                <w:rFonts w:ascii="Arial" w:cs="Arial" w:eastAsia="Arial" w:hAnsi="Arial"/>
                <w:sz w:val="18"/>
                <w:szCs w:val="18"/>
                <w:b w:val="1"/>
                <w:bCs w:val="1"/>
                <w:color w:val="auto"/>
              </w:rPr>
              <w:t>Repurchase of common</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60" w:type="dxa"/>
            <w:vAlign w:val="bottom"/>
          </w:tcPr>
          <w:p>
            <w:pPr>
              <w:ind w:left="300"/>
              <w:spacing w:after="0"/>
              <w:rPr>
                <w:sz w:val="20"/>
                <w:szCs w:val="20"/>
                <w:color w:val="auto"/>
              </w:rPr>
            </w:pPr>
            <w:r>
              <w:rPr>
                <w:rFonts w:ascii="Arial" w:cs="Arial" w:eastAsia="Arial" w:hAnsi="Arial"/>
                <w:sz w:val="18"/>
                <w:szCs w:val="18"/>
                <w:b w:val="1"/>
                <w:bCs w:val="1"/>
                <w:color w:val="auto"/>
              </w:rPr>
              <w:t>stock</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(1,977)</w:t>
            </w:r>
          </w:p>
        </w:tc>
        <w:tc>
          <w:tcPr>
            <w:tcW w:w="3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(57,802)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(57,802)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shd w:val="clear" w:color="auto" w:fill="D6F3E8"/>
          </w:tcPr>
          <w:p>
            <w:pPr>
              <w:ind w:left="140"/>
              <w:spacing w:after="0"/>
              <w:rPr>
                <w:sz w:val="20"/>
                <w:szCs w:val="20"/>
                <w:color w:val="auto"/>
              </w:rPr>
            </w:pPr>
            <w:r>
              <w:rPr>
                <w:rFonts w:ascii="Arial" w:cs="Arial" w:eastAsia="Arial" w:hAnsi="Arial"/>
                <w:sz w:val="18"/>
                <w:szCs w:val="18"/>
                <w:b w:val="1"/>
                <w:bCs w:val="1"/>
                <w:color w:val="auto"/>
              </w:rPr>
              <w:t>Stock-based compensation</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4,642</w:t>
            </w: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rPr>
              <w:t>4,642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ind w:left="140"/>
              <w:spacing w:after="0" w:line="201" w:lineRule="exact"/>
              <w:rPr>
                <w:sz w:val="20"/>
                <w:szCs w:val="20"/>
                <w:color w:val="auto"/>
              </w:rPr>
            </w:pPr>
            <w:r>
              <w:rPr>
                <w:rFonts w:ascii="Arial" w:cs="Arial" w:eastAsia="Arial" w:hAnsi="Arial"/>
                <w:sz w:val="18"/>
                <w:szCs w:val="18"/>
                <w:b w:val="1"/>
                <w:bCs w:val="1"/>
                <w:color w:val="auto"/>
              </w:rPr>
              <w:t>Cash dividends paid and</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8"/>
                <w:szCs w:val="18"/>
                <w:b w:val="1"/>
                <w:bCs w:val="1"/>
                <w:color w:val="auto"/>
                <w:w w:val="98"/>
              </w:rPr>
              <w:t>accrued on common stock</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60" w:type="dxa"/>
            <w:vAlign w:val="bottom"/>
          </w:tcPr>
          <w:p>
            <w:pPr>
              <w:ind w:left="300"/>
              <w:spacing w:after="0"/>
              <w:rPr>
                <w:sz w:val="20"/>
                <w:szCs w:val="20"/>
                <w:color w:val="auto"/>
              </w:rPr>
            </w:pPr>
            <w:r>
              <w:rPr>
                <w:rFonts w:ascii="Arial" w:cs="Arial" w:eastAsia="Arial" w:hAnsi="Arial"/>
                <w:sz w:val="18"/>
                <w:szCs w:val="18"/>
                <w:b w:val="1"/>
                <w:bCs w:val="1"/>
                <w:color w:val="auto"/>
              </w:rPr>
              <w:t>- $0.37 per share</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rPr>
              <w:t>(11,816)</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(11,816)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shd w:val="clear" w:color="auto" w:fill="D6F3E8"/>
          </w:tcPr>
          <w:p>
            <w:pPr>
              <w:ind w:left="140"/>
              <w:spacing w:after="0"/>
              <w:rPr>
                <w:sz w:val="20"/>
                <w:szCs w:val="20"/>
                <w:color w:val="auto"/>
              </w:rPr>
            </w:pPr>
            <w:r>
              <w:rPr>
                <w:rFonts w:ascii="Arial" w:cs="Arial" w:eastAsia="Arial" w:hAnsi="Arial"/>
                <w:sz w:val="18"/>
                <w:szCs w:val="18"/>
                <w:b w:val="1"/>
                <w:bCs w:val="1"/>
                <w:color w:val="auto"/>
              </w:rPr>
              <w:t>Net income</w:t>
            </w:r>
          </w:p>
        </w:tc>
        <w:tc>
          <w:tcPr>
            <w:tcW w:w="1080" w:type="dxa"/>
            <w:vAlign w:val="bottom"/>
            <w:shd w:val="clear" w:color="auto" w:fill="D6F3E8"/>
          </w:tcPr>
          <w:p>
            <w:pPr>
              <w:jc w:val="right"/>
              <w:ind w:right="7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92"/>
              <w:spacing w:after="0"/>
              <w:rPr>
                <w:sz w:val="20"/>
                <w:szCs w:val="20"/>
                <w:color w:val="auto"/>
              </w:rPr>
            </w:pPr>
            <w:r>
              <w:rPr>
                <w:rFonts w:ascii="Arial" w:cs="Arial" w:eastAsia="Arial" w:hAnsi="Arial"/>
                <w:sz w:val="18"/>
                <w:szCs w:val="18"/>
                <w:b w:val="1"/>
                <w:bCs w:val="1"/>
                <w:color w:val="auto"/>
              </w:rPr>
              <w:t>44,744</w:t>
            </w:r>
          </w:p>
        </w:tc>
        <w:tc>
          <w:tcPr>
            <w:tcW w:w="1000" w:type="dxa"/>
            <w:vAlign w:val="bottom"/>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rPr>
              <w:t>44,744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Balance, August 26, 2006</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51,776</w:t>
            </w:r>
          </w:p>
        </w:tc>
        <w:tc>
          <w:tcPr>
            <w:tcW w:w="44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25,888</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22,268</w:t>
            </w:r>
          </w:p>
        </w:tc>
        <w:tc>
          <w:tcPr>
            <w:tcW w:w="3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rPr>
              <w:t>480,446</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(20,633)</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(310,280)</w:t>
            </w:r>
          </w:p>
        </w:tc>
        <w:tc>
          <w:tcPr>
            <w:tcW w:w="4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218,322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9"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Adjusted for the 2-for-1 stock split on March 5, 2004.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334"/>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w w:val="86"/>
              </w:rPr>
              <w:t>August 26,</w:t>
            </w:r>
          </w:p>
        </w:tc>
        <w:tc>
          <w:tcPr>
            <w:tcW w:w="240" w:type="dxa"/>
            <w:vAlign w:val="bottom"/>
          </w:tcPr>
          <w:p>
            <w:pPr>
              <w:spacing w:after="0"/>
              <w:rPr>
                <w:sz w:val="20"/>
                <w:szCs w:val="20"/>
                <w:color w:val="auto"/>
              </w:rPr>
            </w:pPr>
          </w:p>
        </w:tc>
        <w:tc>
          <w:tcPr>
            <w:tcW w:w="1140" w:type="dxa"/>
            <w:vAlign w:val="bottom"/>
          </w:tcPr>
          <w:p>
            <w:pPr>
              <w:jc w:val="center"/>
              <w:ind w:right="354"/>
              <w:spacing w:after="0"/>
              <w:rPr>
                <w:sz w:val="20"/>
                <w:szCs w:val="20"/>
                <w:color w:val="auto"/>
              </w:rPr>
            </w:pPr>
            <w:r>
              <w:rPr>
                <w:rFonts w:ascii="Arial" w:cs="Arial" w:eastAsia="Arial" w:hAnsi="Arial"/>
                <w:sz w:val="14"/>
                <w:szCs w:val="14"/>
                <w:b w:val="1"/>
                <w:bCs w:val="1"/>
                <w:color w:val="auto"/>
                <w:w w:val="86"/>
              </w:rPr>
              <w:t>August 27,</w:t>
            </w:r>
          </w:p>
        </w:tc>
        <w:tc>
          <w:tcPr>
            <w:tcW w:w="12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8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000" w:type="dxa"/>
            <w:vAlign w:val="bottom"/>
          </w:tcPr>
          <w:p>
            <w:pPr>
              <w:jc w:val="right"/>
              <w:ind w:right="453"/>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1140" w:type="dxa"/>
            <w:vAlign w:val="bottom"/>
          </w:tcPr>
          <w:p>
            <w:pPr>
              <w:jc w:val="center"/>
              <w:ind w:right="354"/>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7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44,744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65,073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70,641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10,635</w:t>
            </w:r>
          </w:p>
        </w:tc>
        <w:tc>
          <w:tcPr>
            <w:tcW w:w="2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9,628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3"/>
              <w:spacing w:after="0"/>
              <w:rPr>
                <w:sz w:val="20"/>
                <w:szCs w:val="20"/>
                <w:color w:val="auto"/>
              </w:rPr>
            </w:pPr>
            <w:r>
              <w:rPr>
                <w:rFonts w:ascii="Arial" w:cs="Arial" w:eastAsia="Arial" w:hAnsi="Arial"/>
                <w:sz w:val="18"/>
                <w:szCs w:val="18"/>
                <w:b w:val="1"/>
                <w:bCs w:val="1"/>
                <w:color w:val="auto"/>
              </w:rPr>
              <w:t>4,894</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254"/>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Postretirement benefit income and deferred compensation expense</w:t>
            </w:r>
          </w:p>
        </w:tc>
        <w:tc>
          <w:tcPr>
            <w:tcW w:w="10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1,319</w:t>
            </w:r>
          </w:p>
        </w:tc>
        <w:tc>
          <w:tcPr>
            <w:tcW w:w="2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14,063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3"/>
              <w:spacing w:after="0"/>
              <w:rPr>
                <w:sz w:val="20"/>
                <w:szCs w:val="20"/>
                <w:color w:val="auto"/>
              </w:rPr>
            </w:pPr>
            <w:r>
              <w:rPr>
                <w:rFonts w:ascii="Arial" w:cs="Arial" w:eastAsia="Arial" w:hAnsi="Arial"/>
                <w:sz w:val="18"/>
                <w:szCs w:val="18"/>
                <w:b w:val="1"/>
                <w:bCs w:val="1"/>
                <w:color w:val="auto"/>
              </w:rPr>
              <w:t>538</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254"/>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161</w:t>
            </w:r>
          </w:p>
        </w:tc>
        <w:tc>
          <w:tcPr>
            <w:tcW w:w="2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Loss on disposal of property</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3"/>
              <w:spacing w:after="0"/>
              <w:rPr>
                <w:sz w:val="20"/>
                <w:szCs w:val="20"/>
                <w:color w:val="auto"/>
              </w:rPr>
            </w:pPr>
            <w:r>
              <w:rPr>
                <w:rFonts w:ascii="Arial" w:cs="Arial" w:eastAsia="Arial" w:hAnsi="Arial"/>
                <w:sz w:val="18"/>
                <w:szCs w:val="18"/>
                <w:b w:val="1"/>
                <w:bCs w:val="1"/>
                <w:color w:val="auto"/>
              </w:rPr>
              <w:t>156</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254"/>
              <w:spacing w:after="0"/>
              <w:rPr>
                <w:sz w:val="20"/>
                <w:szCs w:val="20"/>
                <w:color w:val="auto"/>
              </w:rPr>
            </w:pPr>
            <w:r>
              <w:rPr>
                <w:rFonts w:ascii="Arial" w:cs="Arial" w:eastAsia="Arial" w:hAnsi="Arial"/>
                <w:sz w:val="18"/>
                <w:szCs w:val="18"/>
                <w:color w:val="auto"/>
              </w:rPr>
              <w:t>80</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73</w:t>
            </w:r>
          </w:p>
        </w:tc>
        <w:tc>
          <w:tcPr>
            <w:tcW w:w="2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Increase in cash surrender value of life insurance policies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53"/>
              <w:spacing w:after="0"/>
              <w:rPr>
                <w:sz w:val="20"/>
                <w:szCs w:val="20"/>
                <w:color w:val="auto"/>
              </w:rPr>
            </w:pPr>
            <w:r>
              <w:rPr>
                <w:rFonts w:ascii="Arial" w:cs="Arial" w:eastAsia="Arial" w:hAnsi="Arial"/>
                <w:sz w:val="18"/>
                <w:szCs w:val="18"/>
                <w:b w:val="1"/>
                <w:bCs w:val="1"/>
                <w:color w:val="auto"/>
              </w:rPr>
              <w:t>(976)</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94"/>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Excess tax benefit of stock options</w:t>
            </w:r>
          </w:p>
        </w:tc>
        <w:tc>
          <w:tcPr>
            <w:tcW w:w="1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(501)</w:t>
            </w:r>
          </w:p>
        </w:tc>
        <w:tc>
          <w:tcPr>
            <w:tcW w:w="2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Change in assets and liabilities: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43,574</w:t>
            </w:r>
          </w:p>
        </w:tc>
        <w:tc>
          <w:tcPr>
            <w:tcW w:w="2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10,078</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Receivables and prepaid assets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3"/>
              <w:spacing w:after="0"/>
              <w:rPr>
                <w:sz w:val="20"/>
                <w:szCs w:val="20"/>
                <w:color w:val="auto"/>
              </w:rPr>
            </w:pPr>
            <w:r>
              <w:rPr>
                <w:rFonts w:ascii="Arial" w:cs="Arial" w:eastAsia="Arial" w:hAnsi="Arial"/>
                <w:sz w:val="18"/>
                <w:szCs w:val="18"/>
                <w:b w:val="1"/>
                <w:bCs w:val="1"/>
                <w:color w:val="auto"/>
              </w:rPr>
              <w:t>18,954</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254"/>
              <w:spacing w:after="0"/>
              <w:rPr>
                <w:sz w:val="20"/>
                <w:szCs w:val="20"/>
                <w:color w:val="auto"/>
              </w:rPr>
            </w:pPr>
            <w:r>
              <w:rPr>
                <w:rFonts w:ascii="Arial" w:cs="Arial" w:eastAsia="Arial" w:hAnsi="Arial"/>
                <w:sz w:val="18"/>
                <w:szCs w:val="18"/>
                <w:color w:val="auto"/>
              </w:rPr>
              <w:t>5,576</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(16,764)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3,955</w:t>
            </w:r>
          </w:p>
        </w:tc>
        <w:tc>
          <w:tcPr>
            <w:tcW w:w="2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8,332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53"/>
              <w:spacing w:after="0"/>
              <w:rPr>
                <w:sz w:val="20"/>
                <w:szCs w:val="20"/>
                <w:color w:val="auto"/>
              </w:rPr>
            </w:pPr>
            <w:r>
              <w:rPr>
                <w:rFonts w:ascii="Arial" w:cs="Arial" w:eastAsia="Arial" w:hAnsi="Arial"/>
                <w:sz w:val="18"/>
                <w:szCs w:val="18"/>
                <w:b w:val="1"/>
                <w:bCs w:val="1"/>
                <w:color w:val="auto"/>
              </w:rPr>
              <w:t>(13,300)</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94"/>
              <w:spacing w:after="0"/>
              <w:rPr>
                <w:sz w:val="20"/>
                <w:szCs w:val="20"/>
                <w:color w:val="auto"/>
              </w:rPr>
            </w:pPr>
            <w:r>
              <w:rPr>
                <w:rFonts w:ascii="Arial" w:cs="Arial" w:eastAsia="Arial" w:hAnsi="Arial"/>
                <w:sz w:val="18"/>
                <w:szCs w:val="18"/>
                <w:color w:val="auto"/>
              </w:rPr>
              <w:t>(16,776)</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6,195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Postretirement and deferred compensation benefits</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(971)</w:t>
            </w:r>
          </w:p>
        </w:tc>
        <w:tc>
          <w:tcPr>
            <w:tcW w:w="240" w:type="dxa"/>
            <w:vAlign w:val="bottom"/>
          </w:tcPr>
          <w:p>
            <w:pPr>
              <w:spacing w:after="0"/>
              <w:rPr>
                <w:sz w:val="19"/>
                <w:szCs w:val="19"/>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8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3"/>
              <w:spacing w:after="0"/>
              <w:rPr>
                <w:sz w:val="20"/>
                <w:szCs w:val="20"/>
                <w:color w:val="auto"/>
              </w:rPr>
            </w:pPr>
            <w:r>
              <w:rPr>
                <w:rFonts w:ascii="Arial" w:cs="Arial" w:eastAsia="Arial" w:hAnsi="Arial"/>
                <w:sz w:val="18"/>
                <w:szCs w:val="18"/>
                <w:b w:val="1"/>
                <w:bCs w:val="1"/>
                <w:color w:val="auto"/>
              </w:rPr>
              <w:t>113,255</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254"/>
              <w:spacing w:after="0"/>
              <w:rPr>
                <w:sz w:val="20"/>
                <w:szCs w:val="20"/>
                <w:color w:val="auto"/>
              </w:rPr>
            </w:pPr>
            <w:r>
              <w:rPr>
                <w:rFonts w:ascii="Arial" w:cs="Arial" w:eastAsia="Arial" w:hAnsi="Arial"/>
                <w:sz w:val="18"/>
                <w:szCs w:val="18"/>
                <w:color w:val="auto"/>
              </w:rPr>
              <w:t>78,764</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66,772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80" w:type="dxa"/>
            <w:vAlign w:val="bottom"/>
            <w:gridSpan w:val="3"/>
            <w:vMerge w:val="restart"/>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78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53"/>
              <w:spacing w:after="0"/>
              <w:rPr>
                <w:sz w:val="20"/>
                <w:szCs w:val="20"/>
                <w:color w:val="auto"/>
              </w:rPr>
            </w:pPr>
            <w:r>
              <w:rPr>
                <w:rFonts w:ascii="Arial" w:cs="Arial" w:eastAsia="Arial" w:hAnsi="Arial"/>
                <w:sz w:val="18"/>
                <w:szCs w:val="18"/>
                <w:b w:val="1"/>
                <w:bCs w:val="1"/>
                <w:color w:val="auto"/>
              </w:rPr>
              <w:t>(214,825)</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94"/>
              <w:spacing w:after="0"/>
              <w:rPr>
                <w:sz w:val="20"/>
                <w:szCs w:val="20"/>
                <w:color w:val="auto"/>
              </w:rPr>
            </w:pPr>
            <w:r>
              <w:rPr>
                <w:rFonts w:ascii="Arial" w:cs="Arial" w:eastAsia="Arial" w:hAnsi="Arial"/>
                <w:sz w:val="18"/>
                <w:szCs w:val="18"/>
                <w:color w:val="auto"/>
              </w:rPr>
              <w:t>(255,023)</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(145,382)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Proceeds from the sale or maturity of short-term investments</w:t>
            </w:r>
          </w:p>
        </w:tc>
        <w:tc>
          <w:tcPr>
            <w:tcW w:w="10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177,975</w:t>
            </w:r>
          </w:p>
        </w:tc>
        <w:tc>
          <w:tcPr>
            <w:tcW w:w="2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213,023</w:t>
            </w: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184,391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53"/>
              <w:spacing w:after="0"/>
              <w:rPr>
                <w:sz w:val="20"/>
                <w:szCs w:val="20"/>
                <w:color w:val="auto"/>
              </w:rPr>
            </w:pPr>
            <w:r>
              <w:rPr>
                <w:rFonts w:ascii="Arial" w:cs="Arial" w:eastAsia="Arial" w:hAnsi="Arial"/>
                <w:sz w:val="18"/>
                <w:szCs w:val="18"/>
                <w:b w:val="1"/>
                <w:bCs w:val="1"/>
                <w:color w:val="auto"/>
              </w:rPr>
              <w:t>(4,830)</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94"/>
              <w:spacing w:after="0"/>
              <w:rPr>
                <w:sz w:val="20"/>
                <w:szCs w:val="20"/>
                <w:color w:val="auto"/>
              </w:rPr>
            </w:pPr>
            <w:r>
              <w:rPr>
                <w:rFonts w:ascii="Arial" w:cs="Arial" w:eastAsia="Arial" w:hAnsi="Arial"/>
                <w:sz w:val="18"/>
                <w:szCs w:val="18"/>
                <w:color w:val="auto"/>
              </w:rPr>
              <w:t>(9,653)</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Proceeds from the sale of property</w:t>
            </w:r>
          </w:p>
        </w:tc>
        <w:tc>
          <w:tcPr>
            <w:tcW w:w="10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594</w:t>
            </w:r>
          </w:p>
        </w:tc>
        <w:tc>
          <w:tcPr>
            <w:tcW w:w="2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3"/>
              <w:spacing w:after="0"/>
              <w:rPr>
                <w:sz w:val="20"/>
                <w:szCs w:val="20"/>
                <w:color w:val="auto"/>
              </w:rPr>
            </w:pPr>
            <w:r>
              <w:rPr>
                <w:rFonts w:ascii="Arial" w:cs="Arial" w:eastAsia="Arial" w:hAnsi="Arial"/>
                <w:sz w:val="18"/>
                <w:szCs w:val="18"/>
                <w:b w:val="1"/>
                <w:bCs w:val="1"/>
                <w:color w:val="auto"/>
              </w:rPr>
              <w:t>374</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94"/>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80" w:type="dxa"/>
            <w:vAlign w:val="bottom"/>
            <w:gridSpan w:val="3"/>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Pr>
          <w:p>
            <w:pPr>
              <w:spacing w:after="0"/>
              <w:rPr>
                <w:sz w:val="24"/>
                <w:szCs w:val="24"/>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(40,712)</w:t>
            </w:r>
          </w:p>
        </w:tc>
        <w:tc>
          <w:tcPr>
            <w:tcW w:w="240" w:type="dxa"/>
            <w:vAlign w:val="bottom"/>
          </w:tcPr>
          <w:p>
            <w:pPr>
              <w:spacing w:after="0"/>
              <w:rPr>
                <w:sz w:val="24"/>
                <w:szCs w:val="24"/>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(51,929)</w:t>
            </w:r>
          </w:p>
        </w:tc>
        <w:tc>
          <w:tcPr>
            <w:tcW w:w="120" w:type="dxa"/>
            <w:vAlign w:val="bottom"/>
          </w:tcPr>
          <w:p>
            <w:pPr>
              <w:spacing w:after="0"/>
              <w:rPr>
                <w:sz w:val="24"/>
                <w:szCs w:val="24"/>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28,103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8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Payments for purchase of common stock</w:t>
            </w:r>
          </w:p>
        </w:tc>
        <w:tc>
          <w:tcPr>
            <w:tcW w:w="1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(57,802)</w:t>
            </w:r>
          </w:p>
        </w:tc>
        <w:tc>
          <w:tcPr>
            <w:tcW w:w="240" w:type="dxa"/>
            <w:vAlign w:val="bottom"/>
          </w:tcPr>
          <w:p>
            <w:pPr>
              <w:spacing w:after="0"/>
              <w:rPr>
                <w:sz w:val="18"/>
                <w:szCs w:val="18"/>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(26,796)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(77,668)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Payments of cash dividends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53"/>
              <w:spacing w:after="0"/>
              <w:rPr>
                <w:sz w:val="20"/>
                <w:szCs w:val="20"/>
                <w:color w:val="auto"/>
              </w:rPr>
            </w:pPr>
            <w:r>
              <w:rPr>
                <w:rFonts w:ascii="Arial" w:cs="Arial" w:eastAsia="Arial" w:hAnsi="Arial"/>
                <w:sz w:val="18"/>
                <w:szCs w:val="18"/>
                <w:b w:val="1"/>
                <w:bCs w:val="1"/>
                <w:color w:val="auto"/>
              </w:rPr>
              <w:t>(11,670)</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94"/>
              <w:spacing w:after="0"/>
              <w:rPr>
                <w:sz w:val="20"/>
                <w:szCs w:val="20"/>
                <w:color w:val="auto"/>
              </w:rPr>
            </w:pPr>
            <w:r>
              <w:rPr>
                <w:rFonts w:ascii="Arial" w:cs="Arial" w:eastAsia="Arial" w:hAnsi="Arial"/>
                <w:sz w:val="18"/>
                <w:szCs w:val="18"/>
                <w:color w:val="auto"/>
              </w:rPr>
              <w:t>(9,400)</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(6,899)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1,878</w:t>
            </w:r>
          </w:p>
        </w:tc>
        <w:tc>
          <w:tcPr>
            <w:tcW w:w="2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4,865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Excess tax benefit of stock options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3"/>
              <w:spacing w:after="0"/>
              <w:rPr>
                <w:sz w:val="20"/>
                <w:szCs w:val="20"/>
                <w:color w:val="auto"/>
              </w:rPr>
            </w:pPr>
            <w:r>
              <w:rPr>
                <w:rFonts w:ascii="Arial" w:cs="Arial" w:eastAsia="Arial" w:hAnsi="Arial"/>
                <w:sz w:val="18"/>
                <w:szCs w:val="18"/>
                <w:b w:val="1"/>
                <w:bCs w:val="1"/>
                <w:color w:val="auto"/>
              </w:rPr>
              <w:t>501</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254"/>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80" w:type="dxa"/>
            <w:vAlign w:val="bottom"/>
            <w:gridSpan w:val="3"/>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24"/>
                <w:szCs w:val="24"/>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(67,093)</w:t>
            </w:r>
          </w:p>
        </w:tc>
        <w:tc>
          <w:tcPr>
            <w:tcW w:w="240" w:type="dxa"/>
            <w:vAlign w:val="bottom"/>
          </w:tcPr>
          <w:p>
            <w:pPr>
              <w:spacing w:after="0"/>
              <w:rPr>
                <w:sz w:val="24"/>
                <w:szCs w:val="24"/>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(31,796)</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(79,702)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8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3"/>
              <w:spacing w:after="0"/>
              <w:rPr>
                <w:sz w:val="20"/>
                <w:szCs w:val="20"/>
                <w:color w:val="auto"/>
              </w:rPr>
            </w:pPr>
            <w:r>
              <w:rPr>
                <w:rFonts w:ascii="Arial" w:cs="Arial" w:eastAsia="Arial" w:hAnsi="Arial"/>
                <w:sz w:val="18"/>
                <w:szCs w:val="18"/>
                <w:b w:val="1"/>
                <w:bCs w:val="1"/>
                <w:color w:val="auto"/>
              </w:rPr>
              <w:t>5,450</w:t>
            </w:r>
          </w:p>
        </w:tc>
        <w:tc>
          <w:tcPr>
            <w:tcW w:w="2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94"/>
              <w:spacing w:after="0"/>
              <w:rPr>
                <w:sz w:val="20"/>
                <w:szCs w:val="20"/>
                <w:color w:val="auto"/>
              </w:rPr>
            </w:pPr>
            <w:r>
              <w:rPr>
                <w:rFonts w:ascii="Arial" w:cs="Arial" w:eastAsia="Arial" w:hAnsi="Arial"/>
                <w:sz w:val="18"/>
                <w:szCs w:val="18"/>
                <w:color w:val="auto"/>
              </w:rPr>
              <w:t>(4,961)</w:t>
            </w:r>
          </w:p>
        </w:tc>
        <w:tc>
          <w:tcPr>
            <w:tcW w:w="12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15,173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19,484</w:t>
            </w:r>
          </w:p>
        </w:tc>
        <w:tc>
          <w:tcPr>
            <w:tcW w:w="240" w:type="dxa"/>
            <w:vAlign w:val="bottom"/>
          </w:tcPr>
          <w:p>
            <w:pPr>
              <w:spacing w:after="0"/>
              <w:rPr>
                <w:sz w:val="19"/>
                <w:szCs w:val="19"/>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24,445</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9,272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8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D6F3E8"/>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D6F3E8"/>
          </w:tcPr>
          <w:p>
            <w:pPr>
              <w:jc w:val="right"/>
              <w:ind w:right="113"/>
              <w:spacing w:after="0"/>
              <w:rPr>
                <w:sz w:val="20"/>
                <w:szCs w:val="20"/>
                <w:color w:val="auto"/>
              </w:rPr>
            </w:pPr>
            <w:r>
              <w:rPr>
                <w:rFonts w:ascii="Arial" w:cs="Arial" w:eastAsia="Arial" w:hAnsi="Arial"/>
                <w:sz w:val="18"/>
                <w:szCs w:val="18"/>
                <w:b w:val="1"/>
                <w:bCs w:val="1"/>
                <w:color w:val="auto"/>
              </w:rPr>
              <w:t>24,934</w:t>
            </w:r>
          </w:p>
        </w:tc>
        <w:tc>
          <w:tcPr>
            <w:tcW w:w="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254"/>
              <w:spacing w:after="0"/>
              <w:rPr>
                <w:sz w:val="20"/>
                <w:szCs w:val="20"/>
                <w:color w:val="auto"/>
              </w:rPr>
            </w:pPr>
            <w:r>
              <w:rPr>
                <w:rFonts w:ascii="Arial" w:cs="Arial" w:eastAsia="Arial" w:hAnsi="Arial"/>
                <w:sz w:val="18"/>
                <w:szCs w:val="18"/>
                <w:color w:val="auto"/>
              </w:rPr>
              <w:t>19,484</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24,445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7880" w:type="dxa"/>
            <w:vAlign w:val="bottom"/>
            <w:gridSpan w:val="3"/>
          </w:tcPr>
          <w:p>
            <w:pPr>
              <w:spacing w:after="0"/>
              <w:rPr>
                <w:sz w:val="20"/>
                <w:szCs w:val="20"/>
                <w:color w:val="auto"/>
              </w:rPr>
            </w:pPr>
            <w:r>
              <w:rPr>
                <w:rFonts w:ascii="Arial" w:cs="Arial" w:eastAsia="Arial" w:hAnsi="Arial"/>
                <w:sz w:val="18"/>
                <w:szCs w:val="18"/>
                <w:color w:val="auto"/>
              </w:rPr>
              <w:t>Supplemental cash flow disclosure: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D6F3E8"/>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D6F3E8"/>
          </w:tcPr>
          <w:p>
            <w:pPr>
              <w:jc w:val="right"/>
              <w:ind w:right="113"/>
              <w:spacing w:after="0"/>
              <w:rPr>
                <w:sz w:val="20"/>
                <w:szCs w:val="20"/>
                <w:color w:val="auto"/>
              </w:rPr>
            </w:pPr>
            <w:r>
              <w:rPr>
                <w:rFonts w:ascii="Arial" w:cs="Arial" w:eastAsia="Arial" w:hAnsi="Arial"/>
                <w:sz w:val="18"/>
                <w:szCs w:val="18"/>
                <w:b w:val="1"/>
                <w:bCs w:val="1"/>
                <w:color w:val="auto"/>
              </w:rPr>
              <w:t>18,958</w:t>
            </w:r>
          </w:p>
        </w:tc>
        <w:tc>
          <w:tcPr>
            <w:tcW w:w="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254"/>
              <w:spacing w:after="0"/>
              <w:rPr>
                <w:sz w:val="20"/>
                <w:szCs w:val="20"/>
                <w:color w:val="auto"/>
              </w:rPr>
            </w:pPr>
            <w:r>
              <w:rPr>
                <w:rFonts w:ascii="Arial" w:cs="Arial" w:eastAsia="Arial" w:hAnsi="Arial"/>
                <w:sz w:val="18"/>
                <w:szCs w:val="18"/>
                <w:color w:val="auto"/>
              </w:rPr>
              <w:t>31,452</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40,863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Interest paid</w:t>
            </w:r>
          </w:p>
        </w:tc>
        <w:tc>
          <w:tcPr>
            <w:tcW w:w="10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-697865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-697865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-697865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-697865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-697865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-697865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-697865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-697865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-697865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-697865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60"/>
          </w:cols>
          <w:pgMar w:left="240" w:top="131" w:right="19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a leading U.S. manufacturer of motor homes, self-contained RVs used primarily in leisure travel and outdoor recreation activities. The RV market is highly competitive, both as to price and quality of the product. We believe our principal competitive advantages are our brand name recognition, the quality of our products and our warranty and service capability. We also believe that our prices are competitive with the competitions’ units of comparable size and quality.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consolidated financial statements include the parent company and subsidiary companies. All material intercompany balances and transactions with subsidiaries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follow a 52/53-week fiscal year period. The financial statements presented are all 52-week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Cash and cash equivalents consist primarily of highly liquid investments with an original maturity of three months or less. The carrying amount approximates fair value due to the short maturity of the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All financial instruments are carried at amounts believed to approximate fair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All contracts that contain provisions meeting the definition of a derivative also meet the requirements of, and have been designated as, normal purchases or sales.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policy is to not enter into contracts with terms that cannot be designated as normal purchases or sales.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by using the last-in, first-out (LIFO) method and market defined as net realizable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Depreciation of property and equipment is computed using the straight-line method on the cost of the assets, less allowance for salvage value where appropriate, at rates based upon their estimated service lives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0" w:type="dxa"/>
            <w:vAlign w:val="bottom"/>
          </w:tcPr>
          <w:p>
            <w:pPr>
              <w:ind w:left="1080"/>
              <w:spacing w:after="0"/>
              <w:rPr>
                <w:sz w:val="20"/>
                <w:szCs w:val="20"/>
                <w:color w:val="auto"/>
              </w:rPr>
            </w:pPr>
            <w:r>
              <w:rPr>
                <w:rFonts w:ascii="Arial" w:cs="Arial" w:eastAsia="Arial" w:hAnsi="Arial"/>
                <w:sz w:val="14"/>
                <w:szCs w:val="14"/>
                <w:b w:val="1"/>
                <w:bCs w:val="1"/>
                <w:color w:val="auto"/>
              </w:rPr>
              <w:t>Asset Class</w:t>
            </w:r>
          </w:p>
        </w:tc>
        <w:tc>
          <w:tcPr>
            <w:tcW w:w="3340" w:type="dxa"/>
            <w:vAlign w:val="bottom"/>
            <w:gridSpan w:val="2"/>
          </w:tcPr>
          <w:p>
            <w:pPr>
              <w:ind w:left="2380"/>
              <w:spacing w:after="0"/>
              <w:rPr>
                <w:sz w:val="20"/>
                <w:szCs w:val="20"/>
                <w:color w:val="auto"/>
              </w:rPr>
            </w:pPr>
            <w:r>
              <w:rPr>
                <w:rFonts w:ascii="Arial" w:cs="Arial" w:eastAsia="Arial" w:hAnsi="Arial"/>
                <w:sz w:val="14"/>
                <w:szCs w:val="14"/>
                <w:b w:val="1"/>
                <w:bCs w:val="1"/>
                <w:color w:val="auto"/>
              </w:rPr>
              <w:t>Asset Life</w:t>
            </w:r>
          </w:p>
        </w:tc>
        <w:tc>
          <w:tcPr>
            <w:tcW w:w="0" w:type="dxa"/>
            <w:vAlign w:val="bottom"/>
          </w:tcPr>
          <w:p>
            <w:pPr>
              <w:spacing w:after="0"/>
              <w:rPr>
                <w:sz w:val="1"/>
                <w:szCs w:val="1"/>
                <w:color w:val="auto"/>
              </w:rPr>
            </w:pPr>
          </w:p>
        </w:tc>
      </w:tr>
      <w:tr>
        <w:trPr>
          <w:trHeight w:val="95"/>
        </w:trPr>
        <w:tc>
          <w:tcPr>
            <w:tcW w:w="4220" w:type="dxa"/>
            <w:vAlign w:val="bottom"/>
            <w:gridSpan w:val="2"/>
          </w:tcPr>
          <w:p>
            <w:pPr>
              <w:spacing w:after="0"/>
              <w:rPr>
                <w:sz w:val="8"/>
                <w:szCs w:val="8"/>
                <w:color w:val="auto"/>
              </w:rPr>
            </w:pPr>
          </w:p>
        </w:tc>
        <w:tc>
          <w:tcPr>
            <w:tcW w:w="3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Borders>
              <w:top w:val="single" w:sz="8" w:color="auto"/>
            </w:tcBorders>
          </w:tcPr>
          <w:p>
            <w:pPr>
              <w:spacing w:after="0"/>
              <w:rPr>
                <w:sz w:val="8"/>
                <w:szCs w:val="8"/>
                <w:color w:val="auto"/>
              </w:rPr>
            </w:pPr>
          </w:p>
        </w:tc>
        <w:tc>
          <w:tcPr>
            <w:tcW w:w="3320" w:type="dxa"/>
            <w:vAlign w:val="bottom"/>
            <w:tcBorders>
              <w:top w:val="single" w:sz="8" w:color="auto"/>
            </w:tcBorders>
          </w:tcPr>
          <w:p>
            <w:pPr>
              <w:spacing w:after="0"/>
              <w:rPr>
                <w:sz w:val="8"/>
                <w:szCs w:val="8"/>
                <w:color w:val="auto"/>
              </w:rPr>
            </w:pPr>
          </w:p>
        </w:tc>
        <w:tc>
          <w:tcPr>
            <w:tcW w:w="20" w:type="dxa"/>
            <w:vAlign w:val="bottom"/>
            <w:tcBorders>
              <w:top w:val="single" w:sz="8" w:color="auto"/>
            </w:tcBorders>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D6F3E8"/>
          </w:tcPr>
          <w:p>
            <w:pPr>
              <w:spacing w:after="0"/>
              <w:rPr>
                <w:sz w:val="20"/>
                <w:szCs w:val="20"/>
                <w:color w:val="auto"/>
              </w:rPr>
            </w:pPr>
            <w:r>
              <w:rPr>
                <w:rFonts w:ascii="Arial" w:cs="Arial" w:eastAsia="Arial" w:hAnsi="Arial"/>
                <w:sz w:val="18"/>
                <w:szCs w:val="18"/>
                <w:color w:val="auto"/>
              </w:rPr>
              <w:t>Buildings</w:t>
            </w:r>
          </w:p>
        </w:tc>
        <w:tc>
          <w:tcPr>
            <w:tcW w:w="3320" w:type="dxa"/>
            <w:vAlign w:val="bottom"/>
            <w:shd w:val="clear" w:color="auto" w:fill="D6F3E8"/>
          </w:tcPr>
          <w:p>
            <w:pPr>
              <w:jc w:val="right"/>
              <w:ind w:right="17"/>
              <w:spacing w:after="0"/>
              <w:rPr>
                <w:sz w:val="20"/>
                <w:szCs w:val="20"/>
                <w:color w:val="auto"/>
              </w:rPr>
            </w:pPr>
            <w:r>
              <w:rPr>
                <w:rFonts w:ascii="Arial" w:cs="Arial" w:eastAsia="Arial" w:hAnsi="Arial"/>
                <w:sz w:val="18"/>
                <w:szCs w:val="18"/>
                <w:color w:val="auto"/>
              </w:rPr>
              <w:t>10-30 yrs.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320" w:type="dxa"/>
            <w:vAlign w:val="bottom"/>
          </w:tcPr>
          <w:p>
            <w:pPr>
              <w:jc w:val="right"/>
              <w:ind w:right="17"/>
              <w:spacing w:after="0"/>
              <w:rPr>
                <w:sz w:val="20"/>
                <w:szCs w:val="20"/>
                <w:color w:val="auto"/>
              </w:rPr>
            </w:pPr>
            <w:r>
              <w:rPr>
                <w:rFonts w:ascii="Arial" w:cs="Arial" w:eastAsia="Arial" w:hAnsi="Arial"/>
                <w:sz w:val="18"/>
                <w:szCs w:val="18"/>
                <w:color w:val="auto"/>
              </w:rPr>
              <w:t>3-10 yrs.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D6F3E8"/>
          </w:tcPr>
          <w:p>
            <w:pPr>
              <w:spacing w:after="0"/>
              <w:rPr>
                <w:sz w:val="20"/>
                <w:szCs w:val="20"/>
                <w:color w:val="auto"/>
              </w:rPr>
            </w:pPr>
            <w:r>
              <w:rPr>
                <w:rFonts w:ascii="Arial" w:cs="Arial" w:eastAsia="Arial" w:hAnsi="Arial"/>
                <w:sz w:val="18"/>
                <w:szCs w:val="18"/>
                <w:color w:val="auto"/>
              </w:rPr>
              <w:t>Transportation equipment</w:t>
            </w:r>
          </w:p>
        </w:tc>
        <w:tc>
          <w:tcPr>
            <w:tcW w:w="3320" w:type="dxa"/>
            <w:vAlign w:val="bottom"/>
            <w:shd w:val="clear" w:color="auto" w:fill="D6F3E8"/>
          </w:tcPr>
          <w:p>
            <w:pPr>
              <w:jc w:val="right"/>
              <w:ind w:right="17"/>
              <w:spacing w:after="0"/>
              <w:rPr>
                <w:sz w:val="20"/>
                <w:szCs w:val="20"/>
                <w:color w:val="auto"/>
              </w:rPr>
            </w:pPr>
            <w:r>
              <w:rPr>
                <w:rFonts w:ascii="Arial" w:cs="Arial" w:eastAsia="Arial" w:hAnsi="Arial"/>
                <w:sz w:val="18"/>
                <w:szCs w:val="18"/>
                <w:color w:val="auto"/>
              </w:rPr>
              <w:t>3-6 yrs.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review our long-lived depreciable assets for impairment annually or whenever events or changes in circumstances indicate that the carrying value of an asset may not be recoverable from future cash flows. As of August 26, 2006 and August 27, 2005, we have determined there were no impairments.</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We account for income taxes under Statement of Financial Accounting Standards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accounting policy regarding litigation expense is to accrue for probable exposure including estimated defense costs if we are able to estimate the financial impact.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Revenues of our OEM components and motor home related parts are recorded as the products are shipped from our location. The title of ownership transfers on these products as they leave our location due to the freight terms of F.O.B. - Forest City, Iowa.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accrue for estimated sales promotions and incentive expenses, which are recognized as a reduction to revenues, at the time of sale to the dealer or when the sales incentive is offered. Examples of sales promotion and incentive programs include dealer and consumer rebates, volume discounts, retail financing programs and sales associate incentives. Sales promotion and incentive expenses are estimated based on current programs and historical rates.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Revenues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Shipping revenues for products shipped are included within sales, while shipping expenses are included within cost of goods sold.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and development expenditures are expensed as incurred. Development activities generally relate to creating new products and improving or creating variations of existing products to meet new applications. During Fiscal 2006, 2005 and 2004, we spent approximately $3.9 million, $3.6 million and $3.7 million, respectively, on research and development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Common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Basic income per common share is computed by dividing net income by the weighted average common shares outstanding during the period.</w:t>
      </w:r>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Diluted income per common share is computed by dividing net income by the weighted average common shares outstanding plus the incremental shares that would have been outstanding upon the assumed exercise of dilutive stock options. (See Note 11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Certain reclassifications have been made to prior year information on the financial statement and footnotes to conform to the current year presentation.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December 2004, the FASB staff issued FASB Staff Position FSP FASB 109-1 that provides guidance on the application of FASB Statement No. 109, </w:t>
      </w: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to the provision within the American Jobs Creation Act of 2004 that provides a tax deduction on qualified production activities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effective upon issuance. This FSP affected our financial position and results of operations by reducing our effective tax rate by approximately one percentage point for Fiscal 2006.</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SFAS 109 has been amended by FIN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The amendment establishes a consistent threshold for recognizing current and deferred income taxes and results in increased comparability in how</w:t>
      </w:r>
    </w:p>
    <w:p>
      <w:pPr>
        <w:sectPr>
          <w:pgSz w:w="11900" w:h="16838" w:orient="portrait"/>
          <w:cols w:equalWidth="0" w:num="1">
            <w:col w:w="11380"/>
          </w:cols>
          <w:pgMar w:left="240" w:top="131" w:right="27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companies report income tax assets and liabilities. The effective date of FIN 48 is for fiscal years beginning after December 15, 2006. We are currently evaluating the impact of this pronouncement on our future consolidated financial statements.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September 2006, the FASB issued 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This statement provides a definition of fair value and a consistent basis by which to measure fair value. The statement is effective for fiscal years beginning after November 15, 2007 and for interim periods within those fiscal years. We are currently evaluating the impact of this pronouncement on our future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Effective August 28, 2005, we adopted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(123R), requiring us to recognize expense related to the fair value of our stock-based compensation awards. We elected the modified prospective transition method as permitted by SFAS No. 123R; accordingly, results from prior periods have not been restated. (See Note 9 to the Consolidated Financial Statements)</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table below illustrates the effect on net earnings and earnings per share as if we had applied the fair value recognition provisions of SFAS No. 123 to stock-based compensation during Fiscal 2005 and Fiscal 2004.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00" w:type="dxa"/>
            <w:vAlign w:val="bottom"/>
            <w:gridSpan w:val="4"/>
          </w:tcPr>
          <w:p>
            <w:pPr>
              <w:ind w:lef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w w:val="83"/>
              </w:rPr>
              <w:t>August 27,</w:t>
            </w:r>
          </w:p>
        </w:tc>
        <w:tc>
          <w:tcPr>
            <w:tcW w:w="2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4"/>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960" w:type="dxa"/>
            <w:vAlign w:val="bottom"/>
          </w:tcPr>
          <w:p>
            <w:pPr>
              <w:spacing w:after="0"/>
              <w:rPr>
                <w:sz w:val="15"/>
                <w:szCs w:val="15"/>
                <w:color w:val="auto"/>
              </w:rPr>
            </w:pPr>
          </w:p>
        </w:tc>
        <w:tc>
          <w:tcPr>
            <w:tcW w:w="820" w:type="dxa"/>
            <w:vAlign w:val="bottom"/>
          </w:tcPr>
          <w:p>
            <w:pPr>
              <w:jc w:val="right"/>
              <w:ind w:right="298"/>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64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196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40"/>
              <w:spacing w:after="0"/>
              <w:rPr>
                <w:sz w:val="20"/>
                <w:szCs w:val="20"/>
                <w:color w:val="auto"/>
              </w:rPr>
            </w:pPr>
            <w:r>
              <w:rPr>
                <w:rFonts w:ascii="Arial" w:cs="Arial" w:eastAsia="Arial" w:hAnsi="Arial"/>
                <w:sz w:val="18"/>
                <w:szCs w:val="18"/>
                <w:color w:val="auto"/>
              </w:rPr>
              <w:t>As reported</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65,073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70,641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 forma</w:t>
            </w:r>
          </w:p>
        </w:tc>
        <w:tc>
          <w:tcPr>
            <w:tcW w:w="196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18"/>
              <w:spacing w:after="0"/>
              <w:rPr>
                <w:sz w:val="20"/>
                <w:szCs w:val="20"/>
                <w:color w:val="auto"/>
              </w:rPr>
            </w:pPr>
            <w:r>
              <w:rPr>
                <w:rFonts w:ascii="Arial" w:cs="Arial" w:eastAsia="Arial" w:hAnsi="Arial"/>
                <w:sz w:val="18"/>
                <w:szCs w:val="18"/>
                <w:color w:val="auto"/>
              </w:rPr>
              <w:t>62,035</w:t>
            </w:r>
          </w:p>
        </w:tc>
        <w:tc>
          <w:tcPr>
            <w:tcW w:w="20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68,271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Income per share (basic)</w:t>
            </w: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As reported</w:t>
            </w:r>
          </w:p>
        </w:tc>
        <w:tc>
          <w:tcPr>
            <w:tcW w:w="1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ind w:right="18"/>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40"/>
              <w:spacing w:after="0"/>
              <w:rPr>
                <w:sz w:val="20"/>
                <w:szCs w:val="20"/>
                <w:color w:val="auto"/>
              </w:rPr>
            </w:pPr>
            <w:r>
              <w:rPr>
                <w:rFonts w:ascii="Arial" w:cs="Arial" w:eastAsia="Arial" w:hAnsi="Arial"/>
                <w:sz w:val="18"/>
                <w:szCs w:val="18"/>
                <w:color w:val="auto"/>
              </w:rPr>
              <w:t>Pro forma</w:t>
            </w:r>
          </w:p>
        </w:tc>
        <w:tc>
          <w:tcPr>
            <w:tcW w:w="196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D6F3E8"/>
          </w:tcPr>
          <w:p>
            <w:pPr>
              <w:spacing w:after="0"/>
              <w:rPr>
                <w:sz w:val="20"/>
                <w:szCs w:val="20"/>
                <w:color w:val="auto"/>
              </w:rPr>
            </w:pPr>
            <w:r>
              <w:rPr>
                <w:rFonts w:ascii="Arial" w:cs="Arial" w:eastAsia="Arial" w:hAnsi="Arial"/>
                <w:sz w:val="18"/>
                <w:szCs w:val="18"/>
                <w:color w:val="auto"/>
              </w:rPr>
              <w:t>Income per share (diluted)</w:t>
            </w:r>
          </w:p>
        </w:tc>
        <w:tc>
          <w:tcPr>
            <w:tcW w:w="196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40"/>
              <w:spacing w:after="0"/>
              <w:rPr>
                <w:sz w:val="20"/>
                <w:szCs w:val="20"/>
                <w:color w:val="auto"/>
              </w:rPr>
            </w:pPr>
            <w:r>
              <w:rPr>
                <w:rFonts w:ascii="Arial" w:cs="Arial" w:eastAsia="Arial" w:hAnsi="Arial"/>
                <w:sz w:val="18"/>
                <w:szCs w:val="18"/>
                <w:color w:val="auto"/>
              </w:rPr>
              <w:t>As reported</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1.92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 forma</w:t>
            </w:r>
          </w:p>
        </w:tc>
        <w:tc>
          <w:tcPr>
            <w:tcW w:w="196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18"/>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4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for basic earnings per share</w:t>
            </w:r>
          </w:p>
        </w:tc>
        <w:tc>
          <w:tcPr>
            <w:tcW w:w="1960" w:type="dxa"/>
            <w:vAlign w:val="bottom"/>
          </w:tcPr>
          <w:p>
            <w:pPr>
              <w:spacing w:after="0"/>
              <w:rPr>
                <w:sz w:val="24"/>
                <w:szCs w:val="24"/>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33,382</w:t>
            </w:r>
          </w:p>
        </w:tc>
        <w:tc>
          <w:tcPr>
            <w:tcW w:w="200" w:type="dxa"/>
            <w:vAlign w:val="bottom"/>
          </w:tcPr>
          <w:p>
            <w:pPr>
              <w:spacing w:after="0"/>
              <w:rPr>
                <w:sz w:val="24"/>
                <w:szCs w:val="24"/>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34,214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shares outstanding assuming dilution</w:t>
            </w:r>
          </w:p>
        </w:tc>
        <w:tc>
          <w:tcPr>
            <w:tcW w:w="196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18"/>
              <w:spacing w:after="0"/>
              <w:rPr>
                <w:sz w:val="20"/>
                <w:szCs w:val="20"/>
                <w:color w:val="auto"/>
              </w:rPr>
            </w:pPr>
            <w:r>
              <w:rPr>
                <w:rFonts w:ascii="Arial" w:cs="Arial" w:eastAsia="Arial" w:hAnsi="Arial"/>
                <w:sz w:val="18"/>
                <w:szCs w:val="18"/>
                <w:color w:val="auto"/>
              </w:rPr>
              <w:t>33,755</w:t>
            </w:r>
          </w:p>
        </w:tc>
        <w:tc>
          <w:tcPr>
            <w:tcW w:w="20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34,662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Short-Term Investments - Available-for-Sale Securities</w:t>
      </w:r>
    </w:p>
    <w:p>
      <w:pPr>
        <w:spacing w:after="0" w:line="231"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We had approximately $130.0 million and $93.1 million in short-term investments as of August 26, 2006 and August 27, 2005, respectively. Our short-term investments consist of auction rate preferred securities, variable rate auction preferred stock and other investment-grade marketable debt securities. These investments, a portion which have stated maturities beyond one year, may be classified as short-term based on their highly liquid nature and because these securities represent the investment of cash that is available for current operations. Our short-term investments are classified as available-for-sale securities due to our intent regarding these securities. As of August 26, 2006 and August 27, 2005, there were no unrealized gains or losses associated with these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88"/>
              </w:rPr>
              <w:t>August 26, 2006</w:t>
            </w:r>
          </w:p>
        </w:tc>
        <w:tc>
          <w:tcPr>
            <w:tcW w:w="1800" w:type="dxa"/>
            <w:vAlign w:val="bottom"/>
            <w:gridSpan w:val="3"/>
          </w:tcPr>
          <w:p>
            <w:pPr>
              <w:ind w:left="500"/>
              <w:spacing w:after="0"/>
              <w:rPr>
                <w:sz w:val="20"/>
                <w:szCs w:val="20"/>
                <w:color w:val="auto"/>
              </w:rPr>
            </w:pPr>
            <w:r>
              <w:rPr>
                <w:rFonts w:ascii="Arial" w:cs="Arial" w:eastAsia="Arial" w:hAnsi="Arial"/>
                <w:sz w:val="14"/>
                <w:szCs w:val="14"/>
                <w:b w:val="1"/>
                <w:bCs w:val="1"/>
                <w:color w:val="auto"/>
              </w:rPr>
              <w:t>August 27, 2005</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185" w:type="dxa"/>
            <w:vAlign w:val="bottom"/>
            <w:tcBorders>
              <w:bottom w:val="single" w:sz="8" w:color="auto"/>
            </w:tcBorders>
          </w:tcPr>
          <w:p>
            <w:pPr>
              <w:spacing w:after="0"/>
              <w:rPr>
                <w:sz w:val="8"/>
                <w:szCs w:val="8"/>
                <w:color w:val="auto"/>
              </w:rPr>
            </w:pPr>
          </w:p>
        </w:tc>
        <w:tc>
          <w:tcPr>
            <w:tcW w:w="1195"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85" w:type="dxa"/>
            <w:vAlign w:val="bottom"/>
          </w:tcPr>
          <w:p>
            <w:pPr>
              <w:spacing w:after="0"/>
              <w:rPr>
                <w:sz w:val="8"/>
                <w:szCs w:val="8"/>
                <w:color w:val="auto"/>
              </w:rPr>
            </w:pPr>
          </w:p>
        </w:tc>
        <w:tc>
          <w:tcPr>
            <w:tcW w:w="1195" w:type="dxa"/>
            <w:vAlign w:val="bottom"/>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D6F3E8"/>
          </w:tcPr>
          <w:p>
            <w:pPr>
              <w:spacing w:after="0"/>
              <w:rPr>
                <w:sz w:val="20"/>
                <w:szCs w:val="20"/>
                <w:color w:val="auto"/>
              </w:rPr>
            </w:pPr>
            <w:r>
              <w:rPr>
                <w:rFonts w:ascii="Arial" w:cs="Arial" w:eastAsia="Arial" w:hAnsi="Arial"/>
                <w:sz w:val="18"/>
                <w:szCs w:val="18"/>
                <w:color w:val="auto"/>
              </w:rPr>
              <w:t>Finished goods</w:t>
            </w:r>
          </w:p>
        </w:tc>
        <w:tc>
          <w:tcPr>
            <w:tcW w:w="185"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1195" w:type="dxa"/>
            <w:vAlign w:val="bottom"/>
            <w:shd w:val="clear" w:color="auto" w:fill="D6F3E8"/>
          </w:tcPr>
          <w:p>
            <w:pPr>
              <w:jc w:val="right"/>
              <w:ind w:right="452"/>
              <w:spacing w:after="0"/>
              <w:rPr>
                <w:sz w:val="20"/>
                <w:szCs w:val="20"/>
                <w:color w:val="auto"/>
              </w:rPr>
            </w:pPr>
            <w:r>
              <w:rPr>
                <w:rFonts w:ascii="Arial" w:cs="Arial" w:eastAsia="Arial" w:hAnsi="Arial"/>
                <w:sz w:val="18"/>
                <w:szCs w:val="18"/>
                <w:b w:val="1"/>
                <w:bCs w:val="1"/>
                <w:color w:val="auto"/>
              </w:rPr>
              <w:t>33,420</w:t>
            </w:r>
          </w:p>
        </w:tc>
        <w:tc>
          <w:tcPr>
            <w:tcW w:w="720" w:type="dxa"/>
            <w:vAlign w:val="bottom"/>
            <w:shd w:val="clear" w:color="auto" w:fill="D6F3E8"/>
          </w:tcPr>
          <w:p>
            <w:pPr>
              <w:jc w:val="right"/>
              <w:ind w:right="139"/>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rPr>
              <w:t>67,998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Work-in-process</w:t>
            </w:r>
          </w:p>
        </w:tc>
        <w:tc>
          <w:tcPr>
            <w:tcW w:w="185" w:type="dxa"/>
            <w:vAlign w:val="bottom"/>
          </w:tcPr>
          <w:p>
            <w:pPr>
              <w:spacing w:after="0"/>
              <w:rPr>
                <w:sz w:val="18"/>
                <w:szCs w:val="18"/>
                <w:color w:val="auto"/>
              </w:rPr>
            </w:pPr>
          </w:p>
        </w:tc>
        <w:tc>
          <w:tcPr>
            <w:tcW w:w="1195" w:type="dxa"/>
            <w:vAlign w:val="bottom"/>
          </w:tcPr>
          <w:p>
            <w:pPr>
              <w:jc w:val="right"/>
              <w:ind w:right="452"/>
              <w:spacing w:after="0"/>
              <w:rPr>
                <w:sz w:val="20"/>
                <w:szCs w:val="20"/>
                <w:color w:val="auto"/>
              </w:rPr>
            </w:pPr>
            <w:r>
              <w:rPr>
                <w:rFonts w:ascii="Arial" w:cs="Arial" w:eastAsia="Arial" w:hAnsi="Arial"/>
                <w:sz w:val="18"/>
                <w:szCs w:val="18"/>
                <w:b w:val="1"/>
                <w:bCs w:val="1"/>
                <w:color w:val="auto"/>
              </w:rPr>
              <w:t>35,166</w:t>
            </w:r>
          </w:p>
        </w:tc>
        <w:tc>
          <w:tcPr>
            <w:tcW w:w="7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45,657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D6F3E8"/>
          </w:tcPr>
          <w:p>
            <w:pPr>
              <w:spacing w:after="0"/>
              <w:rPr>
                <w:sz w:val="20"/>
                <w:szCs w:val="20"/>
                <w:color w:val="auto"/>
              </w:rPr>
            </w:pPr>
            <w:r>
              <w:rPr>
                <w:rFonts w:ascii="Arial" w:cs="Arial" w:eastAsia="Arial" w:hAnsi="Arial"/>
                <w:sz w:val="18"/>
                <w:szCs w:val="18"/>
                <w:color w:val="auto"/>
              </w:rPr>
              <w:t>Raw materials</w:t>
            </w:r>
          </w:p>
        </w:tc>
        <w:tc>
          <w:tcPr>
            <w:tcW w:w="185" w:type="dxa"/>
            <w:vAlign w:val="bottom"/>
            <w:shd w:val="clear" w:color="auto" w:fill="D6F3E8"/>
          </w:tcPr>
          <w:p>
            <w:pPr>
              <w:spacing w:after="0"/>
              <w:rPr>
                <w:sz w:val="18"/>
                <w:szCs w:val="18"/>
                <w:color w:val="auto"/>
              </w:rPr>
            </w:pPr>
          </w:p>
        </w:tc>
        <w:tc>
          <w:tcPr>
            <w:tcW w:w="1195" w:type="dxa"/>
            <w:vAlign w:val="bottom"/>
            <w:shd w:val="clear" w:color="auto" w:fill="D6F3E8"/>
          </w:tcPr>
          <w:p>
            <w:pPr>
              <w:jc w:val="right"/>
              <w:ind w:right="452"/>
              <w:spacing w:after="0"/>
              <w:rPr>
                <w:sz w:val="20"/>
                <w:szCs w:val="20"/>
                <w:color w:val="auto"/>
              </w:rPr>
            </w:pPr>
            <w:r>
              <w:rPr>
                <w:rFonts w:ascii="Arial" w:cs="Arial" w:eastAsia="Arial" w:hAnsi="Arial"/>
                <w:sz w:val="18"/>
                <w:szCs w:val="18"/>
                <w:b w:val="1"/>
                <w:bCs w:val="1"/>
                <w:color w:val="auto"/>
              </w:rPr>
              <w:t>40,080</w:t>
            </w:r>
          </w:p>
        </w:tc>
        <w:tc>
          <w:tcPr>
            <w:tcW w:w="72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rPr>
              <w:t>38,461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85" w:type="dxa"/>
            <w:vAlign w:val="bottom"/>
            <w:tcBorders>
              <w:bottom w:val="single" w:sz="8" w:color="auto"/>
            </w:tcBorders>
          </w:tcPr>
          <w:p>
            <w:pPr>
              <w:spacing w:after="0"/>
              <w:rPr>
                <w:sz w:val="9"/>
                <w:szCs w:val="9"/>
                <w:color w:val="auto"/>
              </w:rPr>
            </w:pPr>
          </w:p>
        </w:tc>
        <w:tc>
          <w:tcPr>
            <w:tcW w:w="1195"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85" w:type="dxa"/>
            <w:vAlign w:val="bottom"/>
          </w:tcPr>
          <w:p>
            <w:pPr>
              <w:spacing w:after="0"/>
              <w:rPr>
                <w:sz w:val="24"/>
                <w:szCs w:val="24"/>
                <w:color w:val="auto"/>
              </w:rPr>
            </w:pPr>
          </w:p>
        </w:tc>
        <w:tc>
          <w:tcPr>
            <w:tcW w:w="1195" w:type="dxa"/>
            <w:vAlign w:val="bottom"/>
          </w:tcPr>
          <w:p>
            <w:pPr>
              <w:jc w:val="right"/>
              <w:ind w:right="452"/>
              <w:spacing w:after="0"/>
              <w:rPr>
                <w:sz w:val="20"/>
                <w:szCs w:val="20"/>
                <w:color w:val="auto"/>
              </w:rPr>
            </w:pPr>
            <w:r>
              <w:rPr>
                <w:rFonts w:ascii="Arial" w:cs="Arial" w:eastAsia="Arial" w:hAnsi="Arial"/>
                <w:sz w:val="18"/>
                <w:szCs w:val="18"/>
                <w:b w:val="1"/>
                <w:bCs w:val="1"/>
                <w:color w:val="auto"/>
                <w:w w:val="98"/>
              </w:rPr>
              <w:t>108,666</w:t>
            </w:r>
          </w:p>
        </w:tc>
        <w:tc>
          <w:tcPr>
            <w:tcW w:w="7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152,116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D6F3E8"/>
          </w:tcPr>
          <w:p>
            <w:pPr>
              <w:spacing w:after="0"/>
              <w:rPr>
                <w:sz w:val="20"/>
                <w:szCs w:val="20"/>
                <w:color w:val="auto"/>
              </w:rPr>
            </w:pPr>
            <w:r>
              <w:rPr>
                <w:rFonts w:ascii="Arial" w:cs="Arial" w:eastAsia="Arial" w:hAnsi="Arial"/>
                <w:sz w:val="18"/>
                <w:szCs w:val="18"/>
                <w:color w:val="auto"/>
              </w:rPr>
              <w:t>LIFO reserve</w:t>
            </w:r>
          </w:p>
        </w:tc>
        <w:tc>
          <w:tcPr>
            <w:tcW w:w="185" w:type="dxa"/>
            <w:vAlign w:val="bottom"/>
            <w:shd w:val="clear" w:color="auto" w:fill="D6F3E8"/>
          </w:tcPr>
          <w:p>
            <w:pPr>
              <w:spacing w:after="0"/>
              <w:rPr>
                <w:sz w:val="18"/>
                <w:szCs w:val="18"/>
                <w:color w:val="auto"/>
              </w:rPr>
            </w:pPr>
          </w:p>
        </w:tc>
        <w:tc>
          <w:tcPr>
            <w:tcW w:w="1195" w:type="dxa"/>
            <w:vAlign w:val="bottom"/>
            <w:shd w:val="clear" w:color="auto" w:fill="D6F3E8"/>
          </w:tcPr>
          <w:p>
            <w:pPr>
              <w:jc w:val="right"/>
              <w:ind w:right="392"/>
              <w:spacing w:after="0"/>
              <w:rPr>
                <w:sz w:val="20"/>
                <w:szCs w:val="20"/>
                <w:color w:val="auto"/>
              </w:rPr>
            </w:pPr>
            <w:r>
              <w:rPr>
                <w:rFonts w:ascii="Arial" w:cs="Arial" w:eastAsia="Arial" w:hAnsi="Arial"/>
                <w:sz w:val="18"/>
                <w:szCs w:val="18"/>
                <w:b w:val="1"/>
                <w:bCs w:val="1"/>
                <w:color w:val="auto"/>
              </w:rPr>
              <w:t>(31,585)</w:t>
            </w:r>
          </w:p>
        </w:tc>
        <w:tc>
          <w:tcPr>
            <w:tcW w:w="72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(31,461)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85" w:type="dxa"/>
            <w:vAlign w:val="bottom"/>
            <w:tcBorders>
              <w:bottom w:val="single" w:sz="8" w:color="auto"/>
            </w:tcBorders>
          </w:tcPr>
          <w:p>
            <w:pPr>
              <w:spacing w:after="0"/>
              <w:rPr>
                <w:sz w:val="9"/>
                <w:szCs w:val="9"/>
                <w:color w:val="auto"/>
              </w:rPr>
            </w:pPr>
          </w:p>
        </w:tc>
        <w:tc>
          <w:tcPr>
            <w:tcW w:w="1195"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85"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95" w:type="dxa"/>
            <w:vAlign w:val="bottom"/>
          </w:tcPr>
          <w:p>
            <w:pPr>
              <w:jc w:val="right"/>
              <w:ind w:right="452"/>
              <w:spacing w:after="0"/>
              <w:rPr>
                <w:sz w:val="20"/>
                <w:szCs w:val="20"/>
                <w:color w:val="auto"/>
              </w:rPr>
            </w:pPr>
            <w:r>
              <w:rPr>
                <w:rFonts w:ascii="Arial" w:cs="Arial" w:eastAsia="Arial" w:hAnsi="Arial"/>
                <w:sz w:val="18"/>
                <w:szCs w:val="18"/>
                <w:b w:val="1"/>
                <w:bCs w:val="1"/>
                <w:color w:val="auto"/>
              </w:rPr>
              <w:t>77,081</w:t>
            </w:r>
          </w:p>
        </w:tc>
        <w:tc>
          <w:tcPr>
            <w:tcW w:w="7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120,655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185" w:type="dxa"/>
            <w:vAlign w:val="bottom"/>
            <w:tcBorders>
              <w:bottom w:val="single" w:sz="8" w:color="auto"/>
            </w:tcBorders>
          </w:tcPr>
          <w:p>
            <w:pPr>
              <w:spacing w:after="0"/>
              <w:rPr>
                <w:sz w:val="11"/>
                <w:szCs w:val="11"/>
                <w:color w:val="auto"/>
              </w:rPr>
            </w:pPr>
          </w:p>
        </w:tc>
        <w:tc>
          <w:tcPr>
            <w:tcW w:w="1195"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above value of inventories, before reduction for the LIFO reserve, approximates replacement cost at the respective dates.</w:t>
      </w:r>
    </w:p>
    <w:p>
      <w:pPr>
        <w:sectPr>
          <w:pgSz w:w="11900" w:h="16838" w:orient="portrait"/>
          <w:cols w:equalWidth="0" w:num="1">
            <w:col w:w="11400"/>
          </w:cols>
          <w:pgMar w:left="240" w:top="131"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Fiscal 2006, inventory quantities were reduced. This reduction resulted in a liquidation of LIFO inventory values, the effect of which decreased cost of goods sold by $4.0 million and increased net income by $2.6 million or $0.08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Warranty</w:t>
      </w:r>
    </w:p>
    <w:p>
      <w:pPr>
        <w:spacing w:after="0" w:line="23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We provide our motor home customers a comprehensive 12-month/15,000-mile warranty on the coach, and a 3-year/36,000-mile warranty on sidewalls and floors. We record a liability based on our estimate of the amounts necessary to settle future and existing claims on products sold as of the balance sheet date. Changes in our product warranty liability during Fiscal 2006 and Fiscal 2005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August 26, 2006</w:t>
            </w:r>
          </w:p>
        </w:tc>
        <w:tc>
          <w:tcPr>
            <w:tcW w:w="1800" w:type="dxa"/>
            <w:vAlign w:val="bottom"/>
            <w:gridSpan w:val="3"/>
          </w:tcPr>
          <w:p>
            <w:pPr>
              <w:ind w:left="500"/>
              <w:spacing w:after="0"/>
              <w:rPr>
                <w:sz w:val="20"/>
                <w:szCs w:val="20"/>
                <w:color w:val="auto"/>
              </w:rPr>
            </w:pPr>
            <w:r>
              <w:rPr>
                <w:rFonts w:ascii="Arial" w:cs="Arial" w:eastAsia="Arial" w:hAnsi="Arial"/>
                <w:sz w:val="14"/>
                <w:szCs w:val="14"/>
                <w:b w:val="1"/>
                <w:bCs w:val="1"/>
                <w:color w:val="auto"/>
              </w:rPr>
              <w:t>August 27, 2005</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shd w:val="clear" w:color="auto" w:fill="D6F3E8"/>
          </w:tcPr>
          <w:p>
            <w:pPr>
              <w:ind w:left="18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D6F3E8"/>
          </w:tcPr>
          <w:p>
            <w:pPr>
              <w:jc w:val="right"/>
              <w:ind w:right="412"/>
              <w:spacing w:after="0"/>
              <w:rPr>
                <w:sz w:val="20"/>
                <w:szCs w:val="20"/>
                <w:color w:val="auto"/>
              </w:rPr>
            </w:pPr>
            <w:r>
              <w:rPr>
                <w:rFonts w:ascii="Arial" w:cs="Arial" w:eastAsia="Arial" w:hAnsi="Arial"/>
                <w:sz w:val="18"/>
                <w:szCs w:val="18"/>
                <w:b w:val="1"/>
                <w:bCs w:val="1"/>
                <w:color w:val="auto"/>
              </w:rPr>
              <w:t>12,183</w:t>
            </w:r>
          </w:p>
        </w:tc>
        <w:tc>
          <w:tcPr>
            <w:tcW w:w="700" w:type="dxa"/>
            <w:vAlign w:val="bottom"/>
            <w:shd w:val="clear" w:color="auto" w:fill="D6F3E8"/>
          </w:tcPr>
          <w:p>
            <w:pPr>
              <w:jc w:val="right"/>
              <w:ind w:right="99"/>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rPr>
              <w:t>13,356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420" w:type="dxa"/>
            <w:vAlign w:val="bottom"/>
          </w:tcPr>
          <w:p>
            <w:pPr>
              <w:spacing w:after="0"/>
              <w:rPr>
                <w:sz w:val="18"/>
                <w:szCs w:val="18"/>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10,354</w:t>
            </w:r>
          </w:p>
        </w:tc>
        <w:tc>
          <w:tcPr>
            <w:tcW w:w="70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13,469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Claims paid</w:t>
            </w:r>
          </w:p>
        </w:tc>
        <w:tc>
          <w:tcPr>
            <w:tcW w:w="42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352"/>
              <w:spacing w:after="0"/>
              <w:rPr>
                <w:sz w:val="20"/>
                <w:szCs w:val="20"/>
                <w:color w:val="auto"/>
              </w:rPr>
            </w:pPr>
            <w:r>
              <w:rPr>
                <w:rFonts w:ascii="Arial" w:cs="Arial" w:eastAsia="Arial" w:hAnsi="Arial"/>
                <w:sz w:val="18"/>
                <w:szCs w:val="18"/>
                <w:b w:val="1"/>
                <w:bCs w:val="1"/>
                <w:color w:val="auto"/>
              </w:rPr>
              <w:t>(13,014)</w:t>
            </w:r>
          </w:p>
        </w:tc>
        <w:tc>
          <w:tcPr>
            <w:tcW w:w="7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232"/>
              <w:spacing w:after="0"/>
              <w:rPr>
                <w:sz w:val="20"/>
                <w:szCs w:val="20"/>
                <w:color w:val="auto"/>
              </w:rPr>
            </w:pPr>
            <w:r>
              <w:rPr>
                <w:rFonts w:ascii="Arial" w:cs="Arial" w:eastAsia="Arial" w:hAnsi="Arial"/>
                <w:sz w:val="18"/>
                <w:szCs w:val="18"/>
                <w:color w:val="auto"/>
              </w:rPr>
              <w:t>(14,642)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42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9,523</w:t>
            </w:r>
          </w:p>
        </w:tc>
        <w:tc>
          <w:tcPr>
            <w:tcW w:w="7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12,183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We estimate the cost of these service actions using past claim rate experiences and the estimated cost of the repairs. Estimated costs are accrued at the time the service action is implemented and included in cost of sales in our Consolidated Statements of Income and as other accrued expenses in our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reserve for customer service actions during Fiscal 2006 and Fiscal 2005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August 26, 2006</w:t>
            </w:r>
          </w:p>
        </w:tc>
        <w:tc>
          <w:tcPr>
            <w:tcW w:w="2120" w:type="dxa"/>
            <w:vAlign w:val="bottom"/>
            <w:gridSpan w:val="3"/>
          </w:tcPr>
          <w:p>
            <w:pPr>
              <w:ind w:left="820"/>
              <w:spacing w:after="0"/>
              <w:rPr>
                <w:sz w:val="20"/>
                <w:szCs w:val="20"/>
                <w:color w:val="auto"/>
              </w:rPr>
            </w:pPr>
            <w:r>
              <w:rPr>
                <w:rFonts w:ascii="Arial" w:cs="Arial" w:eastAsia="Arial" w:hAnsi="Arial"/>
                <w:sz w:val="14"/>
                <w:szCs w:val="14"/>
                <w:b w:val="1"/>
                <w:bCs w:val="1"/>
                <w:color w:val="auto"/>
              </w:rPr>
              <w:t>August 27, 2005</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year</w:t>
            </w:r>
          </w:p>
        </w:tc>
        <w:tc>
          <w:tcPr>
            <w:tcW w:w="540" w:type="dxa"/>
            <w:vAlign w:val="bottom"/>
            <w:shd w:val="clear" w:color="auto" w:fill="D6F3E8"/>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D6F3E8"/>
          </w:tcPr>
          <w:p>
            <w:pPr>
              <w:jc w:val="right"/>
              <w:ind w:right="92"/>
              <w:spacing w:after="0"/>
              <w:rPr>
                <w:sz w:val="20"/>
                <w:szCs w:val="20"/>
                <w:color w:val="auto"/>
              </w:rPr>
            </w:pPr>
            <w:r>
              <w:rPr>
                <w:rFonts w:ascii="Arial" w:cs="Arial" w:eastAsia="Arial" w:hAnsi="Arial"/>
                <w:sz w:val="18"/>
                <w:szCs w:val="18"/>
                <w:b w:val="1"/>
                <w:bCs w:val="1"/>
                <w:color w:val="auto"/>
              </w:rPr>
              <w:t>624</w:t>
            </w:r>
          </w:p>
        </w:tc>
        <w:tc>
          <w:tcPr>
            <w:tcW w:w="1120" w:type="dxa"/>
            <w:vAlign w:val="bottom"/>
            <w:shd w:val="clear" w:color="auto" w:fill="D6F3E8"/>
          </w:tcPr>
          <w:p>
            <w:pPr>
              <w:jc w:val="right"/>
              <w:ind w:right="199"/>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5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b w:val="1"/>
                <w:bCs w:val="1"/>
                <w:color w:val="auto"/>
              </w:rPr>
              <w:t>269</w:t>
            </w:r>
          </w:p>
        </w:tc>
        <w:tc>
          <w:tcPr>
            <w:tcW w:w="1120" w:type="dxa"/>
            <w:vAlign w:val="bottom"/>
          </w:tcPr>
          <w:p>
            <w:pPr>
              <w:spacing w:after="0"/>
              <w:rPr>
                <w:sz w:val="18"/>
                <w:szCs w:val="18"/>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Claims paid</w:t>
            </w:r>
          </w:p>
        </w:tc>
        <w:tc>
          <w:tcPr>
            <w:tcW w:w="540" w:type="dxa"/>
            <w:vAlign w:val="bottom"/>
            <w:shd w:val="clear" w:color="auto" w:fill="D6F3E8"/>
          </w:tcPr>
          <w:p>
            <w:pPr>
              <w:spacing w:after="0"/>
              <w:rPr>
                <w:sz w:val="18"/>
                <w:szCs w:val="18"/>
                <w:color w:val="auto"/>
              </w:rPr>
            </w:pPr>
          </w:p>
        </w:tc>
        <w:tc>
          <w:tcPr>
            <w:tcW w:w="78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rPr>
              <w:t>(388)</w:t>
            </w:r>
          </w:p>
        </w:tc>
        <w:tc>
          <w:tcPr>
            <w:tcW w:w="112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232"/>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5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b w:val="1"/>
                <w:bCs w:val="1"/>
                <w:color w:val="auto"/>
              </w:rPr>
              <w:t>505</w:t>
            </w:r>
          </w:p>
        </w:tc>
        <w:tc>
          <w:tcPr>
            <w:tcW w:w="112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Employee and Retiree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Long-term postretirement health care and deferred compensation benefits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gridSpan w:val="2"/>
          </w:tcPr>
          <w:p>
            <w:pPr>
              <w:ind w:left="200"/>
              <w:spacing w:after="0"/>
              <w:rPr>
                <w:sz w:val="20"/>
                <w:szCs w:val="20"/>
                <w:color w:val="auto"/>
              </w:rPr>
            </w:pPr>
            <w:r>
              <w:rPr>
                <w:rFonts w:ascii="Arial" w:cs="Arial" w:eastAsia="Arial" w:hAnsi="Arial"/>
                <w:sz w:val="14"/>
                <w:szCs w:val="14"/>
                <w:b w:val="1"/>
                <w:bCs w:val="1"/>
                <w:color w:val="auto"/>
              </w:rPr>
              <w:t>August 26, 2006</w:t>
            </w:r>
          </w:p>
        </w:tc>
        <w:tc>
          <w:tcPr>
            <w:tcW w:w="16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August 27, 2005</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D6F3E8"/>
          </w:tcPr>
          <w:p>
            <w:pPr>
              <w:spacing w:after="0"/>
              <w:rPr>
                <w:sz w:val="20"/>
                <w:szCs w:val="20"/>
                <w:color w:val="auto"/>
              </w:rPr>
            </w:pPr>
            <w:r>
              <w:rPr>
                <w:rFonts w:ascii="Arial" w:cs="Arial" w:eastAsia="Arial" w:hAnsi="Arial"/>
                <w:sz w:val="18"/>
                <w:szCs w:val="18"/>
                <w:color w:val="auto"/>
              </w:rPr>
              <w:t>Postretirement health care benefit cost (1)</w:t>
            </w:r>
          </w:p>
        </w:tc>
        <w:tc>
          <w:tcPr>
            <w:tcW w:w="460" w:type="dxa"/>
            <w:vAlign w:val="bottom"/>
            <w:shd w:val="clear" w:color="auto" w:fill="D6F3E8"/>
          </w:tcPr>
          <w:p>
            <w:pPr>
              <w:ind w:left="18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D6F3E8"/>
          </w:tcPr>
          <w:p>
            <w:pPr>
              <w:jc w:val="right"/>
              <w:ind w:right="692"/>
              <w:spacing w:after="0"/>
              <w:rPr>
                <w:sz w:val="20"/>
                <w:szCs w:val="20"/>
                <w:color w:val="auto"/>
              </w:rPr>
            </w:pPr>
            <w:r>
              <w:rPr>
                <w:rFonts w:ascii="Arial" w:cs="Arial" w:eastAsia="Arial" w:hAnsi="Arial"/>
                <w:sz w:val="18"/>
                <w:szCs w:val="18"/>
                <w:b w:val="1"/>
                <w:bCs w:val="1"/>
                <w:color w:val="auto"/>
              </w:rPr>
              <w:t>50,583</w:t>
            </w:r>
          </w:p>
        </w:tc>
        <w:tc>
          <w:tcPr>
            <w:tcW w:w="440" w:type="dxa"/>
            <w:vAlign w:val="bottom"/>
            <w:gridSpan w:val="2"/>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rPr>
              <w:t>51,554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Deferred compensation liability (2)</w:t>
            </w:r>
          </w:p>
        </w:tc>
        <w:tc>
          <w:tcPr>
            <w:tcW w:w="460" w:type="dxa"/>
            <w:vAlign w:val="bottom"/>
          </w:tcPr>
          <w:p>
            <w:pPr>
              <w:spacing w:after="0"/>
              <w:rPr>
                <w:sz w:val="18"/>
                <w:szCs w:val="18"/>
                <w:color w:val="auto"/>
              </w:rPr>
            </w:pPr>
          </w:p>
        </w:tc>
        <w:tc>
          <w:tcPr>
            <w:tcW w:w="1460" w:type="dxa"/>
            <w:vAlign w:val="bottom"/>
          </w:tcPr>
          <w:p>
            <w:pPr>
              <w:jc w:val="right"/>
              <w:ind w:right="692"/>
              <w:spacing w:after="0"/>
              <w:rPr>
                <w:sz w:val="20"/>
                <w:szCs w:val="20"/>
                <w:color w:val="auto"/>
              </w:rPr>
            </w:pPr>
            <w:r>
              <w:rPr>
                <w:rFonts w:ascii="Arial" w:cs="Arial" w:eastAsia="Arial" w:hAnsi="Arial"/>
                <w:sz w:val="18"/>
                <w:szCs w:val="18"/>
                <w:b w:val="1"/>
                <w:bCs w:val="1"/>
                <w:color w:val="auto"/>
              </w:rPr>
              <w:t>25,015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D6F3E8"/>
          </w:tcPr>
          <w:p>
            <w:pPr>
              <w:spacing w:after="0"/>
              <w:rPr>
                <w:sz w:val="20"/>
                <w:szCs w:val="20"/>
                <w:color w:val="auto"/>
              </w:rPr>
            </w:pPr>
            <w:r>
              <w:rPr>
                <w:rFonts w:ascii="Arial" w:cs="Arial" w:eastAsia="Arial" w:hAnsi="Arial"/>
                <w:sz w:val="18"/>
                <w:szCs w:val="18"/>
                <w:color w:val="auto"/>
              </w:rPr>
              <w:t>Executive share option plan liability</w:t>
            </w:r>
          </w:p>
        </w:tc>
        <w:tc>
          <w:tcPr>
            <w:tcW w:w="46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692"/>
              <w:spacing w:after="0"/>
              <w:rPr>
                <w:sz w:val="20"/>
                <w:szCs w:val="20"/>
                <w:color w:val="auto"/>
              </w:rPr>
            </w:pPr>
            <w:r>
              <w:rPr>
                <w:rFonts w:ascii="Arial" w:cs="Arial" w:eastAsia="Arial" w:hAnsi="Arial"/>
                <w:sz w:val="18"/>
                <w:szCs w:val="18"/>
                <w:b w:val="1"/>
                <w:bCs w:val="1"/>
                <w:color w:val="auto"/>
              </w:rPr>
              <w:t>10,673</w:t>
            </w:r>
          </w:p>
        </w:tc>
        <w:tc>
          <w:tcPr>
            <w:tcW w:w="16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rPr>
              <w:t>9,896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gridSpan w:val="2"/>
          </w:tcPr>
          <w:p>
            <w:pPr>
              <w:spacing w:after="0"/>
              <w:rPr>
                <w:sz w:val="20"/>
                <w:szCs w:val="20"/>
                <w:color w:val="auto"/>
              </w:rPr>
            </w:pPr>
            <w:r>
              <w:rPr>
                <w:rFonts w:ascii="Arial" w:cs="Arial" w:eastAsia="Arial" w:hAnsi="Arial"/>
                <w:sz w:val="18"/>
                <w:szCs w:val="18"/>
                <w:color w:val="auto"/>
              </w:rPr>
              <w:t>Total postretirement health care and deferred compensation benefits</w:t>
            </w:r>
          </w:p>
        </w:tc>
        <w:tc>
          <w:tcPr>
            <w:tcW w:w="4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692"/>
              <w:spacing w:after="0"/>
              <w:rPr>
                <w:sz w:val="20"/>
                <w:szCs w:val="20"/>
                <w:color w:val="auto"/>
              </w:rPr>
            </w:pPr>
            <w:r>
              <w:rPr>
                <w:rFonts w:ascii="Arial" w:cs="Arial" w:eastAsia="Arial" w:hAnsi="Arial"/>
                <w:sz w:val="18"/>
                <w:szCs w:val="18"/>
                <w:b w:val="1"/>
                <w:bCs w:val="1"/>
                <w:color w:val="auto"/>
              </w:rPr>
              <w:t>86,271</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86,450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33" w:lineRule="exact"/>
        <w:rPr>
          <w:sz w:val="20"/>
          <w:szCs w:val="20"/>
          <w:color w:val="auto"/>
        </w:rPr>
      </w:pPr>
    </w:p>
    <w:p>
      <w:pPr>
        <w:ind w:left="580" w:hanging="572"/>
        <w:spacing w:after="0" w:line="254"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current portion of accrued postretirement benefit cost of $903,000 and $936,000 as of August 26, 2006 and August 27, 2005, respectively, is included within other accrued expenses.</w:t>
      </w:r>
    </w:p>
    <w:p>
      <w:pPr>
        <w:ind w:left="580" w:right="520" w:hanging="572"/>
        <w:spacing w:after="0" w:line="261"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current portion of deferred compensation liability of $1.6 million and $2.0 million as of August 26, 2006 and August 27, 2005, respectively, is included within accrued compensation.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Health Care Benefits</w:t>
      </w:r>
    </w:p>
    <w:p>
      <w:pPr>
        <w:spacing w:after="0" w:line="23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 The status of the plan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26, 2006</w:t>
            </w:r>
          </w:p>
        </w:tc>
        <w:tc>
          <w:tcPr>
            <w:tcW w:w="1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27, 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8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Change in benefit obligation:</w:t>
            </w:r>
          </w:p>
        </w:tc>
        <w:tc>
          <w:tcPr>
            <w:tcW w:w="225" w:type="dxa"/>
            <w:vAlign w:val="bottom"/>
            <w:shd w:val="clear" w:color="auto" w:fill="D6F3E8"/>
          </w:tcPr>
          <w:p>
            <w:pPr>
              <w:spacing w:after="0"/>
              <w:rPr>
                <w:sz w:val="18"/>
                <w:szCs w:val="18"/>
                <w:color w:val="auto"/>
              </w:rPr>
            </w:pPr>
          </w:p>
        </w:tc>
        <w:tc>
          <w:tcPr>
            <w:tcW w:w="1055"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Accumulated benefit obligation, beginning of year</w:t>
            </w:r>
          </w:p>
        </w:tc>
        <w:tc>
          <w:tcPr>
            <w:tcW w:w="225" w:type="dxa"/>
            <w:vAlign w:val="bottom"/>
          </w:tcPr>
          <w:p>
            <w:pPr>
              <w:ind w:left="100"/>
              <w:spacing w:after="0"/>
              <w:rPr>
                <w:sz w:val="20"/>
                <w:szCs w:val="20"/>
                <w:color w:val="auto"/>
              </w:rPr>
            </w:pPr>
            <w:r>
              <w:rPr>
                <w:rFonts w:ascii="Arial" w:cs="Arial" w:eastAsia="Arial" w:hAnsi="Arial"/>
                <w:sz w:val="18"/>
                <w:szCs w:val="18"/>
                <w:b w:val="1"/>
                <w:bCs w:val="1"/>
                <w:color w:val="auto"/>
                <w:w w:val="99"/>
              </w:rPr>
              <w:t>$</w:t>
            </w:r>
          </w:p>
        </w:tc>
        <w:tc>
          <w:tcPr>
            <w:tcW w:w="1055" w:type="dxa"/>
            <w:vAlign w:val="bottom"/>
          </w:tcPr>
          <w:p>
            <w:pPr>
              <w:jc w:val="right"/>
              <w:ind w:right="272"/>
              <w:spacing w:after="0"/>
              <w:rPr>
                <w:sz w:val="20"/>
                <w:szCs w:val="20"/>
                <w:color w:val="auto"/>
              </w:rPr>
            </w:pPr>
            <w:r>
              <w:rPr>
                <w:rFonts w:ascii="Arial" w:cs="Arial" w:eastAsia="Arial" w:hAnsi="Arial"/>
                <w:sz w:val="18"/>
                <w:szCs w:val="18"/>
                <w:b w:val="1"/>
                <w:bCs w:val="1"/>
                <w:color w:val="auto"/>
              </w:rPr>
              <w:t>33,672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4"/>
              <w:spacing w:after="0"/>
              <w:rPr>
                <w:sz w:val="20"/>
                <w:szCs w:val="20"/>
                <w:color w:val="auto"/>
              </w:rPr>
            </w:pPr>
            <w:r>
              <w:rPr>
                <w:rFonts w:ascii="Arial" w:cs="Arial" w:eastAsia="Arial" w:hAnsi="Arial"/>
                <w:sz w:val="18"/>
                <w:szCs w:val="18"/>
                <w:color w:val="auto"/>
              </w:rPr>
              <w:t>30,494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Interest cost</w:t>
            </w:r>
          </w:p>
        </w:tc>
        <w:tc>
          <w:tcPr>
            <w:tcW w:w="225" w:type="dxa"/>
            <w:vAlign w:val="bottom"/>
            <w:shd w:val="clear" w:color="auto" w:fill="D6F3E8"/>
          </w:tcPr>
          <w:p>
            <w:pPr>
              <w:spacing w:after="0"/>
              <w:rPr>
                <w:sz w:val="18"/>
                <w:szCs w:val="18"/>
                <w:color w:val="auto"/>
              </w:rPr>
            </w:pPr>
          </w:p>
        </w:tc>
        <w:tc>
          <w:tcPr>
            <w:tcW w:w="1055" w:type="dxa"/>
            <w:vAlign w:val="bottom"/>
            <w:shd w:val="clear" w:color="auto" w:fill="D6F3E8"/>
          </w:tcPr>
          <w:p>
            <w:pPr>
              <w:jc w:val="right"/>
              <w:ind w:right="272"/>
              <w:spacing w:after="0"/>
              <w:rPr>
                <w:sz w:val="20"/>
                <w:szCs w:val="20"/>
                <w:color w:val="auto"/>
              </w:rPr>
            </w:pPr>
            <w:r>
              <w:rPr>
                <w:rFonts w:ascii="Arial" w:cs="Arial" w:eastAsia="Arial" w:hAnsi="Arial"/>
                <w:sz w:val="18"/>
                <w:szCs w:val="18"/>
                <w:b w:val="1"/>
                <w:bCs w:val="1"/>
                <w:color w:val="auto"/>
              </w:rPr>
              <w:t>1,826</w:t>
            </w:r>
          </w:p>
        </w:tc>
        <w:tc>
          <w:tcPr>
            <w:tcW w:w="18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274"/>
              <w:spacing w:after="0"/>
              <w:rPr>
                <w:sz w:val="20"/>
                <w:szCs w:val="20"/>
                <w:color w:val="auto"/>
              </w:rPr>
            </w:pPr>
            <w:r>
              <w:rPr>
                <w:rFonts w:ascii="Arial" w:cs="Arial" w:eastAsia="Arial" w:hAnsi="Arial"/>
                <w:sz w:val="18"/>
                <w:szCs w:val="18"/>
                <w:color w:val="auto"/>
              </w:rPr>
              <w:t>1,809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Actuarial (gain) loss</w:t>
            </w:r>
          </w:p>
        </w:tc>
        <w:tc>
          <w:tcPr>
            <w:tcW w:w="225" w:type="dxa"/>
            <w:vAlign w:val="bottom"/>
          </w:tcPr>
          <w:p>
            <w:pPr>
              <w:spacing w:after="0"/>
              <w:rPr>
                <w:sz w:val="18"/>
                <w:szCs w:val="18"/>
                <w:color w:val="auto"/>
              </w:rPr>
            </w:pPr>
          </w:p>
        </w:tc>
        <w:tc>
          <w:tcPr>
            <w:tcW w:w="1055" w:type="dxa"/>
            <w:vAlign w:val="bottom"/>
          </w:tcPr>
          <w:p>
            <w:pPr>
              <w:jc w:val="right"/>
              <w:ind w:right="212"/>
              <w:spacing w:after="0"/>
              <w:rPr>
                <w:sz w:val="20"/>
                <w:szCs w:val="20"/>
                <w:color w:val="auto"/>
              </w:rPr>
            </w:pPr>
            <w:r>
              <w:rPr>
                <w:rFonts w:ascii="Arial" w:cs="Arial" w:eastAsia="Arial" w:hAnsi="Arial"/>
                <w:sz w:val="18"/>
                <w:szCs w:val="18"/>
                <w:b w:val="1"/>
                <w:bCs w:val="1"/>
                <w:color w:val="auto"/>
              </w:rPr>
              <w:t>(3,697)</w:t>
            </w:r>
          </w:p>
        </w:tc>
        <w:tc>
          <w:tcPr>
            <w:tcW w:w="180" w:type="dxa"/>
            <w:vAlign w:val="bottom"/>
          </w:tcPr>
          <w:p>
            <w:pPr>
              <w:spacing w:after="0"/>
              <w:rPr>
                <w:sz w:val="18"/>
                <w:szCs w:val="18"/>
                <w:color w:val="auto"/>
              </w:rPr>
            </w:pPr>
          </w:p>
        </w:tc>
        <w:tc>
          <w:tcPr>
            <w:tcW w:w="1260" w:type="dxa"/>
            <w:vAlign w:val="bottom"/>
          </w:tcPr>
          <w:p>
            <w:pPr>
              <w:jc w:val="right"/>
              <w:ind w:right="274"/>
              <w:spacing w:after="0"/>
              <w:rPr>
                <w:sz w:val="20"/>
                <w:szCs w:val="20"/>
                <w:color w:val="auto"/>
              </w:rPr>
            </w:pPr>
            <w:r>
              <w:rPr>
                <w:rFonts w:ascii="Arial" w:cs="Arial" w:eastAsia="Arial" w:hAnsi="Arial"/>
                <w:sz w:val="18"/>
                <w:szCs w:val="18"/>
                <w:color w:val="auto"/>
              </w:rPr>
              <w:t>1,078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Service cost</w:t>
            </w:r>
          </w:p>
        </w:tc>
        <w:tc>
          <w:tcPr>
            <w:tcW w:w="225" w:type="dxa"/>
            <w:vAlign w:val="bottom"/>
            <w:shd w:val="clear" w:color="auto" w:fill="D6F3E8"/>
          </w:tcPr>
          <w:p>
            <w:pPr>
              <w:spacing w:after="0"/>
              <w:rPr>
                <w:sz w:val="18"/>
                <w:szCs w:val="18"/>
                <w:color w:val="auto"/>
              </w:rPr>
            </w:pPr>
          </w:p>
        </w:tc>
        <w:tc>
          <w:tcPr>
            <w:tcW w:w="1055" w:type="dxa"/>
            <w:vAlign w:val="bottom"/>
            <w:shd w:val="clear" w:color="auto" w:fill="D6F3E8"/>
          </w:tcPr>
          <w:p>
            <w:pPr>
              <w:jc w:val="right"/>
              <w:ind w:right="272"/>
              <w:spacing w:after="0"/>
              <w:rPr>
                <w:sz w:val="20"/>
                <w:szCs w:val="20"/>
                <w:color w:val="auto"/>
              </w:rPr>
            </w:pPr>
            <w:r>
              <w:rPr>
                <w:rFonts w:ascii="Arial" w:cs="Arial" w:eastAsia="Arial" w:hAnsi="Arial"/>
                <w:sz w:val="18"/>
                <w:szCs w:val="18"/>
                <w:b w:val="1"/>
                <w:bCs w:val="1"/>
                <w:color w:val="auto"/>
              </w:rPr>
              <w:t>931</w:t>
            </w:r>
          </w:p>
        </w:tc>
        <w:tc>
          <w:tcPr>
            <w:tcW w:w="18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274"/>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gridSpan w:val="2"/>
          </w:tcPr>
          <w:p>
            <w:pPr>
              <w:ind w:left="140"/>
              <w:spacing w:after="0"/>
              <w:rPr>
                <w:sz w:val="20"/>
                <w:szCs w:val="20"/>
                <w:color w:val="auto"/>
              </w:rPr>
            </w:pPr>
            <w:r>
              <w:rPr>
                <w:rFonts w:ascii="Arial" w:cs="Arial" w:eastAsia="Arial" w:hAnsi="Arial"/>
                <w:sz w:val="18"/>
                <w:szCs w:val="18"/>
                <w:color w:val="auto"/>
              </w:rPr>
              <w:t>Net benefits paid</w:t>
            </w:r>
          </w:p>
        </w:tc>
        <w:tc>
          <w:tcPr>
            <w:tcW w:w="225" w:type="dxa"/>
            <w:vAlign w:val="bottom"/>
          </w:tcPr>
          <w:p>
            <w:pPr>
              <w:spacing w:after="0"/>
              <w:rPr>
                <w:sz w:val="19"/>
                <w:szCs w:val="19"/>
                <w:color w:val="auto"/>
              </w:rPr>
            </w:pPr>
          </w:p>
        </w:tc>
        <w:tc>
          <w:tcPr>
            <w:tcW w:w="1055" w:type="dxa"/>
            <w:vAlign w:val="bottom"/>
          </w:tcPr>
          <w:p>
            <w:pPr>
              <w:jc w:val="right"/>
              <w:ind w:right="212"/>
              <w:spacing w:after="0"/>
              <w:rPr>
                <w:sz w:val="20"/>
                <w:szCs w:val="20"/>
                <w:color w:val="auto"/>
              </w:rPr>
            </w:pPr>
            <w:r>
              <w:rPr>
                <w:rFonts w:ascii="Arial" w:cs="Arial" w:eastAsia="Arial" w:hAnsi="Arial"/>
                <w:sz w:val="18"/>
                <w:szCs w:val="18"/>
                <w:b w:val="1"/>
                <w:bCs w:val="1"/>
                <w:color w:val="auto"/>
              </w:rPr>
              <w:t>(814)</w:t>
            </w:r>
          </w:p>
        </w:tc>
        <w:tc>
          <w:tcPr>
            <w:tcW w:w="180" w:type="dxa"/>
            <w:vAlign w:val="bottom"/>
          </w:tcPr>
          <w:p>
            <w:pPr>
              <w:spacing w:after="0"/>
              <w:rPr>
                <w:sz w:val="19"/>
                <w:szCs w:val="19"/>
                <w:color w:val="auto"/>
              </w:rPr>
            </w:pPr>
          </w:p>
        </w:tc>
        <w:tc>
          <w:tcPr>
            <w:tcW w:w="1260" w:type="dxa"/>
            <w:vAlign w:val="bottom"/>
          </w:tcPr>
          <w:p>
            <w:pPr>
              <w:jc w:val="right"/>
              <w:ind w:right="214"/>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6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Benefit obligation, end of year</w:t>
            </w:r>
          </w:p>
        </w:tc>
        <w:tc>
          <w:tcPr>
            <w:tcW w:w="225" w:type="dxa"/>
            <w:vAlign w:val="bottom"/>
            <w:shd w:val="clear" w:color="auto" w:fill="D6F3E8"/>
          </w:tcPr>
          <w:p>
            <w:pPr>
              <w:ind w:left="100"/>
              <w:spacing w:after="0"/>
              <w:rPr>
                <w:sz w:val="20"/>
                <w:szCs w:val="20"/>
                <w:color w:val="auto"/>
              </w:rPr>
            </w:pPr>
            <w:r>
              <w:rPr>
                <w:rFonts w:ascii="Arial" w:cs="Arial" w:eastAsia="Arial" w:hAnsi="Arial"/>
                <w:sz w:val="18"/>
                <w:szCs w:val="18"/>
                <w:b w:val="1"/>
                <w:bCs w:val="1"/>
                <w:color w:val="auto"/>
                <w:w w:val="99"/>
              </w:rPr>
              <w:t>$</w:t>
            </w:r>
          </w:p>
        </w:tc>
        <w:tc>
          <w:tcPr>
            <w:tcW w:w="1055" w:type="dxa"/>
            <w:vAlign w:val="bottom"/>
            <w:shd w:val="clear" w:color="auto" w:fill="D6F3E8"/>
          </w:tcPr>
          <w:p>
            <w:pPr>
              <w:jc w:val="right"/>
              <w:ind w:right="272"/>
              <w:spacing w:after="0"/>
              <w:rPr>
                <w:sz w:val="20"/>
                <w:szCs w:val="20"/>
                <w:color w:val="auto"/>
              </w:rPr>
            </w:pPr>
            <w:r>
              <w:rPr>
                <w:rFonts w:ascii="Arial" w:cs="Arial" w:eastAsia="Arial" w:hAnsi="Arial"/>
                <w:sz w:val="18"/>
                <w:szCs w:val="18"/>
                <w:b w:val="1"/>
                <w:bCs w:val="1"/>
                <w:color w:val="auto"/>
              </w:rPr>
              <w:t>31,918</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6F3E8"/>
          </w:tcPr>
          <w:p>
            <w:pPr>
              <w:jc w:val="right"/>
              <w:ind w:right="274"/>
              <w:spacing w:after="0"/>
              <w:rPr>
                <w:sz w:val="20"/>
                <w:szCs w:val="20"/>
                <w:color w:val="auto"/>
              </w:rPr>
            </w:pPr>
            <w:r>
              <w:rPr>
                <w:rFonts w:ascii="Arial" w:cs="Arial" w:eastAsia="Arial" w:hAnsi="Arial"/>
                <w:sz w:val="18"/>
                <w:szCs w:val="18"/>
                <w:color w:val="auto"/>
              </w:rPr>
              <w:t>33,672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700" w:type="dxa"/>
            <w:vAlign w:val="bottom"/>
            <w:gridSpan w:val="3"/>
          </w:tcPr>
          <w:p>
            <w:pPr>
              <w:spacing w:after="0"/>
              <w:rPr>
                <w:sz w:val="20"/>
                <w:szCs w:val="20"/>
                <w:color w:val="auto"/>
              </w:rPr>
            </w:pPr>
            <w:r>
              <w:rPr>
                <w:rFonts w:ascii="Arial" w:cs="Arial" w:eastAsia="Arial" w:hAnsi="Arial"/>
                <w:sz w:val="18"/>
                <w:szCs w:val="18"/>
                <w:color w:val="auto"/>
              </w:rPr>
              <w:t>Funded status</w:t>
            </w:r>
          </w:p>
        </w:tc>
        <w:tc>
          <w:tcPr>
            <w:tcW w:w="225" w:type="dxa"/>
            <w:vAlign w:val="bottom"/>
          </w:tcPr>
          <w:p>
            <w:pPr>
              <w:ind w:left="100"/>
              <w:spacing w:after="0"/>
              <w:rPr>
                <w:sz w:val="20"/>
                <w:szCs w:val="20"/>
                <w:color w:val="auto"/>
              </w:rPr>
            </w:pPr>
            <w:r>
              <w:rPr>
                <w:rFonts w:ascii="Arial" w:cs="Arial" w:eastAsia="Arial" w:hAnsi="Arial"/>
                <w:sz w:val="18"/>
                <w:szCs w:val="18"/>
                <w:b w:val="1"/>
                <w:bCs w:val="1"/>
                <w:color w:val="auto"/>
                <w:w w:val="99"/>
              </w:rPr>
              <w:t>$</w:t>
            </w:r>
          </w:p>
        </w:tc>
        <w:tc>
          <w:tcPr>
            <w:tcW w:w="1055"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Accumulated benefit obligation in excess of plan assets</w:t>
            </w:r>
          </w:p>
        </w:tc>
        <w:tc>
          <w:tcPr>
            <w:tcW w:w="225" w:type="dxa"/>
            <w:vAlign w:val="bottom"/>
            <w:shd w:val="clear" w:color="auto" w:fill="D6F3E8"/>
          </w:tcPr>
          <w:p>
            <w:pPr>
              <w:spacing w:after="0"/>
              <w:rPr>
                <w:sz w:val="18"/>
                <w:szCs w:val="18"/>
                <w:color w:val="auto"/>
              </w:rPr>
            </w:pPr>
          </w:p>
        </w:tc>
        <w:tc>
          <w:tcPr>
            <w:tcW w:w="1055" w:type="dxa"/>
            <w:vAlign w:val="bottom"/>
            <w:shd w:val="clear" w:color="auto" w:fill="D6F3E8"/>
          </w:tcPr>
          <w:p>
            <w:pPr>
              <w:jc w:val="right"/>
              <w:ind w:right="272"/>
              <w:spacing w:after="0"/>
              <w:rPr>
                <w:sz w:val="20"/>
                <w:szCs w:val="20"/>
                <w:color w:val="auto"/>
              </w:rPr>
            </w:pPr>
            <w:r>
              <w:rPr>
                <w:rFonts w:ascii="Arial" w:cs="Arial" w:eastAsia="Arial" w:hAnsi="Arial"/>
                <w:sz w:val="18"/>
                <w:szCs w:val="18"/>
                <w:b w:val="1"/>
                <w:bCs w:val="1"/>
                <w:color w:val="auto"/>
              </w:rPr>
              <w:t>31,918</w:t>
            </w:r>
          </w:p>
        </w:tc>
        <w:tc>
          <w:tcPr>
            <w:tcW w:w="18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274"/>
              <w:spacing w:after="0"/>
              <w:rPr>
                <w:sz w:val="20"/>
                <w:szCs w:val="20"/>
                <w:color w:val="auto"/>
              </w:rPr>
            </w:pPr>
            <w:r>
              <w:rPr>
                <w:rFonts w:ascii="Arial" w:cs="Arial" w:eastAsia="Arial" w:hAnsi="Arial"/>
                <w:sz w:val="18"/>
                <w:szCs w:val="18"/>
                <w:color w:val="auto"/>
              </w:rPr>
              <w:t>33,672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Unrecognized cost:</w:t>
            </w:r>
          </w:p>
        </w:tc>
        <w:tc>
          <w:tcPr>
            <w:tcW w:w="22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Net actuarial loss</w:t>
            </w:r>
          </w:p>
        </w:tc>
        <w:tc>
          <w:tcPr>
            <w:tcW w:w="225" w:type="dxa"/>
            <w:vAlign w:val="bottom"/>
            <w:shd w:val="clear" w:color="auto" w:fill="D6F3E8"/>
          </w:tcPr>
          <w:p>
            <w:pPr>
              <w:spacing w:after="0"/>
              <w:rPr>
                <w:sz w:val="18"/>
                <w:szCs w:val="18"/>
                <w:color w:val="auto"/>
              </w:rPr>
            </w:pPr>
          </w:p>
        </w:tc>
        <w:tc>
          <w:tcPr>
            <w:tcW w:w="1055" w:type="dxa"/>
            <w:vAlign w:val="bottom"/>
            <w:shd w:val="clear" w:color="auto" w:fill="D6F3E8"/>
          </w:tcPr>
          <w:p>
            <w:pPr>
              <w:jc w:val="right"/>
              <w:ind w:right="212"/>
              <w:spacing w:after="0"/>
              <w:rPr>
                <w:sz w:val="20"/>
                <w:szCs w:val="20"/>
                <w:color w:val="auto"/>
              </w:rPr>
            </w:pPr>
            <w:r>
              <w:rPr>
                <w:rFonts w:ascii="Arial" w:cs="Arial" w:eastAsia="Arial" w:hAnsi="Arial"/>
                <w:sz w:val="18"/>
                <w:szCs w:val="18"/>
                <w:b w:val="1"/>
                <w:bCs w:val="1"/>
                <w:color w:val="auto"/>
              </w:rPr>
              <w:t>(19,327)</w:t>
            </w:r>
          </w:p>
        </w:tc>
        <w:tc>
          <w:tcPr>
            <w:tcW w:w="18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(24,325)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Prior service cost</w:t>
            </w:r>
          </w:p>
        </w:tc>
        <w:tc>
          <w:tcPr>
            <w:tcW w:w="225" w:type="dxa"/>
            <w:vAlign w:val="bottom"/>
          </w:tcPr>
          <w:p>
            <w:pPr>
              <w:spacing w:after="0"/>
              <w:rPr>
                <w:sz w:val="19"/>
                <w:szCs w:val="19"/>
                <w:color w:val="auto"/>
              </w:rPr>
            </w:pPr>
          </w:p>
        </w:tc>
        <w:tc>
          <w:tcPr>
            <w:tcW w:w="1055" w:type="dxa"/>
            <w:vAlign w:val="bottom"/>
          </w:tcPr>
          <w:p>
            <w:pPr>
              <w:jc w:val="right"/>
              <w:ind w:right="272"/>
              <w:spacing w:after="0"/>
              <w:rPr>
                <w:sz w:val="20"/>
                <w:szCs w:val="20"/>
                <w:color w:val="auto"/>
              </w:rPr>
            </w:pPr>
            <w:r>
              <w:rPr>
                <w:rFonts w:ascii="Arial" w:cs="Arial" w:eastAsia="Arial" w:hAnsi="Arial"/>
                <w:sz w:val="18"/>
                <w:szCs w:val="18"/>
                <w:b w:val="1"/>
                <w:bCs w:val="1"/>
                <w:color w:val="auto"/>
              </w:rPr>
              <w:t>38,895</w:t>
            </w:r>
          </w:p>
        </w:tc>
        <w:tc>
          <w:tcPr>
            <w:tcW w:w="180" w:type="dxa"/>
            <w:vAlign w:val="bottom"/>
          </w:tcPr>
          <w:p>
            <w:pPr>
              <w:spacing w:after="0"/>
              <w:rPr>
                <w:sz w:val="19"/>
                <w:szCs w:val="19"/>
                <w:color w:val="auto"/>
              </w:rPr>
            </w:pPr>
          </w:p>
        </w:tc>
        <w:tc>
          <w:tcPr>
            <w:tcW w:w="1260" w:type="dxa"/>
            <w:vAlign w:val="bottom"/>
          </w:tcPr>
          <w:p>
            <w:pPr>
              <w:jc w:val="right"/>
              <w:ind w:right="274"/>
              <w:spacing w:after="0"/>
              <w:rPr>
                <w:sz w:val="20"/>
                <w:szCs w:val="20"/>
                <w:color w:val="auto"/>
              </w:rPr>
            </w:pPr>
            <w:r>
              <w:rPr>
                <w:rFonts w:ascii="Arial" w:cs="Arial" w:eastAsia="Arial" w:hAnsi="Arial"/>
                <w:sz w:val="18"/>
                <w:szCs w:val="18"/>
                <w:color w:val="auto"/>
              </w:rPr>
              <w:t>43,143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700" w:type="dxa"/>
            <w:vAlign w:val="bottom"/>
            <w:gridSpan w:val="3"/>
          </w:tcPr>
          <w:p>
            <w:pPr>
              <w:spacing w:after="0"/>
              <w:rPr>
                <w:sz w:val="8"/>
                <w:szCs w:val="8"/>
                <w:color w:val="auto"/>
              </w:rPr>
            </w:pPr>
          </w:p>
        </w:tc>
        <w:tc>
          <w:tcPr>
            <w:tcW w:w="2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gridSpan w:val="2"/>
          </w:tcPr>
          <w:p>
            <w:pPr>
              <w:spacing w:after="0"/>
              <w:rPr>
                <w:sz w:val="8"/>
                <w:szCs w:val="8"/>
                <w:color w:val="auto"/>
              </w:rPr>
            </w:pPr>
          </w:p>
        </w:tc>
        <w:tc>
          <w:tcPr>
            <w:tcW w:w="2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Accrued postretirement health care benefit cost (short-term and long-term)</w:t>
            </w:r>
          </w:p>
        </w:tc>
        <w:tc>
          <w:tcPr>
            <w:tcW w:w="225" w:type="dxa"/>
            <w:vAlign w:val="bottom"/>
            <w:shd w:val="clear" w:color="auto" w:fill="D6F3E8"/>
          </w:tcPr>
          <w:p>
            <w:pPr>
              <w:ind w:left="100"/>
              <w:spacing w:after="0"/>
              <w:rPr>
                <w:sz w:val="20"/>
                <w:szCs w:val="20"/>
                <w:color w:val="auto"/>
              </w:rPr>
            </w:pPr>
            <w:r>
              <w:rPr>
                <w:rFonts w:ascii="Arial" w:cs="Arial" w:eastAsia="Arial" w:hAnsi="Arial"/>
                <w:sz w:val="18"/>
                <w:szCs w:val="18"/>
                <w:b w:val="1"/>
                <w:bCs w:val="1"/>
                <w:color w:val="auto"/>
                <w:w w:val="99"/>
              </w:rPr>
              <w:t>$</w:t>
            </w:r>
          </w:p>
        </w:tc>
        <w:tc>
          <w:tcPr>
            <w:tcW w:w="1055" w:type="dxa"/>
            <w:vAlign w:val="bottom"/>
            <w:shd w:val="clear" w:color="auto" w:fill="D6F3E8"/>
          </w:tcPr>
          <w:p>
            <w:pPr>
              <w:jc w:val="right"/>
              <w:ind w:right="272"/>
              <w:spacing w:after="0"/>
              <w:rPr>
                <w:sz w:val="20"/>
                <w:szCs w:val="20"/>
                <w:color w:val="auto"/>
              </w:rPr>
            </w:pPr>
            <w:r>
              <w:rPr>
                <w:rFonts w:ascii="Arial" w:cs="Arial" w:eastAsia="Arial" w:hAnsi="Arial"/>
                <w:sz w:val="18"/>
                <w:szCs w:val="18"/>
                <w:b w:val="1"/>
                <w:bCs w:val="1"/>
                <w:color w:val="auto"/>
              </w:rPr>
              <w:t>51,486</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6F3E8"/>
          </w:tcPr>
          <w:p>
            <w:pPr>
              <w:jc w:val="right"/>
              <w:ind w:right="274"/>
              <w:spacing w:after="0"/>
              <w:rPr>
                <w:sz w:val="20"/>
                <w:szCs w:val="20"/>
                <w:color w:val="auto"/>
              </w:rPr>
            </w:pPr>
            <w:r>
              <w:rPr>
                <w:rFonts w:ascii="Arial" w:cs="Arial" w:eastAsia="Arial" w:hAnsi="Arial"/>
                <w:sz w:val="18"/>
                <w:szCs w:val="18"/>
                <w:color w:val="auto"/>
              </w:rPr>
              <w:t>52,490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-1255395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-1255395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-1255395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-1255395</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-1255395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-1255395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-1255395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-1255395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-1255395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-1255395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-1255395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Effective September 2004, we amended our postretirement health care benefit by establishing a maximum employer contribution amount which resulted in a</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$40.4 million reduction of the accumulated postretirement benefit obligation. This amendment significantly reduced the net postretirement health care expense in Fiscal 2006 and Fiscal 2005.</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discount rate used in determining the accumulated postretirement benefit obligation was 6.0 percent at August 26, 2006 and 5.5 percent at August 27, 2005. The average assumed health care cost trend rate used in measuring the accumulated postretirement benefit obligations as of August 26, 2006 was 8.5 percent, decreasing each successive year until it reaches 4.5 percent in 2015 after which it remains constant.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benefit (income) expense for the past three fiscal years consisted of the following components: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August 26,</w:t>
            </w:r>
          </w:p>
        </w:tc>
        <w:tc>
          <w:tcPr>
            <w:tcW w:w="10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August 27,</w:t>
            </w: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August 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2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740" w:type="dxa"/>
            <w:vAlign w:val="bottom"/>
          </w:tcPr>
          <w:p>
            <w:pPr>
              <w:jc w:val="right"/>
              <w:ind w:right="316"/>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7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840" w:type="dxa"/>
            <w:vAlign w:val="bottom"/>
          </w:tcPr>
          <w:p>
            <w:pPr>
              <w:jc w:val="right"/>
              <w:ind w:right="39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8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D6F3E8"/>
          </w:tcPr>
          <w:p>
            <w:pPr>
              <w:jc w:val="right"/>
              <w:ind w:right="96"/>
              <w:spacing w:after="0"/>
              <w:rPr>
                <w:sz w:val="20"/>
                <w:szCs w:val="20"/>
                <w:color w:val="auto"/>
              </w:rPr>
            </w:pPr>
            <w:r>
              <w:rPr>
                <w:rFonts w:ascii="Arial" w:cs="Arial" w:eastAsia="Arial" w:hAnsi="Arial"/>
                <w:sz w:val="18"/>
                <w:szCs w:val="18"/>
                <w:b w:val="1"/>
                <w:bCs w:val="1"/>
                <w:color w:val="auto"/>
              </w:rPr>
              <w:t>1,826</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ind w:right="136"/>
              <w:spacing w:after="0"/>
              <w:rPr>
                <w:sz w:val="20"/>
                <w:szCs w:val="20"/>
                <w:color w:val="auto"/>
              </w:rPr>
            </w:pPr>
            <w:r>
              <w:rPr>
                <w:rFonts w:ascii="Arial" w:cs="Arial" w:eastAsia="Arial" w:hAnsi="Arial"/>
                <w:sz w:val="18"/>
                <w:szCs w:val="18"/>
                <w:color w:val="auto"/>
              </w:rPr>
              <w:t>1,809</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6F3E8"/>
          </w:tcPr>
          <w:p>
            <w:pPr>
              <w:jc w:val="right"/>
              <w:ind w:right="156"/>
              <w:spacing w:after="0"/>
              <w:rPr>
                <w:sz w:val="20"/>
                <w:szCs w:val="20"/>
                <w:color w:val="auto"/>
              </w:rPr>
            </w:pPr>
            <w:r>
              <w:rPr>
                <w:rFonts w:ascii="Arial" w:cs="Arial" w:eastAsia="Arial" w:hAnsi="Arial"/>
                <w:sz w:val="18"/>
                <w:szCs w:val="18"/>
                <w:color w:val="auto"/>
              </w:rPr>
              <w:t>3,787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260" w:type="dxa"/>
            <w:vAlign w:val="bottom"/>
          </w:tcPr>
          <w:p>
            <w:pPr>
              <w:spacing w:after="0"/>
              <w:rPr>
                <w:sz w:val="18"/>
                <w:szCs w:val="18"/>
                <w:color w:val="auto"/>
              </w:rPr>
            </w:pPr>
          </w:p>
        </w:tc>
        <w:tc>
          <w:tcPr>
            <w:tcW w:w="740" w:type="dxa"/>
            <w:vAlign w:val="bottom"/>
          </w:tcPr>
          <w:p>
            <w:pPr>
              <w:jc w:val="right"/>
              <w:ind w:right="96"/>
              <w:spacing w:after="0"/>
              <w:rPr>
                <w:sz w:val="20"/>
                <w:szCs w:val="20"/>
                <w:color w:val="auto"/>
              </w:rPr>
            </w:pPr>
            <w:r>
              <w:rPr>
                <w:rFonts w:ascii="Arial" w:cs="Arial" w:eastAsia="Arial" w:hAnsi="Arial"/>
                <w:sz w:val="18"/>
                <w:szCs w:val="18"/>
                <w:b w:val="1"/>
                <w:bCs w:val="1"/>
                <w:color w:val="auto"/>
              </w:rPr>
              <w:t>931</w:t>
            </w:r>
          </w:p>
        </w:tc>
        <w:tc>
          <w:tcPr>
            <w:tcW w:w="300" w:type="dxa"/>
            <w:vAlign w:val="bottom"/>
          </w:tcPr>
          <w:p>
            <w:pPr>
              <w:spacing w:after="0"/>
              <w:rPr>
                <w:sz w:val="18"/>
                <w:szCs w:val="18"/>
                <w:color w:val="auto"/>
              </w:rPr>
            </w:pP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910</w:t>
            </w:r>
          </w:p>
        </w:tc>
        <w:tc>
          <w:tcPr>
            <w:tcW w:w="300" w:type="dxa"/>
            <w:vAlign w:val="bottom"/>
          </w:tcPr>
          <w:p>
            <w:pPr>
              <w:spacing w:after="0"/>
              <w:rPr>
                <w:sz w:val="18"/>
                <w:szCs w:val="18"/>
                <w:color w:val="auto"/>
              </w:rPr>
            </w:pPr>
          </w:p>
        </w:tc>
        <w:tc>
          <w:tcPr>
            <w:tcW w:w="840" w:type="dxa"/>
            <w:vAlign w:val="bottom"/>
          </w:tcPr>
          <w:p>
            <w:pPr>
              <w:jc w:val="right"/>
              <w:ind w:right="156"/>
              <w:spacing w:after="0"/>
              <w:rPr>
                <w:sz w:val="20"/>
                <w:szCs w:val="20"/>
                <w:color w:val="auto"/>
              </w:rPr>
            </w:pPr>
            <w:r>
              <w:rPr>
                <w:rFonts w:ascii="Arial" w:cs="Arial" w:eastAsia="Arial" w:hAnsi="Arial"/>
                <w:sz w:val="18"/>
                <w:szCs w:val="18"/>
                <w:color w:val="auto"/>
              </w:rPr>
              <w:t>2,536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260" w:type="dxa"/>
            <w:vAlign w:val="bottom"/>
            <w:shd w:val="clear" w:color="auto" w:fill="D6F3E8"/>
          </w:tcPr>
          <w:p>
            <w:pPr>
              <w:spacing w:after="0"/>
              <w:rPr>
                <w:sz w:val="18"/>
                <w:szCs w:val="18"/>
                <w:color w:val="auto"/>
              </w:rPr>
            </w:pPr>
          </w:p>
        </w:tc>
        <w:tc>
          <w:tcPr>
            <w:tcW w:w="740" w:type="dxa"/>
            <w:vAlign w:val="bottom"/>
            <w:shd w:val="clear" w:color="auto" w:fill="D6F3E8"/>
          </w:tcPr>
          <w:p>
            <w:pPr>
              <w:jc w:val="right"/>
              <w:ind w:right="36"/>
              <w:spacing w:after="0"/>
              <w:rPr>
                <w:sz w:val="20"/>
                <w:szCs w:val="20"/>
                <w:color w:val="auto"/>
              </w:rPr>
            </w:pPr>
            <w:r>
              <w:rPr>
                <w:rFonts w:ascii="Arial" w:cs="Arial" w:eastAsia="Arial" w:hAnsi="Arial"/>
                <w:sz w:val="18"/>
                <w:szCs w:val="18"/>
                <w:b w:val="1"/>
                <w:bCs w:val="1"/>
                <w:color w:val="auto"/>
              </w:rPr>
              <w:t>(2,948)</w:t>
            </w:r>
          </w:p>
        </w:tc>
        <w:tc>
          <w:tcPr>
            <w:tcW w:w="300" w:type="dxa"/>
            <w:vAlign w:val="bottom"/>
            <w:shd w:val="clear" w:color="auto" w:fill="D6F3E8"/>
          </w:tcPr>
          <w:p>
            <w:pPr>
              <w:spacing w:after="0"/>
              <w:rPr>
                <w:sz w:val="18"/>
                <w:szCs w:val="18"/>
                <w:color w:val="auto"/>
              </w:rPr>
            </w:pPr>
          </w:p>
        </w:tc>
        <w:tc>
          <w:tcPr>
            <w:tcW w:w="78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(2,978)</w:t>
            </w:r>
          </w:p>
        </w:tc>
        <w:tc>
          <w:tcPr>
            <w:tcW w:w="300" w:type="dxa"/>
            <w:vAlign w:val="bottom"/>
            <w:shd w:val="clear" w:color="auto" w:fill="D6F3E8"/>
          </w:tcPr>
          <w:p>
            <w:pPr>
              <w:spacing w:after="0"/>
              <w:rPr>
                <w:sz w:val="18"/>
                <w:szCs w:val="18"/>
                <w:color w:val="auto"/>
              </w:rPr>
            </w:pPr>
          </w:p>
        </w:tc>
        <w:tc>
          <w:tcPr>
            <w:tcW w:w="840" w:type="dxa"/>
            <w:vAlign w:val="bottom"/>
            <w:shd w:val="clear" w:color="auto" w:fill="D6F3E8"/>
          </w:tcPr>
          <w:p>
            <w:pPr>
              <w:jc w:val="right"/>
              <w:ind w:right="156"/>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1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200" w:type="dxa"/>
            <w:vAlign w:val="bottom"/>
            <w:gridSpan w:val="3"/>
          </w:tcPr>
          <w:p>
            <w:pPr>
              <w:spacing w:after="0"/>
              <w:rPr>
                <w:sz w:val="20"/>
                <w:szCs w:val="20"/>
                <w:color w:val="auto"/>
              </w:rPr>
            </w:pPr>
            <w:r>
              <w:rPr>
                <w:rFonts w:ascii="Arial" w:cs="Arial" w:eastAsia="Arial" w:hAnsi="Arial"/>
                <w:sz w:val="18"/>
                <w:szCs w:val="18"/>
                <w:color w:val="auto"/>
              </w:rPr>
              <w:t>Net periodic postretirement benefit (income) expense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6"/>
              <w:spacing w:after="0"/>
              <w:rPr>
                <w:sz w:val="20"/>
                <w:szCs w:val="20"/>
                <w:color w:val="auto"/>
              </w:rPr>
            </w:pPr>
            <w:r>
              <w:rPr>
                <w:rFonts w:ascii="Arial" w:cs="Arial" w:eastAsia="Arial" w:hAnsi="Arial"/>
                <w:sz w:val="18"/>
                <w:szCs w:val="18"/>
                <w:b w:val="1"/>
                <w:bCs w:val="1"/>
                <w:color w:val="auto"/>
              </w:rPr>
              <w:t>(191)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(259)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6"/>
              <w:spacing w:after="0"/>
              <w:rPr>
                <w:sz w:val="20"/>
                <w:szCs w:val="20"/>
                <w:color w:val="auto"/>
              </w:rPr>
            </w:pPr>
            <w:r>
              <w:rPr>
                <w:rFonts w:ascii="Arial" w:cs="Arial" w:eastAsia="Arial" w:hAnsi="Arial"/>
                <w:sz w:val="18"/>
                <w:szCs w:val="18"/>
                <w:color w:val="auto"/>
              </w:rPr>
              <w:t>6,394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 percentage point change in assumed health care cost trend rates would have the following effects: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jc w:val="center"/>
              <w:ind w:right="304"/>
              <w:spacing w:after="0"/>
              <w:rPr>
                <w:sz w:val="20"/>
                <w:szCs w:val="20"/>
                <w:color w:val="auto"/>
              </w:rPr>
            </w:pPr>
            <w:r>
              <w:rPr>
                <w:rFonts w:ascii="Arial" w:cs="Arial" w:eastAsia="Arial" w:hAnsi="Arial"/>
                <w:sz w:val="14"/>
                <w:szCs w:val="14"/>
                <w:b w:val="1"/>
                <w:bCs w:val="1"/>
                <w:color w:val="auto"/>
                <w:w w:val="87"/>
              </w:rPr>
              <w:t>One</w:t>
            </w:r>
          </w:p>
        </w:tc>
        <w:tc>
          <w:tcPr>
            <w:tcW w:w="460" w:type="dxa"/>
            <w:vAlign w:val="bottom"/>
          </w:tcPr>
          <w:p>
            <w:pPr>
              <w:spacing w:after="0"/>
              <w:rPr>
                <w:sz w:val="14"/>
                <w:szCs w:val="14"/>
                <w:color w:val="auto"/>
              </w:rPr>
            </w:pPr>
          </w:p>
        </w:tc>
        <w:tc>
          <w:tcPr>
            <w:tcW w:w="920" w:type="dxa"/>
            <w:vAlign w:val="bottom"/>
          </w:tcPr>
          <w:p>
            <w:pPr>
              <w:jc w:val="center"/>
              <w:ind w:right="442"/>
              <w:spacing w:after="0"/>
              <w:rPr>
                <w:sz w:val="20"/>
                <w:szCs w:val="20"/>
                <w:color w:val="auto"/>
              </w:rPr>
            </w:pPr>
            <w:r>
              <w:rPr>
                <w:rFonts w:ascii="Arial" w:cs="Arial" w:eastAsia="Arial" w:hAnsi="Arial"/>
                <w:sz w:val="14"/>
                <w:szCs w:val="14"/>
                <w:b w:val="1"/>
                <w:bCs w:val="1"/>
                <w:color w:val="auto"/>
                <w:w w:val="87"/>
              </w:rPr>
              <w:t>One</w:t>
            </w:r>
          </w:p>
        </w:tc>
      </w:tr>
      <w:tr>
        <w:trPr>
          <w:trHeight w:val="149"/>
        </w:trPr>
        <w:tc>
          <w:tcPr>
            <w:tcW w:w="5360" w:type="dxa"/>
            <w:vAlign w:val="bottom"/>
          </w:tcPr>
          <w:p>
            <w:pPr>
              <w:spacing w:after="0"/>
              <w:rPr>
                <w:sz w:val="12"/>
                <w:szCs w:val="12"/>
                <w:color w:val="auto"/>
              </w:rPr>
            </w:pPr>
          </w:p>
        </w:tc>
        <w:tc>
          <w:tcPr>
            <w:tcW w:w="2540" w:type="dxa"/>
            <w:vAlign w:val="bottom"/>
            <w:gridSpan w:val="2"/>
          </w:tcPr>
          <w:p>
            <w:pPr>
              <w:jc w:val="center"/>
              <w:ind w:left="1179"/>
              <w:spacing w:after="0" w:line="149" w:lineRule="exact"/>
              <w:rPr>
                <w:sz w:val="20"/>
                <w:szCs w:val="20"/>
                <w:color w:val="auto"/>
              </w:rPr>
            </w:pPr>
            <w:r>
              <w:rPr>
                <w:rFonts w:ascii="Arial" w:cs="Arial" w:eastAsia="Arial" w:hAnsi="Arial"/>
                <w:sz w:val="14"/>
                <w:szCs w:val="14"/>
                <w:b w:val="1"/>
                <w:bCs w:val="1"/>
                <w:color w:val="auto"/>
                <w:w w:val="84"/>
              </w:rPr>
              <w:t>Percentage</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5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00" w:type="dxa"/>
            <w:vAlign w:val="bottom"/>
          </w:tcPr>
          <w:p>
            <w:pPr>
              <w:jc w:val="center"/>
              <w:ind w:right="324"/>
              <w:spacing w:after="0" w:line="149" w:lineRule="exact"/>
              <w:rPr>
                <w:sz w:val="20"/>
                <w:szCs w:val="20"/>
                <w:color w:val="auto"/>
              </w:rPr>
            </w:pPr>
            <w:r>
              <w:rPr>
                <w:rFonts w:ascii="Arial" w:cs="Arial" w:eastAsia="Arial" w:hAnsi="Arial"/>
                <w:sz w:val="14"/>
                <w:szCs w:val="14"/>
                <w:b w:val="1"/>
                <w:bCs w:val="1"/>
                <w:color w:val="auto"/>
                <w:w w:val="85"/>
              </w:rPr>
              <w:t>Point</w:t>
            </w:r>
          </w:p>
        </w:tc>
        <w:tc>
          <w:tcPr>
            <w:tcW w:w="460" w:type="dxa"/>
            <w:vAlign w:val="bottom"/>
          </w:tcPr>
          <w:p>
            <w:pPr>
              <w:spacing w:after="0"/>
              <w:rPr>
                <w:sz w:val="12"/>
                <w:szCs w:val="12"/>
                <w:color w:val="auto"/>
              </w:rPr>
            </w:pPr>
          </w:p>
        </w:tc>
        <w:tc>
          <w:tcPr>
            <w:tcW w:w="920" w:type="dxa"/>
            <w:vAlign w:val="bottom"/>
          </w:tcPr>
          <w:p>
            <w:pPr>
              <w:jc w:val="center"/>
              <w:ind w:right="442"/>
              <w:spacing w:after="0" w:line="149" w:lineRule="exact"/>
              <w:rPr>
                <w:sz w:val="20"/>
                <w:szCs w:val="20"/>
                <w:color w:val="auto"/>
              </w:rPr>
            </w:pPr>
            <w:r>
              <w:rPr>
                <w:rFonts w:ascii="Arial" w:cs="Arial" w:eastAsia="Arial" w:hAnsi="Arial"/>
                <w:sz w:val="14"/>
                <w:szCs w:val="14"/>
                <w:b w:val="1"/>
                <w:bCs w:val="1"/>
                <w:color w:val="auto"/>
                <w:w w:val="91"/>
              </w:rPr>
              <w:t>Point</w:t>
            </w:r>
          </w:p>
        </w:tc>
      </w:tr>
      <w:tr>
        <w:trPr>
          <w:trHeight w:val="174"/>
        </w:trPr>
        <w:tc>
          <w:tcPr>
            <w:tcW w:w="5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5"/>
                <w:szCs w:val="15"/>
                <w:color w:val="auto"/>
              </w:rPr>
            </w:pPr>
          </w:p>
        </w:tc>
        <w:tc>
          <w:tcPr>
            <w:tcW w:w="900" w:type="dxa"/>
            <w:vAlign w:val="bottom"/>
          </w:tcPr>
          <w:p>
            <w:pPr>
              <w:jc w:val="center"/>
              <w:ind w:right="304"/>
              <w:spacing w:after="0"/>
              <w:rPr>
                <w:sz w:val="20"/>
                <w:szCs w:val="20"/>
                <w:color w:val="auto"/>
              </w:rPr>
            </w:pPr>
            <w:r>
              <w:rPr>
                <w:rFonts w:ascii="Arial" w:cs="Arial" w:eastAsia="Arial" w:hAnsi="Arial"/>
                <w:sz w:val="14"/>
                <w:szCs w:val="14"/>
                <w:b w:val="1"/>
                <w:bCs w:val="1"/>
                <w:color w:val="auto"/>
                <w:w w:val="84"/>
              </w:rPr>
              <w:t>Increase</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Decrease</w:t>
            </w:r>
          </w:p>
        </w:tc>
      </w:tr>
      <w:tr>
        <w:trPr>
          <w:trHeight w:val="95"/>
        </w:trPr>
        <w:tc>
          <w:tcPr>
            <w:tcW w:w="53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309"/>
        </w:trPr>
        <w:tc>
          <w:tcPr>
            <w:tcW w:w="5360" w:type="dxa"/>
            <w:vAlign w:val="bottom"/>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4"/>
              <w:spacing w:after="0"/>
              <w:rPr>
                <w:sz w:val="20"/>
                <w:szCs w:val="20"/>
                <w:color w:val="auto"/>
              </w:rPr>
            </w:pPr>
            <w:r>
              <w:rPr>
                <w:rFonts w:ascii="Arial" w:cs="Arial" w:eastAsia="Arial" w:hAnsi="Arial"/>
                <w:sz w:val="18"/>
                <w:szCs w:val="18"/>
                <w:color w:val="auto"/>
              </w:rPr>
              <w:t>16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2"/>
              <w:spacing w:after="0"/>
              <w:rPr>
                <w:sz w:val="20"/>
                <w:szCs w:val="20"/>
                <w:color w:val="auto"/>
              </w:rPr>
            </w:pPr>
            <w:r>
              <w:rPr>
                <w:rFonts w:ascii="Arial" w:cs="Arial" w:eastAsia="Arial" w:hAnsi="Arial"/>
                <w:sz w:val="18"/>
                <w:szCs w:val="18"/>
                <w:color w:val="auto"/>
              </w:rPr>
              <w:t>(19)</w:t>
            </w: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4"/>
              <w:spacing w:after="0"/>
              <w:rPr>
                <w:sz w:val="20"/>
                <w:szCs w:val="20"/>
                <w:color w:val="auto"/>
              </w:rPr>
            </w:pPr>
            <w:r>
              <w:rPr>
                <w:rFonts w:ascii="Arial" w:cs="Arial" w:eastAsia="Arial" w:hAnsi="Arial"/>
                <w:sz w:val="18"/>
                <w:szCs w:val="18"/>
                <w:color w:val="auto"/>
              </w:rPr>
              <w:t>268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2"/>
              <w:spacing w:after="0"/>
              <w:rPr>
                <w:sz w:val="20"/>
                <w:szCs w:val="20"/>
                <w:color w:val="auto"/>
              </w:rPr>
            </w:pPr>
            <w:r>
              <w:rPr>
                <w:rFonts w:ascii="Arial" w:cs="Arial" w:eastAsia="Arial" w:hAnsi="Arial"/>
                <w:sz w:val="18"/>
                <w:szCs w:val="18"/>
                <w:color w:val="auto"/>
              </w:rPr>
              <w:t>(321)</w:t>
            </w:r>
          </w:p>
        </w:tc>
      </w:tr>
    </w:tbl>
    <w:p>
      <w:pPr>
        <w:spacing w:after="0" w:line="200" w:lineRule="exact"/>
        <w:rPr>
          <w:sz w:val="20"/>
          <w:szCs w:val="20"/>
          <w:color w:val="auto"/>
        </w:rPr>
      </w:pPr>
    </w:p>
    <w:p>
      <w:pPr>
        <w:sectPr>
          <w:pgSz w:w="11900" w:h="16838" w:orient="portrait"/>
          <w:cols w:equalWidth="0" w:num="1">
            <w:col w:w="11460"/>
          </w:cols>
          <w:pgMar w:left="240" w:top="131" w:right="199" w:bottom="1440" w:gutter="0" w:footer="0" w:header="0"/>
        </w:sectPr>
      </w:pP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benefit payments for postretirement health care for the next ten years are as follows: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ind w:left="1460"/>
              <w:spacing w:after="0"/>
              <w:rPr>
                <w:sz w:val="20"/>
                <w:szCs w:val="20"/>
                <w:color w:val="auto"/>
              </w:rPr>
            </w:pPr>
            <w:r>
              <w:rPr>
                <w:rFonts w:ascii="Arial" w:cs="Arial" w:eastAsia="Arial" w:hAnsi="Arial"/>
                <w:sz w:val="14"/>
                <w:szCs w:val="14"/>
                <w:b w:val="1"/>
                <w:bCs w:val="1"/>
                <w:color w:val="auto"/>
              </w:rPr>
              <w:t>Year Ended</w:t>
            </w:r>
          </w:p>
        </w:tc>
        <w:tc>
          <w:tcPr>
            <w:tcW w:w="105" w:type="dxa"/>
            <w:vAlign w:val="bottom"/>
          </w:tcPr>
          <w:p>
            <w:pPr>
              <w:spacing w:after="0"/>
              <w:rPr>
                <w:sz w:val="15"/>
                <w:szCs w:val="15"/>
                <w:color w:val="auto"/>
              </w:rPr>
            </w:pPr>
          </w:p>
        </w:tc>
        <w:tc>
          <w:tcPr>
            <w:tcW w:w="935"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r>
      <w:tr>
        <w:trPr>
          <w:trHeight w:val="81"/>
        </w:trPr>
        <w:tc>
          <w:tcPr>
            <w:tcW w:w="5700" w:type="dxa"/>
            <w:vAlign w:val="bottom"/>
            <w:tcBorders>
              <w:bottom w:val="single" w:sz="8" w:color="auto"/>
            </w:tcBorders>
          </w:tcPr>
          <w:p>
            <w:pPr>
              <w:spacing w:after="0"/>
              <w:rPr>
                <w:sz w:val="7"/>
                <w:szCs w:val="7"/>
                <w:color w:val="auto"/>
              </w:rPr>
            </w:pPr>
          </w:p>
        </w:tc>
        <w:tc>
          <w:tcPr>
            <w:tcW w:w="105" w:type="dxa"/>
            <w:vAlign w:val="bottom"/>
            <w:tcBorders>
              <w:bottom w:val="single" w:sz="8" w:color="auto"/>
            </w:tcBorders>
          </w:tcPr>
          <w:p>
            <w:pPr>
              <w:spacing w:after="0"/>
              <w:rPr>
                <w:sz w:val="7"/>
                <w:szCs w:val="7"/>
                <w:color w:val="auto"/>
              </w:rPr>
            </w:pPr>
          </w:p>
        </w:tc>
        <w:tc>
          <w:tcPr>
            <w:tcW w:w="935"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102"/>
        </w:trPr>
        <w:tc>
          <w:tcPr>
            <w:tcW w:w="5700" w:type="dxa"/>
            <w:vAlign w:val="bottom"/>
          </w:tcPr>
          <w:p>
            <w:pPr>
              <w:spacing w:after="0"/>
              <w:rPr>
                <w:sz w:val="8"/>
                <w:szCs w:val="8"/>
                <w:color w:val="auto"/>
              </w:rPr>
            </w:pPr>
          </w:p>
        </w:tc>
        <w:tc>
          <w:tcPr>
            <w:tcW w:w="105" w:type="dxa"/>
            <w:vAlign w:val="bottom"/>
          </w:tcPr>
          <w:p>
            <w:pPr>
              <w:spacing w:after="0"/>
              <w:rPr>
                <w:sz w:val="8"/>
                <w:szCs w:val="8"/>
                <w:color w:val="auto"/>
              </w:rPr>
            </w:pPr>
          </w:p>
        </w:tc>
        <w:tc>
          <w:tcPr>
            <w:tcW w:w="935"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700" w:type="dxa"/>
            <w:vAlign w:val="bottom"/>
            <w:shd w:val="clear" w:color="auto" w:fill="D6F3E8"/>
          </w:tcPr>
          <w:p>
            <w:pPr>
              <w:jc w:val="center"/>
              <w:ind w:right="2015"/>
              <w:spacing w:after="0"/>
              <w:rPr>
                <w:sz w:val="20"/>
                <w:szCs w:val="20"/>
                <w:color w:val="auto"/>
              </w:rPr>
            </w:pPr>
            <w:r>
              <w:rPr>
                <w:rFonts w:ascii="Arial" w:cs="Arial" w:eastAsia="Arial" w:hAnsi="Arial"/>
                <w:sz w:val="18"/>
                <w:szCs w:val="18"/>
                <w:color w:val="auto"/>
                <w:w w:val="89"/>
              </w:rPr>
              <w:t>2007</w:t>
            </w:r>
          </w:p>
        </w:tc>
        <w:tc>
          <w:tcPr>
            <w:tcW w:w="105"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D6F3E8"/>
          </w:tcPr>
          <w:p>
            <w:pPr>
              <w:spacing w:after="0"/>
              <w:rPr>
                <w:sz w:val="18"/>
                <w:szCs w:val="18"/>
                <w:color w:val="auto"/>
              </w:rPr>
            </w:pPr>
          </w:p>
        </w:tc>
      </w:tr>
      <w:tr>
        <w:trPr>
          <w:trHeight w:val="216"/>
        </w:trPr>
        <w:tc>
          <w:tcPr>
            <w:tcW w:w="5700" w:type="dxa"/>
            <w:vAlign w:val="bottom"/>
          </w:tcPr>
          <w:p>
            <w:pPr>
              <w:jc w:val="center"/>
              <w:ind w:right="2015"/>
              <w:spacing w:after="0"/>
              <w:rPr>
                <w:sz w:val="20"/>
                <w:szCs w:val="20"/>
                <w:color w:val="auto"/>
              </w:rPr>
            </w:pPr>
            <w:r>
              <w:rPr>
                <w:rFonts w:ascii="Arial" w:cs="Arial" w:eastAsia="Arial" w:hAnsi="Arial"/>
                <w:sz w:val="18"/>
                <w:szCs w:val="18"/>
                <w:color w:val="auto"/>
                <w:w w:val="89"/>
              </w:rPr>
              <w:t>2008</w:t>
            </w:r>
          </w:p>
        </w:tc>
        <w:tc>
          <w:tcPr>
            <w:tcW w:w="10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8"/>
                <w:szCs w:val="18"/>
                <w:color w:val="auto"/>
              </w:rPr>
            </w:pPr>
          </w:p>
        </w:tc>
      </w:tr>
      <w:tr>
        <w:trPr>
          <w:trHeight w:val="216"/>
        </w:trPr>
        <w:tc>
          <w:tcPr>
            <w:tcW w:w="5700" w:type="dxa"/>
            <w:vAlign w:val="bottom"/>
            <w:shd w:val="clear" w:color="auto" w:fill="D6F3E8"/>
          </w:tcPr>
          <w:p>
            <w:pPr>
              <w:jc w:val="center"/>
              <w:ind w:right="2015"/>
              <w:spacing w:after="0"/>
              <w:rPr>
                <w:sz w:val="20"/>
                <w:szCs w:val="20"/>
                <w:color w:val="auto"/>
              </w:rPr>
            </w:pPr>
            <w:r>
              <w:rPr>
                <w:rFonts w:ascii="Arial" w:cs="Arial" w:eastAsia="Arial" w:hAnsi="Arial"/>
                <w:sz w:val="18"/>
                <w:szCs w:val="18"/>
                <w:color w:val="auto"/>
                <w:w w:val="89"/>
              </w:rPr>
              <w:t>2009</w:t>
            </w:r>
          </w:p>
        </w:tc>
        <w:tc>
          <w:tcPr>
            <w:tcW w:w="105" w:type="dxa"/>
            <w:vAlign w:val="bottom"/>
            <w:shd w:val="clear" w:color="auto" w:fill="D6F3E8"/>
          </w:tcPr>
          <w:p>
            <w:pPr>
              <w:spacing w:after="0"/>
              <w:rPr>
                <w:sz w:val="18"/>
                <w:szCs w:val="18"/>
                <w:color w:val="auto"/>
              </w:rPr>
            </w:pPr>
          </w:p>
        </w:tc>
        <w:tc>
          <w:tcPr>
            <w:tcW w:w="935"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D6F3E8"/>
          </w:tcPr>
          <w:p>
            <w:pPr>
              <w:spacing w:after="0"/>
              <w:rPr>
                <w:sz w:val="18"/>
                <w:szCs w:val="18"/>
                <w:color w:val="auto"/>
              </w:rPr>
            </w:pPr>
          </w:p>
        </w:tc>
      </w:tr>
      <w:tr>
        <w:trPr>
          <w:trHeight w:val="216"/>
        </w:trPr>
        <w:tc>
          <w:tcPr>
            <w:tcW w:w="5700" w:type="dxa"/>
            <w:vAlign w:val="bottom"/>
          </w:tcPr>
          <w:p>
            <w:pPr>
              <w:jc w:val="center"/>
              <w:ind w:right="2015"/>
              <w:spacing w:after="0"/>
              <w:rPr>
                <w:sz w:val="20"/>
                <w:szCs w:val="20"/>
                <w:color w:val="auto"/>
              </w:rPr>
            </w:pPr>
            <w:r>
              <w:rPr>
                <w:rFonts w:ascii="Arial" w:cs="Arial" w:eastAsia="Arial" w:hAnsi="Arial"/>
                <w:sz w:val="18"/>
                <w:szCs w:val="18"/>
                <w:color w:val="auto"/>
                <w:w w:val="89"/>
              </w:rPr>
              <w:t>2010</w:t>
            </w:r>
          </w:p>
        </w:tc>
        <w:tc>
          <w:tcPr>
            <w:tcW w:w="10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r>
      <w:tr>
        <w:trPr>
          <w:trHeight w:val="216"/>
        </w:trPr>
        <w:tc>
          <w:tcPr>
            <w:tcW w:w="5700" w:type="dxa"/>
            <w:vAlign w:val="bottom"/>
            <w:shd w:val="clear" w:color="auto" w:fill="D6F3E8"/>
          </w:tcPr>
          <w:p>
            <w:pPr>
              <w:jc w:val="center"/>
              <w:ind w:right="2035"/>
              <w:spacing w:after="0"/>
              <w:rPr>
                <w:sz w:val="20"/>
                <w:szCs w:val="20"/>
                <w:color w:val="auto"/>
              </w:rPr>
            </w:pPr>
            <w:r>
              <w:rPr>
                <w:rFonts w:ascii="Arial" w:cs="Arial" w:eastAsia="Arial" w:hAnsi="Arial"/>
                <w:sz w:val="18"/>
                <w:szCs w:val="18"/>
                <w:color w:val="auto"/>
                <w:w w:val="84"/>
              </w:rPr>
              <w:t>2011</w:t>
            </w:r>
          </w:p>
        </w:tc>
        <w:tc>
          <w:tcPr>
            <w:tcW w:w="105" w:type="dxa"/>
            <w:vAlign w:val="bottom"/>
            <w:shd w:val="clear" w:color="auto" w:fill="D6F3E8"/>
          </w:tcPr>
          <w:p>
            <w:pPr>
              <w:spacing w:after="0"/>
              <w:rPr>
                <w:sz w:val="18"/>
                <w:szCs w:val="18"/>
                <w:color w:val="auto"/>
              </w:rPr>
            </w:pPr>
          </w:p>
        </w:tc>
        <w:tc>
          <w:tcPr>
            <w:tcW w:w="935"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1,512</w:t>
            </w:r>
          </w:p>
        </w:tc>
        <w:tc>
          <w:tcPr>
            <w:tcW w:w="120" w:type="dxa"/>
            <w:vAlign w:val="bottom"/>
            <w:shd w:val="clear" w:color="auto" w:fill="D6F3E8"/>
          </w:tcPr>
          <w:p>
            <w:pPr>
              <w:spacing w:after="0"/>
              <w:rPr>
                <w:sz w:val="18"/>
                <w:szCs w:val="18"/>
                <w:color w:val="auto"/>
              </w:rPr>
            </w:pPr>
          </w:p>
        </w:tc>
      </w:tr>
      <w:tr>
        <w:trPr>
          <w:trHeight w:val="222"/>
        </w:trPr>
        <w:tc>
          <w:tcPr>
            <w:tcW w:w="5700" w:type="dxa"/>
            <w:vAlign w:val="bottom"/>
          </w:tcPr>
          <w:p>
            <w:pPr>
              <w:jc w:val="center"/>
              <w:ind w:right="2015"/>
              <w:spacing w:after="0"/>
              <w:rPr>
                <w:sz w:val="20"/>
                <w:szCs w:val="20"/>
                <w:color w:val="auto"/>
              </w:rPr>
            </w:pPr>
            <w:r>
              <w:rPr>
                <w:rFonts w:ascii="Arial" w:cs="Arial" w:eastAsia="Arial" w:hAnsi="Arial"/>
                <w:sz w:val="18"/>
                <w:szCs w:val="18"/>
                <w:color w:val="auto"/>
                <w:w w:val="87"/>
              </w:rPr>
              <w:t>2012 - 2016</w:t>
            </w:r>
          </w:p>
        </w:tc>
        <w:tc>
          <w:tcPr>
            <w:tcW w:w="10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10,040</w:t>
            </w:r>
          </w:p>
        </w:tc>
        <w:tc>
          <w:tcPr>
            <w:tcW w:w="120" w:type="dxa"/>
            <w:vAlign w:val="bottom"/>
          </w:tcPr>
          <w:p>
            <w:pPr>
              <w:spacing w:after="0"/>
              <w:rPr>
                <w:sz w:val="19"/>
                <w:szCs w:val="19"/>
                <w:color w:val="auto"/>
              </w:rPr>
            </w:pPr>
          </w:p>
        </w:tc>
      </w:tr>
      <w:tr>
        <w:trPr>
          <w:trHeight w:val="102"/>
        </w:trPr>
        <w:tc>
          <w:tcPr>
            <w:tcW w:w="570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5700" w:type="dxa"/>
            <w:vAlign w:val="bottom"/>
          </w:tcPr>
          <w:p>
            <w:pPr>
              <w:spacing w:after="0"/>
              <w:rPr>
                <w:sz w:val="8"/>
                <w:szCs w:val="8"/>
                <w:color w:val="auto"/>
              </w:rPr>
            </w:pPr>
          </w:p>
        </w:tc>
        <w:tc>
          <w:tcPr>
            <w:tcW w:w="105" w:type="dxa"/>
            <w:vAlign w:val="bottom"/>
          </w:tcPr>
          <w:p>
            <w:pPr>
              <w:spacing w:after="0"/>
              <w:rPr>
                <w:sz w:val="8"/>
                <w:szCs w:val="8"/>
                <w:color w:val="auto"/>
              </w:rPr>
            </w:pPr>
          </w:p>
        </w:tc>
        <w:tc>
          <w:tcPr>
            <w:tcW w:w="935"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700" w:type="dxa"/>
            <w:vAlign w:val="bottom"/>
            <w:shd w:val="clear" w:color="auto" w:fill="D6F3E8"/>
          </w:tcPr>
          <w:p>
            <w:pPr>
              <w:spacing w:after="0"/>
              <w:rPr>
                <w:sz w:val="18"/>
                <w:szCs w:val="18"/>
                <w:color w:val="auto"/>
              </w:rPr>
            </w:pPr>
          </w:p>
        </w:tc>
        <w:tc>
          <w:tcPr>
            <w:tcW w:w="105"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15,964</w:t>
            </w:r>
          </w:p>
        </w:tc>
        <w:tc>
          <w:tcPr>
            <w:tcW w:w="120" w:type="dxa"/>
            <w:vAlign w:val="bottom"/>
            <w:shd w:val="clear" w:color="auto" w:fill="D6F3E8"/>
          </w:tcPr>
          <w:p>
            <w:pPr>
              <w:spacing w:after="0"/>
              <w:rPr>
                <w:sz w:val="18"/>
                <w:szCs w:val="18"/>
                <w:color w:val="auto"/>
              </w:rPr>
            </w:pPr>
          </w:p>
        </w:tc>
      </w:tr>
      <w:tr>
        <w:trPr>
          <w:trHeight w:val="132"/>
        </w:trPr>
        <w:tc>
          <w:tcPr>
            <w:tcW w:w="5700" w:type="dxa"/>
            <w:vAlign w:val="bottom"/>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expected benefits have been estimated based on the same assumptions used to measure our benefit obligation as of August 26, 2006 and include benefits attached to estimated future employees’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Program</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$1.5 million, $1.5 million and $7.7 million in Fiscal 2006, 2005 and 2004, respectively. Total deferred compensation liabilities were $26.6 million and $27.0 million at August 26, 2006 and August 27, 2005, respectively.</w:t>
      </w:r>
    </w:p>
    <w:p>
      <w:pPr>
        <w:spacing w:after="0" w:line="17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To assist in funding the deferred compensation liability, we have invested in corporate-owned life insurance policies. The cash surrender value of these policies are presented as investment in life insurance in the accompanying consolidated balance sheets and consist of the following components: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480" w:type="dxa"/>
            <w:vAlign w:val="bottom"/>
          </w:tcPr>
          <w:p>
            <w:pPr>
              <w:jc w:val="right"/>
              <w:ind w:right="837"/>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220" w:type="dxa"/>
            <w:vAlign w:val="bottom"/>
          </w:tcPr>
          <w:p>
            <w:pPr>
              <w:jc w:val="right"/>
              <w:ind w:right="63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D6F3E8"/>
          </w:tcPr>
          <w:p>
            <w:pPr>
              <w:spacing w:after="0"/>
              <w:rPr>
                <w:sz w:val="20"/>
                <w:szCs w:val="20"/>
                <w:color w:val="auto"/>
              </w:rPr>
            </w:pPr>
            <w:r>
              <w:rPr>
                <w:rFonts w:ascii="Arial" w:cs="Arial" w:eastAsia="Arial" w:hAnsi="Arial"/>
                <w:sz w:val="18"/>
                <w:szCs w:val="18"/>
                <w:color w:val="auto"/>
              </w:rPr>
              <w:t>Cash value</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shd w:val="clear" w:color="auto" w:fill="D6F3E8"/>
          </w:tcPr>
          <w:p>
            <w:pPr>
              <w:jc w:val="right"/>
              <w:ind w:right="417"/>
              <w:spacing w:after="0"/>
              <w:rPr>
                <w:sz w:val="20"/>
                <w:szCs w:val="20"/>
                <w:color w:val="auto"/>
              </w:rPr>
            </w:pPr>
            <w:r>
              <w:rPr>
                <w:rFonts w:ascii="Arial" w:cs="Arial" w:eastAsia="Arial" w:hAnsi="Arial"/>
                <w:sz w:val="18"/>
                <w:szCs w:val="18"/>
                <w:b w:val="1"/>
                <w:bCs w:val="1"/>
                <w:color w:val="auto"/>
              </w:rPr>
              <w:t>37,417</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37,116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19"/>
                <w:szCs w:val="19"/>
                <w:color w:val="auto"/>
              </w:rPr>
            </w:pPr>
          </w:p>
        </w:tc>
        <w:tc>
          <w:tcPr>
            <w:tcW w:w="1480" w:type="dxa"/>
            <w:vAlign w:val="bottom"/>
          </w:tcPr>
          <w:p>
            <w:pPr>
              <w:jc w:val="right"/>
              <w:ind w:right="357"/>
              <w:spacing w:after="0"/>
              <w:rPr>
                <w:sz w:val="20"/>
                <w:szCs w:val="20"/>
                <w:color w:val="auto"/>
              </w:rPr>
            </w:pPr>
            <w:r>
              <w:rPr>
                <w:rFonts w:ascii="Arial" w:cs="Arial" w:eastAsia="Arial" w:hAnsi="Arial"/>
                <w:sz w:val="18"/>
                <w:szCs w:val="18"/>
                <w:b w:val="1"/>
                <w:bCs w:val="1"/>
                <w:color w:val="auto"/>
              </w:rPr>
              <w:t>(20,838)</w:t>
            </w:r>
          </w:p>
        </w:tc>
        <w:tc>
          <w:tcPr>
            <w:tcW w:w="3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(19,403)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70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D6F3E8"/>
          </w:tcPr>
          <w:p>
            <w:pPr>
              <w:spacing w:after="0"/>
              <w:rPr>
                <w:sz w:val="20"/>
                <w:szCs w:val="20"/>
                <w:color w:val="auto"/>
              </w:rPr>
            </w:pPr>
            <w:r>
              <w:rPr>
                <w:rFonts w:ascii="Arial" w:cs="Arial" w:eastAsia="Arial" w:hAnsi="Arial"/>
                <w:sz w:val="18"/>
                <w:szCs w:val="18"/>
                <w:color w:val="auto"/>
              </w:rPr>
              <w:t>Cash surrender value</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shd w:val="clear" w:color="auto" w:fill="D6F3E8"/>
          </w:tcPr>
          <w:p>
            <w:pPr>
              <w:jc w:val="right"/>
              <w:ind w:right="417"/>
              <w:spacing w:after="0"/>
              <w:rPr>
                <w:sz w:val="20"/>
                <w:szCs w:val="20"/>
                <w:color w:val="auto"/>
              </w:rPr>
            </w:pPr>
            <w:r>
              <w:rPr>
                <w:rFonts w:ascii="Arial" w:cs="Arial" w:eastAsia="Arial" w:hAnsi="Arial"/>
                <w:sz w:val="18"/>
                <w:szCs w:val="18"/>
                <w:b w:val="1"/>
                <w:bCs w:val="1"/>
                <w:color w:val="auto"/>
              </w:rPr>
              <w:t>16,579</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17,713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Share Option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have a Non-Qualified Share Option Program which permitted participants in the Executive Share Option Plan (the “Executive Plan”) to choose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 a portion of their salary or other eligible compensation for options on selected securities, primarily equity-based mutual funds. These assets are treated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 trading securities and are recorded at fair value. The Executive Plan has been closed to any additional deferrals since January 2005. Total Executive Plan assets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are included in other assets and total Executive Plan liabilities are included in postretirement health care and deferred compensation benefits in the accompanying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Such assets on August 26, 2006 and August 27, 2005 were $13.3 million and $12.6 million, respectively, and the liabilities were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$10.7 million and $9.9 million, respectively. The difference between the asset and liability balances represents the additional 25 percent the Company contributed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the initial deferrals to aid in potential additional earnings to the participant. This contribution is required to be paid back to the Company when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 is exercised.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Sharing Plan</w:t>
      </w:r>
    </w:p>
    <w:p>
      <w:pPr>
        <w:spacing w:after="0" w:line="22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for quarterly discretionary cash contributions as approved by our Board of Directors. Contributions to the plan for Fiscal 2006, 2005 and 2004 were $2.6 million, $3.4 million and $3.2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Contingent Liabilities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Commitments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Generally, companies in the RV industry enter into repurchase agreements with lending institutions which have provided wholesale floorplan financing to dealers. Most dealers’ motor homes are financed on a “floorplan” basis under which a bank or finance company lends the dealer all, or substantially all, of the purchase price, collateralized by a security interest in the motor homes purchased.</w:t>
      </w:r>
    </w:p>
    <w:p>
      <w:pPr>
        <w:sectPr>
          <w:pgSz w:w="11900" w:h="16838" w:orient="portrait"/>
          <w:cols w:equalWidth="0" w:num="1">
            <w:col w:w="11400"/>
          </w:cols>
          <w:pgMar w:left="240" w:top="131" w:right="259" w:bottom="1035"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035"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agreements provide that our liability will not exceed 100 percent of the dealer invoice and provide for periodic liability reductions based on the time since the date of the original invoice. These repurchase obligations expire upon the earlier to occur of (i) the dealer’s sale of the financed unit or (ii) one year from the date of the original invoice. Our contingent obligations under these repurchase agreements are reduced by the proceeds received upon the resale of any repurchased unit. Our contingent liability on these repurchase agreements was approximately $278.6 million and $345.2 million at August 26, 2006 and August 27, 2005, respectively. We have incurred no losses under these repurchase agreements during the three fiscal years presented and as a result, repurchase reserves under our repurchase agreements at August 26, 2006 and August 27, 2005 were not significant.</w:t>
      </w:r>
    </w:p>
    <w:p>
      <w:pPr>
        <w:spacing w:after="0" w:line="172"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Our reserve methodology is used to record an estimated expense and loss reserve in each accounting period based upon our extensive history and experience under these repurchase agreements with the lenders to our dealers. As of August 26, 2006, historical data on our repurchase agreements show that less than .05% of the outstanding contingent repurchase liability will potentially be repurchased and the estimated loss reserve of approximately 3 percent of such repurchase was established as loss history of these potential repurchased products. Upon resale of the repurchased units, we do not record the transaction as revenue. The difference between the repurchase price and the net proceeds received from reselling the units is charged against our reserve for losses on repurchases.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For Suppliers</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second quarter of Fiscal 2002, we entered into a five-year service agreement (the “Agreement”) with an unaffiliated third-party paint Supplier (the “Supplier”) and the Forest City Economic Development, Inc., (FCED) an Iowa nonprofit corporation, requiring the Supplier to provide RV paint services to the Company. Three of our officers have board seats on the 20-member FCED board. The FCED constructed and debt financed a paint facility on its land adjoining our Forest City manufacturing plant for the Supplier and the Supplier leases the land and facility from the FCED under a lease that expires in August 2012. In the event of termination of the Agreement by any of the parties involved before September 1, 2007, the rights and obligations of the Supplier under the lease would be transferred to us. As of August 26, 2006, the Supplier is current with its lease payment obligations to the FCED with approximately $3.0 million remaining to be paid through August 2012. Under the terms of the Agreement in the event of a default by the Supplier, we would be obligated to purchase from the Supplier approximately $1.3 million of equipment installed in the paint facility at net book value of $448,000, as of August 26, 2006, and we would be obligated to assume payment obligations for approximately $10,000 in capital equipment leases remaining to be paid at August 26, 2006. In the first quarter of Fiscal 2004, we guaranteed $2,925,000 bank debt and as part of this transaction executed a guarantee of $500,000 with us pledging a $500,000 certificate of deposit (CD) to the bank. The term of the guarantee coincided with the payment of the first $500,000 of lease obligations of the Supplier, which was paid in February of 2006. As a result of the guarantee, we recorded a $500,000 liability in the first quarter of Fiscal 2004 which was amortized to $0 in Fiscal 2006. The CD has been released and deposited in our corporate funds subsequent to year end.</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second quarter of Fiscal 2004, we entered into a five-year limited guarantee agreement (“Guarantee Agreement”) with a leasing corporation (“Landlord”) and the previously discussed Supplier. The Landlord constructed a paint facility through debt financing on land adjoining our Charles City manufacturing plant for the Supplier. The Landlord and the Supplier have signed a ten-year lease agreement which commenced on August 1, 2004. The Guarantee Agreement states that we will guarantee the first 60 monthly lease payments (totaling approximately $1.6 million of which $831,000 was remaining as of August 26, 2006). In the event of rental default before August 2009 and the Supplier’s failure to correct the default, the Landlord shall give us (Guarantor) written notice of its intent to terminate said lease. At the time of this notification, we have various options that we must exercise in a timely manner. One alternative is to exercise an option to purchase the real estate with improvements from the Landlord. The price we would pay would be the outstanding loan owed by the Landlord to construct the paint facility, which was approximately $1.8 million as of August 26, 2006. As of August 26, 2006, the Supplier is current with its lease payment obligations to the Landlord. In August 2004, approximately $315,000 was recorded by us as the estimated fair value for the guarantee. As of August 26, 2006, the balance of the guarantee was approximately $182,000 and presented as other accrued liabilities in the accompanying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Self-Insured Product Liability</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self-insure for a portion of product liability claims. Self-insurance retention liability varies annually based on market conditions and for the past five fiscal years was at $2.5 million per occurrence and $6.0 million in aggregate per policy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the event that the annual aggregate of the self-insured retention is exhausted by payment of claims and defense expenses, a deductible of $250,000, excluding defense expenses, is applicable to each claim covered under this policy. Our product liability accrual is included within accrued self-insurance on our consolidated balance sheet along with other types of self-insured liabilities, such as worker’s compensation and employee medical claims.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are involved in various legal proceedings which are ordinary routine litigation incidents to our business, some of which are covered in whole or in part by insurance. While it is impossible to estimate with certainty the ultimate legal and financial liability with respect to this litigation, we are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31"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We lease certain facilities and equipment under operating leases. Lease expense was $318,000 for Fiscal 2006, $573,000 for Fiscal 2005 and $609,000 for Fiscal 2004. Minimum future lease commitments under noncancelable lease agreements in excess of one year as of August 27, 2005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D6F3E8"/>
          </w:tcPr>
          <w:p>
            <w:pPr>
              <w:spacing w:after="0"/>
              <w:rPr>
                <w:sz w:val="20"/>
                <w:szCs w:val="20"/>
                <w:color w:val="auto"/>
              </w:rPr>
            </w:pPr>
            <w:r>
              <w:rPr>
                <w:rFonts w:ascii="Arial" w:cs="Arial" w:eastAsia="Arial" w:hAnsi="Arial"/>
                <w:sz w:val="18"/>
                <w:szCs w:val="18"/>
                <w:color w:val="auto"/>
              </w:rPr>
              <w:t>2007</w:t>
            </w:r>
          </w:p>
        </w:tc>
        <w:tc>
          <w:tcPr>
            <w:tcW w:w="20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2008</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D6F3E8"/>
          </w:tcPr>
          <w:p>
            <w:pPr>
              <w:spacing w:after="0"/>
              <w:rPr>
                <w:sz w:val="20"/>
                <w:szCs w:val="20"/>
                <w:color w:val="auto"/>
              </w:rPr>
            </w:pPr>
            <w:r>
              <w:rPr>
                <w:rFonts w:ascii="Arial" w:cs="Arial" w:eastAsia="Arial" w:hAnsi="Arial"/>
                <w:sz w:val="18"/>
                <w:szCs w:val="18"/>
                <w:color w:val="auto"/>
              </w:rPr>
              <w:t>2009</w:t>
            </w:r>
          </w:p>
        </w:tc>
        <w:tc>
          <w:tcPr>
            <w:tcW w:w="19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2010</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D6F3E8"/>
          </w:tcPr>
          <w:p>
            <w:pPr>
              <w:spacing w:after="0"/>
              <w:rPr>
                <w:sz w:val="20"/>
                <w:szCs w:val="20"/>
                <w:color w:val="auto"/>
              </w:rPr>
            </w:pPr>
            <w:r>
              <w:rPr>
                <w:rFonts w:ascii="Arial" w:cs="Arial" w:eastAsia="Arial" w:hAnsi="Arial"/>
                <w:sz w:val="18"/>
                <w:szCs w:val="18"/>
                <w:color w:val="auto"/>
              </w:rPr>
              <w:t>2011</w:t>
            </w:r>
          </w:p>
        </w:tc>
        <w:tc>
          <w:tcPr>
            <w:tcW w:w="19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700" w:type="dxa"/>
            <w:vAlign w:val="bottom"/>
            <w:gridSpan w:val="2"/>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208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D6F3E8"/>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-27305</wp:posOffset>
            </wp:positionV>
            <wp:extent cx="57848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0" w:type="dxa"/>
            <w:vAlign w:val="bottom"/>
          </w:tcPr>
          <w:p>
            <w:pPr>
              <w:spacing w:after="0"/>
              <w:rPr>
                <w:sz w:val="15"/>
                <w:szCs w:val="15"/>
                <w:color w:val="auto"/>
              </w:rPr>
            </w:pPr>
          </w:p>
        </w:tc>
        <w:tc>
          <w:tcPr>
            <w:tcW w:w="1030" w:type="dxa"/>
            <w:vAlign w:val="bottom"/>
          </w:tcPr>
          <w:p>
            <w:pPr>
              <w:jc w:val="center"/>
              <w:ind w:right="170"/>
              <w:spacing w:after="0"/>
              <w:rPr>
                <w:sz w:val="20"/>
                <w:szCs w:val="20"/>
                <w:color w:val="auto"/>
              </w:rPr>
            </w:pPr>
            <w:r>
              <w:rPr>
                <w:rFonts w:ascii="Arial" w:cs="Arial" w:eastAsia="Arial" w:hAnsi="Arial"/>
                <w:sz w:val="14"/>
                <w:szCs w:val="14"/>
                <w:b w:val="1"/>
                <w:bCs w:val="1"/>
                <w:color w:val="auto"/>
                <w:w w:val="88"/>
              </w:rPr>
              <w:t>Year Ended</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03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58"/>
              <w:spacing w:after="0"/>
              <w:rPr>
                <w:sz w:val="20"/>
                <w:szCs w:val="20"/>
                <w:color w:val="auto"/>
              </w:rPr>
            </w:pPr>
            <w:r>
              <w:rPr>
                <w:rFonts w:ascii="Arial" w:cs="Arial" w:eastAsia="Arial" w:hAnsi="Arial"/>
                <w:sz w:val="14"/>
                <w:szCs w:val="14"/>
                <w:b w:val="1"/>
                <w:bCs w:val="1"/>
                <w:color w:val="auto"/>
              </w:rPr>
              <w:t>Aug. 26,</w:t>
            </w:r>
          </w:p>
        </w:tc>
        <w:tc>
          <w:tcPr>
            <w:tcW w:w="270" w:type="dxa"/>
            <w:vAlign w:val="bottom"/>
          </w:tcPr>
          <w:p>
            <w:pPr>
              <w:spacing w:after="0"/>
              <w:rPr>
                <w:sz w:val="20"/>
                <w:szCs w:val="20"/>
                <w:color w:val="auto"/>
              </w:rPr>
            </w:pPr>
          </w:p>
        </w:tc>
        <w:tc>
          <w:tcPr>
            <w:tcW w:w="1030" w:type="dxa"/>
            <w:vAlign w:val="bottom"/>
          </w:tcPr>
          <w:p>
            <w:pPr>
              <w:jc w:val="center"/>
              <w:ind w:right="210"/>
              <w:spacing w:after="0"/>
              <w:rPr>
                <w:sz w:val="20"/>
                <w:szCs w:val="20"/>
                <w:color w:val="auto"/>
              </w:rPr>
            </w:pPr>
            <w:r>
              <w:rPr>
                <w:rFonts w:ascii="Arial" w:cs="Arial" w:eastAsia="Arial" w:hAnsi="Arial"/>
                <w:sz w:val="14"/>
                <w:szCs w:val="14"/>
                <w:b w:val="1"/>
                <w:bCs w:val="1"/>
                <w:color w:val="auto"/>
                <w:w w:val="88"/>
              </w:rPr>
              <w:t>Aug. 27,</w:t>
            </w:r>
          </w:p>
        </w:tc>
        <w:tc>
          <w:tcPr>
            <w:tcW w:w="34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 28,</w:t>
            </w:r>
          </w:p>
        </w:tc>
        <w:tc>
          <w:tcPr>
            <w:tcW w:w="0" w:type="dxa"/>
            <w:vAlign w:val="bottom"/>
          </w:tcPr>
          <w:p>
            <w:pPr>
              <w:spacing w:after="0"/>
              <w:rPr>
                <w:sz w:val="1"/>
                <w:szCs w:val="1"/>
                <w:color w:val="auto"/>
              </w:rPr>
            </w:pPr>
          </w:p>
        </w:tc>
      </w:tr>
      <w:tr>
        <w:trPr>
          <w:trHeight w:val="174"/>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20" w:type="dxa"/>
            <w:vAlign w:val="bottom"/>
          </w:tcPr>
          <w:p>
            <w:pPr>
              <w:jc w:val="right"/>
              <w:ind w:right="458"/>
              <w:spacing w:after="0"/>
              <w:rPr>
                <w:sz w:val="20"/>
                <w:szCs w:val="20"/>
                <w:color w:val="auto"/>
              </w:rPr>
            </w:pPr>
            <w:r>
              <w:rPr>
                <w:rFonts w:ascii="Arial" w:cs="Arial" w:eastAsia="Arial" w:hAnsi="Arial"/>
                <w:sz w:val="14"/>
                <w:szCs w:val="14"/>
                <w:b w:val="1"/>
                <w:bCs w:val="1"/>
                <w:color w:val="auto"/>
              </w:rPr>
              <w:t>2006</w:t>
            </w:r>
          </w:p>
        </w:tc>
        <w:tc>
          <w:tcPr>
            <w:tcW w:w="270" w:type="dxa"/>
            <w:vAlign w:val="bottom"/>
          </w:tcPr>
          <w:p>
            <w:pPr>
              <w:spacing w:after="0"/>
              <w:rPr>
                <w:sz w:val="15"/>
                <w:szCs w:val="15"/>
                <w:color w:val="auto"/>
              </w:rPr>
            </w:pPr>
          </w:p>
        </w:tc>
        <w:tc>
          <w:tcPr>
            <w:tcW w:w="1030" w:type="dxa"/>
            <w:vAlign w:val="bottom"/>
          </w:tcPr>
          <w:p>
            <w:pPr>
              <w:jc w:val="center"/>
              <w:ind w:right="210"/>
              <w:spacing w:after="0"/>
              <w:rPr>
                <w:sz w:val="20"/>
                <w:szCs w:val="20"/>
                <w:color w:val="auto"/>
              </w:rPr>
            </w:pPr>
            <w:r>
              <w:rPr>
                <w:rFonts w:ascii="Arial" w:cs="Arial" w:eastAsia="Arial" w:hAnsi="Arial"/>
                <w:sz w:val="14"/>
                <w:szCs w:val="14"/>
                <w:b w:val="1"/>
                <w:bCs w:val="1"/>
                <w:color w:val="auto"/>
                <w:w w:val="89"/>
              </w:rPr>
              <w:t>2005</w:t>
            </w:r>
          </w:p>
        </w:tc>
        <w:tc>
          <w:tcPr>
            <w:tcW w:w="340" w:type="dxa"/>
            <w:vAlign w:val="bottom"/>
          </w:tcPr>
          <w:p>
            <w:pPr>
              <w:spacing w:after="0"/>
              <w:rPr>
                <w:sz w:val="15"/>
                <w:szCs w:val="15"/>
                <w:color w:val="auto"/>
              </w:rPr>
            </w:pPr>
          </w:p>
        </w:tc>
        <w:tc>
          <w:tcPr>
            <w:tcW w:w="1040" w:type="dxa"/>
            <w:vAlign w:val="bottom"/>
          </w:tcPr>
          <w:p>
            <w:pPr>
              <w:jc w:val="right"/>
              <w:ind w:right="478"/>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03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70" w:type="dxa"/>
            <w:vAlign w:val="bottom"/>
          </w:tcPr>
          <w:p>
            <w:pPr>
              <w:spacing w:after="0"/>
              <w:rPr>
                <w:sz w:val="8"/>
                <w:szCs w:val="8"/>
                <w:color w:val="auto"/>
              </w:rPr>
            </w:pPr>
          </w:p>
        </w:tc>
        <w:tc>
          <w:tcPr>
            <w:tcW w:w="10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D6F3E8"/>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70" w:type="dxa"/>
            <w:vAlign w:val="bottom"/>
            <w:shd w:val="clear" w:color="auto" w:fill="D6F3E8"/>
          </w:tcPr>
          <w:p>
            <w:pPr>
              <w:spacing w:after="0"/>
              <w:rPr>
                <w:sz w:val="18"/>
                <w:szCs w:val="18"/>
                <w:color w:val="auto"/>
              </w:rPr>
            </w:pPr>
          </w:p>
        </w:tc>
        <w:tc>
          <w:tcPr>
            <w:tcW w:w="103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ind w:right="78"/>
              <w:spacing w:after="0"/>
              <w:rPr>
                <w:sz w:val="20"/>
                <w:szCs w:val="20"/>
                <w:color w:val="auto"/>
              </w:rPr>
            </w:pPr>
            <w:r>
              <w:rPr>
                <w:rFonts w:ascii="Arial" w:cs="Arial" w:eastAsia="Arial" w:hAnsi="Arial"/>
                <w:sz w:val="18"/>
                <w:szCs w:val="18"/>
                <w:b w:val="1"/>
                <w:bCs w:val="1"/>
                <w:color w:val="auto"/>
              </w:rPr>
              <w:t>21,360</w:t>
            </w:r>
          </w:p>
        </w:tc>
        <w:tc>
          <w:tcPr>
            <w:tcW w:w="270" w:type="dxa"/>
            <w:vAlign w:val="bottom"/>
          </w:tcPr>
          <w:p>
            <w:pPr>
              <w:jc w:val="right"/>
              <w:spacing w:after="0"/>
              <w:rPr>
                <w:sz w:val="20"/>
                <w:szCs w:val="20"/>
                <w:color w:val="auto"/>
              </w:rPr>
            </w:pPr>
            <w:r>
              <w:rPr>
                <w:rFonts w:ascii="Arial" w:cs="Arial" w:eastAsia="Arial" w:hAnsi="Arial"/>
                <w:sz w:val="18"/>
                <w:szCs w:val="18"/>
                <w:color w:val="auto"/>
              </w:rPr>
              <w:t>$</w:t>
            </w:r>
          </w:p>
        </w:tc>
        <w:tc>
          <w:tcPr>
            <w:tcW w:w="1030" w:type="dxa"/>
            <w:vAlign w:val="bottom"/>
          </w:tcPr>
          <w:p>
            <w:pPr>
              <w:jc w:val="right"/>
              <w:ind w:right="100"/>
              <w:spacing w:after="0"/>
              <w:rPr>
                <w:sz w:val="20"/>
                <w:szCs w:val="20"/>
                <w:color w:val="auto"/>
              </w:rPr>
            </w:pPr>
            <w:r>
              <w:rPr>
                <w:rFonts w:ascii="Arial" w:cs="Arial" w:eastAsia="Arial" w:hAnsi="Arial"/>
                <w:sz w:val="18"/>
                <w:szCs w:val="18"/>
                <w:color w:val="auto"/>
              </w:rPr>
              <w:t>30,092</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46,688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8"/>
              <w:spacing w:after="0"/>
              <w:rPr>
                <w:sz w:val="20"/>
                <w:szCs w:val="20"/>
                <w:color w:val="auto"/>
              </w:rPr>
            </w:pPr>
            <w:r>
              <w:rPr>
                <w:rFonts w:ascii="Arial" w:cs="Arial" w:eastAsia="Arial" w:hAnsi="Arial"/>
                <w:sz w:val="18"/>
                <w:szCs w:val="18"/>
                <w:b w:val="1"/>
                <w:bCs w:val="1"/>
                <w:color w:val="auto"/>
              </w:rPr>
              <w:t>1,553</w:t>
            </w:r>
          </w:p>
        </w:tc>
        <w:tc>
          <w:tcPr>
            <w:tcW w:w="270" w:type="dxa"/>
            <w:vAlign w:val="bottom"/>
            <w:shd w:val="clear" w:color="auto" w:fill="D6F3E8"/>
          </w:tcPr>
          <w:p>
            <w:pPr>
              <w:spacing w:after="0"/>
              <w:rPr>
                <w:sz w:val="18"/>
                <w:szCs w:val="18"/>
                <w:color w:val="auto"/>
              </w:rPr>
            </w:pPr>
          </w:p>
        </w:tc>
        <w:tc>
          <w:tcPr>
            <w:tcW w:w="1030" w:type="dxa"/>
            <w:vAlign w:val="bottom"/>
            <w:shd w:val="clear" w:color="auto" w:fill="D6F3E8"/>
          </w:tcPr>
          <w:p>
            <w:pPr>
              <w:jc w:val="right"/>
              <w:ind w:right="100"/>
              <w:spacing w:after="0"/>
              <w:rPr>
                <w:sz w:val="20"/>
                <w:szCs w:val="20"/>
                <w:color w:val="auto"/>
              </w:rPr>
            </w:pPr>
            <w:r>
              <w:rPr>
                <w:rFonts w:ascii="Arial" w:cs="Arial" w:eastAsia="Arial" w:hAnsi="Arial"/>
                <w:sz w:val="18"/>
                <w:szCs w:val="18"/>
                <w:color w:val="auto"/>
              </w:rPr>
              <w:t>2,300</w:t>
            </w:r>
          </w:p>
        </w:tc>
        <w:tc>
          <w:tcPr>
            <w:tcW w:w="34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78"/>
              <w:spacing w:after="0"/>
              <w:rPr>
                <w:sz w:val="20"/>
                <w:szCs w:val="20"/>
                <w:color w:val="auto"/>
              </w:rPr>
            </w:pPr>
            <w:r>
              <w:rPr>
                <w:rFonts w:ascii="Arial" w:cs="Arial" w:eastAsia="Arial" w:hAnsi="Arial"/>
                <w:sz w:val="18"/>
                <w:szCs w:val="18"/>
                <w:color w:val="auto"/>
              </w:rPr>
              <w:t>2,521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103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b w:val="1"/>
                <w:bCs w:val="1"/>
                <w:color w:val="auto"/>
              </w:rPr>
              <w:t>22,913</w:t>
            </w:r>
          </w:p>
        </w:tc>
        <w:tc>
          <w:tcPr>
            <w:tcW w:w="270" w:type="dxa"/>
            <w:vAlign w:val="bottom"/>
          </w:tcPr>
          <w:p>
            <w:pPr>
              <w:spacing w:after="0"/>
              <w:rPr>
                <w:sz w:val="24"/>
                <w:szCs w:val="24"/>
                <w:color w:val="auto"/>
              </w:rPr>
            </w:pPr>
          </w:p>
        </w:tc>
        <w:tc>
          <w:tcPr>
            <w:tcW w:w="1030" w:type="dxa"/>
            <w:vAlign w:val="bottom"/>
          </w:tcPr>
          <w:p>
            <w:pPr>
              <w:jc w:val="right"/>
              <w:ind w:right="100"/>
              <w:spacing w:after="0"/>
              <w:rPr>
                <w:sz w:val="20"/>
                <w:szCs w:val="20"/>
                <w:color w:val="auto"/>
              </w:rPr>
            </w:pPr>
            <w:r>
              <w:rPr>
                <w:rFonts w:ascii="Arial" w:cs="Arial" w:eastAsia="Arial" w:hAnsi="Arial"/>
                <w:sz w:val="18"/>
                <w:szCs w:val="18"/>
                <w:color w:val="auto"/>
              </w:rPr>
              <w:t>32,392</w:t>
            </w:r>
          </w:p>
        </w:tc>
        <w:tc>
          <w:tcPr>
            <w:tcW w:w="340" w:type="dxa"/>
            <w:vAlign w:val="bottom"/>
          </w:tcPr>
          <w:p>
            <w:pPr>
              <w:spacing w:after="0"/>
              <w:rPr>
                <w:sz w:val="24"/>
                <w:szCs w:val="24"/>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49,209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D6F3E8"/>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8"/>
              <w:spacing w:after="0"/>
              <w:rPr>
                <w:sz w:val="20"/>
                <w:szCs w:val="20"/>
                <w:color w:val="auto"/>
              </w:rPr>
            </w:pPr>
            <w:r>
              <w:rPr>
                <w:rFonts w:ascii="Arial" w:cs="Arial" w:eastAsia="Arial" w:hAnsi="Arial"/>
                <w:sz w:val="18"/>
                <w:szCs w:val="18"/>
                <w:b w:val="1"/>
                <w:bCs w:val="1"/>
                <w:color w:val="auto"/>
              </w:rPr>
              <w:t>538</w:t>
            </w:r>
          </w:p>
        </w:tc>
        <w:tc>
          <w:tcPr>
            <w:tcW w:w="270" w:type="dxa"/>
            <w:vAlign w:val="bottom"/>
            <w:shd w:val="clear" w:color="auto" w:fill="D6F3E8"/>
          </w:tcPr>
          <w:p>
            <w:pPr>
              <w:spacing w:after="0"/>
              <w:rPr>
                <w:sz w:val="18"/>
                <w:szCs w:val="18"/>
                <w:color w:val="auto"/>
              </w:rPr>
            </w:pPr>
          </w:p>
        </w:tc>
        <w:tc>
          <w:tcPr>
            <w:tcW w:w="1030" w:type="dxa"/>
            <w:vAlign w:val="bottom"/>
            <w:shd w:val="clear" w:color="auto" w:fill="D6F3E8"/>
          </w:tcPr>
          <w:p>
            <w:pPr>
              <w:jc w:val="right"/>
              <w:ind w:right="100"/>
              <w:spacing w:after="0"/>
              <w:rPr>
                <w:sz w:val="20"/>
                <w:szCs w:val="20"/>
                <w:color w:val="auto"/>
              </w:rPr>
            </w:pPr>
            <w:r>
              <w:rPr>
                <w:rFonts w:ascii="Arial" w:cs="Arial" w:eastAsia="Arial" w:hAnsi="Arial"/>
                <w:sz w:val="18"/>
                <w:szCs w:val="18"/>
                <w:color w:val="auto"/>
              </w:rPr>
              <w:t>3,425</w:t>
            </w:r>
          </w:p>
        </w:tc>
        <w:tc>
          <w:tcPr>
            <w:tcW w:w="34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18"/>
              <w:spacing w:after="0"/>
              <w:rPr>
                <w:sz w:val="20"/>
                <w:szCs w:val="20"/>
                <w:color w:val="auto"/>
              </w:rPr>
            </w:pPr>
            <w:r>
              <w:rPr>
                <w:rFonts w:ascii="Arial" w:cs="Arial" w:eastAsia="Arial" w:hAnsi="Arial"/>
                <w:sz w:val="18"/>
                <w:szCs w:val="18"/>
                <w:color w:val="auto"/>
              </w:rPr>
              <w:t>(7,616)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0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103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00" w:type="dxa"/>
            <w:vAlign w:val="bottom"/>
            <w:gridSpan w:val="2"/>
          </w:tcPr>
          <w:p>
            <w:pPr>
              <w:spacing w:after="0"/>
              <w:rPr>
                <w:sz w:val="20"/>
                <w:szCs w:val="20"/>
                <w:color w:val="auto"/>
              </w:rPr>
            </w:pPr>
            <w:r>
              <w:rPr>
                <w:rFonts w:ascii="Arial" w:cs="Arial" w:eastAsia="Arial" w:hAnsi="Arial"/>
                <w:sz w:val="18"/>
                <w:szCs w:val="18"/>
                <w:color w:val="auto"/>
              </w:rPr>
              <w:t>Total provision</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ind w:right="78"/>
              <w:spacing w:after="0"/>
              <w:rPr>
                <w:sz w:val="20"/>
                <w:szCs w:val="20"/>
                <w:color w:val="auto"/>
              </w:rPr>
            </w:pPr>
            <w:r>
              <w:rPr>
                <w:rFonts w:ascii="Arial" w:cs="Arial" w:eastAsia="Arial" w:hAnsi="Arial"/>
                <w:sz w:val="18"/>
                <w:szCs w:val="18"/>
                <w:b w:val="1"/>
                <w:bCs w:val="1"/>
                <w:color w:val="auto"/>
              </w:rPr>
              <w:t>23,451</w:t>
            </w:r>
          </w:p>
        </w:tc>
        <w:tc>
          <w:tcPr>
            <w:tcW w:w="270" w:type="dxa"/>
            <w:vAlign w:val="bottom"/>
          </w:tcPr>
          <w:p>
            <w:pPr>
              <w:jc w:val="right"/>
              <w:spacing w:after="0"/>
              <w:rPr>
                <w:sz w:val="20"/>
                <w:szCs w:val="20"/>
                <w:color w:val="auto"/>
              </w:rPr>
            </w:pPr>
            <w:r>
              <w:rPr>
                <w:rFonts w:ascii="Arial" w:cs="Arial" w:eastAsia="Arial" w:hAnsi="Arial"/>
                <w:sz w:val="18"/>
                <w:szCs w:val="18"/>
                <w:color w:val="auto"/>
              </w:rPr>
              <w:t>$</w:t>
            </w:r>
          </w:p>
        </w:tc>
        <w:tc>
          <w:tcPr>
            <w:tcW w:w="1030" w:type="dxa"/>
            <w:vAlign w:val="bottom"/>
          </w:tcPr>
          <w:p>
            <w:pPr>
              <w:jc w:val="right"/>
              <w:ind w:right="100"/>
              <w:spacing w:after="0"/>
              <w:rPr>
                <w:sz w:val="20"/>
                <w:szCs w:val="20"/>
                <w:color w:val="auto"/>
              </w:rPr>
            </w:pPr>
            <w:r>
              <w:rPr>
                <w:rFonts w:ascii="Arial" w:cs="Arial" w:eastAsia="Arial" w:hAnsi="Arial"/>
                <w:sz w:val="18"/>
                <w:szCs w:val="18"/>
                <w:color w:val="auto"/>
              </w:rPr>
              <w:t>35,817</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41,593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70" w:type="dxa"/>
            <w:vAlign w:val="bottom"/>
            <w:tcBorders>
              <w:bottom w:val="single" w:sz="8" w:color="auto"/>
            </w:tcBorders>
          </w:tcPr>
          <w:p>
            <w:pPr>
              <w:spacing w:after="0"/>
              <w:rPr>
                <w:sz w:val="11"/>
                <w:szCs w:val="11"/>
                <w:color w:val="auto"/>
              </w:rPr>
            </w:pPr>
          </w:p>
        </w:tc>
        <w:tc>
          <w:tcPr>
            <w:tcW w:w="103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-29210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U.S. statutory tax rate to the effective income tax rates (benefit) provided: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Ended</w:t>
            </w: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520" w:type="dxa"/>
            <w:vAlign w:val="bottom"/>
          </w:tcPr>
          <w:p>
            <w:pPr>
              <w:jc w:val="right"/>
              <w:ind w:right="314"/>
              <w:spacing w:after="0"/>
              <w:rPr>
                <w:sz w:val="20"/>
                <w:szCs w:val="20"/>
                <w:color w:val="auto"/>
              </w:rPr>
            </w:pPr>
            <w:r>
              <w:rPr>
                <w:rFonts w:ascii="Arial" w:cs="Arial" w:eastAsia="Arial" w:hAnsi="Arial"/>
                <w:sz w:val="14"/>
                <w:szCs w:val="14"/>
                <w:b w:val="1"/>
                <w:bCs w:val="1"/>
                <w:color w:val="auto"/>
              </w:rPr>
              <w:t>August 26, 2006</w:t>
            </w: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August 27, 2005</w:t>
            </w:r>
          </w:p>
        </w:tc>
        <w:tc>
          <w:tcPr>
            <w:tcW w:w="1840" w:type="dxa"/>
            <w:vAlign w:val="bottom"/>
            <w:gridSpan w:val="2"/>
          </w:tcPr>
          <w:p>
            <w:pPr>
              <w:ind w:left="580"/>
              <w:spacing w:after="0"/>
              <w:rPr>
                <w:sz w:val="20"/>
                <w:szCs w:val="20"/>
                <w:color w:val="auto"/>
              </w:rPr>
            </w:pPr>
            <w:r>
              <w:rPr>
                <w:rFonts w:ascii="Arial" w:cs="Arial" w:eastAsia="Arial" w:hAnsi="Arial"/>
                <w:sz w:val="14"/>
                <w:szCs w:val="14"/>
                <w:b w:val="1"/>
                <w:bCs w:val="1"/>
                <w:color w:val="auto"/>
              </w:rPr>
              <w:t>August 28, 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500" w:type="dxa"/>
            <w:vAlign w:val="bottom"/>
            <w:gridSpan w:val="2"/>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Borders>
              <w:top w:val="single" w:sz="8" w:color="auto"/>
            </w:tcBorders>
          </w:tcPr>
          <w:p>
            <w:pPr>
              <w:spacing w:after="0"/>
              <w:rPr>
                <w:sz w:val="8"/>
                <w:szCs w:val="8"/>
                <w:color w:val="auto"/>
              </w:rPr>
            </w:pPr>
          </w:p>
        </w:tc>
        <w:tc>
          <w:tcPr>
            <w:tcW w:w="15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D6F3E8"/>
          </w:tcPr>
          <w:p>
            <w:pPr>
              <w:spacing w:after="0"/>
              <w:rPr>
                <w:sz w:val="20"/>
                <w:szCs w:val="20"/>
                <w:color w:val="auto"/>
              </w:rPr>
            </w:pPr>
            <w:r>
              <w:rPr>
                <w:rFonts w:ascii="Arial" w:cs="Arial" w:eastAsia="Arial" w:hAnsi="Arial"/>
                <w:sz w:val="18"/>
                <w:szCs w:val="18"/>
                <w:color w:val="auto"/>
              </w:rPr>
              <w:t>U.S. federal statutory rate</w:t>
            </w:r>
          </w:p>
        </w:tc>
        <w:tc>
          <w:tcPr>
            <w:tcW w:w="1520" w:type="dxa"/>
            <w:vAlign w:val="bottom"/>
            <w:shd w:val="clear" w:color="auto" w:fill="D6F3E8"/>
          </w:tcPr>
          <w:p>
            <w:pPr>
              <w:jc w:val="right"/>
              <w:ind w:right="414"/>
              <w:spacing w:after="0"/>
              <w:rPr>
                <w:sz w:val="20"/>
                <w:szCs w:val="20"/>
                <w:color w:val="auto"/>
              </w:rPr>
            </w:pPr>
            <w:r>
              <w:rPr>
                <w:rFonts w:ascii="Arial" w:cs="Arial" w:eastAsia="Arial" w:hAnsi="Arial"/>
                <w:sz w:val="18"/>
                <w:szCs w:val="18"/>
                <w:b w:val="1"/>
                <w:bCs w:val="1"/>
                <w:color w:val="auto"/>
              </w:rPr>
              <w:t>35.0%</w:t>
            </w:r>
          </w:p>
        </w:tc>
        <w:tc>
          <w:tcPr>
            <w:tcW w:w="158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35.0%</w:t>
            </w:r>
          </w:p>
        </w:tc>
        <w:tc>
          <w:tcPr>
            <w:tcW w:w="1820" w:type="dxa"/>
            <w:vAlign w:val="bottom"/>
            <w:shd w:val="clear" w:color="auto" w:fill="D6F3E8"/>
          </w:tcPr>
          <w:p>
            <w:pPr>
              <w:jc w:val="right"/>
              <w:ind w:right="254"/>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520" w:type="dxa"/>
            <w:vAlign w:val="bottom"/>
          </w:tcPr>
          <w:p>
            <w:pPr>
              <w:jc w:val="right"/>
              <w:ind w:right="594"/>
              <w:spacing w:after="0"/>
              <w:rPr>
                <w:sz w:val="20"/>
                <w:szCs w:val="20"/>
                <w:color w:val="auto"/>
              </w:rPr>
            </w:pPr>
            <w:r>
              <w:rPr>
                <w:rFonts w:ascii="Arial" w:cs="Arial" w:eastAsia="Arial" w:hAnsi="Arial"/>
                <w:sz w:val="18"/>
                <w:szCs w:val="18"/>
                <w:b w:val="1"/>
                <w:bCs w:val="1"/>
                <w:color w:val="auto"/>
              </w:rPr>
              <w:t>1.6</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1820" w:type="dxa"/>
            <w:vAlign w:val="bottom"/>
          </w:tcPr>
          <w:p>
            <w:pPr>
              <w:jc w:val="right"/>
              <w:ind w:right="394"/>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D6F3E8"/>
          </w:tcPr>
          <w:p>
            <w:pPr>
              <w:spacing w:after="0"/>
              <w:rPr>
                <w:sz w:val="20"/>
                <w:szCs w:val="20"/>
                <w:color w:val="auto"/>
              </w:rPr>
            </w:pPr>
            <w:r>
              <w:rPr>
                <w:rFonts w:ascii="Arial" w:cs="Arial" w:eastAsia="Arial" w:hAnsi="Arial"/>
                <w:sz w:val="18"/>
                <w:szCs w:val="18"/>
                <w:color w:val="auto"/>
              </w:rPr>
              <w:t>Incentive stock options</w:t>
            </w:r>
          </w:p>
        </w:tc>
        <w:tc>
          <w:tcPr>
            <w:tcW w:w="1520" w:type="dxa"/>
            <w:vAlign w:val="bottom"/>
            <w:shd w:val="clear" w:color="auto" w:fill="D6F3E8"/>
          </w:tcPr>
          <w:p>
            <w:pPr>
              <w:jc w:val="right"/>
              <w:ind w:right="594"/>
              <w:spacing w:after="0"/>
              <w:rPr>
                <w:sz w:val="20"/>
                <w:szCs w:val="20"/>
                <w:color w:val="auto"/>
              </w:rPr>
            </w:pPr>
            <w:r>
              <w:rPr>
                <w:rFonts w:ascii="Arial" w:cs="Arial" w:eastAsia="Arial" w:hAnsi="Arial"/>
                <w:sz w:val="18"/>
                <w:szCs w:val="18"/>
                <w:b w:val="1"/>
                <w:bCs w:val="1"/>
                <w:color w:val="auto"/>
              </w:rPr>
              <w:t>1.2</w:t>
            </w:r>
          </w:p>
        </w:tc>
        <w:tc>
          <w:tcPr>
            <w:tcW w:w="1580" w:type="dxa"/>
            <w:vAlign w:val="bottom"/>
            <w:gridSpan w:val="2"/>
            <w:shd w:val="clear" w:color="auto" w:fill="D6F3E8"/>
          </w:tcPr>
          <w:p>
            <w:pPr>
              <w:jc w:val="right"/>
              <w:ind w:right="4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D6F3E8"/>
          </w:tcPr>
          <w:p>
            <w:pPr>
              <w:jc w:val="right"/>
              <w:ind w:right="39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Nondeductible losses</w:t>
            </w:r>
          </w:p>
        </w:tc>
        <w:tc>
          <w:tcPr>
            <w:tcW w:w="1520" w:type="dxa"/>
            <w:vAlign w:val="bottom"/>
          </w:tcPr>
          <w:p>
            <w:pPr>
              <w:jc w:val="right"/>
              <w:ind w:right="594"/>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94"/>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D6F3E8"/>
          </w:tcPr>
          <w:p>
            <w:pPr>
              <w:spacing w:after="0"/>
              <w:rPr>
                <w:sz w:val="20"/>
                <w:szCs w:val="20"/>
                <w:color w:val="auto"/>
              </w:rPr>
            </w:pPr>
            <w:r>
              <w:rPr>
                <w:rFonts w:ascii="Arial" w:cs="Arial" w:eastAsia="Arial" w:hAnsi="Arial"/>
                <w:sz w:val="18"/>
                <w:szCs w:val="18"/>
                <w:color w:val="auto"/>
              </w:rPr>
              <w:t>Tax-free and dividend income</w:t>
            </w:r>
          </w:p>
        </w:tc>
        <w:tc>
          <w:tcPr>
            <w:tcW w:w="1520" w:type="dxa"/>
            <w:vAlign w:val="bottom"/>
            <w:shd w:val="clear" w:color="auto" w:fill="D6F3E8"/>
          </w:tcPr>
          <w:p>
            <w:pPr>
              <w:jc w:val="right"/>
              <w:ind w:right="534"/>
              <w:spacing w:after="0"/>
              <w:rPr>
                <w:sz w:val="20"/>
                <w:szCs w:val="20"/>
                <w:color w:val="auto"/>
              </w:rPr>
            </w:pPr>
            <w:r>
              <w:rPr>
                <w:rFonts w:ascii="Arial" w:cs="Arial" w:eastAsia="Arial" w:hAnsi="Arial"/>
                <w:sz w:val="18"/>
                <w:szCs w:val="18"/>
                <w:b w:val="1"/>
                <w:bCs w:val="1"/>
                <w:color w:val="auto"/>
              </w:rPr>
              <w:t>(2.0)</w:t>
            </w:r>
          </w:p>
        </w:tc>
        <w:tc>
          <w:tcPr>
            <w:tcW w:w="158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auto"/>
              </w:rPr>
              <w:t>(0.7)</w:t>
            </w:r>
          </w:p>
        </w:tc>
        <w:tc>
          <w:tcPr>
            <w:tcW w:w="1820" w:type="dxa"/>
            <w:vAlign w:val="bottom"/>
            <w:shd w:val="clear" w:color="auto" w:fill="D6F3E8"/>
          </w:tcPr>
          <w:p>
            <w:pPr>
              <w:jc w:val="right"/>
              <w:ind w:right="334"/>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Domestic production activities credit</w:t>
            </w:r>
          </w:p>
        </w:tc>
        <w:tc>
          <w:tcPr>
            <w:tcW w:w="1520" w:type="dxa"/>
            <w:vAlign w:val="bottom"/>
          </w:tcPr>
          <w:p>
            <w:pPr>
              <w:jc w:val="right"/>
              <w:ind w:right="534"/>
              <w:spacing w:after="0"/>
              <w:rPr>
                <w:sz w:val="20"/>
                <w:szCs w:val="20"/>
                <w:color w:val="auto"/>
              </w:rPr>
            </w:pPr>
            <w:r>
              <w:rPr>
                <w:rFonts w:ascii="Arial" w:cs="Arial" w:eastAsia="Arial" w:hAnsi="Arial"/>
                <w:sz w:val="18"/>
                <w:szCs w:val="18"/>
                <w:b w:val="1"/>
                <w:bCs w:val="1"/>
                <w:color w:val="auto"/>
              </w:rPr>
              <w:t>(1.0)</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D6F3E8"/>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D6F3E8"/>
          </w:tcPr>
          <w:p>
            <w:pPr>
              <w:jc w:val="right"/>
              <w:ind w:right="534"/>
              <w:spacing w:after="0"/>
              <w:rPr>
                <w:sz w:val="20"/>
                <w:szCs w:val="20"/>
                <w:color w:val="auto"/>
              </w:rPr>
            </w:pPr>
            <w:r>
              <w:rPr>
                <w:rFonts w:ascii="Arial" w:cs="Arial" w:eastAsia="Arial" w:hAnsi="Arial"/>
                <w:sz w:val="18"/>
                <w:szCs w:val="18"/>
                <w:b w:val="1"/>
                <w:bCs w:val="1"/>
                <w:color w:val="auto"/>
              </w:rPr>
              <w:t>(0.4)</w:t>
            </w:r>
          </w:p>
        </w:tc>
        <w:tc>
          <w:tcPr>
            <w:tcW w:w="158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auto"/>
              </w:rPr>
              <w:t>(0.4)</w:t>
            </w:r>
          </w:p>
        </w:tc>
        <w:tc>
          <w:tcPr>
            <w:tcW w:w="1820" w:type="dxa"/>
            <w:vAlign w:val="bottom"/>
            <w:shd w:val="clear" w:color="auto" w:fill="D6F3E8"/>
          </w:tcPr>
          <w:p>
            <w:pPr>
              <w:jc w:val="right"/>
              <w:ind w:right="334"/>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00" w:type="dxa"/>
            <w:vAlign w:val="bottom"/>
            <w:gridSpan w:val="2"/>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ind w:right="414"/>
              <w:spacing w:after="0"/>
              <w:rPr>
                <w:sz w:val="20"/>
                <w:szCs w:val="20"/>
                <w:color w:val="auto"/>
              </w:rPr>
            </w:pPr>
            <w:r>
              <w:rPr>
                <w:rFonts w:ascii="Arial" w:cs="Arial" w:eastAsia="Arial" w:hAnsi="Arial"/>
                <w:sz w:val="18"/>
                <w:szCs w:val="18"/>
                <w:b w:val="1"/>
                <w:bCs w:val="1"/>
                <w:color w:val="auto"/>
              </w:rPr>
              <w:t>34.4%</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35.5%</w:t>
            </w:r>
          </w:p>
        </w:tc>
        <w:tc>
          <w:tcPr>
            <w:tcW w:w="1820" w:type="dxa"/>
            <w:vAlign w:val="bottom"/>
          </w:tcPr>
          <w:p>
            <w:pPr>
              <w:jc w:val="right"/>
              <w:ind w:right="254"/>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income tax returns, like those of most companies, are periodically audited by domestic tax authorities. These audits include questions regarding our tax filing positions, including the timing and amount of deductions and the allocation of</w:t>
      </w:r>
    </w:p>
    <w:p>
      <w:pPr>
        <w:sectPr>
          <w:pgSz w:w="11900" w:h="16838" w:orient="portrait"/>
          <w:cols w:equalWidth="0" w:num="1">
            <w:col w:w="11460"/>
          </w:cols>
          <w:pgMar w:left="240" w:top="131" w:right="199" w:bottom="468" w:gutter="0" w:footer="0" w:header="0"/>
        </w:sectPr>
      </w:pP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468"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income among various tax jurisdictions. At any one time, multiple tax years are subject to audit by the various tax authorities. In evaluating the exposures associated with our various tax filing positions, we record reserves for probable exposures. A number of years may elapse before a particular matter, for which we have established a reserve, is audited and fully resolved or clarified. We adjust our reserve for probable tax exposures and income tax provision in the period in which actual results of a settlement with tax authorities differs from our established reserve, the statute of limitations expires for the relevant taxing authority to examine the tax position or when more information becomes available. We include our reserve for probable tax exposures, including accrued penalties and interest, in accrued income taxes on our consolidated balance sheets and in income tax expense in our consolidated statements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comprising our net deferred tax assets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August 26, 2006</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August 27, 2005</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2"/>
                <w:szCs w:val="22"/>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w w:val="91"/>
              </w:rPr>
              <w:t>Assets</w:t>
            </w:r>
          </w:p>
        </w:tc>
        <w:tc>
          <w:tcPr>
            <w:tcW w:w="10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82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2"/>
                <w:szCs w:val="22"/>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w w:val="86"/>
              </w:rPr>
              <w:t>Liabilities</w:t>
            </w:r>
          </w:p>
        </w:tc>
        <w:tc>
          <w:tcPr>
            <w:tcW w:w="240" w:type="dxa"/>
            <w:vAlign w:val="bottom"/>
          </w:tcPr>
          <w:p>
            <w:pPr>
              <w:spacing w:after="0"/>
              <w:rPr>
                <w:sz w:val="22"/>
                <w:szCs w:val="22"/>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Warranty reserves</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3,457</w:t>
            </w:r>
          </w:p>
        </w:tc>
        <w:tc>
          <w:tcPr>
            <w:tcW w:w="340" w:type="dxa"/>
            <w:vAlign w:val="bottom"/>
          </w:tcPr>
          <w:p>
            <w:pPr>
              <w:jc w:val="right"/>
              <w:ind w:right="22"/>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3,457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4,264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4,264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Self-insurance reserve</w:t>
            </w: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2,250</w:t>
            </w: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54"/>
              <w:spacing w:after="0"/>
              <w:rPr>
                <w:sz w:val="20"/>
                <w:szCs w:val="20"/>
                <w:color w:val="auto"/>
              </w:rPr>
            </w:pPr>
            <w:r>
              <w:rPr>
                <w:rFonts w:ascii="Arial" w:cs="Arial" w:eastAsia="Arial" w:hAnsi="Arial"/>
                <w:sz w:val="18"/>
                <w:szCs w:val="18"/>
                <w:b w:val="1"/>
                <w:bCs w:val="1"/>
                <w:color w:val="auto"/>
              </w:rPr>
              <w:t>2,250</w:t>
            </w:r>
          </w:p>
        </w:tc>
        <w:tc>
          <w:tcPr>
            <w:tcW w:w="2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1,702</w:t>
            </w: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Accrued vacation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1,972</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1,972</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1,859</w:t>
            </w:r>
          </w:p>
        </w:tc>
        <w:tc>
          <w:tcPr>
            <w:tcW w:w="220" w:type="dxa"/>
            <w:vAlign w:val="bottom"/>
          </w:tcPr>
          <w:p>
            <w:pPr>
              <w:spacing w:after="0"/>
              <w:rPr>
                <w:sz w:val="18"/>
                <w:szCs w:val="18"/>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1,859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Carry forward tax credits</w:t>
            </w: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1,673</w:t>
            </w: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54"/>
              <w:spacing w:after="0"/>
              <w:rPr>
                <w:sz w:val="20"/>
                <w:szCs w:val="20"/>
                <w:color w:val="auto"/>
              </w:rPr>
            </w:pPr>
            <w:r>
              <w:rPr>
                <w:rFonts w:ascii="Arial" w:cs="Arial" w:eastAsia="Arial" w:hAnsi="Arial"/>
                <w:sz w:val="18"/>
                <w:szCs w:val="18"/>
                <w:b w:val="1"/>
                <w:bCs w:val="1"/>
                <w:color w:val="auto"/>
              </w:rPr>
              <w:t>1,673</w:t>
            </w:r>
          </w:p>
        </w:tc>
        <w:tc>
          <w:tcPr>
            <w:tcW w:w="2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1,945</w:t>
            </w: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Miscellaneous reserves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1,213</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(401)</w:t>
            </w:r>
          </w:p>
        </w:tc>
        <w:tc>
          <w:tcPr>
            <w:tcW w:w="26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812</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1,734</w:t>
            </w:r>
          </w:p>
        </w:tc>
        <w:tc>
          <w:tcPr>
            <w:tcW w:w="2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Nonqualified stock options</w:t>
            </w: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811</w:t>
            </w: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54"/>
              <w:spacing w:after="0"/>
              <w:rPr>
                <w:sz w:val="20"/>
                <w:szCs w:val="20"/>
                <w:color w:val="auto"/>
              </w:rPr>
            </w:pPr>
            <w:r>
              <w:rPr>
                <w:rFonts w:ascii="Arial" w:cs="Arial" w:eastAsia="Arial" w:hAnsi="Arial"/>
                <w:sz w:val="18"/>
                <w:szCs w:val="18"/>
                <w:b w:val="1"/>
                <w:bCs w:val="1"/>
                <w:color w:val="auto"/>
              </w:rPr>
              <w:t>811</w:t>
            </w:r>
          </w:p>
        </w:tc>
        <w:tc>
          <w:tcPr>
            <w:tcW w:w="2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LIFO variance capitalization</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(1,908)</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(1,908)</w:t>
            </w:r>
          </w:p>
        </w:tc>
        <w:tc>
          <w:tcPr>
            <w:tcW w:w="24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11,376</w:t>
            </w: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rPr>
              <w:t>(2,309)</w:t>
            </w:r>
          </w:p>
        </w:tc>
        <w:tc>
          <w:tcPr>
            <w:tcW w:w="26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54"/>
              <w:spacing w:after="0"/>
              <w:rPr>
                <w:sz w:val="20"/>
                <w:szCs w:val="20"/>
                <w:color w:val="auto"/>
              </w:rPr>
            </w:pPr>
            <w:r>
              <w:rPr>
                <w:rFonts w:ascii="Arial" w:cs="Arial" w:eastAsia="Arial" w:hAnsi="Arial"/>
                <w:sz w:val="18"/>
                <w:szCs w:val="18"/>
                <w:b w:val="1"/>
                <w:bCs w:val="1"/>
                <w:color w:val="auto"/>
              </w:rPr>
              <w:t>9,067</w:t>
            </w:r>
          </w:p>
        </w:tc>
        <w:tc>
          <w:tcPr>
            <w:tcW w:w="2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11,504</w:t>
            </w: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(1,894)</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9,610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rPr>
              <w:t>Noncurrent</w:t>
            </w: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2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Postretirement health care benefits</w:t>
            </w: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18,689</w:t>
            </w: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54"/>
              <w:spacing w:after="0"/>
              <w:rPr>
                <w:sz w:val="20"/>
                <w:szCs w:val="20"/>
                <w:color w:val="auto"/>
              </w:rPr>
            </w:pPr>
            <w:r>
              <w:rPr>
                <w:rFonts w:ascii="Arial" w:cs="Arial" w:eastAsia="Arial" w:hAnsi="Arial"/>
                <w:sz w:val="18"/>
                <w:szCs w:val="18"/>
                <w:b w:val="1"/>
                <w:bCs w:val="1"/>
                <w:color w:val="auto"/>
              </w:rPr>
              <w:t>18,689</w:t>
            </w:r>
          </w:p>
        </w:tc>
        <w:tc>
          <w:tcPr>
            <w:tcW w:w="2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18,372</w:t>
            </w: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18,372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13,246</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13,246</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13,357</w:t>
            </w:r>
          </w:p>
        </w:tc>
        <w:tc>
          <w:tcPr>
            <w:tcW w:w="220" w:type="dxa"/>
            <w:vAlign w:val="bottom"/>
          </w:tcPr>
          <w:p>
            <w:pPr>
              <w:spacing w:after="0"/>
              <w:rPr>
                <w:sz w:val="18"/>
                <w:szCs w:val="18"/>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13,357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rPr>
              <w:t>(6,933)</w:t>
            </w:r>
          </w:p>
        </w:tc>
        <w:tc>
          <w:tcPr>
            <w:tcW w:w="26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(6,933)</w:t>
            </w:r>
          </w:p>
        </w:tc>
        <w:tc>
          <w:tcPr>
            <w:tcW w:w="240" w:type="dxa"/>
            <w:vAlign w:val="bottom"/>
            <w:shd w:val="clear" w:color="auto" w:fill="D6F3E8"/>
          </w:tcPr>
          <w:p>
            <w:pPr>
              <w:spacing w:after="0"/>
              <w:rPr>
                <w:sz w:val="18"/>
                <w:szCs w:val="18"/>
                <w:color w:val="auto"/>
              </w:rPr>
            </w:pPr>
          </w:p>
        </w:tc>
        <w:tc>
          <w:tcPr>
            <w:tcW w:w="72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(6,732)</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31,935</w:t>
            </w:r>
          </w:p>
        </w:tc>
        <w:tc>
          <w:tcPr>
            <w:tcW w:w="34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(6,933)</w:t>
            </w:r>
          </w:p>
        </w:tc>
        <w:tc>
          <w:tcPr>
            <w:tcW w:w="260" w:type="dxa"/>
            <w:vAlign w:val="bottom"/>
          </w:tcPr>
          <w:p>
            <w:pPr>
              <w:spacing w:after="0"/>
              <w:rPr>
                <w:sz w:val="24"/>
                <w:szCs w:val="24"/>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25,002</w:t>
            </w:r>
          </w:p>
        </w:tc>
        <w:tc>
          <w:tcPr>
            <w:tcW w:w="24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31,729</w:t>
            </w:r>
          </w:p>
        </w:tc>
        <w:tc>
          <w:tcPr>
            <w:tcW w:w="220" w:type="dxa"/>
            <w:vAlign w:val="bottom"/>
          </w:tcPr>
          <w:p>
            <w:pPr>
              <w:spacing w:after="0"/>
              <w:rPr>
                <w:sz w:val="24"/>
                <w:szCs w:val="24"/>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(6,732)</w:t>
            </w:r>
          </w:p>
        </w:tc>
        <w:tc>
          <w:tcPr>
            <w:tcW w:w="240" w:type="dxa"/>
            <w:vAlign w:val="bottom"/>
          </w:tcPr>
          <w:p>
            <w:pPr>
              <w:spacing w:after="0"/>
              <w:rPr>
                <w:sz w:val="24"/>
                <w:szCs w:val="24"/>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24,997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D6F3E8"/>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43,311</w:t>
            </w:r>
          </w:p>
        </w:tc>
        <w:tc>
          <w:tcPr>
            <w:tcW w:w="340" w:type="dxa"/>
            <w:vAlign w:val="bottom"/>
            <w:shd w:val="clear" w:color="auto" w:fill="D6F3E8"/>
          </w:tcPr>
          <w:p>
            <w:pPr>
              <w:jc w:val="right"/>
              <w:ind w:right="22"/>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rPr>
              <w:t>(9,242)</w:t>
            </w:r>
          </w:p>
        </w:tc>
        <w:tc>
          <w:tcPr>
            <w:tcW w:w="260" w:type="dxa"/>
            <w:vAlign w:val="bottom"/>
            <w:shd w:val="clear" w:color="auto" w:fill="D6F3E8"/>
          </w:tcPr>
          <w:p>
            <w:pPr>
              <w:jc w:val="right"/>
              <w:ind w:right="32"/>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D6F3E8"/>
          </w:tcPr>
          <w:p>
            <w:pPr>
              <w:jc w:val="right"/>
              <w:ind w:right="54"/>
              <w:spacing w:after="0"/>
              <w:rPr>
                <w:sz w:val="20"/>
                <w:szCs w:val="20"/>
                <w:color w:val="auto"/>
              </w:rPr>
            </w:pPr>
            <w:r>
              <w:rPr>
                <w:rFonts w:ascii="Arial" w:cs="Arial" w:eastAsia="Arial" w:hAnsi="Arial"/>
                <w:sz w:val="18"/>
                <w:szCs w:val="18"/>
                <w:b w:val="1"/>
                <w:bCs w:val="1"/>
                <w:color w:val="auto"/>
              </w:rPr>
              <w:t>34,069</w:t>
            </w:r>
          </w:p>
        </w:tc>
        <w:tc>
          <w:tcPr>
            <w:tcW w:w="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43,233</w:t>
            </w:r>
          </w:p>
        </w:tc>
        <w:tc>
          <w:tcPr>
            <w:tcW w:w="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(8,626)</w:t>
            </w:r>
          </w:p>
        </w:tc>
        <w:tc>
          <w:tcPr>
            <w:tcW w:w="2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34,607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Income and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financial income (expense):</w:t>
      </w:r>
    </w:p>
    <w:p>
      <w:pPr>
        <w:spacing w:after="0" w:line="234"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68580</wp:posOffset>
            </wp:positionV>
            <wp:extent cx="280416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97" w:lineRule="exact"/>
        <w:rPr>
          <w:sz w:val="20"/>
          <w:szCs w:val="20"/>
          <w:color w:val="auto"/>
        </w:rPr>
      </w:pPr>
    </w:p>
    <w:p>
      <w:pPr>
        <w:spacing w:after="0"/>
        <w:tabs>
          <w:tab w:leader="none" w:pos="7080" w:val="left"/>
          <w:tab w:leader="none" w:pos="8520" w:val="left"/>
          <w:tab w:leader="none" w:pos="1016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4"/>
          <w:szCs w:val="14"/>
          <w:b w:val="1"/>
          <w:bCs w:val="1"/>
          <w:color w:val="auto"/>
        </w:rPr>
        <w:t>August 26, 2006</w:t>
      </w:r>
      <w:r>
        <w:rPr>
          <w:sz w:val="20"/>
          <w:szCs w:val="20"/>
          <w:color w:val="auto"/>
        </w:rPr>
        <w:tab/>
      </w:r>
      <w:r>
        <w:rPr>
          <w:rFonts w:ascii="Arial" w:cs="Arial" w:eastAsia="Arial" w:hAnsi="Arial"/>
          <w:sz w:val="14"/>
          <w:szCs w:val="14"/>
          <w:b w:val="1"/>
          <w:bCs w:val="1"/>
          <w:color w:val="auto"/>
        </w:rPr>
        <w:t>August 27, 2005</w:t>
      </w:r>
      <w:r>
        <w:rPr>
          <w:sz w:val="20"/>
          <w:szCs w:val="20"/>
          <w:color w:val="auto"/>
        </w:rPr>
        <w:tab/>
      </w:r>
      <w:r>
        <w:rPr>
          <w:rFonts w:ascii="Arial" w:cs="Arial" w:eastAsia="Arial" w:hAnsi="Arial"/>
          <w:sz w:val="11"/>
          <w:szCs w:val="11"/>
          <w:b w:val="1"/>
          <w:bCs w:val="1"/>
          <w:color w:val="auto"/>
        </w:rPr>
        <w:t>August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Interest income from investments and receivables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Gain (loss) on foreign currency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Total financial income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12"/>
              <w:spacing w:after="0"/>
              <w:rPr>
                <w:sz w:val="20"/>
                <w:szCs w:val="20"/>
                <w:color w:val="auto"/>
              </w:rPr>
            </w:pPr>
            <w:r>
              <w:rPr>
                <w:rFonts w:ascii="Arial" w:cs="Arial" w:eastAsia="Arial" w:hAnsi="Arial"/>
                <w:sz w:val="18"/>
                <w:szCs w:val="18"/>
                <w:b w:val="1"/>
                <w:bCs w:val="1"/>
                <w:color w:val="auto"/>
                <w:w w:val="97"/>
              </w:rPr>
              <w:t>3,507</w:t>
            </w:r>
          </w:p>
        </w:tc>
        <w:tc>
          <w:tcPr>
            <w:tcW w:w="330" w:type="dxa"/>
            <w:vAlign w:val="bottom"/>
          </w:tcPr>
          <w:p>
            <w:pPr>
              <w:jc w:val="right"/>
              <w:spacing w:after="0"/>
              <w:rPr>
                <w:sz w:val="20"/>
                <w:szCs w:val="20"/>
                <w:color w:val="auto"/>
              </w:rPr>
            </w:pPr>
            <w:r>
              <w:rPr>
                <w:rFonts w:ascii="Arial" w:cs="Arial" w:eastAsia="Arial" w:hAnsi="Arial"/>
                <w:sz w:val="18"/>
                <w:szCs w:val="18"/>
                <w:color w:val="auto"/>
              </w:rPr>
              <w:t>$</w:t>
            </w:r>
          </w:p>
        </w:tc>
        <w:tc>
          <w:tcPr>
            <w:tcW w:w="1030" w:type="dxa"/>
            <w:vAlign w:val="bottom"/>
          </w:tcPr>
          <w:p>
            <w:pPr>
              <w:jc w:val="right"/>
              <w:ind w:right="352"/>
              <w:spacing w:after="0"/>
              <w:rPr>
                <w:sz w:val="20"/>
                <w:szCs w:val="20"/>
                <w:color w:val="auto"/>
              </w:rPr>
            </w:pPr>
            <w:r>
              <w:rPr>
                <w:rFonts w:ascii="Arial" w:cs="Arial" w:eastAsia="Arial" w:hAnsi="Arial"/>
                <w:sz w:val="18"/>
                <w:szCs w:val="18"/>
                <w:color w:val="auto"/>
              </w:rPr>
              <w:t>1,542</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512"/>
              <w:spacing w:after="0"/>
              <w:rPr>
                <w:sz w:val="20"/>
                <w:szCs w:val="20"/>
                <w:color w:val="auto"/>
              </w:rPr>
            </w:pPr>
            <w:r>
              <w:rPr>
                <w:rFonts w:ascii="Arial" w:cs="Arial" w:eastAsia="Arial" w:hAnsi="Arial"/>
                <w:sz w:val="18"/>
                <w:szCs w:val="18"/>
                <w:b w:val="1"/>
                <w:bCs w:val="1"/>
                <w:color w:val="auto"/>
                <w:w w:val="97"/>
              </w:rPr>
              <w:t>1,585</w:t>
            </w:r>
          </w:p>
        </w:tc>
        <w:tc>
          <w:tcPr>
            <w:tcW w:w="330" w:type="dxa"/>
            <w:vAlign w:val="bottom"/>
          </w:tcPr>
          <w:p>
            <w:pPr>
              <w:spacing w:after="0"/>
              <w:rPr>
                <w:sz w:val="18"/>
                <w:szCs w:val="18"/>
                <w:color w:val="auto"/>
              </w:rPr>
            </w:pPr>
          </w:p>
        </w:tc>
        <w:tc>
          <w:tcPr>
            <w:tcW w:w="1030" w:type="dxa"/>
            <w:vAlign w:val="bottom"/>
          </w:tcPr>
          <w:p>
            <w:pPr>
              <w:jc w:val="right"/>
              <w:ind w:right="352"/>
              <w:spacing w:after="0"/>
              <w:rPr>
                <w:sz w:val="20"/>
                <w:szCs w:val="20"/>
                <w:color w:val="auto"/>
              </w:rPr>
            </w:pPr>
            <w:r>
              <w:rPr>
                <w:rFonts w:ascii="Arial" w:cs="Arial" w:eastAsia="Arial" w:hAnsi="Arial"/>
                <w:sz w:val="18"/>
                <w:szCs w:val="18"/>
                <w:color w:val="auto"/>
              </w:rPr>
              <w:t>1,118</w:t>
            </w:r>
          </w:p>
        </w:tc>
        <w:tc>
          <w:tcPr>
            <w:tcW w:w="6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512"/>
              <w:spacing w:after="0"/>
              <w:rPr>
                <w:sz w:val="20"/>
                <w:szCs w:val="20"/>
                <w:color w:val="auto"/>
              </w:rPr>
            </w:pPr>
            <w:r>
              <w:rPr>
                <w:rFonts w:ascii="Arial" w:cs="Arial" w:eastAsia="Arial" w:hAnsi="Arial"/>
                <w:sz w:val="18"/>
                <w:szCs w:val="18"/>
                <w:b w:val="1"/>
                <w:bCs w:val="1"/>
                <w:color w:val="auto"/>
              </w:rPr>
              <w:t>5</w:t>
            </w:r>
          </w:p>
        </w:tc>
        <w:tc>
          <w:tcPr>
            <w:tcW w:w="330" w:type="dxa"/>
            <w:vAlign w:val="bottom"/>
          </w:tcPr>
          <w:p>
            <w:pPr>
              <w:spacing w:after="0"/>
              <w:rPr>
                <w:sz w:val="18"/>
                <w:szCs w:val="18"/>
                <w:color w:val="auto"/>
              </w:rPr>
            </w:pPr>
          </w:p>
        </w:tc>
        <w:tc>
          <w:tcPr>
            <w:tcW w:w="1030" w:type="dxa"/>
            <w:vAlign w:val="bottom"/>
          </w:tcPr>
          <w:p>
            <w:pPr>
              <w:jc w:val="right"/>
              <w:ind w:right="292"/>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512"/>
              <w:spacing w:after="0"/>
              <w:rPr>
                <w:sz w:val="20"/>
                <w:szCs w:val="20"/>
                <w:color w:val="auto"/>
              </w:rPr>
            </w:pPr>
            <w:r>
              <w:rPr>
                <w:rFonts w:ascii="Arial" w:cs="Arial" w:eastAsia="Arial" w:hAnsi="Arial"/>
                <w:sz w:val="18"/>
                <w:szCs w:val="18"/>
                <w:b w:val="1"/>
                <w:bCs w:val="1"/>
                <w:color w:val="auto"/>
              </w:rPr>
              <w:t>—</w:t>
            </w:r>
          </w:p>
        </w:tc>
        <w:tc>
          <w:tcPr>
            <w:tcW w:w="330" w:type="dxa"/>
            <w:vAlign w:val="bottom"/>
          </w:tcPr>
          <w:p>
            <w:pPr>
              <w:spacing w:after="0"/>
              <w:rPr>
                <w:sz w:val="19"/>
                <w:szCs w:val="19"/>
                <w:color w:val="auto"/>
              </w:rPr>
            </w:pPr>
          </w:p>
        </w:tc>
        <w:tc>
          <w:tcPr>
            <w:tcW w:w="103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30" w:type="dxa"/>
            <w:vAlign w:val="bottom"/>
            <w:tcBorders>
              <w:bottom w:val="single" w:sz="8" w:color="auto"/>
            </w:tcBorders>
          </w:tcPr>
          <w:p>
            <w:pPr>
              <w:spacing w:after="0"/>
              <w:rPr>
                <w:sz w:val="9"/>
                <w:szCs w:val="9"/>
                <w:color w:val="auto"/>
              </w:rPr>
            </w:pPr>
          </w:p>
        </w:tc>
        <w:tc>
          <w:tcPr>
            <w:tcW w:w="103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12"/>
              <w:spacing w:after="0"/>
              <w:rPr>
                <w:sz w:val="20"/>
                <w:szCs w:val="20"/>
                <w:color w:val="auto"/>
              </w:rPr>
            </w:pPr>
            <w:r>
              <w:rPr>
                <w:rFonts w:ascii="Arial" w:cs="Arial" w:eastAsia="Arial" w:hAnsi="Arial"/>
                <w:sz w:val="18"/>
                <w:szCs w:val="18"/>
                <w:b w:val="1"/>
                <w:bCs w:val="1"/>
                <w:color w:val="auto"/>
                <w:w w:val="97"/>
              </w:rPr>
              <w:t>5,097</w:t>
            </w:r>
          </w:p>
        </w:tc>
        <w:tc>
          <w:tcPr>
            <w:tcW w:w="330" w:type="dxa"/>
            <w:vAlign w:val="bottom"/>
          </w:tcPr>
          <w:p>
            <w:pPr>
              <w:jc w:val="right"/>
              <w:spacing w:after="0"/>
              <w:rPr>
                <w:sz w:val="20"/>
                <w:szCs w:val="20"/>
                <w:color w:val="auto"/>
              </w:rPr>
            </w:pPr>
            <w:r>
              <w:rPr>
                <w:rFonts w:ascii="Arial" w:cs="Arial" w:eastAsia="Arial" w:hAnsi="Arial"/>
                <w:sz w:val="18"/>
                <w:szCs w:val="18"/>
                <w:color w:val="auto"/>
              </w:rPr>
              <w:t>$</w:t>
            </w:r>
          </w:p>
        </w:tc>
        <w:tc>
          <w:tcPr>
            <w:tcW w:w="1030" w:type="dxa"/>
            <w:vAlign w:val="bottom"/>
          </w:tcPr>
          <w:p>
            <w:pPr>
              <w:jc w:val="right"/>
              <w:ind w:right="352"/>
              <w:spacing w:after="0"/>
              <w:rPr>
                <w:sz w:val="20"/>
                <w:szCs w:val="20"/>
                <w:color w:val="auto"/>
              </w:rPr>
            </w:pPr>
            <w:r>
              <w:rPr>
                <w:rFonts w:ascii="Arial" w:cs="Arial" w:eastAsia="Arial" w:hAnsi="Arial"/>
                <w:sz w:val="18"/>
                <w:szCs w:val="18"/>
                <w:color w:val="auto"/>
              </w:rPr>
              <w:t>2,635</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24"/>
                <w:szCs w:val="24"/>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30" w:type="dxa"/>
            <w:vAlign w:val="bottom"/>
            <w:tcBorders>
              <w:bottom w:val="single" w:sz="8" w:color="auto"/>
            </w:tcBorders>
          </w:tcPr>
          <w:p>
            <w:pPr>
              <w:spacing w:after="0"/>
              <w:rPr>
                <w:sz w:val="11"/>
                <w:szCs w:val="11"/>
                <w:color w:val="auto"/>
              </w:rPr>
            </w:pPr>
          </w:p>
        </w:tc>
        <w:tc>
          <w:tcPr>
            <w:tcW w:w="103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-927735</wp:posOffset>
            </wp:positionV>
            <wp:extent cx="7246620" cy="13716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-653415</wp:posOffset>
            </wp:positionV>
            <wp:extent cx="7246620" cy="1371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-233045</wp:posOffset>
            </wp:positionV>
            <wp:extent cx="7246620" cy="1371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00" w:space="720"/>
            <w:col w:w="4440"/>
          </w:cols>
          <w:pgMar w:left="240" w:top="131" w:right="19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 Plans</w:t>
      </w:r>
    </w:p>
    <w:p>
      <w:pPr>
        <w:spacing w:after="0" w:line="23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a 2004 Incentive Compensation Plan (the “Plan”) in place which allows us to grant stock options and other equity compensation to key employees. To date, we have only granted options under the Plan. The Plan also allows us to provide equity compensation to our nonemployee directors. The grant price of an option under the Plan is determined by the mean of the high and low prices of our common stock on the date of grant and the term of any options granted under the Plan may not exceed 10 years from the date of the grant. Options issued to key employees generally vest over a three-year period in equal annual installments with immediate vesting upon retirement or upon a change of control (as defined in the Plan), if earlier. Historically, options issued to directors vested six months after grant. However, options issued to directors in Fiscal</w:t>
      </w:r>
    </w:p>
    <w:p>
      <w:pPr>
        <w:sectPr>
          <w:pgSz w:w="11900" w:h="16838" w:orient="portrait"/>
          <w:cols w:equalWidth="0" w:num="1">
            <w:col w:w="11460"/>
          </w:cols>
          <w:pgMar w:left="240" w:top="131" w:right="199" w:bottom="1440" w:gutter="0" w:footer="0" w:header="0"/>
          <w:type w:val="continuous"/>
        </w:sectPr>
      </w:pP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2006 vest one year after grant. No more than 4,000,000 shares of common stock may be issued under the Plan and no more than 2,000,000 of those shares may be used for awards other than stock options or stock appreciation rights. (Adjusted for the 2-for-1 stock split on March 5, 2004.) Shares subject to awards that are forfeited, terminated, expire unexercised, settled in cash, exchanged for other awards, tendered to satisfy the purchase price of an award, withheld to satisfy tax obligations or otherwise lapse again become available for awards. The Plan replaced the 1997 Stock Option Plan. Any stock options previously granted under the 1997 Stock Option Plan shall continue to vest and/or be exercisable in accordance with their original terms and conditions.</w:t>
      </w:r>
    </w:p>
    <w:p>
      <w:pPr>
        <w:spacing w:after="0" w:line="17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 xml:space="preserve">Prior to August 28, 2005, we applied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related interpretations in accounting for options. No stock-based compensation expense for stock options was recognized in our consolidated statements of income prior to Fiscal 2006, as the exercise price of all options granted was not less than 100 percent of fair market value of the common stock on the date of grant.</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Effective August 28, 2005, we adopted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(123R), requiring us to recognize expense related to the fair value of our stock-based compensation awards. We elected the modified prospective transition method as permitted by SFAS No. 123R; accordingly, results from prior periods have not been restated.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Under this transition method, stock-based compensation expense for the fiscal year ended August 26, 2006 includes:</w:t>
      </w:r>
    </w:p>
    <w:p>
      <w:pPr>
        <w:spacing w:after="0" w:line="239" w:lineRule="exact"/>
        <w:rPr>
          <w:sz w:val="20"/>
          <w:szCs w:val="20"/>
          <w:color w:val="auto"/>
        </w:rPr>
      </w:pPr>
    </w:p>
    <w:p>
      <w:pPr>
        <w:ind w:left="580" w:right="120" w:hanging="572"/>
        <w:spacing w:after="0" w:line="33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compensation expense for all stock-based compensation awards granted prior to August 27, 2005, but not yet vested at the date of adoption, based on the grant-date fair value estimated in accordance with the original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w:t>
      </w:r>
    </w:p>
    <w:p>
      <w:pPr>
        <w:spacing w:after="0" w:line="71" w:lineRule="exact"/>
        <w:rPr>
          <w:rFonts w:ascii="Arial" w:cs="Arial" w:eastAsia="Arial" w:hAnsi="Arial"/>
          <w:sz w:val="16"/>
          <w:szCs w:val="16"/>
          <w:color w:val="auto"/>
        </w:rPr>
      </w:pPr>
    </w:p>
    <w:p>
      <w:pPr>
        <w:ind w:left="580" w:right="260" w:hanging="572"/>
        <w:spacing w:after="0" w:line="26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expense for all stock-based compensation awards granted subsequent to August 27, 2005, based on the grant-date fair value estimated in accordance with the provisions of SFAS No. 123R.</w:t>
      </w:r>
    </w:p>
    <w:p>
      <w:pPr>
        <w:spacing w:after="0" w:line="18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Historically, for SFAS No. 123 pro forma disclosure on stock-based compensation, we have recognized compensation expense for stock option awards issued to employees on a straight-line basis over the vesting period of three years. This policy differs from the policy required to be applied to awards granted after the adoption of SFAS No. 123R, which requires that compensation expense be recognized for awards over the requisite service period of the award or to an employee’s eligible retirement date, if earlier. We will continue to recognize compensation expense over the three-year vesting periods for awards granted prior to adoption of SFAS No. 123R, but for all awards granted after August 27, 2005, compensation expense will be recognized over the requisite service period of the award or over a period ending with an employee’s eligible retirement date, if earlier. Total stock option expense included in our statements of income for the fiscal year ended August 26, 2006, August 27, 2005 and August 28, 2004, was $4.6 million ($3.8 million net of tax or 12 cents per diluted share), $-0- and $-0-, respectively. Of the $4.6 million option expense included in our statements of income for the fiscal year ended August 26, 2006, $2.5 million relates to awards granted prior to Fiscal 2006 which continued to be expensed over the three-year vesting period.</w:t>
      </w:r>
    </w:p>
    <w:p>
      <w:pPr>
        <w:spacing w:after="0" w:line="17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Prior to the adoption of SFAS No. 123R, we reported all tax benefits resulting from the exercise of stock options as operating cash flows in our consolidated statements of cash flows. In accordance with SFAS No. 123R, for the fiscal year ended August 26, 2006, the presentation of our statement of cash flows has changed from prior periods to report the excess tax benefits from the exercise of stock options as financing cash flows. For the fiscal year ended August 26, 2006, $501,000 of excess tax benefits were reported as financing cash flows rather than operating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Fiscal 2006, 2005 and 2004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jc w:val="right"/>
              <w:ind w:right="520"/>
              <w:spacing w:after="0"/>
              <w:rPr>
                <w:sz w:val="20"/>
                <w:szCs w:val="20"/>
                <w:color w:val="auto"/>
              </w:rPr>
            </w:pPr>
            <w:r>
              <w:rPr>
                <w:rFonts w:ascii="Arial" w:cs="Arial" w:eastAsia="Arial" w:hAnsi="Arial"/>
                <w:sz w:val="14"/>
                <w:szCs w:val="14"/>
                <w:b w:val="1"/>
                <w:bCs w:val="1"/>
                <w:color w:val="auto"/>
              </w:rPr>
              <w:t>2006</w:t>
            </w: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jc w:val="right"/>
              <w:ind w:right="600"/>
              <w:spacing w:after="0"/>
              <w:rPr>
                <w:sz w:val="20"/>
                <w:szCs w:val="20"/>
                <w:color w:val="auto"/>
              </w:rPr>
            </w:pPr>
            <w:r>
              <w:rPr>
                <w:rFonts w:ascii="Arial" w:cs="Arial" w:eastAsia="Arial" w:hAnsi="Arial"/>
                <w:sz w:val="14"/>
                <w:szCs w:val="14"/>
                <w:b w:val="1"/>
                <w:bCs w:val="1"/>
                <w:color w:val="auto"/>
              </w:rPr>
              <w:t>2005</w:t>
            </w: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jc w:val="right"/>
              <w:ind w:right="560"/>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Wtd.</w:t>
            </w: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8"/>
              </w:rPr>
              <w:t>Wtd.</w:t>
            </w: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Price</w:t>
            </w:r>
          </w:p>
        </w:tc>
        <w:tc>
          <w:tcPr>
            <w:tcW w:w="10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78"/>
              </w:rPr>
              <w:t>Avg.</w:t>
            </w:r>
          </w:p>
        </w:tc>
        <w:tc>
          <w:tcPr>
            <w:tcW w:w="120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Price</w:t>
            </w:r>
          </w:p>
        </w:tc>
        <w:tc>
          <w:tcPr>
            <w:tcW w:w="9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Avg.</w:t>
            </w:r>
          </w:p>
        </w:tc>
        <w:tc>
          <w:tcPr>
            <w:tcW w:w="1100" w:type="dxa"/>
            <w:vAlign w:val="bottom"/>
          </w:tcPr>
          <w:p>
            <w:pPr>
              <w:spacing w:after="0"/>
              <w:rPr>
                <w:sz w:val="12"/>
                <w:szCs w:val="12"/>
                <w:color w:val="auto"/>
              </w:rPr>
            </w:pPr>
          </w:p>
        </w:tc>
        <w:tc>
          <w:tcPr>
            <w:tcW w:w="10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Price</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w:t>
            </w:r>
          </w:p>
        </w:tc>
        <w:tc>
          <w:tcPr>
            <w:tcW w:w="10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0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per</w:t>
            </w:r>
          </w:p>
        </w:tc>
        <w:tc>
          <w:tcPr>
            <w:tcW w:w="9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Exercise</w:t>
            </w:r>
          </w:p>
        </w:tc>
        <w:tc>
          <w:tcPr>
            <w:tcW w:w="1100" w:type="dxa"/>
            <w:vAlign w:val="bottom"/>
          </w:tcPr>
          <w:p>
            <w:pPr>
              <w:spacing w:after="0"/>
              <w:rPr>
                <w:sz w:val="12"/>
                <w:szCs w:val="12"/>
                <w:color w:val="auto"/>
              </w:rPr>
            </w:pPr>
          </w:p>
        </w:tc>
        <w:tc>
          <w:tcPr>
            <w:tcW w:w="10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60" w:type="dxa"/>
            <w:vAlign w:val="bottom"/>
          </w:tcPr>
          <w:p>
            <w:pPr>
              <w:jc w:val="center"/>
              <w:ind w:right="220"/>
              <w:spacing w:after="0"/>
              <w:rPr>
                <w:sz w:val="20"/>
                <w:szCs w:val="20"/>
                <w:color w:val="auto"/>
              </w:rPr>
            </w:pPr>
            <w:r>
              <w:rPr>
                <w:rFonts w:ascii="Arial" w:cs="Arial" w:eastAsia="Arial" w:hAnsi="Arial"/>
                <w:sz w:val="14"/>
                <w:szCs w:val="14"/>
                <w:b w:val="1"/>
                <w:bCs w:val="1"/>
                <w:color w:val="auto"/>
                <w:w w:val="82"/>
              </w:rPr>
              <w:t>Share</w:t>
            </w:r>
          </w:p>
        </w:tc>
        <w:tc>
          <w:tcPr>
            <w:tcW w:w="1040" w:type="dxa"/>
            <w:vAlign w:val="bottom"/>
          </w:tcPr>
          <w:p>
            <w:pPr>
              <w:jc w:val="center"/>
              <w:ind w:right="120"/>
              <w:spacing w:after="0"/>
              <w:rPr>
                <w:sz w:val="20"/>
                <w:szCs w:val="20"/>
                <w:color w:val="auto"/>
              </w:rPr>
            </w:pPr>
            <w:r>
              <w:rPr>
                <w:rFonts w:ascii="Arial" w:cs="Arial" w:eastAsia="Arial" w:hAnsi="Arial"/>
                <w:sz w:val="14"/>
                <w:szCs w:val="14"/>
                <w:b w:val="1"/>
                <w:bCs w:val="1"/>
                <w:color w:val="auto"/>
                <w:w w:val="85"/>
              </w:rPr>
              <w:t>Price/Sh</w:t>
            </w:r>
          </w:p>
        </w:tc>
        <w:tc>
          <w:tcPr>
            <w:tcW w:w="1200" w:type="dxa"/>
            <w:vAlign w:val="bottom"/>
          </w:tcPr>
          <w:p>
            <w:pPr>
              <w:jc w:val="right"/>
              <w:ind w:right="435"/>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center"/>
              <w:ind w:right="160"/>
              <w:spacing w:after="0"/>
              <w:rPr>
                <w:sz w:val="20"/>
                <w:szCs w:val="20"/>
                <w:color w:val="auto"/>
              </w:rPr>
            </w:pPr>
            <w:r>
              <w:rPr>
                <w:rFonts w:ascii="Arial" w:cs="Arial" w:eastAsia="Arial" w:hAnsi="Arial"/>
                <w:sz w:val="14"/>
                <w:szCs w:val="14"/>
                <w:b w:val="1"/>
                <w:bCs w:val="1"/>
                <w:color w:val="auto"/>
                <w:w w:val="87"/>
              </w:rPr>
              <w:t>Share</w:t>
            </w: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Price/Sh</w:t>
            </w: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jc w:val="center"/>
              <w:ind w:right="100"/>
              <w:spacing w:after="0"/>
              <w:rPr>
                <w:sz w:val="20"/>
                <w:szCs w:val="20"/>
                <w:color w:val="auto"/>
              </w:rPr>
            </w:pPr>
            <w:r>
              <w:rPr>
                <w:rFonts w:ascii="Arial" w:cs="Arial" w:eastAsia="Arial" w:hAnsi="Arial"/>
                <w:sz w:val="14"/>
                <w:szCs w:val="14"/>
                <w:b w:val="1"/>
                <w:bCs w:val="1"/>
                <w:color w:val="auto"/>
                <w:w w:val="82"/>
              </w:rPr>
              <w:t>Share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Price/Sh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40" w:type="dxa"/>
            <w:vAlign w:val="bottom"/>
            <w:shd w:val="clear" w:color="auto" w:fill="D6F3E8"/>
          </w:tcPr>
          <w:p>
            <w:pPr>
              <w:spacing w:after="0"/>
              <w:rPr>
                <w:sz w:val="20"/>
                <w:szCs w:val="20"/>
                <w:color w:val="auto"/>
              </w:rPr>
            </w:pPr>
            <w:r>
              <w:rPr>
                <w:rFonts w:ascii="Arial" w:cs="Arial" w:eastAsia="Arial" w:hAnsi="Arial"/>
                <w:sz w:val="18"/>
                <w:szCs w:val="18"/>
                <w:color w:val="auto"/>
                <w:w w:val="95"/>
              </w:rPr>
              <w:t>Outstanding at beginning</w:t>
            </w:r>
          </w:p>
        </w:tc>
        <w:tc>
          <w:tcPr>
            <w:tcW w:w="1200" w:type="dxa"/>
            <w:vAlign w:val="bottom"/>
            <w:vMerge w:val="restart"/>
            <w:shd w:val="clear" w:color="auto" w:fill="D6F3E8"/>
          </w:tcPr>
          <w:p>
            <w:pPr>
              <w:jc w:val="right"/>
              <w:ind w:right="175"/>
              <w:spacing w:after="0"/>
              <w:rPr>
                <w:sz w:val="20"/>
                <w:szCs w:val="20"/>
                <w:color w:val="auto"/>
              </w:rPr>
            </w:pPr>
            <w:r>
              <w:rPr>
                <w:rFonts w:ascii="Arial" w:cs="Arial" w:eastAsia="Arial" w:hAnsi="Arial"/>
                <w:sz w:val="18"/>
                <w:szCs w:val="18"/>
                <w:b w:val="1"/>
                <w:bCs w:val="1"/>
                <w:color w:val="auto"/>
              </w:rPr>
              <w:t>1,374,088</w:t>
            </w:r>
          </w:p>
        </w:tc>
        <w:tc>
          <w:tcPr>
            <w:tcW w:w="1060" w:type="dxa"/>
            <w:vAlign w:val="bottom"/>
            <w:vMerge w:val="restart"/>
            <w:shd w:val="clear" w:color="auto" w:fill="D6F3E8"/>
          </w:tcPr>
          <w:p>
            <w:pPr>
              <w:jc w:val="right"/>
              <w:ind w:right="80"/>
              <w:spacing w:after="0"/>
              <w:rPr>
                <w:sz w:val="20"/>
                <w:szCs w:val="20"/>
                <w:color w:val="auto"/>
              </w:rPr>
            </w:pPr>
            <w:r>
              <w:rPr>
                <w:rFonts w:ascii="Arial" w:cs="Arial" w:eastAsia="Arial" w:hAnsi="Arial"/>
                <w:sz w:val="18"/>
                <w:szCs w:val="18"/>
                <w:b w:val="1"/>
                <w:bCs w:val="1"/>
                <w:color w:val="auto"/>
              </w:rPr>
              <w:t>$3 - $36</w:t>
            </w:r>
          </w:p>
        </w:tc>
        <w:tc>
          <w:tcPr>
            <w:tcW w:w="1040" w:type="dxa"/>
            <w:vAlign w:val="bottom"/>
            <w:vMerge w:val="restart"/>
            <w:shd w:val="clear" w:color="auto" w:fill="D6F3E8"/>
          </w:tcPr>
          <w:p>
            <w:pPr>
              <w:jc w:val="right"/>
              <w:ind w:right="180"/>
              <w:spacing w:after="0"/>
              <w:rPr>
                <w:sz w:val="20"/>
                <w:szCs w:val="20"/>
                <w:color w:val="auto"/>
              </w:rPr>
            </w:pPr>
            <w:r>
              <w:rPr>
                <w:rFonts w:ascii="Arial" w:cs="Arial" w:eastAsia="Arial" w:hAnsi="Arial"/>
                <w:sz w:val="18"/>
                <w:szCs w:val="18"/>
                <w:b w:val="1"/>
                <w:bCs w:val="1"/>
                <w:color w:val="auto"/>
              </w:rPr>
              <w:t>$22.24</w:t>
            </w:r>
          </w:p>
        </w:tc>
        <w:tc>
          <w:tcPr>
            <w:tcW w:w="120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of year</w:t>
            </w:r>
          </w:p>
        </w:tc>
        <w:tc>
          <w:tcPr>
            <w:tcW w:w="1200" w:type="dxa"/>
            <w:vAlign w:val="bottom"/>
            <w:vMerge w:val="continue"/>
            <w:shd w:val="clear" w:color="auto" w:fill="D6F3E8"/>
          </w:tcPr>
          <w:p>
            <w:pPr>
              <w:spacing w:after="0"/>
              <w:rPr>
                <w:sz w:val="19"/>
                <w:szCs w:val="19"/>
                <w:color w:val="auto"/>
              </w:rPr>
            </w:pPr>
          </w:p>
        </w:tc>
        <w:tc>
          <w:tcPr>
            <w:tcW w:w="1060" w:type="dxa"/>
            <w:vAlign w:val="bottom"/>
            <w:vMerge w:val="continue"/>
            <w:shd w:val="clear" w:color="auto" w:fill="D6F3E8"/>
          </w:tcPr>
          <w:p>
            <w:pPr>
              <w:spacing w:after="0"/>
              <w:rPr>
                <w:sz w:val="19"/>
                <w:szCs w:val="19"/>
                <w:color w:val="auto"/>
              </w:rPr>
            </w:pPr>
          </w:p>
        </w:tc>
        <w:tc>
          <w:tcPr>
            <w:tcW w:w="1040" w:type="dxa"/>
            <w:vAlign w:val="bottom"/>
            <w:vMerge w:val="continue"/>
            <w:shd w:val="clear" w:color="auto" w:fill="D6F3E8"/>
          </w:tcPr>
          <w:p>
            <w:pPr>
              <w:spacing w:after="0"/>
              <w:rPr>
                <w:sz w:val="19"/>
                <w:szCs w:val="19"/>
                <w:color w:val="auto"/>
              </w:rPr>
            </w:pPr>
          </w:p>
        </w:tc>
        <w:tc>
          <w:tcPr>
            <w:tcW w:w="1200" w:type="dxa"/>
            <w:vAlign w:val="bottom"/>
            <w:shd w:val="clear" w:color="auto" w:fill="D6F3E8"/>
          </w:tcPr>
          <w:p>
            <w:pPr>
              <w:jc w:val="right"/>
              <w:ind w:right="115"/>
              <w:spacing w:after="0"/>
              <w:rPr>
                <w:sz w:val="20"/>
                <w:szCs w:val="20"/>
                <w:color w:val="auto"/>
              </w:rPr>
            </w:pPr>
            <w:r>
              <w:rPr>
                <w:rFonts w:ascii="Arial" w:cs="Arial" w:eastAsia="Arial" w:hAnsi="Arial"/>
                <w:sz w:val="18"/>
                <w:szCs w:val="18"/>
                <w:color w:val="auto"/>
              </w:rPr>
              <w:t>1,235,040</w:t>
            </w:r>
          </w:p>
        </w:tc>
        <w:tc>
          <w:tcPr>
            <w:tcW w:w="110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rPr>
              <w:t>$3 - $35</w:t>
            </w:r>
          </w:p>
        </w:tc>
        <w:tc>
          <w:tcPr>
            <w:tcW w:w="940" w:type="dxa"/>
            <w:vAlign w:val="bottom"/>
            <w:shd w:val="clear" w:color="auto" w:fill="D6F3E8"/>
          </w:tcPr>
          <w:p>
            <w:pPr>
              <w:jc w:val="right"/>
              <w:ind w:right="140"/>
              <w:spacing w:after="0"/>
              <w:rPr>
                <w:sz w:val="20"/>
                <w:szCs w:val="20"/>
                <w:color w:val="auto"/>
              </w:rPr>
            </w:pPr>
            <w:r>
              <w:rPr>
                <w:rFonts w:ascii="Arial" w:cs="Arial" w:eastAsia="Arial" w:hAnsi="Arial"/>
                <w:sz w:val="18"/>
                <w:szCs w:val="18"/>
                <w:color w:val="auto"/>
              </w:rPr>
              <w:t>$17.93</w:t>
            </w:r>
          </w:p>
        </w:tc>
        <w:tc>
          <w:tcPr>
            <w:tcW w:w="1100" w:type="dxa"/>
            <w:vAlign w:val="bottom"/>
            <w:shd w:val="clear" w:color="auto" w:fill="D6F3E8"/>
          </w:tcPr>
          <w:p>
            <w:pPr>
              <w:jc w:val="right"/>
              <w:ind w:right="115"/>
              <w:spacing w:after="0"/>
              <w:rPr>
                <w:sz w:val="20"/>
                <w:szCs w:val="20"/>
                <w:color w:val="auto"/>
              </w:rPr>
            </w:pPr>
            <w:r>
              <w:rPr>
                <w:rFonts w:ascii="Arial" w:cs="Arial" w:eastAsia="Arial" w:hAnsi="Arial"/>
                <w:sz w:val="18"/>
                <w:szCs w:val="18"/>
                <w:color w:val="auto"/>
              </w:rPr>
              <w:t>1,296,738</w:t>
            </w:r>
          </w:p>
        </w:tc>
        <w:tc>
          <w:tcPr>
            <w:tcW w:w="102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$3 - $20</w:t>
            </w:r>
          </w:p>
        </w:tc>
        <w:tc>
          <w:tcPr>
            <w:tcW w:w="80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Options granted</w:t>
            </w:r>
          </w:p>
        </w:tc>
        <w:tc>
          <w:tcPr>
            <w:tcW w:w="1200" w:type="dxa"/>
            <w:vAlign w:val="bottom"/>
          </w:tcPr>
          <w:p>
            <w:pPr>
              <w:jc w:val="right"/>
              <w:ind w:right="175"/>
              <w:spacing w:after="0"/>
              <w:rPr>
                <w:sz w:val="20"/>
                <w:szCs w:val="20"/>
                <w:color w:val="auto"/>
              </w:rPr>
            </w:pPr>
            <w:r>
              <w:rPr>
                <w:rFonts w:ascii="Arial" w:cs="Arial" w:eastAsia="Arial" w:hAnsi="Arial"/>
                <w:sz w:val="18"/>
                <w:szCs w:val="18"/>
                <w:b w:val="1"/>
                <w:bCs w:val="1"/>
                <w:color w:val="auto"/>
              </w:rPr>
              <w:t>340,000</w:t>
            </w:r>
          </w:p>
        </w:tc>
        <w:tc>
          <w:tcPr>
            <w:tcW w:w="1060" w:type="dxa"/>
            <w:vAlign w:val="bottom"/>
          </w:tcPr>
          <w:p>
            <w:pPr>
              <w:jc w:val="right"/>
              <w:ind w:right="80"/>
              <w:spacing w:after="0"/>
              <w:rPr>
                <w:sz w:val="20"/>
                <w:szCs w:val="20"/>
                <w:color w:val="auto"/>
              </w:rPr>
            </w:pPr>
            <w:r>
              <w:rPr>
                <w:rFonts w:ascii="Arial" w:cs="Arial" w:eastAsia="Arial" w:hAnsi="Arial"/>
                <w:sz w:val="18"/>
                <w:szCs w:val="18"/>
                <w:b w:val="1"/>
                <w:bCs w:val="1"/>
                <w:color w:val="auto"/>
              </w:rPr>
              <w:t>26 - 34</w:t>
            </w:r>
          </w:p>
        </w:tc>
        <w:tc>
          <w:tcPr>
            <w:tcW w:w="1040" w:type="dxa"/>
            <w:vAlign w:val="bottom"/>
          </w:tcPr>
          <w:p>
            <w:pPr>
              <w:jc w:val="right"/>
              <w:ind w:right="180"/>
              <w:spacing w:after="0"/>
              <w:rPr>
                <w:sz w:val="20"/>
                <w:szCs w:val="20"/>
                <w:color w:val="auto"/>
              </w:rPr>
            </w:pPr>
            <w:r>
              <w:rPr>
                <w:rFonts w:ascii="Arial" w:cs="Arial" w:eastAsia="Arial" w:hAnsi="Arial"/>
                <w:sz w:val="18"/>
                <w:szCs w:val="18"/>
                <w:b w:val="1"/>
                <w:bCs w:val="1"/>
                <w:color w:val="auto"/>
              </w:rPr>
              <w:t>27.68</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402,500</w:t>
            </w: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31 - 36</w:t>
            </w:r>
          </w:p>
        </w:tc>
        <w:tc>
          <w:tcPr>
            <w:tcW w:w="940" w:type="dxa"/>
            <w:vAlign w:val="bottom"/>
          </w:tcPr>
          <w:p>
            <w:pPr>
              <w:jc w:val="right"/>
              <w:ind w:right="140"/>
              <w:spacing w:after="0"/>
              <w:rPr>
                <w:sz w:val="20"/>
                <w:szCs w:val="20"/>
                <w:color w:val="auto"/>
              </w:rPr>
            </w:pPr>
            <w:r>
              <w:rPr>
                <w:rFonts w:ascii="Arial" w:cs="Arial" w:eastAsia="Arial" w:hAnsi="Arial"/>
                <w:sz w:val="18"/>
                <w:szCs w:val="18"/>
                <w:color w:val="auto"/>
              </w:rPr>
              <w:t>31.84</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458,000</w:t>
            </w:r>
          </w:p>
        </w:tc>
        <w:tc>
          <w:tcPr>
            <w:tcW w:w="1020" w:type="dxa"/>
            <w:vAlign w:val="bottom"/>
          </w:tcPr>
          <w:p>
            <w:pPr>
              <w:jc w:val="right"/>
              <w:ind w:right="20"/>
              <w:spacing w:after="0"/>
              <w:rPr>
                <w:sz w:val="20"/>
                <w:szCs w:val="20"/>
                <w:color w:val="auto"/>
              </w:rPr>
            </w:pPr>
            <w:r>
              <w:rPr>
                <w:rFonts w:ascii="Arial" w:cs="Arial" w:eastAsia="Arial" w:hAnsi="Arial"/>
                <w:sz w:val="18"/>
                <w:szCs w:val="18"/>
                <w:color w:val="auto"/>
              </w:rPr>
              <w:t>26 - 35</w:t>
            </w: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27.30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D6F3E8"/>
          </w:tcPr>
          <w:p>
            <w:pPr>
              <w:spacing w:after="0"/>
              <w:rPr>
                <w:sz w:val="20"/>
                <w:szCs w:val="20"/>
                <w:color w:val="auto"/>
              </w:rPr>
            </w:pPr>
            <w:r>
              <w:rPr>
                <w:rFonts w:ascii="Arial" w:cs="Arial" w:eastAsia="Arial" w:hAnsi="Arial"/>
                <w:sz w:val="18"/>
                <w:szCs w:val="18"/>
                <w:color w:val="auto"/>
              </w:rPr>
              <w:t>Options exercised</w:t>
            </w:r>
          </w:p>
        </w:tc>
        <w:tc>
          <w:tcPr>
            <w:tcW w:w="1200" w:type="dxa"/>
            <w:vAlign w:val="bottom"/>
            <w:shd w:val="clear" w:color="auto" w:fill="D6F3E8"/>
          </w:tcPr>
          <w:p>
            <w:pPr>
              <w:jc w:val="right"/>
              <w:ind w:right="115"/>
              <w:spacing w:after="0"/>
              <w:rPr>
                <w:sz w:val="20"/>
                <w:szCs w:val="20"/>
                <w:color w:val="auto"/>
              </w:rPr>
            </w:pPr>
            <w:r>
              <w:rPr>
                <w:rFonts w:ascii="Arial" w:cs="Arial" w:eastAsia="Arial" w:hAnsi="Arial"/>
                <w:sz w:val="18"/>
                <w:szCs w:val="18"/>
                <w:b w:val="1"/>
                <w:bCs w:val="1"/>
                <w:color w:val="auto"/>
              </w:rPr>
              <w:t>(122,412)</w:t>
            </w:r>
          </w:p>
        </w:tc>
        <w:tc>
          <w:tcPr>
            <w:tcW w:w="1060" w:type="dxa"/>
            <w:vAlign w:val="bottom"/>
            <w:shd w:val="clear" w:color="auto" w:fill="D6F3E8"/>
          </w:tcPr>
          <w:p>
            <w:pPr>
              <w:jc w:val="right"/>
              <w:ind w:right="80"/>
              <w:spacing w:after="0"/>
              <w:rPr>
                <w:sz w:val="20"/>
                <w:szCs w:val="20"/>
                <w:color w:val="auto"/>
              </w:rPr>
            </w:pPr>
            <w:r>
              <w:rPr>
                <w:rFonts w:ascii="Arial" w:cs="Arial" w:eastAsia="Arial" w:hAnsi="Arial"/>
                <w:sz w:val="18"/>
                <w:szCs w:val="18"/>
                <w:b w:val="1"/>
                <w:bCs w:val="1"/>
                <w:color w:val="auto"/>
              </w:rPr>
              <w:t>3 - 32</w:t>
            </w:r>
          </w:p>
        </w:tc>
        <w:tc>
          <w:tcPr>
            <w:tcW w:w="1040" w:type="dxa"/>
            <w:vAlign w:val="bottom"/>
            <w:shd w:val="clear" w:color="auto" w:fill="D6F3E8"/>
          </w:tcPr>
          <w:p>
            <w:pPr>
              <w:jc w:val="right"/>
              <w:ind w:right="180"/>
              <w:spacing w:after="0"/>
              <w:rPr>
                <w:sz w:val="20"/>
                <w:szCs w:val="20"/>
                <w:color w:val="auto"/>
              </w:rPr>
            </w:pPr>
            <w:r>
              <w:rPr>
                <w:rFonts w:ascii="Arial" w:cs="Arial" w:eastAsia="Arial" w:hAnsi="Arial"/>
                <w:sz w:val="18"/>
                <w:szCs w:val="18"/>
                <w:b w:val="1"/>
                <w:bCs w:val="1"/>
                <w:color w:val="auto"/>
              </w:rPr>
              <w:t>15.35</w:t>
            </w:r>
          </w:p>
        </w:tc>
        <w:tc>
          <w:tcPr>
            <w:tcW w:w="1200" w:type="dxa"/>
            <w:vAlign w:val="bottom"/>
            <w:shd w:val="clear" w:color="auto" w:fill="D6F3E8"/>
          </w:tcPr>
          <w:p>
            <w:pPr>
              <w:jc w:val="right"/>
              <w:ind w:right="55"/>
              <w:spacing w:after="0"/>
              <w:rPr>
                <w:sz w:val="20"/>
                <w:szCs w:val="20"/>
                <w:color w:val="auto"/>
              </w:rPr>
            </w:pPr>
            <w:r>
              <w:rPr>
                <w:rFonts w:ascii="Arial" w:cs="Arial" w:eastAsia="Arial" w:hAnsi="Arial"/>
                <w:sz w:val="18"/>
                <w:szCs w:val="18"/>
                <w:color w:val="auto"/>
              </w:rPr>
              <w:t>(263,452)</w:t>
            </w:r>
          </w:p>
        </w:tc>
        <w:tc>
          <w:tcPr>
            <w:tcW w:w="110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rPr>
              <w:t>5 - 27</w:t>
            </w:r>
          </w:p>
        </w:tc>
        <w:tc>
          <w:tcPr>
            <w:tcW w:w="940" w:type="dxa"/>
            <w:vAlign w:val="bottom"/>
            <w:shd w:val="clear" w:color="auto" w:fill="D6F3E8"/>
          </w:tcPr>
          <w:p>
            <w:pPr>
              <w:jc w:val="right"/>
              <w:ind w:right="140"/>
              <w:spacing w:after="0"/>
              <w:rPr>
                <w:sz w:val="20"/>
                <w:szCs w:val="20"/>
                <w:color w:val="auto"/>
              </w:rPr>
            </w:pPr>
            <w:r>
              <w:rPr>
                <w:rFonts w:ascii="Arial" w:cs="Arial" w:eastAsia="Arial" w:hAnsi="Arial"/>
                <w:sz w:val="18"/>
                <w:szCs w:val="18"/>
                <w:color w:val="auto"/>
              </w:rPr>
              <w:t>16.70</w:t>
            </w:r>
          </w:p>
        </w:tc>
        <w:tc>
          <w:tcPr>
            <w:tcW w:w="1100" w:type="dxa"/>
            <w:vAlign w:val="bottom"/>
            <w:shd w:val="clear" w:color="auto" w:fill="D6F3E8"/>
          </w:tcPr>
          <w:p>
            <w:pPr>
              <w:jc w:val="right"/>
              <w:ind w:right="55"/>
              <w:spacing w:after="0"/>
              <w:rPr>
                <w:sz w:val="20"/>
                <w:szCs w:val="20"/>
                <w:color w:val="auto"/>
              </w:rPr>
            </w:pPr>
            <w:r>
              <w:rPr>
                <w:rFonts w:ascii="Arial" w:cs="Arial" w:eastAsia="Arial" w:hAnsi="Arial"/>
                <w:sz w:val="18"/>
                <w:szCs w:val="18"/>
                <w:color w:val="auto"/>
              </w:rPr>
              <w:t>(519,698)</w:t>
            </w:r>
          </w:p>
        </w:tc>
        <w:tc>
          <w:tcPr>
            <w:tcW w:w="102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3 - 27</w:t>
            </w:r>
          </w:p>
        </w:tc>
        <w:tc>
          <w:tcPr>
            <w:tcW w:w="80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Options canceled</w:t>
            </w:r>
          </w:p>
        </w:tc>
        <w:tc>
          <w:tcPr>
            <w:tcW w:w="1200" w:type="dxa"/>
            <w:vAlign w:val="bottom"/>
          </w:tcPr>
          <w:p>
            <w:pPr>
              <w:jc w:val="right"/>
              <w:ind w:right="175"/>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960" w:type="dxa"/>
            <w:vAlign w:val="bottom"/>
            <w:gridSpan w:val="2"/>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40" w:type="dxa"/>
            <w:vAlign w:val="bottom"/>
            <w:shd w:val="clear" w:color="auto" w:fill="D6F3E8"/>
          </w:tcPr>
          <w:p>
            <w:pPr>
              <w:spacing w:after="0"/>
              <w:rPr>
                <w:sz w:val="20"/>
                <w:szCs w:val="20"/>
                <w:color w:val="auto"/>
              </w:rPr>
            </w:pPr>
            <w:r>
              <w:rPr>
                <w:rFonts w:ascii="Arial" w:cs="Arial" w:eastAsia="Arial" w:hAnsi="Arial"/>
                <w:sz w:val="18"/>
                <w:szCs w:val="18"/>
                <w:color w:val="auto"/>
              </w:rPr>
              <w:t>Outstanding at end of</w:t>
            </w:r>
          </w:p>
        </w:tc>
        <w:tc>
          <w:tcPr>
            <w:tcW w:w="1200" w:type="dxa"/>
            <w:vAlign w:val="bottom"/>
            <w:vMerge w:val="restart"/>
            <w:shd w:val="clear" w:color="auto" w:fill="D6F3E8"/>
          </w:tcPr>
          <w:p>
            <w:pPr>
              <w:jc w:val="right"/>
              <w:ind w:right="175"/>
              <w:spacing w:after="0"/>
              <w:rPr>
                <w:sz w:val="20"/>
                <w:szCs w:val="20"/>
                <w:color w:val="auto"/>
              </w:rPr>
            </w:pPr>
            <w:r>
              <w:rPr>
                <w:rFonts w:ascii="Arial" w:cs="Arial" w:eastAsia="Arial" w:hAnsi="Arial"/>
                <w:sz w:val="18"/>
                <w:szCs w:val="18"/>
                <w:b w:val="1"/>
                <w:bCs w:val="1"/>
                <w:color w:val="auto"/>
              </w:rPr>
              <w:t>1,591,676</w:t>
            </w:r>
          </w:p>
        </w:tc>
        <w:tc>
          <w:tcPr>
            <w:tcW w:w="1060" w:type="dxa"/>
            <w:vAlign w:val="bottom"/>
            <w:vMerge w:val="restart"/>
            <w:shd w:val="clear" w:color="auto" w:fill="D6F3E8"/>
          </w:tcPr>
          <w:p>
            <w:pPr>
              <w:jc w:val="right"/>
              <w:ind w:right="80"/>
              <w:spacing w:after="0"/>
              <w:rPr>
                <w:sz w:val="20"/>
                <w:szCs w:val="20"/>
                <w:color w:val="auto"/>
              </w:rPr>
            </w:pPr>
            <w:r>
              <w:rPr>
                <w:rFonts w:ascii="Arial" w:cs="Arial" w:eastAsia="Arial" w:hAnsi="Arial"/>
                <w:sz w:val="18"/>
                <w:szCs w:val="18"/>
                <w:b w:val="1"/>
                <w:bCs w:val="1"/>
                <w:color w:val="auto"/>
              </w:rPr>
              <w:t>$4 - $36</w:t>
            </w:r>
          </w:p>
        </w:tc>
        <w:tc>
          <w:tcPr>
            <w:tcW w:w="1040" w:type="dxa"/>
            <w:vAlign w:val="bottom"/>
            <w:vMerge w:val="restart"/>
            <w:shd w:val="clear" w:color="auto" w:fill="D6F3E8"/>
          </w:tcPr>
          <w:p>
            <w:pPr>
              <w:jc w:val="right"/>
              <w:ind w:right="180"/>
              <w:spacing w:after="0"/>
              <w:rPr>
                <w:sz w:val="20"/>
                <w:szCs w:val="20"/>
                <w:color w:val="auto"/>
              </w:rPr>
            </w:pPr>
            <w:r>
              <w:rPr>
                <w:rFonts w:ascii="Arial" w:cs="Arial" w:eastAsia="Arial" w:hAnsi="Arial"/>
                <w:sz w:val="18"/>
                <w:szCs w:val="18"/>
                <w:b w:val="1"/>
                <w:bCs w:val="1"/>
                <w:color w:val="auto"/>
              </w:rPr>
              <w:t>$23.93</w:t>
            </w:r>
          </w:p>
        </w:tc>
        <w:tc>
          <w:tcPr>
            <w:tcW w:w="120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year</w:t>
            </w:r>
          </w:p>
        </w:tc>
        <w:tc>
          <w:tcPr>
            <w:tcW w:w="1200" w:type="dxa"/>
            <w:vAlign w:val="bottom"/>
            <w:vMerge w:val="continue"/>
            <w:shd w:val="clear" w:color="auto" w:fill="D6F3E8"/>
          </w:tcPr>
          <w:p>
            <w:pPr>
              <w:spacing w:after="0"/>
              <w:rPr>
                <w:sz w:val="19"/>
                <w:szCs w:val="19"/>
                <w:color w:val="auto"/>
              </w:rPr>
            </w:pPr>
          </w:p>
        </w:tc>
        <w:tc>
          <w:tcPr>
            <w:tcW w:w="1060" w:type="dxa"/>
            <w:vAlign w:val="bottom"/>
            <w:vMerge w:val="continue"/>
            <w:shd w:val="clear" w:color="auto" w:fill="D6F3E8"/>
          </w:tcPr>
          <w:p>
            <w:pPr>
              <w:spacing w:after="0"/>
              <w:rPr>
                <w:sz w:val="19"/>
                <w:szCs w:val="19"/>
                <w:color w:val="auto"/>
              </w:rPr>
            </w:pPr>
          </w:p>
        </w:tc>
        <w:tc>
          <w:tcPr>
            <w:tcW w:w="1040" w:type="dxa"/>
            <w:vAlign w:val="bottom"/>
            <w:vMerge w:val="continue"/>
            <w:shd w:val="clear" w:color="auto" w:fill="D6F3E8"/>
          </w:tcPr>
          <w:p>
            <w:pPr>
              <w:spacing w:after="0"/>
              <w:rPr>
                <w:sz w:val="19"/>
                <w:szCs w:val="19"/>
                <w:color w:val="auto"/>
              </w:rPr>
            </w:pPr>
          </w:p>
        </w:tc>
        <w:tc>
          <w:tcPr>
            <w:tcW w:w="1200" w:type="dxa"/>
            <w:vAlign w:val="bottom"/>
            <w:shd w:val="clear" w:color="auto" w:fill="D6F3E8"/>
          </w:tcPr>
          <w:p>
            <w:pPr>
              <w:jc w:val="right"/>
              <w:ind w:right="115"/>
              <w:spacing w:after="0"/>
              <w:rPr>
                <w:sz w:val="20"/>
                <w:szCs w:val="20"/>
                <w:color w:val="auto"/>
              </w:rPr>
            </w:pPr>
            <w:r>
              <w:rPr>
                <w:rFonts w:ascii="Arial" w:cs="Arial" w:eastAsia="Arial" w:hAnsi="Arial"/>
                <w:sz w:val="18"/>
                <w:szCs w:val="18"/>
                <w:color w:val="auto"/>
              </w:rPr>
              <w:t>1,374,088</w:t>
            </w:r>
          </w:p>
        </w:tc>
        <w:tc>
          <w:tcPr>
            <w:tcW w:w="110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rPr>
              <w:t>$3 - $36</w:t>
            </w:r>
          </w:p>
        </w:tc>
        <w:tc>
          <w:tcPr>
            <w:tcW w:w="940" w:type="dxa"/>
            <w:vAlign w:val="bottom"/>
            <w:shd w:val="clear" w:color="auto" w:fill="D6F3E8"/>
          </w:tcPr>
          <w:p>
            <w:pPr>
              <w:jc w:val="right"/>
              <w:ind w:right="140"/>
              <w:spacing w:after="0"/>
              <w:rPr>
                <w:sz w:val="20"/>
                <w:szCs w:val="20"/>
                <w:color w:val="auto"/>
              </w:rPr>
            </w:pPr>
            <w:r>
              <w:rPr>
                <w:rFonts w:ascii="Arial" w:cs="Arial" w:eastAsia="Arial" w:hAnsi="Arial"/>
                <w:sz w:val="18"/>
                <w:szCs w:val="18"/>
                <w:color w:val="auto"/>
              </w:rPr>
              <w:t>$22.24</w:t>
            </w:r>
          </w:p>
        </w:tc>
        <w:tc>
          <w:tcPr>
            <w:tcW w:w="1100" w:type="dxa"/>
            <w:vAlign w:val="bottom"/>
            <w:shd w:val="clear" w:color="auto" w:fill="D6F3E8"/>
          </w:tcPr>
          <w:p>
            <w:pPr>
              <w:jc w:val="right"/>
              <w:ind w:right="115"/>
              <w:spacing w:after="0"/>
              <w:rPr>
                <w:sz w:val="20"/>
                <w:szCs w:val="20"/>
                <w:color w:val="auto"/>
              </w:rPr>
            </w:pPr>
            <w:r>
              <w:rPr>
                <w:rFonts w:ascii="Arial" w:cs="Arial" w:eastAsia="Arial" w:hAnsi="Arial"/>
                <w:sz w:val="18"/>
                <w:szCs w:val="18"/>
                <w:color w:val="auto"/>
              </w:rPr>
              <w:t>1,235,040</w:t>
            </w:r>
          </w:p>
        </w:tc>
        <w:tc>
          <w:tcPr>
            <w:tcW w:w="102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$3 - $35</w:t>
            </w:r>
          </w:p>
        </w:tc>
        <w:tc>
          <w:tcPr>
            <w:tcW w:w="80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$17.93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960" w:type="dxa"/>
            <w:vAlign w:val="bottom"/>
            <w:gridSpan w:val="2"/>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960" w:type="dxa"/>
            <w:vAlign w:val="bottom"/>
            <w:gridSpan w:val="2"/>
          </w:tcPr>
          <w:p>
            <w:pPr>
              <w:spacing w:after="0"/>
              <w:rPr>
                <w:sz w:val="20"/>
                <w:szCs w:val="20"/>
                <w:color w:val="auto"/>
              </w:rPr>
            </w:pPr>
            <w:r>
              <w:rPr>
                <w:rFonts w:ascii="Arial" w:cs="Arial" w:eastAsia="Arial" w:hAnsi="Arial"/>
                <w:sz w:val="18"/>
                <w:szCs w:val="18"/>
                <w:color w:val="auto"/>
                <w:w w:val="93"/>
              </w:rPr>
              <w:t>Exercisable at end of year</w:t>
            </w:r>
          </w:p>
        </w:tc>
        <w:tc>
          <w:tcPr>
            <w:tcW w:w="1200" w:type="dxa"/>
            <w:vAlign w:val="bottom"/>
          </w:tcPr>
          <w:p>
            <w:pPr>
              <w:jc w:val="right"/>
              <w:ind w:right="175"/>
              <w:spacing w:after="0"/>
              <w:rPr>
                <w:sz w:val="20"/>
                <w:szCs w:val="20"/>
                <w:color w:val="auto"/>
              </w:rPr>
            </w:pPr>
            <w:r>
              <w:rPr>
                <w:rFonts w:ascii="Arial" w:cs="Arial" w:eastAsia="Arial" w:hAnsi="Arial"/>
                <w:sz w:val="18"/>
                <w:szCs w:val="18"/>
                <w:b w:val="1"/>
                <w:bCs w:val="1"/>
                <w:color w:val="auto"/>
              </w:rPr>
              <w:t>920,324</w:t>
            </w:r>
          </w:p>
        </w:tc>
        <w:tc>
          <w:tcPr>
            <w:tcW w:w="1060" w:type="dxa"/>
            <w:vAlign w:val="bottom"/>
          </w:tcPr>
          <w:p>
            <w:pPr>
              <w:jc w:val="right"/>
              <w:ind w:right="80"/>
              <w:spacing w:after="0"/>
              <w:rPr>
                <w:sz w:val="20"/>
                <w:szCs w:val="20"/>
                <w:color w:val="auto"/>
              </w:rPr>
            </w:pPr>
            <w:r>
              <w:rPr>
                <w:rFonts w:ascii="Arial" w:cs="Arial" w:eastAsia="Arial" w:hAnsi="Arial"/>
                <w:sz w:val="18"/>
                <w:szCs w:val="18"/>
                <w:b w:val="1"/>
                <w:bCs w:val="1"/>
                <w:color w:val="auto"/>
              </w:rPr>
              <w:t>$4 - $36</w:t>
            </w:r>
          </w:p>
        </w:tc>
        <w:tc>
          <w:tcPr>
            <w:tcW w:w="1040" w:type="dxa"/>
            <w:vAlign w:val="bottom"/>
          </w:tcPr>
          <w:p>
            <w:pPr>
              <w:jc w:val="right"/>
              <w:ind w:right="180"/>
              <w:spacing w:after="0"/>
              <w:rPr>
                <w:sz w:val="20"/>
                <w:szCs w:val="20"/>
                <w:color w:val="auto"/>
              </w:rPr>
            </w:pPr>
            <w:r>
              <w:rPr>
                <w:rFonts w:ascii="Arial" w:cs="Arial" w:eastAsia="Arial" w:hAnsi="Arial"/>
                <w:sz w:val="18"/>
                <w:szCs w:val="18"/>
                <w:b w:val="1"/>
                <w:bCs w:val="1"/>
                <w:color w:val="auto"/>
              </w:rPr>
              <w:t>$20.50</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696,628</w:t>
            </w: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$3 - $36</w:t>
            </w:r>
          </w:p>
        </w:tc>
        <w:tc>
          <w:tcPr>
            <w:tcW w:w="940" w:type="dxa"/>
            <w:vAlign w:val="bottom"/>
          </w:tcPr>
          <w:p>
            <w:pPr>
              <w:jc w:val="right"/>
              <w:ind w:right="140"/>
              <w:spacing w:after="0"/>
              <w:rPr>
                <w:sz w:val="20"/>
                <w:szCs w:val="20"/>
                <w:color w:val="auto"/>
              </w:rPr>
            </w:pPr>
            <w:r>
              <w:rPr>
                <w:rFonts w:ascii="Arial" w:cs="Arial" w:eastAsia="Arial" w:hAnsi="Arial"/>
                <w:sz w:val="18"/>
                <w:szCs w:val="18"/>
                <w:color w:val="auto"/>
              </w:rPr>
              <w:t>$17.11</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521,400</w:t>
            </w:r>
          </w:p>
        </w:tc>
        <w:tc>
          <w:tcPr>
            <w:tcW w:w="1020" w:type="dxa"/>
            <w:vAlign w:val="bottom"/>
          </w:tcPr>
          <w:p>
            <w:pPr>
              <w:jc w:val="right"/>
              <w:ind w:right="20"/>
              <w:spacing w:after="0"/>
              <w:rPr>
                <w:sz w:val="20"/>
                <w:szCs w:val="20"/>
                <w:color w:val="auto"/>
              </w:rPr>
            </w:pPr>
            <w:r>
              <w:rPr>
                <w:rFonts w:ascii="Arial" w:cs="Arial" w:eastAsia="Arial" w:hAnsi="Arial"/>
                <w:sz w:val="18"/>
                <w:szCs w:val="18"/>
                <w:color w:val="auto"/>
              </w:rPr>
              <w:t>$3 - $35</w:t>
            </w: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31" w:right="219" w:bottom="1440" w:gutter="0" w:footer="0" w:header="0"/>
        </w:sectPr>
      </w:pP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with the following assumptions: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140" w:type="dxa"/>
            <w:vAlign w:val="bottom"/>
          </w:tcPr>
          <w:p>
            <w:pPr>
              <w:jc w:val="right"/>
              <w:ind w:right="1116"/>
              <w:spacing w:after="0"/>
              <w:rPr>
                <w:sz w:val="20"/>
                <w:szCs w:val="20"/>
                <w:color w:val="auto"/>
              </w:rPr>
            </w:pPr>
            <w:r>
              <w:rPr>
                <w:rFonts w:ascii="Arial" w:cs="Arial" w:eastAsia="Arial" w:hAnsi="Arial"/>
                <w:sz w:val="14"/>
                <w:szCs w:val="14"/>
                <w:b w:val="1"/>
                <w:bCs w:val="1"/>
                <w:color w:val="auto"/>
              </w:rPr>
              <w:t>2006</w:t>
            </w:r>
          </w:p>
        </w:tc>
        <w:tc>
          <w:tcPr>
            <w:tcW w:w="1820" w:type="dxa"/>
            <w:vAlign w:val="bottom"/>
          </w:tcPr>
          <w:p>
            <w:pPr>
              <w:jc w:val="right"/>
              <w:ind w:right="1116"/>
              <w:spacing w:after="0"/>
              <w:rPr>
                <w:sz w:val="20"/>
                <w:szCs w:val="20"/>
                <w:color w:val="auto"/>
              </w:rPr>
            </w:pPr>
            <w:r>
              <w:rPr>
                <w:rFonts w:ascii="Arial" w:cs="Arial" w:eastAsia="Arial" w:hAnsi="Arial"/>
                <w:sz w:val="14"/>
                <w:szCs w:val="14"/>
                <w:b w:val="1"/>
                <w:bCs w:val="1"/>
                <w:color w:val="auto"/>
              </w:rPr>
              <w:t>2005</w:t>
            </w:r>
          </w:p>
        </w:tc>
        <w:tc>
          <w:tcPr>
            <w:tcW w:w="1500" w:type="dxa"/>
            <w:vAlign w:val="bottom"/>
          </w:tcPr>
          <w:p>
            <w:pPr>
              <w:jc w:val="right"/>
              <w:ind w:right="75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Dividend yield</w:t>
            </w:r>
          </w:p>
        </w:tc>
        <w:tc>
          <w:tcPr>
            <w:tcW w:w="2140" w:type="dxa"/>
            <w:vAlign w:val="bottom"/>
            <w:shd w:val="clear" w:color="auto" w:fill="D6F3E8"/>
          </w:tcPr>
          <w:p>
            <w:pPr>
              <w:jc w:val="right"/>
              <w:ind w:right="276"/>
              <w:spacing w:after="0"/>
              <w:rPr>
                <w:sz w:val="20"/>
                <w:szCs w:val="20"/>
                <w:color w:val="auto"/>
              </w:rPr>
            </w:pPr>
            <w:r>
              <w:rPr>
                <w:rFonts w:ascii="Arial" w:cs="Arial" w:eastAsia="Arial" w:hAnsi="Arial"/>
                <w:sz w:val="18"/>
                <w:szCs w:val="18"/>
                <w:b w:val="1"/>
                <w:bCs w:val="1"/>
                <w:color w:val="auto"/>
              </w:rPr>
              <w:t>1.27%</w:t>
            </w:r>
          </w:p>
        </w:tc>
        <w:tc>
          <w:tcPr>
            <w:tcW w:w="1820" w:type="dxa"/>
            <w:vAlign w:val="bottom"/>
            <w:shd w:val="clear" w:color="auto" w:fill="D6F3E8"/>
          </w:tcPr>
          <w:p>
            <w:pPr>
              <w:jc w:val="right"/>
              <w:ind w:right="296"/>
              <w:spacing w:after="0"/>
              <w:rPr>
                <w:sz w:val="20"/>
                <w:szCs w:val="20"/>
                <w:color w:val="auto"/>
              </w:rPr>
            </w:pPr>
            <w:r>
              <w:rPr>
                <w:rFonts w:ascii="Arial" w:cs="Arial" w:eastAsia="Arial" w:hAnsi="Arial"/>
                <w:sz w:val="18"/>
                <w:szCs w:val="18"/>
                <w:color w:val="auto"/>
              </w:rPr>
              <w:t>0.70%</w:t>
            </w: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40" w:type="dxa"/>
            <w:vAlign w:val="bottom"/>
          </w:tcPr>
          <w:p>
            <w:pPr>
              <w:jc w:val="right"/>
              <w:ind w:right="276"/>
              <w:spacing w:after="0"/>
              <w:rPr>
                <w:sz w:val="20"/>
                <w:szCs w:val="20"/>
                <w:color w:val="auto"/>
              </w:rPr>
            </w:pPr>
            <w:r>
              <w:rPr>
                <w:rFonts w:ascii="Arial" w:cs="Arial" w:eastAsia="Arial" w:hAnsi="Arial"/>
                <w:sz w:val="18"/>
                <w:szCs w:val="18"/>
                <w:b w:val="1"/>
                <w:bCs w:val="1"/>
                <w:color w:val="auto"/>
              </w:rPr>
              <w:t>4.3%</w:t>
            </w:r>
          </w:p>
        </w:tc>
        <w:tc>
          <w:tcPr>
            <w:tcW w:w="1820" w:type="dxa"/>
            <w:vAlign w:val="bottom"/>
          </w:tcPr>
          <w:p>
            <w:pPr>
              <w:jc w:val="right"/>
              <w:ind w:right="296"/>
              <w:spacing w:after="0"/>
              <w:rPr>
                <w:sz w:val="20"/>
                <w:szCs w:val="20"/>
                <w:color w:val="auto"/>
              </w:rPr>
            </w:pPr>
            <w:r>
              <w:rPr>
                <w:rFonts w:ascii="Arial" w:cs="Arial" w:eastAsia="Arial" w:hAnsi="Arial"/>
                <w:sz w:val="18"/>
                <w:szCs w:val="18"/>
                <w:color w:val="auto"/>
              </w:rPr>
              <w:t>3.2%</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Expected life</w:t>
            </w:r>
          </w:p>
        </w:tc>
        <w:tc>
          <w:tcPr>
            <w:tcW w:w="2140" w:type="dxa"/>
            <w:vAlign w:val="bottom"/>
            <w:shd w:val="clear" w:color="auto" w:fill="D6F3E8"/>
          </w:tcPr>
          <w:p>
            <w:pPr>
              <w:jc w:val="right"/>
              <w:ind w:right="456"/>
              <w:spacing w:after="0"/>
              <w:rPr>
                <w:sz w:val="20"/>
                <w:szCs w:val="20"/>
                <w:color w:val="auto"/>
              </w:rPr>
            </w:pPr>
            <w:r>
              <w:rPr>
                <w:rFonts w:ascii="Arial" w:cs="Arial" w:eastAsia="Arial" w:hAnsi="Arial"/>
                <w:sz w:val="18"/>
                <w:szCs w:val="18"/>
                <w:b w:val="1"/>
                <w:bCs w:val="1"/>
                <w:color w:val="auto"/>
              </w:rPr>
              <w:t>4.2 years</w:t>
            </w:r>
          </w:p>
        </w:tc>
        <w:tc>
          <w:tcPr>
            <w:tcW w:w="1820" w:type="dxa"/>
            <w:vAlign w:val="bottom"/>
            <w:shd w:val="clear" w:color="auto" w:fill="D6F3E8"/>
          </w:tcPr>
          <w:p>
            <w:pPr>
              <w:jc w:val="right"/>
              <w:ind w:right="436"/>
              <w:spacing w:after="0"/>
              <w:rPr>
                <w:sz w:val="20"/>
                <w:szCs w:val="20"/>
                <w:color w:val="auto"/>
              </w:rPr>
            </w:pPr>
            <w:r>
              <w:rPr>
                <w:rFonts w:ascii="Arial" w:cs="Arial" w:eastAsia="Arial" w:hAnsi="Arial"/>
                <w:sz w:val="18"/>
                <w:szCs w:val="18"/>
                <w:color w:val="auto"/>
              </w:rPr>
              <w:t>3 years</w:t>
            </w:r>
          </w:p>
        </w:tc>
        <w:tc>
          <w:tcPr>
            <w:tcW w:w="150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Expected volatility</w:t>
            </w:r>
          </w:p>
        </w:tc>
        <w:tc>
          <w:tcPr>
            <w:tcW w:w="2140" w:type="dxa"/>
            <w:vAlign w:val="bottom"/>
          </w:tcPr>
          <w:p>
            <w:pPr>
              <w:jc w:val="right"/>
              <w:ind w:right="276"/>
              <w:spacing w:after="0"/>
              <w:rPr>
                <w:sz w:val="20"/>
                <w:szCs w:val="20"/>
                <w:color w:val="auto"/>
              </w:rPr>
            </w:pPr>
            <w:r>
              <w:rPr>
                <w:rFonts w:ascii="Arial" w:cs="Arial" w:eastAsia="Arial" w:hAnsi="Arial"/>
                <w:sz w:val="18"/>
                <w:szCs w:val="18"/>
                <w:b w:val="1"/>
                <w:bCs w:val="1"/>
                <w:color w:val="auto"/>
              </w:rPr>
              <w:t>35.62 - 36.93%</w:t>
            </w:r>
          </w:p>
        </w:tc>
        <w:tc>
          <w:tcPr>
            <w:tcW w:w="1820" w:type="dxa"/>
            <w:vAlign w:val="bottom"/>
          </w:tcPr>
          <w:p>
            <w:pPr>
              <w:jc w:val="right"/>
              <w:ind w:right="296"/>
              <w:spacing w:after="0"/>
              <w:rPr>
                <w:sz w:val="20"/>
                <w:szCs w:val="20"/>
                <w:color w:val="auto"/>
              </w:rPr>
            </w:pPr>
            <w:r>
              <w:rPr>
                <w:rFonts w:ascii="Arial" w:cs="Arial" w:eastAsia="Arial" w:hAnsi="Arial"/>
                <w:sz w:val="18"/>
                <w:szCs w:val="18"/>
                <w:color w:val="auto"/>
              </w:rPr>
              <w:t>46.35 - 46.56%</w:t>
            </w:r>
          </w:p>
        </w:tc>
        <w:tc>
          <w:tcPr>
            <w:tcW w:w="1500" w:type="dxa"/>
            <w:vAlign w:val="bottom"/>
          </w:tcPr>
          <w:p>
            <w:pPr>
              <w:jc w:val="right"/>
              <w:spacing w:after="0"/>
              <w:rPr>
                <w:sz w:val="20"/>
                <w:szCs w:val="20"/>
                <w:color w:val="auto"/>
              </w:rPr>
            </w:pPr>
            <w:r>
              <w:rPr>
                <w:rFonts w:ascii="Arial" w:cs="Arial" w:eastAsia="Arial" w:hAnsi="Arial"/>
                <w:sz w:val="18"/>
                <w:szCs w:val="18"/>
                <w:color w:val="auto"/>
              </w:rPr>
              <w:t>48.19 - 48.54%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Estimated per share fair value of options granted</w:t>
            </w:r>
          </w:p>
        </w:tc>
        <w:tc>
          <w:tcPr>
            <w:tcW w:w="2140" w:type="dxa"/>
            <w:vAlign w:val="bottom"/>
            <w:shd w:val="clear" w:color="auto" w:fill="D6F3E8"/>
          </w:tcPr>
          <w:p>
            <w:pPr>
              <w:jc w:val="right"/>
              <w:ind w:right="456"/>
              <w:spacing w:after="0"/>
              <w:rPr>
                <w:sz w:val="20"/>
                <w:szCs w:val="20"/>
                <w:color w:val="auto"/>
              </w:rPr>
            </w:pPr>
            <w:r>
              <w:rPr>
                <w:rFonts w:ascii="Arial" w:cs="Arial" w:eastAsia="Arial" w:hAnsi="Arial"/>
                <w:sz w:val="18"/>
                <w:szCs w:val="18"/>
                <w:b w:val="1"/>
                <w:bCs w:val="1"/>
                <w:color w:val="auto"/>
              </w:rPr>
              <w:t>$8.68</w:t>
            </w:r>
          </w:p>
        </w:tc>
        <w:tc>
          <w:tcPr>
            <w:tcW w:w="1820" w:type="dxa"/>
            <w:vAlign w:val="bottom"/>
            <w:shd w:val="clear" w:color="auto" w:fill="D6F3E8"/>
          </w:tcPr>
          <w:p>
            <w:pPr>
              <w:jc w:val="right"/>
              <w:ind w:right="436"/>
              <w:spacing w:after="0"/>
              <w:rPr>
                <w:sz w:val="20"/>
                <w:szCs w:val="20"/>
                <w:color w:val="auto"/>
              </w:rPr>
            </w:pPr>
            <w:r>
              <w:rPr>
                <w:rFonts w:ascii="Arial" w:cs="Arial" w:eastAsia="Arial" w:hAnsi="Arial"/>
                <w:sz w:val="18"/>
                <w:szCs w:val="18"/>
                <w:color w:val="auto"/>
              </w:rPr>
              <w:t>$10.87</w:t>
            </w:r>
          </w:p>
        </w:tc>
        <w:tc>
          <w:tcPr>
            <w:tcW w:w="150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00" w:hanging="551"/>
        <w:spacing w:after="0"/>
        <w:tabs>
          <w:tab w:leader="none" w:pos="60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Forfeitures are estimated based on historical experience.</w:t>
      </w:r>
    </w:p>
    <w:p>
      <w:pPr>
        <w:spacing w:after="0" w:line="7" w:lineRule="exact"/>
        <w:rPr>
          <w:rFonts w:ascii="Arial" w:cs="Arial" w:eastAsia="Arial" w:hAnsi="Arial"/>
          <w:sz w:val="29"/>
          <w:szCs w:val="29"/>
          <w:color w:val="auto"/>
          <w:vertAlign w:val="superscript"/>
        </w:rPr>
      </w:pPr>
    </w:p>
    <w:p>
      <w:pPr>
        <w:ind w:left="600" w:right="520" w:hanging="551"/>
        <w:spacing w:after="0" w:line="188" w:lineRule="auto"/>
        <w:tabs>
          <w:tab w:leader="none" w:pos="60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Risk-free interest rate is based on the Treasury Securities constant maturity interest rate whose term is consistent with the expected life of our stock options.</w:t>
      </w:r>
    </w:p>
    <w:p>
      <w:pPr>
        <w:spacing w:after="0" w:line="1" w:lineRule="exact"/>
        <w:rPr>
          <w:rFonts w:ascii="Arial" w:cs="Arial" w:eastAsia="Arial" w:hAnsi="Arial"/>
          <w:sz w:val="29"/>
          <w:szCs w:val="29"/>
          <w:color w:val="auto"/>
          <w:vertAlign w:val="superscript"/>
        </w:rPr>
      </w:pPr>
    </w:p>
    <w:p>
      <w:pPr>
        <w:ind w:left="600" w:hanging="551"/>
        <w:spacing w:after="0" w:line="180" w:lineRule="auto"/>
        <w:tabs>
          <w:tab w:leader="none" w:pos="600"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Expected stock price volatility is based on historical experience.</w:t>
      </w:r>
    </w:p>
    <w:p>
      <w:pPr>
        <w:spacing w:after="0" w:line="8" w:lineRule="exact"/>
        <w:rPr>
          <w:rFonts w:ascii="Arial" w:cs="Arial" w:eastAsia="Arial" w:hAnsi="Arial"/>
          <w:sz w:val="25"/>
          <w:szCs w:val="25"/>
          <w:color w:val="auto"/>
          <w:vertAlign w:val="superscript"/>
        </w:rPr>
      </w:pPr>
    </w:p>
    <w:p>
      <w:pPr>
        <w:ind w:left="600" w:hanging="551"/>
        <w:spacing w:after="0" w:line="181" w:lineRule="auto"/>
        <w:tabs>
          <w:tab w:leader="none" w:pos="60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Expected life of stock options is based upon historical experience.</w:t>
      </w:r>
    </w:p>
    <w:p>
      <w:pPr>
        <w:spacing w:after="0" w:line="21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weighted average remaining contractual life for options outstanding and exercisable at August 26, 2006 was 6.87 years and 5.71 years, respectively. The aggregate intrinsic value of options outstanding and exercisable at August 26, 2006 was $9.0 million and $8.3 million, respectively.</w:t>
      </w:r>
    </w:p>
    <w:p>
      <w:pPr>
        <w:spacing w:after="0" w:line="13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August 26, 2006, there was $2.1 million of unrecognized compensation expense related to nonvested option awards that is expected to be recognized over a weighted average period of 1.3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 values related to options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2006</w:t>
            </w:r>
          </w:p>
        </w:tc>
        <w:tc>
          <w:tcPr>
            <w:tcW w:w="360" w:type="dxa"/>
            <w:vAlign w:val="bottom"/>
          </w:tcPr>
          <w:p>
            <w:pPr>
              <w:spacing w:after="0"/>
              <w:rPr>
                <w:sz w:val="15"/>
                <w:szCs w:val="15"/>
                <w:color w:val="auto"/>
              </w:rPr>
            </w:pPr>
          </w:p>
        </w:tc>
        <w:tc>
          <w:tcPr>
            <w:tcW w:w="900" w:type="dxa"/>
            <w:vAlign w:val="bottom"/>
          </w:tcPr>
          <w:p>
            <w:pPr>
              <w:jc w:val="right"/>
              <w:ind w:right="439"/>
              <w:spacing w:after="0"/>
              <w:rPr>
                <w:sz w:val="20"/>
                <w:szCs w:val="20"/>
                <w:color w:val="auto"/>
              </w:rPr>
            </w:pPr>
            <w:r>
              <w:rPr>
                <w:rFonts w:ascii="Arial" w:cs="Arial" w:eastAsia="Arial" w:hAnsi="Arial"/>
                <w:sz w:val="14"/>
                <w:szCs w:val="14"/>
                <w:b w:val="1"/>
                <w:bCs w:val="1"/>
                <w:color w:val="auto"/>
              </w:rPr>
              <w:t>2005</w:t>
            </w:r>
          </w:p>
        </w:tc>
        <w:tc>
          <w:tcPr>
            <w:tcW w:w="230" w:type="dxa"/>
            <w:vAlign w:val="bottom"/>
          </w:tcPr>
          <w:p>
            <w:pPr>
              <w:spacing w:after="0"/>
              <w:rPr>
                <w:sz w:val="15"/>
                <w:szCs w:val="15"/>
                <w:color w:val="auto"/>
              </w:rPr>
            </w:pPr>
          </w:p>
        </w:tc>
        <w:tc>
          <w:tcPr>
            <w:tcW w:w="730" w:type="dxa"/>
            <w:vAlign w:val="bottom"/>
          </w:tcPr>
          <w:p>
            <w:pPr>
              <w:jc w:val="right"/>
              <w:ind w:right="317"/>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Aggregate intrinsic value of options exercised (1)</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1,941</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ind w:right="219"/>
              <w:spacing w:after="0"/>
              <w:rPr>
                <w:sz w:val="20"/>
                <w:szCs w:val="20"/>
                <w:color w:val="auto"/>
              </w:rPr>
            </w:pPr>
            <w:r>
              <w:rPr>
                <w:rFonts w:ascii="Arial" w:cs="Arial" w:eastAsia="Arial" w:hAnsi="Arial"/>
                <w:sz w:val="18"/>
                <w:szCs w:val="18"/>
                <w:color w:val="auto"/>
              </w:rPr>
              <w:t>4,812</w:t>
            </w:r>
          </w:p>
        </w:tc>
        <w:tc>
          <w:tcPr>
            <w:tcW w:w="230" w:type="dxa"/>
            <w:vAlign w:val="bottom"/>
            <w:shd w:val="clear" w:color="auto" w:fill="D6F3E8"/>
          </w:tcPr>
          <w:p>
            <w:pPr>
              <w:jc w:val="right"/>
              <w:ind w:right="22"/>
              <w:spacing w:after="0"/>
              <w:rPr>
                <w:sz w:val="20"/>
                <w:szCs w:val="20"/>
                <w:color w:val="auto"/>
              </w:rPr>
            </w:pPr>
            <w:r>
              <w:rPr>
                <w:rFonts w:ascii="Arial" w:cs="Arial" w:eastAsia="Arial" w:hAnsi="Arial"/>
                <w:sz w:val="18"/>
                <w:szCs w:val="18"/>
                <w:color w:val="auto"/>
                <w:w w:val="99"/>
              </w:rPr>
              <w:t>$</w:t>
            </w:r>
          </w:p>
        </w:tc>
        <w:tc>
          <w:tcPr>
            <w:tcW w:w="73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10,904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cash proceeds from the exercise of stock options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1,878</w:t>
            </w:r>
          </w:p>
        </w:tc>
        <w:tc>
          <w:tcPr>
            <w:tcW w:w="360" w:type="dxa"/>
            <w:vAlign w:val="bottom"/>
          </w:tcPr>
          <w:p>
            <w:pPr>
              <w:spacing w:after="0"/>
              <w:rPr>
                <w:sz w:val="18"/>
                <w:szCs w:val="18"/>
                <w:color w:val="auto"/>
              </w:rPr>
            </w:pPr>
          </w:p>
        </w:tc>
        <w:tc>
          <w:tcPr>
            <w:tcW w:w="900" w:type="dxa"/>
            <w:vAlign w:val="bottom"/>
          </w:tcPr>
          <w:p>
            <w:pPr>
              <w:jc w:val="right"/>
              <w:ind w:right="219"/>
              <w:spacing w:after="0"/>
              <w:rPr>
                <w:sz w:val="20"/>
                <w:szCs w:val="20"/>
                <w:color w:val="auto"/>
              </w:rPr>
            </w:pPr>
            <w:r>
              <w:rPr>
                <w:rFonts w:ascii="Arial" w:cs="Arial" w:eastAsia="Arial" w:hAnsi="Arial"/>
                <w:sz w:val="18"/>
                <w:szCs w:val="18"/>
                <w:color w:val="auto"/>
              </w:rPr>
              <w:t>4,400</w:t>
            </w:r>
          </w:p>
        </w:tc>
        <w:tc>
          <w:tcPr>
            <w:tcW w:w="230" w:type="dxa"/>
            <w:vAlign w:val="bottom"/>
          </w:tcPr>
          <w:p>
            <w:pPr>
              <w:spacing w:after="0"/>
              <w:rPr>
                <w:sz w:val="18"/>
                <w:szCs w:val="18"/>
                <w:color w:val="auto"/>
              </w:rPr>
            </w:pPr>
          </w:p>
        </w:tc>
        <w:tc>
          <w:tcPr>
            <w:tcW w:w="730" w:type="dxa"/>
            <w:vAlign w:val="bottom"/>
          </w:tcPr>
          <w:p>
            <w:pPr>
              <w:jc w:val="right"/>
              <w:ind w:right="37"/>
              <w:spacing w:after="0"/>
              <w:rPr>
                <w:sz w:val="20"/>
                <w:szCs w:val="20"/>
                <w:color w:val="auto"/>
              </w:rPr>
            </w:pPr>
            <w:r>
              <w:rPr>
                <w:rFonts w:ascii="Arial" w:cs="Arial" w:eastAsia="Arial" w:hAnsi="Arial"/>
                <w:sz w:val="18"/>
                <w:szCs w:val="18"/>
                <w:color w:val="auto"/>
              </w:rPr>
              <w:t>4,865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Actual income tax benefit realized from stock option exercises</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501</w:t>
            </w:r>
          </w:p>
        </w:tc>
        <w:tc>
          <w:tcPr>
            <w:tcW w:w="36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219"/>
              <w:spacing w:after="0"/>
              <w:rPr>
                <w:sz w:val="20"/>
                <w:szCs w:val="20"/>
                <w:color w:val="auto"/>
              </w:rPr>
            </w:pPr>
            <w:r>
              <w:rPr>
                <w:rFonts w:ascii="Arial" w:cs="Arial" w:eastAsia="Arial" w:hAnsi="Arial"/>
                <w:sz w:val="18"/>
                <w:szCs w:val="18"/>
                <w:color w:val="auto"/>
              </w:rPr>
              <w:t>1,177</w:t>
            </w:r>
          </w:p>
        </w:tc>
        <w:tc>
          <w:tcPr>
            <w:tcW w:w="230" w:type="dxa"/>
            <w:vAlign w:val="bottom"/>
            <w:shd w:val="clear" w:color="auto" w:fill="D6F3E8"/>
          </w:tcPr>
          <w:p>
            <w:pPr>
              <w:spacing w:after="0"/>
              <w:rPr>
                <w:sz w:val="18"/>
                <w:szCs w:val="18"/>
                <w:color w:val="auto"/>
              </w:rPr>
            </w:pPr>
          </w:p>
        </w:tc>
        <w:tc>
          <w:tcPr>
            <w:tcW w:w="73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2,573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9"/>
        </w:trPr>
        <w:tc>
          <w:tcPr>
            <w:tcW w:w="400" w:type="dxa"/>
            <w:vAlign w:val="bottom"/>
            <w:gridSpan w:val="2"/>
          </w:tcPr>
          <w:p>
            <w:pPr>
              <w:spacing w:after="0"/>
              <w:rPr>
                <w:sz w:val="20"/>
                <w:szCs w:val="20"/>
                <w:color w:val="auto"/>
              </w:rPr>
            </w:pPr>
            <w:r>
              <w:rPr>
                <w:rFonts w:ascii="Arial" w:cs="Arial" w:eastAsia="Arial" w:hAnsi="Arial"/>
                <w:sz w:val="18"/>
                <w:szCs w:val="18"/>
                <w:color w:val="auto"/>
              </w:rPr>
              <w:t>(1)</w:t>
            </w:r>
          </w:p>
        </w:tc>
        <w:tc>
          <w:tcPr>
            <w:tcW w:w="7220" w:type="dxa"/>
            <w:vAlign w:val="bottom"/>
            <w:gridSpan w:val="7"/>
          </w:tcPr>
          <w:p>
            <w:pPr>
              <w:jc w:val="right"/>
              <w:spacing w:after="0"/>
              <w:rPr>
                <w:sz w:val="20"/>
                <w:szCs w:val="20"/>
                <w:color w:val="auto"/>
              </w:rPr>
            </w:pPr>
            <w:r>
              <w:rPr>
                <w:rFonts w:ascii="Arial" w:cs="Arial" w:eastAsia="Arial" w:hAnsi="Arial"/>
                <w:sz w:val="18"/>
                <w:szCs w:val="18"/>
                <w:color w:val="auto"/>
                <w:w w:val="89"/>
              </w:rPr>
              <w:t>The amount by which the sale price of our stock on the date of exercise exceeded the exercise price.</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Note 10: Net Revenues Classifications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gridSpan w:val="3"/>
          </w:tcPr>
          <w:p>
            <w:pPr>
              <w:spacing w:after="0"/>
              <w:rPr>
                <w:sz w:val="20"/>
                <w:szCs w:val="20"/>
                <w:color w:val="auto"/>
              </w:rPr>
            </w:pPr>
            <w:r>
              <w:rPr>
                <w:rFonts w:ascii="Arial" w:cs="Arial" w:eastAsia="Arial" w:hAnsi="Arial"/>
                <w:sz w:val="18"/>
                <w:szCs w:val="18"/>
                <w:color w:val="auto"/>
              </w:rPr>
              <w:t>Net revenue by product class: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Fiscal 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Aug. 26,</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center"/>
              <w:ind w:right="381"/>
              <w:spacing w:after="0"/>
              <w:rPr>
                <w:sz w:val="20"/>
                <w:szCs w:val="20"/>
                <w:color w:val="auto"/>
              </w:rPr>
            </w:pPr>
            <w:r>
              <w:rPr>
                <w:rFonts w:ascii="Arial" w:cs="Arial" w:eastAsia="Arial" w:hAnsi="Arial"/>
                <w:sz w:val="14"/>
                <w:szCs w:val="14"/>
                <w:b w:val="1"/>
                <w:bCs w:val="1"/>
                <w:color w:val="auto"/>
                <w:w w:val="88"/>
              </w:rPr>
              <w:t>Aug. 27,</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Aug. 28,</w:t>
            </w:r>
          </w:p>
        </w:tc>
        <w:tc>
          <w:tcPr>
            <w:tcW w:w="230" w:type="dxa"/>
            <w:vAlign w:val="bottom"/>
          </w:tcPr>
          <w:p>
            <w:pPr>
              <w:spacing w:after="0"/>
              <w:rPr>
                <w:sz w:val="20"/>
                <w:szCs w:val="20"/>
                <w:color w:val="auto"/>
              </w:rPr>
            </w:pPr>
          </w:p>
        </w:tc>
        <w:tc>
          <w:tcPr>
            <w:tcW w:w="7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980" w:type="dxa"/>
            <w:vAlign w:val="bottom"/>
          </w:tcPr>
          <w:p>
            <w:pPr>
              <w:jc w:val="center"/>
              <w:ind w:right="401"/>
              <w:spacing w:after="0"/>
              <w:rPr>
                <w:sz w:val="20"/>
                <w:szCs w:val="20"/>
                <w:color w:val="auto"/>
              </w:rPr>
            </w:pPr>
            <w:r>
              <w:rPr>
                <w:rFonts w:ascii="Arial" w:cs="Arial" w:eastAsia="Arial" w:hAnsi="Arial"/>
                <w:sz w:val="14"/>
                <w:szCs w:val="14"/>
                <w:b w:val="1"/>
                <w:bCs w:val="1"/>
                <w:color w:val="auto"/>
                <w:w w:val="83"/>
              </w:rPr>
              <w:t>2005</w:t>
            </w:r>
          </w:p>
        </w:tc>
        <w:tc>
          <w:tcPr>
            <w:tcW w:w="60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2004</w:t>
            </w:r>
          </w:p>
        </w:tc>
        <w:tc>
          <w:tcPr>
            <w:tcW w:w="230" w:type="dxa"/>
            <w:vAlign w:val="bottom"/>
          </w:tcPr>
          <w:p>
            <w:pPr>
              <w:spacing w:after="0"/>
              <w:rPr>
                <w:sz w:val="15"/>
                <w:szCs w:val="15"/>
                <w:color w:val="auto"/>
              </w:rPr>
            </w:pPr>
          </w:p>
        </w:tc>
        <w:tc>
          <w:tcPr>
            <w:tcW w:w="73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40" w:type="dxa"/>
            <w:vAlign w:val="bottom"/>
            <w:tcBorders>
              <w:bottom w:val="single" w:sz="8" w:color="auto"/>
            </w:tcBorders>
            <w:gridSpan w:val="3"/>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Motor homes</w:t>
            </w:r>
          </w:p>
        </w:tc>
        <w:tc>
          <w:tcPr>
            <w:tcW w:w="1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b w:val="1"/>
                <w:bCs w:val="1"/>
                <w:color w:val="auto"/>
              </w:rPr>
              <w:t>808,715</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93.6</w:t>
            </w:r>
          </w:p>
        </w:tc>
        <w:tc>
          <w:tcPr>
            <w:tcW w:w="4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201"/>
              <w:spacing w:after="0"/>
              <w:rPr>
                <w:sz w:val="20"/>
                <w:szCs w:val="20"/>
                <w:color w:val="auto"/>
              </w:rPr>
            </w:pPr>
            <w:r>
              <w:rPr>
                <w:rFonts w:ascii="Arial" w:cs="Arial" w:eastAsia="Arial" w:hAnsi="Arial"/>
                <w:sz w:val="18"/>
                <w:szCs w:val="18"/>
                <w:color w:val="auto"/>
              </w:rPr>
              <w:t>946,350</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95.4</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1,070,264</w:t>
            </w:r>
          </w:p>
        </w:tc>
        <w:tc>
          <w:tcPr>
            <w:tcW w:w="230" w:type="dxa"/>
            <w:vAlign w:val="bottom"/>
            <w:shd w:val="clear" w:color="auto" w:fill="D6F3E8"/>
          </w:tcPr>
          <w:p>
            <w:pPr>
              <w:spacing w:after="0"/>
              <w:rPr>
                <w:sz w:val="18"/>
                <w:szCs w:val="18"/>
                <w:color w:val="auto"/>
              </w:rPr>
            </w:pPr>
          </w:p>
        </w:tc>
        <w:tc>
          <w:tcPr>
            <w:tcW w:w="73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Motor home parts and services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15,901</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00" w:type="dxa"/>
            <w:vAlign w:val="bottom"/>
          </w:tcPr>
          <w:p>
            <w:pPr>
              <w:spacing w:after="0"/>
              <w:rPr>
                <w:sz w:val="18"/>
                <w:szCs w:val="18"/>
                <w:color w:val="auto"/>
              </w:rPr>
            </w:pPr>
          </w:p>
        </w:tc>
        <w:tc>
          <w:tcPr>
            <w:tcW w:w="980" w:type="dxa"/>
            <w:vAlign w:val="bottom"/>
          </w:tcPr>
          <w:p>
            <w:pPr>
              <w:jc w:val="right"/>
              <w:ind w:right="201"/>
              <w:spacing w:after="0"/>
              <w:rPr>
                <w:sz w:val="20"/>
                <w:szCs w:val="20"/>
                <w:color w:val="auto"/>
              </w:rPr>
            </w:pPr>
            <w:r>
              <w:rPr>
                <w:rFonts w:ascii="Arial" w:cs="Arial" w:eastAsia="Arial" w:hAnsi="Arial"/>
                <w:sz w:val="18"/>
                <w:szCs w:val="18"/>
                <w:color w:val="auto"/>
              </w:rPr>
              <w:t>16,401</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15,199</w:t>
            </w:r>
          </w:p>
        </w:tc>
        <w:tc>
          <w:tcPr>
            <w:tcW w:w="230" w:type="dxa"/>
            <w:vAlign w:val="bottom"/>
          </w:tcPr>
          <w:p>
            <w:pPr>
              <w:spacing w:after="0"/>
              <w:rPr>
                <w:sz w:val="18"/>
                <w:szCs w:val="18"/>
                <w:color w:val="auto"/>
              </w:rPr>
            </w:pPr>
          </w:p>
        </w:tc>
        <w:tc>
          <w:tcPr>
            <w:tcW w:w="73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Other manufactured products</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b w:val="1"/>
                <w:bCs w:val="1"/>
                <w:color w:val="auto"/>
              </w:rPr>
              <w:t>39,787</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4.6</w:t>
            </w:r>
          </w:p>
        </w:tc>
        <w:tc>
          <w:tcPr>
            <w:tcW w:w="40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201"/>
              <w:spacing w:after="0"/>
              <w:rPr>
                <w:sz w:val="20"/>
                <w:szCs w:val="20"/>
                <w:color w:val="auto"/>
              </w:rPr>
            </w:pPr>
            <w:r>
              <w:rPr>
                <w:rFonts w:ascii="Arial" w:cs="Arial" w:eastAsia="Arial" w:hAnsi="Arial"/>
                <w:sz w:val="18"/>
                <w:szCs w:val="18"/>
                <w:color w:val="auto"/>
              </w:rPr>
              <w:t>29,224</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28,691</w:t>
            </w:r>
          </w:p>
        </w:tc>
        <w:tc>
          <w:tcPr>
            <w:tcW w:w="230" w:type="dxa"/>
            <w:vAlign w:val="bottom"/>
            <w:shd w:val="clear" w:color="auto" w:fill="D6F3E8"/>
          </w:tcPr>
          <w:p>
            <w:pPr>
              <w:spacing w:after="0"/>
              <w:rPr>
                <w:sz w:val="18"/>
                <w:szCs w:val="18"/>
                <w:color w:val="auto"/>
              </w:rPr>
            </w:pPr>
          </w:p>
        </w:tc>
        <w:tc>
          <w:tcPr>
            <w:tcW w:w="73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3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40" w:type="dxa"/>
            <w:vAlign w:val="bottom"/>
            <w:gridSpan w:val="3"/>
          </w:tcPr>
          <w:p>
            <w:pPr>
              <w:spacing w:after="0"/>
              <w:rPr>
                <w:sz w:val="20"/>
                <w:szCs w:val="20"/>
                <w:color w:val="auto"/>
              </w:rPr>
            </w:pPr>
            <w:r>
              <w:rPr>
                <w:rFonts w:ascii="Arial" w:cs="Arial" w:eastAsia="Arial" w:hAnsi="Arial"/>
                <w:sz w:val="18"/>
                <w:szCs w:val="18"/>
                <w:color w:val="auto"/>
              </w:rPr>
              <w:t>Total net revenues</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864,403</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01"/>
              <w:spacing w:after="0"/>
              <w:rPr>
                <w:sz w:val="20"/>
                <w:szCs w:val="20"/>
                <w:color w:val="auto"/>
              </w:rPr>
            </w:pPr>
            <w:r>
              <w:rPr>
                <w:rFonts w:ascii="Arial" w:cs="Arial" w:eastAsia="Arial" w:hAnsi="Arial"/>
                <w:sz w:val="18"/>
                <w:szCs w:val="18"/>
                <w:color w:val="auto"/>
              </w:rPr>
              <w:t>991,975</w:t>
            </w: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1,114,154</w:t>
            </w:r>
          </w:p>
        </w:tc>
        <w:tc>
          <w:tcPr>
            <w:tcW w:w="230" w:type="dxa"/>
            <w:vAlign w:val="bottom"/>
          </w:tcPr>
          <w:p>
            <w:pPr>
              <w:spacing w:after="0"/>
              <w:rPr>
                <w:sz w:val="24"/>
                <w:szCs w:val="24"/>
                <w:color w:val="auto"/>
              </w:rPr>
            </w:pPr>
          </w:p>
        </w:tc>
        <w:tc>
          <w:tcPr>
            <w:tcW w:w="730" w:type="dxa"/>
            <w:vAlign w:val="bottom"/>
          </w:tcPr>
          <w:p>
            <w:pPr>
              <w:jc w:val="right"/>
              <w:ind w:right="37"/>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Net revenue by geographic area:</w:t>
            </w: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3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4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Fiscal 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Aug. 26,</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center"/>
              <w:ind w:right="381"/>
              <w:spacing w:after="0"/>
              <w:rPr>
                <w:sz w:val="20"/>
                <w:szCs w:val="20"/>
                <w:color w:val="auto"/>
              </w:rPr>
            </w:pPr>
            <w:r>
              <w:rPr>
                <w:rFonts w:ascii="Arial" w:cs="Arial" w:eastAsia="Arial" w:hAnsi="Arial"/>
                <w:sz w:val="14"/>
                <w:szCs w:val="14"/>
                <w:b w:val="1"/>
                <w:bCs w:val="1"/>
                <w:color w:val="auto"/>
                <w:w w:val="88"/>
              </w:rPr>
              <w:t>Aug. 27,</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Aug. 28,</w:t>
            </w:r>
          </w:p>
        </w:tc>
        <w:tc>
          <w:tcPr>
            <w:tcW w:w="230" w:type="dxa"/>
            <w:vAlign w:val="bottom"/>
          </w:tcPr>
          <w:p>
            <w:pPr>
              <w:spacing w:after="0"/>
              <w:rPr>
                <w:sz w:val="20"/>
                <w:szCs w:val="20"/>
                <w:color w:val="auto"/>
              </w:rPr>
            </w:pPr>
          </w:p>
        </w:tc>
        <w:tc>
          <w:tcPr>
            <w:tcW w:w="7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980" w:type="dxa"/>
            <w:vAlign w:val="bottom"/>
          </w:tcPr>
          <w:p>
            <w:pPr>
              <w:jc w:val="center"/>
              <w:ind w:right="401"/>
              <w:spacing w:after="0"/>
              <w:rPr>
                <w:sz w:val="20"/>
                <w:szCs w:val="20"/>
                <w:color w:val="auto"/>
              </w:rPr>
            </w:pPr>
            <w:r>
              <w:rPr>
                <w:rFonts w:ascii="Arial" w:cs="Arial" w:eastAsia="Arial" w:hAnsi="Arial"/>
                <w:sz w:val="14"/>
                <w:szCs w:val="14"/>
                <w:b w:val="1"/>
                <w:bCs w:val="1"/>
                <w:color w:val="auto"/>
                <w:w w:val="83"/>
              </w:rPr>
              <w:t>2005</w:t>
            </w: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2004</w:t>
            </w:r>
          </w:p>
        </w:tc>
        <w:tc>
          <w:tcPr>
            <w:tcW w:w="230" w:type="dxa"/>
            <w:vAlign w:val="bottom"/>
          </w:tcPr>
          <w:p>
            <w:pPr>
              <w:spacing w:after="0"/>
              <w:rPr>
                <w:sz w:val="15"/>
                <w:szCs w:val="15"/>
                <w:color w:val="auto"/>
              </w:rPr>
            </w:pPr>
          </w:p>
        </w:tc>
        <w:tc>
          <w:tcPr>
            <w:tcW w:w="73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40" w:type="dxa"/>
            <w:vAlign w:val="bottom"/>
            <w:tcBorders>
              <w:bottom w:val="single" w:sz="8" w:color="auto"/>
            </w:tcBorders>
            <w:gridSpan w:val="3"/>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96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United States</w:t>
            </w:r>
          </w:p>
        </w:tc>
        <w:tc>
          <w:tcPr>
            <w:tcW w:w="1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b w:val="1"/>
                <w:bCs w:val="1"/>
                <w:color w:val="auto"/>
              </w:rPr>
              <w:t>829,619</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96.0</w:t>
            </w:r>
          </w:p>
        </w:tc>
        <w:tc>
          <w:tcPr>
            <w:tcW w:w="4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201"/>
              <w:spacing w:after="0"/>
              <w:rPr>
                <w:sz w:val="20"/>
                <w:szCs w:val="20"/>
                <w:color w:val="auto"/>
              </w:rPr>
            </w:pPr>
            <w:r>
              <w:rPr>
                <w:rFonts w:ascii="Arial" w:cs="Arial" w:eastAsia="Arial" w:hAnsi="Arial"/>
                <w:sz w:val="18"/>
                <w:szCs w:val="18"/>
                <w:color w:val="auto"/>
              </w:rPr>
              <w:t>964,527</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97.2</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1,091,930</w:t>
            </w:r>
          </w:p>
        </w:tc>
        <w:tc>
          <w:tcPr>
            <w:tcW w:w="230" w:type="dxa"/>
            <w:vAlign w:val="bottom"/>
            <w:shd w:val="clear" w:color="auto" w:fill="D6F3E8"/>
          </w:tcPr>
          <w:p>
            <w:pPr>
              <w:spacing w:after="0"/>
              <w:rPr>
                <w:sz w:val="18"/>
                <w:szCs w:val="18"/>
                <w:color w:val="auto"/>
              </w:rPr>
            </w:pPr>
          </w:p>
        </w:tc>
        <w:tc>
          <w:tcPr>
            <w:tcW w:w="73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34,784</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400" w:type="dxa"/>
            <w:vAlign w:val="bottom"/>
          </w:tcPr>
          <w:p>
            <w:pPr>
              <w:spacing w:after="0"/>
              <w:rPr>
                <w:sz w:val="19"/>
                <w:szCs w:val="19"/>
                <w:color w:val="auto"/>
              </w:rPr>
            </w:pPr>
          </w:p>
        </w:tc>
        <w:tc>
          <w:tcPr>
            <w:tcW w:w="980" w:type="dxa"/>
            <w:vAlign w:val="bottom"/>
          </w:tcPr>
          <w:p>
            <w:pPr>
              <w:jc w:val="right"/>
              <w:ind w:right="201"/>
              <w:spacing w:after="0"/>
              <w:rPr>
                <w:sz w:val="20"/>
                <w:szCs w:val="20"/>
                <w:color w:val="auto"/>
              </w:rPr>
            </w:pPr>
            <w:r>
              <w:rPr>
                <w:rFonts w:ascii="Arial" w:cs="Arial" w:eastAsia="Arial" w:hAnsi="Arial"/>
                <w:sz w:val="18"/>
                <w:szCs w:val="18"/>
                <w:color w:val="auto"/>
              </w:rPr>
              <w:t>27,448</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22,224</w:t>
            </w:r>
          </w:p>
        </w:tc>
        <w:tc>
          <w:tcPr>
            <w:tcW w:w="230" w:type="dxa"/>
            <w:vAlign w:val="bottom"/>
          </w:tcPr>
          <w:p>
            <w:pPr>
              <w:spacing w:after="0"/>
              <w:rPr>
                <w:sz w:val="19"/>
                <w:szCs w:val="19"/>
                <w:color w:val="auto"/>
              </w:rPr>
            </w:pPr>
          </w:p>
        </w:tc>
        <w:tc>
          <w:tcPr>
            <w:tcW w:w="73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4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96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net revenues</w:t>
            </w:r>
          </w:p>
        </w:tc>
        <w:tc>
          <w:tcPr>
            <w:tcW w:w="1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b w:val="1"/>
                <w:bCs w:val="1"/>
                <w:color w:val="auto"/>
              </w:rPr>
              <w:t>864,403</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100.0</w:t>
            </w:r>
          </w:p>
        </w:tc>
        <w:tc>
          <w:tcPr>
            <w:tcW w:w="4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201"/>
              <w:spacing w:after="0"/>
              <w:rPr>
                <w:sz w:val="20"/>
                <w:szCs w:val="20"/>
                <w:color w:val="auto"/>
              </w:rPr>
            </w:pPr>
            <w:r>
              <w:rPr>
                <w:rFonts w:ascii="Arial" w:cs="Arial" w:eastAsia="Arial" w:hAnsi="Arial"/>
                <w:sz w:val="18"/>
                <w:szCs w:val="18"/>
                <w:color w:val="auto"/>
              </w:rPr>
              <w:t>991,975</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1,114,154</w:t>
            </w:r>
          </w:p>
        </w:tc>
        <w:tc>
          <w:tcPr>
            <w:tcW w:w="230" w:type="dxa"/>
            <w:vAlign w:val="bottom"/>
            <w:shd w:val="clear" w:color="auto" w:fill="D6F3E8"/>
          </w:tcPr>
          <w:p>
            <w:pPr>
              <w:spacing w:after="0"/>
              <w:rPr>
                <w:sz w:val="18"/>
                <w:szCs w:val="18"/>
                <w:color w:val="auto"/>
              </w:rPr>
            </w:pPr>
          </w:p>
        </w:tc>
        <w:tc>
          <w:tcPr>
            <w:tcW w:w="73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3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-1649730</wp:posOffset>
            </wp:positionV>
            <wp:extent cx="80137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0137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-1649730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-1649730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-1649730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-1649730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-1649730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-1649730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-1649730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-1649730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-1649730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-1649730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-1649730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-1649730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-1649730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-1649730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income per share for the past three fiscal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54"/>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0" w:type="dxa"/>
            <w:vAlign w:val="bottom"/>
          </w:tcPr>
          <w:p>
            <w:pPr>
              <w:spacing w:after="0"/>
              <w:rPr>
                <w:sz w:val="22"/>
                <w:szCs w:val="22"/>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6"/>
              </w:rPr>
              <w:t>Aug. 26, 2006</w:t>
            </w:r>
          </w:p>
        </w:tc>
        <w:tc>
          <w:tcPr>
            <w:tcW w:w="118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Aug. 27, 2005</w:t>
            </w:r>
          </w:p>
        </w:tc>
        <w:tc>
          <w:tcPr>
            <w:tcW w:w="20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w w:val="84"/>
              </w:rPr>
              <w:t>Aug. 28, 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6380" w:type="dxa"/>
            <w:vAlign w:val="bottom"/>
            <w:gridSpan w:val="3"/>
          </w:tcPr>
          <w:p>
            <w:pPr>
              <w:spacing w:after="0"/>
              <w:rPr>
                <w:sz w:val="20"/>
                <w:szCs w:val="20"/>
                <w:color w:val="auto"/>
              </w:rPr>
            </w:pPr>
            <w:r>
              <w:rPr>
                <w:rFonts w:ascii="Arial" w:cs="Arial" w:eastAsia="Arial" w:hAnsi="Arial"/>
                <w:sz w:val="18"/>
                <w:szCs w:val="18"/>
                <w:color w:val="auto"/>
              </w:rPr>
              <w:t>Income per share – basic</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76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D6F3E8"/>
          </w:tcPr>
          <w:p>
            <w:pPr>
              <w:jc w:val="right"/>
              <w:ind w:right="12"/>
              <w:spacing w:after="0"/>
              <w:rPr>
                <w:sz w:val="20"/>
                <w:szCs w:val="20"/>
                <w:color w:val="auto"/>
              </w:rPr>
            </w:pPr>
            <w:r>
              <w:rPr>
                <w:rFonts w:ascii="Arial" w:cs="Arial" w:eastAsia="Arial" w:hAnsi="Arial"/>
                <w:sz w:val="18"/>
                <w:szCs w:val="18"/>
                <w:b w:val="1"/>
                <w:bCs w:val="1"/>
                <w:color w:val="auto"/>
              </w:rPr>
              <w:t>44,744</w:t>
            </w:r>
          </w:p>
        </w:tc>
        <w:tc>
          <w:tcPr>
            <w:tcW w:w="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65,073</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70,641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80" w:type="dxa"/>
            <w:vAlign w:val="bottom"/>
            <w:gridSpan w:val="3"/>
          </w:tcPr>
          <w:p>
            <w:pPr>
              <w:ind w:left="160"/>
              <w:spacing w:after="0"/>
              <w:rPr>
                <w:sz w:val="20"/>
                <w:szCs w:val="20"/>
                <w:color w:val="auto"/>
              </w:rPr>
            </w:pPr>
            <w:r>
              <w:rPr>
                <w:rFonts w:ascii="Arial" w:cs="Arial" w:eastAsia="Arial" w:hAnsi="Arial"/>
                <w:sz w:val="18"/>
                <w:szCs w:val="18"/>
                <w:color w:val="auto"/>
              </w:rPr>
              <w:t>Weighted average shares outstanding</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32,265</w:t>
            </w:r>
          </w:p>
        </w:tc>
        <w:tc>
          <w:tcPr>
            <w:tcW w:w="24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33,382</w:t>
            </w:r>
          </w:p>
        </w:tc>
        <w:tc>
          <w:tcPr>
            <w:tcW w:w="20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34,214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Net income per share – basic</w:t>
            </w:r>
          </w:p>
        </w:tc>
        <w:tc>
          <w:tcPr>
            <w:tcW w:w="188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D6F3E8"/>
          </w:tcPr>
          <w:p>
            <w:pPr>
              <w:jc w:val="right"/>
              <w:ind w:right="12"/>
              <w:spacing w:after="0"/>
              <w:rPr>
                <w:sz w:val="20"/>
                <w:szCs w:val="20"/>
                <w:color w:val="auto"/>
              </w:rPr>
            </w:pPr>
            <w:r>
              <w:rPr>
                <w:rFonts w:ascii="Arial" w:cs="Arial" w:eastAsia="Arial" w:hAnsi="Arial"/>
                <w:sz w:val="18"/>
                <w:szCs w:val="18"/>
                <w:b w:val="1"/>
                <w:bCs w:val="1"/>
                <w:color w:val="auto"/>
              </w:rPr>
              <w:t>1.39</w:t>
            </w:r>
          </w:p>
        </w:tc>
        <w:tc>
          <w:tcPr>
            <w:tcW w:w="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80" w:type="dxa"/>
            <w:vAlign w:val="bottom"/>
            <w:gridSpan w:val="3"/>
            <w:vMerge w:val="restart"/>
          </w:tcPr>
          <w:p>
            <w:pPr>
              <w:spacing w:after="0"/>
              <w:rPr>
                <w:sz w:val="20"/>
                <w:szCs w:val="20"/>
                <w:color w:val="auto"/>
              </w:rPr>
            </w:pPr>
            <w:r>
              <w:rPr>
                <w:rFonts w:ascii="Arial" w:cs="Arial" w:eastAsia="Arial" w:hAnsi="Arial"/>
                <w:sz w:val="18"/>
                <w:szCs w:val="18"/>
                <w:color w:val="auto"/>
              </w:rPr>
              <w:t>Income per share – assuming dilution</w:t>
            </w: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6380" w:type="dxa"/>
            <w:vAlign w:val="bottom"/>
            <w:gridSpan w:val="3"/>
            <w:vMerge w:val="continue"/>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7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D6F3E8"/>
          </w:tcPr>
          <w:p>
            <w:pPr>
              <w:jc w:val="right"/>
              <w:ind w:right="12"/>
              <w:spacing w:after="0"/>
              <w:rPr>
                <w:sz w:val="20"/>
                <w:szCs w:val="20"/>
                <w:color w:val="auto"/>
              </w:rPr>
            </w:pPr>
            <w:r>
              <w:rPr>
                <w:rFonts w:ascii="Arial" w:cs="Arial" w:eastAsia="Arial" w:hAnsi="Arial"/>
                <w:sz w:val="18"/>
                <w:szCs w:val="18"/>
                <w:b w:val="1"/>
                <w:bCs w:val="1"/>
                <w:color w:val="auto"/>
              </w:rPr>
              <w:t>44,744</w:t>
            </w:r>
          </w:p>
        </w:tc>
        <w:tc>
          <w:tcPr>
            <w:tcW w:w="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65,073</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70,641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380" w:type="dxa"/>
            <w:vAlign w:val="bottom"/>
            <w:gridSpan w:val="3"/>
          </w:tcPr>
          <w:p>
            <w:pPr>
              <w:ind w:left="160"/>
              <w:spacing w:after="0"/>
              <w:rPr>
                <w:sz w:val="20"/>
                <w:szCs w:val="20"/>
                <w:color w:val="auto"/>
              </w:rPr>
            </w:pPr>
            <w:r>
              <w:rPr>
                <w:rFonts w:ascii="Arial" w:cs="Arial" w:eastAsia="Arial" w:hAnsi="Arial"/>
                <w:sz w:val="18"/>
                <w:szCs w:val="18"/>
                <w:color w:val="auto"/>
              </w:rPr>
              <w:t>Weighted average shares outstanding</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32,265</w:t>
            </w:r>
          </w:p>
        </w:tc>
        <w:tc>
          <w:tcPr>
            <w:tcW w:w="24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33,382</w:t>
            </w:r>
          </w:p>
        </w:tc>
        <w:tc>
          <w:tcPr>
            <w:tcW w:w="20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34,214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38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Dilutive impact of options outstanding</w:t>
            </w:r>
          </w:p>
        </w:tc>
        <w:tc>
          <w:tcPr>
            <w:tcW w:w="160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80" w:type="dxa"/>
            <w:vAlign w:val="bottom"/>
            <w:shd w:val="clear" w:color="auto" w:fill="D6F3E8"/>
          </w:tcPr>
          <w:p>
            <w:pPr>
              <w:jc w:val="right"/>
              <w:ind w:right="12"/>
              <w:spacing w:after="0"/>
              <w:rPr>
                <w:sz w:val="20"/>
                <w:szCs w:val="20"/>
                <w:color w:val="auto"/>
              </w:rPr>
            </w:pPr>
            <w:r>
              <w:rPr>
                <w:rFonts w:ascii="Arial" w:cs="Arial" w:eastAsia="Arial" w:hAnsi="Arial"/>
                <w:sz w:val="18"/>
                <w:szCs w:val="18"/>
                <w:b w:val="1"/>
                <w:bCs w:val="1"/>
                <w:color w:val="auto"/>
              </w:rPr>
              <w:t>285</w:t>
            </w:r>
          </w:p>
        </w:tc>
        <w:tc>
          <w:tcPr>
            <w:tcW w:w="24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80" w:type="dxa"/>
            <w:vAlign w:val="bottom"/>
            <w:gridSpan w:val="3"/>
          </w:tcPr>
          <w:p>
            <w:pPr>
              <w:ind w:left="160"/>
              <w:spacing w:after="0"/>
              <w:rPr>
                <w:sz w:val="20"/>
                <w:szCs w:val="20"/>
                <w:color w:val="auto"/>
              </w:rPr>
            </w:pPr>
            <w:r>
              <w:rPr>
                <w:rFonts w:ascii="Arial" w:cs="Arial" w:eastAsia="Arial" w:hAnsi="Arial"/>
                <w:sz w:val="18"/>
                <w:szCs w:val="18"/>
                <w:color w:val="auto"/>
              </w:rPr>
              <w:t>Weighted average shares and potential dilutive shares outstanding</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32,550</w:t>
            </w:r>
          </w:p>
        </w:tc>
        <w:tc>
          <w:tcPr>
            <w:tcW w:w="24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33,812</w:t>
            </w:r>
          </w:p>
        </w:tc>
        <w:tc>
          <w:tcPr>
            <w:tcW w:w="20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34,789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Net income per share - assuming dilution</w:t>
            </w:r>
          </w:p>
        </w:tc>
        <w:tc>
          <w:tcPr>
            <w:tcW w:w="188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D6F3E8"/>
          </w:tcPr>
          <w:p>
            <w:pPr>
              <w:jc w:val="right"/>
              <w:ind w:right="12"/>
              <w:spacing w:after="0"/>
              <w:rPr>
                <w:sz w:val="20"/>
                <w:szCs w:val="20"/>
                <w:color w:val="auto"/>
              </w:rPr>
            </w:pPr>
            <w:r>
              <w:rPr>
                <w:rFonts w:ascii="Arial" w:cs="Arial" w:eastAsia="Arial" w:hAnsi="Arial"/>
                <w:sz w:val="18"/>
                <w:szCs w:val="18"/>
                <w:b w:val="1"/>
                <w:bCs w:val="1"/>
                <w:color w:val="auto"/>
              </w:rPr>
              <w:t>1.37</w:t>
            </w:r>
          </w:p>
        </w:tc>
        <w:tc>
          <w:tcPr>
            <w:tcW w:w="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12: Preferred Stock and Shareholders Rights Plan</w:t>
            </w: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380" w:type="dxa"/>
            <w:vAlign w:val="bottom"/>
            <w:gridSpan w:val="3"/>
            <w:vMerge w:val="continue"/>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Board of Directors may authorize the issuance from time to time of preferred stock in one or more series with such designations, preferences, qualifications, limitations, restrictions, and optional or other special rights as the Board may fix by resolution. In connection with the Shareholders Rights Plan (the “Rights Plan”) discussed below, the Board of Directors has reserved, but not issued, 300,000 shares of preferred stock.</w:t>
      </w:r>
    </w:p>
    <w:p>
      <w:pPr>
        <w:spacing w:after="0" w:line="16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May 2000, we adopted a Rights Plan providing for a dividend distribution of one preferred share purchase right for each share of common stock outstanding on and after May 26, 2000. The rights can be exercised only if an individual or group acquires or announces a tender offer for 15 percent or more of our common stock, except as described below. Certain members of the Hanson family (including trusts and estates established by such Hanson family members and the John K. and Luise V. Hanson Foundation) are exempt from the applicability of the Rights Plan as it relates to the acquisition of 15 percent or more of our outstanding common stock. If the rights first become exercisable as a result of an announced tender offer, each right would entitle the holder (other than the individual or group acquiring or announcing a tender offer for 15 percent or more of our common stock), except as described below, to buy 1/200 of a share of a new series of preferred stock at an exercise price of $33.625. The preferred shares will be entitled to 100 times the per share dividend payable on our common stock and to 100 votes on all matters submitted to a vote of the shareowners. Once an individual or group acquires 15 percent or more of our common stock, each right held by such individual or group becomes void and the remaining rights will then entitle the holder to purchase the number of common shares having a market value of twice the exercise price of the right. In the event that we are acquired in a merger or 50 percent or more of our consolidated assets or earnings power are sold, each right will then entitle the holder to purchase a number of the acquiring company’s common shares having a market value of twice the exercise price of the right. After an individual or group acquires 15 percent, except as described below, of our common stock and before they acquire 50 percent, our Board of Directors may exchange the rights in whole or in part, at an exchange ratio of one share of common stock per right. Before an individual or group acquires 15 percent of our common stock, the rights are redeemable for $0.01 per right at the option of our Board of Directors. Our Board of Directors is authorized to reduce the 15 percent threshold to no less than 10 percent. Each right will expire on May 3, 2010, unless earlier redeemed by us. An Amendment, dated January 13, 2003, was made to the Rights Plan to permit FMR Corp., its affiliates and associates (collectively, “FMR”) and an amendment dated May 17, 2006, was made to the Rights Plan to permit Royce &amp; Associates, LLC, its Affiliates and Associates (“Royce”), to be the beneficial owner of up to 20 percent of our outstanding stock provided that FMR or Royce, in its filings under the Securities Exchange Act of 1934, as amended, does not state any present intention to hold shares of our common stock with the purpose or effect of changing or influencing control of us. An individual or group that becomes the beneficial owner of 15 percent or more (20 percent in the case of FMR or Royce) of our common stock as a result of an acquisition of the common stock by us or the acquisition by such individual or group of new-issued shares directly from us, such individual’s or group’s ownership shall not trigger the issuance of rights under the Rights Plan unless such individual or group after such share repurchase or direct issuance by us, becomes the beneficial owner of any additional shares of our common stock.</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Interim Financial Information (Unaudited)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tcPr>
          <w:p>
            <w:pPr>
              <w:jc w:val="right"/>
              <w:ind w:right="57"/>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Fiscal 2006</w:t>
            </w: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15"/>
              <w:spacing w:after="0"/>
              <w:rPr>
                <w:sz w:val="20"/>
                <w:szCs w:val="20"/>
                <w:color w:val="auto"/>
              </w:rPr>
            </w:pPr>
            <w:r>
              <w:rPr>
                <w:rFonts w:ascii="Arial" w:cs="Arial" w:eastAsia="Arial" w:hAnsi="Arial"/>
                <w:sz w:val="14"/>
                <w:szCs w:val="14"/>
                <w:b w:val="1"/>
                <w:bCs w:val="1"/>
                <w:color w:val="auto"/>
                <w:w w:val="89"/>
              </w:rPr>
              <w:t>November 26, 2005</w:t>
            </w:r>
          </w:p>
        </w:tc>
        <w:tc>
          <w:tcPr>
            <w:tcW w:w="360" w:type="dxa"/>
            <w:vAlign w:val="bottom"/>
          </w:tcPr>
          <w:p>
            <w:pPr>
              <w:spacing w:after="0"/>
              <w:rPr>
                <w:sz w:val="22"/>
                <w:szCs w:val="22"/>
                <w:color w:val="auto"/>
              </w:rPr>
            </w:pPr>
          </w:p>
        </w:tc>
        <w:tc>
          <w:tcPr>
            <w:tcW w:w="1740" w:type="dxa"/>
            <w:vAlign w:val="bottom"/>
          </w:tcPr>
          <w:p>
            <w:pPr>
              <w:jc w:val="right"/>
              <w:ind w:right="497"/>
              <w:spacing w:after="0"/>
              <w:rPr>
                <w:sz w:val="20"/>
                <w:szCs w:val="20"/>
                <w:color w:val="auto"/>
              </w:rPr>
            </w:pPr>
            <w:r>
              <w:rPr>
                <w:rFonts w:ascii="Arial" w:cs="Arial" w:eastAsia="Arial" w:hAnsi="Arial"/>
                <w:sz w:val="14"/>
                <w:szCs w:val="14"/>
                <w:b w:val="1"/>
                <w:bCs w:val="1"/>
                <w:color w:val="auto"/>
                <w:w w:val="96"/>
              </w:rPr>
              <w:t>February 25, 2006</w:t>
            </w:r>
          </w:p>
        </w:tc>
        <w:tc>
          <w:tcPr>
            <w:tcW w:w="180" w:type="dxa"/>
            <w:vAlign w:val="bottom"/>
          </w:tcPr>
          <w:p>
            <w:pPr>
              <w:spacing w:after="0"/>
              <w:rPr>
                <w:sz w:val="22"/>
                <w:szCs w:val="22"/>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w w:val="91"/>
              </w:rPr>
              <w:t>May 27, 2006</w:t>
            </w:r>
          </w:p>
        </w:tc>
        <w:tc>
          <w:tcPr>
            <w:tcW w:w="28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26, 2006</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D6F3E8"/>
          </w:tcPr>
          <w:p>
            <w:pPr>
              <w:jc w:val="right"/>
              <w:ind w:right="95"/>
              <w:spacing w:after="0"/>
              <w:rPr>
                <w:sz w:val="20"/>
                <w:szCs w:val="20"/>
                <w:color w:val="auto"/>
              </w:rPr>
            </w:pPr>
            <w:r>
              <w:rPr>
                <w:rFonts w:ascii="Arial" w:cs="Arial" w:eastAsia="Arial" w:hAnsi="Arial"/>
                <w:sz w:val="18"/>
                <w:szCs w:val="18"/>
                <w:b w:val="1"/>
                <w:bCs w:val="1"/>
                <w:color w:val="auto"/>
              </w:rPr>
              <w:t>232,255</w:t>
            </w:r>
          </w:p>
        </w:tc>
        <w:tc>
          <w:tcPr>
            <w:tcW w:w="360" w:type="dxa"/>
            <w:vAlign w:val="bottom"/>
            <w:shd w:val="clear" w:color="auto" w:fill="D6F3E8"/>
          </w:tcPr>
          <w:p>
            <w:pPr>
              <w:jc w:val="right"/>
              <w:ind w:right="12"/>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D6F3E8"/>
          </w:tcPr>
          <w:p>
            <w:pPr>
              <w:jc w:val="right"/>
              <w:ind w:right="197"/>
              <w:spacing w:after="0"/>
              <w:rPr>
                <w:sz w:val="20"/>
                <w:szCs w:val="20"/>
                <w:color w:val="auto"/>
              </w:rPr>
            </w:pPr>
            <w:r>
              <w:rPr>
                <w:rFonts w:ascii="Arial" w:cs="Arial" w:eastAsia="Arial" w:hAnsi="Arial"/>
                <w:sz w:val="18"/>
                <w:szCs w:val="18"/>
                <w:b w:val="1"/>
                <w:bCs w:val="1"/>
                <w:color w:val="auto"/>
              </w:rPr>
              <w:t>206,425</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D6F3E8"/>
          </w:tcPr>
          <w:p>
            <w:pPr>
              <w:jc w:val="right"/>
              <w:ind w:right="95"/>
              <w:spacing w:after="0"/>
              <w:rPr>
                <w:sz w:val="20"/>
                <w:szCs w:val="20"/>
                <w:color w:val="auto"/>
              </w:rPr>
            </w:pPr>
            <w:r>
              <w:rPr>
                <w:rFonts w:ascii="Arial" w:cs="Arial" w:eastAsia="Arial" w:hAnsi="Arial"/>
                <w:sz w:val="18"/>
                <w:szCs w:val="18"/>
                <w:b w:val="1"/>
                <w:bCs w:val="1"/>
                <w:color w:val="auto"/>
              </w:rPr>
              <w:t>220,312</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D6F3E8"/>
          </w:tcPr>
          <w:p>
            <w:pPr>
              <w:jc w:val="right"/>
              <w:ind w:right="35"/>
              <w:spacing w:after="0"/>
              <w:rPr>
                <w:sz w:val="20"/>
                <w:szCs w:val="20"/>
                <w:color w:val="auto"/>
              </w:rPr>
            </w:pPr>
            <w:r>
              <w:rPr>
                <w:rFonts w:ascii="Arial" w:cs="Arial" w:eastAsia="Arial" w:hAnsi="Arial"/>
                <w:sz w:val="18"/>
                <w:szCs w:val="18"/>
                <w:b w:val="1"/>
                <w:bCs w:val="1"/>
                <w:color w:val="auto"/>
              </w:rPr>
              <w:t>205,411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Gross profit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b w:val="1"/>
                <w:bCs w:val="1"/>
                <w:color w:val="auto"/>
              </w:rPr>
              <w:t>31,164</w:t>
            </w:r>
          </w:p>
        </w:tc>
        <w:tc>
          <w:tcPr>
            <w:tcW w:w="360" w:type="dxa"/>
            <w:vAlign w:val="bottom"/>
          </w:tcPr>
          <w:p>
            <w:pPr>
              <w:spacing w:after="0"/>
              <w:rPr>
                <w:sz w:val="18"/>
                <w:szCs w:val="18"/>
                <w:color w:val="auto"/>
              </w:rPr>
            </w:pPr>
          </w:p>
        </w:tc>
        <w:tc>
          <w:tcPr>
            <w:tcW w:w="1740" w:type="dxa"/>
            <w:vAlign w:val="bottom"/>
          </w:tcPr>
          <w:p>
            <w:pPr>
              <w:jc w:val="right"/>
              <w:ind w:right="197"/>
              <w:spacing w:after="0"/>
              <w:rPr>
                <w:sz w:val="20"/>
                <w:szCs w:val="20"/>
                <w:color w:val="auto"/>
              </w:rPr>
            </w:pPr>
            <w:r>
              <w:rPr>
                <w:rFonts w:ascii="Arial" w:cs="Arial" w:eastAsia="Arial" w:hAnsi="Arial"/>
                <w:sz w:val="18"/>
                <w:szCs w:val="18"/>
                <w:b w:val="1"/>
                <w:bCs w:val="1"/>
                <w:color w:val="auto"/>
              </w:rPr>
              <w:t>20,320</w:t>
            </w:r>
          </w:p>
        </w:tc>
        <w:tc>
          <w:tcPr>
            <w:tcW w:w="180" w:type="dxa"/>
            <w:vAlign w:val="bottom"/>
          </w:tcPr>
          <w:p>
            <w:pPr>
              <w:spacing w:after="0"/>
              <w:rPr>
                <w:sz w:val="18"/>
                <w:szCs w:val="18"/>
                <w:color w:val="auto"/>
              </w:rPr>
            </w:pPr>
          </w:p>
        </w:tc>
        <w:tc>
          <w:tcPr>
            <w:tcW w:w="1120" w:type="dxa"/>
            <w:vAlign w:val="bottom"/>
          </w:tcPr>
          <w:p>
            <w:pPr>
              <w:jc w:val="right"/>
              <w:ind w:right="95"/>
              <w:spacing w:after="0"/>
              <w:rPr>
                <w:sz w:val="20"/>
                <w:szCs w:val="20"/>
                <w:color w:val="auto"/>
              </w:rPr>
            </w:pPr>
            <w:r>
              <w:rPr>
                <w:rFonts w:ascii="Arial" w:cs="Arial" w:eastAsia="Arial" w:hAnsi="Arial"/>
                <w:sz w:val="18"/>
                <w:szCs w:val="18"/>
                <w:b w:val="1"/>
                <w:bCs w:val="1"/>
                <w:color w:val="auto"/>
              </w:rPr>
              <w:t>28,076</w:t>
            </w:r>
          </w:p>
        </w:tc>
        <w:tc>
          <w:tcPr>
            <w:tcW w:w="28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25,341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560" w:type="dxa"/>
            <w:vAlign w:val="bottom"/>
            <w:shd w:val="clear" w:color="auto" w:fill="D6F3E8"/>
          </w:tcPr>
          <w:p>
            <w:pPr>
              <w:jc w:val="right"/>
              <w:ind w:right="95"/>
              <w:spacing w:after="0"/>
              <w:rPr>
                <w:sz w:val="20"/>
                <w:szCs w:val="20"/>
                <w:color w:val="auto"/>
              </w:rPr>
            </w:pPr>
            <w:r>
              <w:rPr>
                <w:rFonts w:ascii="Arial" w:cs="Arial" w:eastAsia="Arial" w:hAnsi="Arial"/>
                <w:sz w:val="18"/>
                <w:szCs w:val="18"/>
                <w:b w:val="1"/>
                <w:bCs w:val="1"/>
                <w:color w:val="auto"/>
              </w:rPr>
              <w:t>21,442</w:t>
            </w:r>
          </w:p>
        </w:tc>
        <w:tc>
          <w:tcPr>
            <w:tcW w:w="360" w:type="dxa"/>
            <w:vAlign w:val="bottom"/>
            <w:shd w:val="clear" w:color="auto" w:fill="D6F3E8"/>
          </w:tcPr>
          <w:p>
            <w:pPr>
              <w:spacing w:after="0"/>
              <w:rPr>
                <w:sz w:val="18"/>
                <w:szCs w:val="18"/>
                <w:color w:val="auto"/>
              </w:rPr>
            </w:pPr>
          </w:p>
        </w:tc>
        <w:tc>
          <w:tcPr>
            <w:tcW w:w="1740" w:type="dxa"/>
            <w:vAlign w:val="bottom"/>
            <w:shd w:val="clear" w:color="auto" w:fill="D6F3E8"/>
          </w:tcPr>
          <w:p>
            <w:pPr>
              <w:jc w:val="right"/>
              <w:ind w:right="197"/>
              <w:spacing w:after="0"/>
              <w:rPr>
                <w:sz w:val="20"/>
                <w:szCs w:val="20"/>
                <w:color w:val="auto"/>
              </w:rPr>
            </w:pPr>
            <w:r>
              <w:rPr>
                <w:rFonts w:ascii="Arial" w:cs="Arial" w:eastAsia="Arial" w:hAnsi="Arial"/>
                <w:sz w:val="18"/>
                <w:szCs w:val="18"/>
                <w:b w:val="1"/>
                <w:bCs w:val="1"/>
                <w:color w:val="auto"/>
              </w:rPr>
              <w:t>10,531</w:t>
            </w: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95"/>
              <w:spacing w:after="0"/>
              <w:rPr>
                <w:sz w:val="20"/>
                <w:szCs w:val="20"/>
                <w:color w:val="auto"/>
              </w:rPr>
            </w:pPr>
            <w:r>
              <w:rPr>
                <w:rFonts w:ascii="Arial" w:cs="Arial" w:eastAsia="Arial" w:hAnsi="Arial"/>
                <w:sz w:val="18"/>
                <w:szCs w:val="18"/>
                <w:b w:val="1"/>
                <w:bCs w:val="1"/>
                <w:color w:val="auto"/>
              </w:rPr>
              <w:t>18,380</w:t>
            </w:r>
          </w:p>
        </w:tc>
        <w:tc>
          <w:tcPr>
            <w:tcW w:w="28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5"/>
              <w:spacing w:after="0"/>
              <w:rPr>
                <w:sz w:val="20"/>
                <w:szCs w:val="20"/>
                <w:color w:val="auto"/>
              </w:rPr>
            </w:pPr>
            <w:r>
              <w:rPr>
                <w:rFonts w:ascii="Arial" w:cs="Arial" w:eastAsia="Arial" w:hAnsi="Arial"/>
                <w:sz w:val="18"/>
                <w:szCs w:val="18"/>
                <w:b w:val="1"/>
                <w:bCs w:val="1"/>
                <w:color w:val="auto"/>
              </w:rPr>
              <w:t>12,745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0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95"/>
              <w:spacing w:after="0"/>
              <w:rPr>
                <w:sz w:val="20"/>
                <w:szCs w:val="20"/>
                <w:color w:val="auto"/>
              </w:rPr>
            </w:pPr>
            <w:r>
              <w:rPr>
                <w:rFonts w:ascii="Arial" w:cs="Arial" w:eastAsia="Arial" w:hAnsi="Arial"/>
                <w:sz w:val="18"/>
                <w:szCs w:val="18"/>
                <w:b w:val="1"/>
                <w:bCs w:val="1"/>
                <w:color w:val="auto"/>
              </w:rPr>
              <w:t>14,570</w:t>
            </w: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197"/>
              <w:spacing w:after="0"/>
              <w:rPr>
                <w:sz w:val="20"/>
                <w:szCs w:val="20"/>
                <w:color w:val="auto"/>
              </w:rPr>
            </w:pPr>
            <w:r>
              <w:rPr>
                <w:rFonts w:ascii="Arial" w:cs="Arial" w:eastAsia="Arial" w:hAnsi="Arial"/>
                <w:sz w:val="18"/>
                <w:szCs w:val="18"/>
                <w:b w:val="1"/>
                <w:bCs w:val="1"/>
                <w:color w:val="auto"/>
              </w:rPr>
              <w:t>7,700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5"/>
              <w:spacing w:after="0"/>
              <w:rPr>
                <w:sz w:val="20"/>
                <w:szCs w:val="20"/>
                <w:color w:val="auto"/>
              </w:rPr>
            </w:pPr>
            <w:r>
              <w:rPr>
                <w:rFonts w:ascii="Arial" w:cs="Arial" w:eastAsia="Arial" w:hAnsi="Arial"/>
                <w:sz w:val="18"/>
                <w:szCs w:val="18"/>
                <w:b w:val="1"/>
                <w:bCs w:val="1"/>
                <w:color w:val="auto"/>
              </w:rPr>
              <w:t>13,157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9,317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Net income per share (basic)</w:t>
            </w:r>
          </w:p>
        </w:tc>
        <w:tc>
          <w:tcPr>
            <w:tcW w:w="1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D6F3E8"/>
          </w:tcPr>
          <w:p>
            <w:pPr>
              <w:jc w:val="right"/>
              <w:ind w:right="95"/>
              <w:spacing w:after="0"/>
              <w:rPr>
                <w:sz w:val="20"/>
                <w:szCs w:val="20"/>
                <w:color w:val="auto"/>
              </w:rPr>
            </w:pPr>
            <w:r>
              <w:rPr>
                <w:rFonts w:ascii="Arial" w:cs="Arial" w:eastAsia="Arial" w:hAnsi="Arial"/>
                <w:sz w:val="18"/>
                <w:szCs w:val="18"/>
                <w:b w:val="1"/>
                <w:bCs w:val="1"/>
                <w:color w:val="auto"/>
              </w:rPr>
              <w:t>0.44</w:t>
            </w:r>
          </w:p>
        </w:tc>
        <w:tc>
          <w:tcPr>
            <w:tcW w:w="360" w:type="dxa"/>
            <w:vAlign w:val="bottom"/>
            <w:shd w:val="clear" w:color="auto" w:fill="D6F3E8"/>
          </w:tcPr>
          <w:p>
            <w:pPr>
              <w:jc w:val="right"/>
              <w:ind w:right="12"/>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D6F3E8"/>
          </w:tcPr>
          <w:p>
            <w:pPr>
              <w:jc w:val="right"/>
              <w:ind w:right="197"/>
              <w:spacing w:after="0"/>
              <w:rPr>
                <w:sz w:val="20"/>
                <w:szCs w:val="20"/>
                <w:color w:val="auto"/>
              </w:rPr>
            </w:pPr>
            <w:r>
              <w:rPr>
                <w:rFonts w:ascii="Arial" w:cs="Arial" w:eastAsia="Arial" w:hAnsi="Arial"/>
                <w:sz w:val="18"/>
                <w:szCs w:val="18"/>
                <w:b w:val="1"/>
                <w:bCs w:val="1"/>
                <w:color w:val="auto"/>
              </w:rPr>
              <w:t>0.23</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D6F3E8"/>
          </w:tcPr>
          <w:p>
            <w:pPr>
              <w:jc w:val="right"/>
              <w:ind w:right="95"/>
              <w:spacing w:after="0"/>
              <w:rPr>
                <w:sz w:val="20"/>
                <w:szCs w:val="20"/>
                <w:color w:val="auto"/>
              </w:rPr>
            </w:pPr>
            <w:r>
              <w:rPr>
                <w:rFonts w:ascii="Arial" w:cs="Arial" w:eastAsia="Arial" w:hAnsi="Arial"/>
                <w:sz w:val="18"/>
                <w:szCs w:val="18"/>
                <w:b w:val="1"/>
                <w:bCs w:val="1"/>
                <w:color w:val="auto"/>
              </w:rPr>
              <w:t>0.41</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D6F3E8"/>
          </w:tcPr>
          <w:p>
            <w:pPr>
              <w:jc w:val="right"/>
              <w:ind w:right="35"/>
              <w:spacing w:after="0"/>
              <w:rPr>
                <w:sz w:val="20"/>
                <w:szCs w:val="20"/>
                <w:color w:val="auto"/>
              </w:rPr>
            </w:pPr>
            <w:r>
              <w:rPr>
                <w:rFonts w:ascii="Arial" w:cs="Arial" w:eastAsia="Arial" w:hAnsi="Arial"/>
                <w:sz w:val="18"/>
                <w:szCs w:val="18"/>
                <w:b w:val="1"/>
                <w:bCs w:val="1"/>
                <w:color w:val="auto"/>
              </w:rPr>
              <w:t>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income per share (diluted)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95"/>
              <w:spacing w:after="0"/>
              <w:rPr>
                <w:sz w:val="20"/>
                <w:szCs w:val="20"/>
                <w:color w:val="auto"/>
              </w:rPr>
            </w:pPr>
            <w:r>
              <w:rPr>
                <w:rFonts w:ascii="Arial" w:cs="Arial" w:eastAsia="Arial" w:hAnsi="Arial"/>
                <w:sz w:val="18"/>
                <w:szCs w:val="18"/>
                <w:b w:val="1"/>
                <w:bCs w:val="1"/>
                <w:color w:val="auto"/>
              </w:rPr>
              <w:t>0.44</w:t>
            </w: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197"/>
              <w:spacing w:after="0"/>
              <w:rPr>
                <w:sz w:val="20"/>
                <w:szCs w:val="20"/>
                <w:color w:val="auto"/>
              </w:rPr>
            </w:pPr>
            <w:r>
              <w:rPr>
                <w:rFonts w:ascii="Arial" w:cs="Arial" w:eastAsia="Arial" w:hAnsi="Arial"/>
                <w:sz w:val="18"/>
                <w:szCs w:val="18"/>
                <w:b w:val="1"/>
                <w:bCs w:val="1"/>
                <w:color w:val="auto"/>
              </w:rPr>
              <w:t>0.23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5"/>
              <w:spacing w:after="0"/>
              <w:rPr>
                <w:sz w:val="20"/>
                <w:szCs w:val="20"/>
                <w:color w:val="auto"/>
              </w:rPr>
            </w:pPr>
            <w:r>
              <w:rPr>
                <w:rFonts w:ascii="Arial" w:cs="Arial" w:eastAsia="Arial" w:hAnsi="Arial"/>
                <w:sz w:val="18"/>
                <w:szCs w:val="18"/>
                <w:b w:val="1"/>
                <w:bCs w:val="1"/>
                <w:color w:val="auto"/>
              </w:rPr>
              <w:t>0.40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gridSpan w:val="2"/>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Fiscal 2005</w:t>
            </w: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95"/>
              <w:spacing w:after="0"/>
              <w:rPr>
                <w:sz w:val="20"/>
                <w:szCs w:val="20"/>
                <w:color w:val="auto"/>
              </w:rPr>
            </w:pPr>
            <w:r>
              <w:rPr>
                <w:rFonts w:ascii="Arial" w:cs="Arial" w:eastAsia="Arial" w:hAnsi="Arial"/>
                <w:sz w:val="14"/>
                <w:szCs w:val="14"/>
                <w:b w:val="1"/>
                <w:bCs w:val="1"/>
                <w:color w:val="auto"/>
              </w:rPr>
              <w:t>November 27, 2004</w:t>
            </w:r>
          </w:p>
        </w:tc>
        <w:tc>
          <w:tcPr>
            <w:tcW w:w="360" w:type="dxa"/>
            <w:vAlign w:val="bottom"/>
          </w:tcPr>
          <w:p>
            <w:pPr>
              <w:spacing w:after="0"/>
              <w:rPr>
                <w:sz w:val="22"/>
                <w:szCs w:val="22"/>
                <w:color w:val="auto"/>
              </w:rPr>
            </w:pPr>
          </w:p>
        </w:tc>
        <w:tc>
          <w:tcPr>
            <w:tcW w:w="1740" w:type="dxa"/>
            <w:vAlign w:val="bottom"/>
          </w:tcPr>
          <w:p>
            <w:pPr>
              <w:jc w:val="right"/>
              <w:ind w:right="197"/>
              <w:spacing w:after="0"/>
              <w:rPr>
                <w:sz w:val="20"/>
                <w:szCs w:val="20"/>
                <w:color w:val="auto"/>
              </w:rPr>
            </w:pPr>
            <w:r>
              <w:rPr>
                <w:rFonts w:ascii="Arial" w:cs="Arial" w:eastAsia="Arial" w:hAnsi="Arial"/>
                <w:sz w:val="14"/>
                <w:szCs w:val="14"/>
                <w:b w:val="1"/>
                <w:bCs w:val="1"/>
                <w:color w:val="auto"/>
              </w:rPr>
              <w:t>February 26, 2005 (1)</w:t>
            </w:r>
          </w:p>
        </w:tc>
        <w:tc>
          <w:tcPr>
            <w:tcW w:w="180" w:type="dxa"/>
            <w:vAlign w:val="bottom"/>
          </w:tcPr>
          <w:p>
            <w:pPr>
              <w:spacing w:after="0"/>
              <w:rPr>
                <w:sz w:val="22"/>
                <w:szCs w:val="22"/>
                <w:color w:val="auto"/>
              </w:rPr>
            </w:pPr>
          </w:p>
        </w:tc>
        <w:tc>
          <w:tcPr>
            <w:tcW w:w="1120" w:type="dxa"/>
            <w:vAlign w:val="bottom"/>
          </w:tcPr>
          <w:p>
            <w:pPr>
              <w:jc w:val="right"/>
              <w:ind w:right="95"/>
              <w:spacing w:after="0"/>
              <w:rPr>
                <w:sz w:val="20"/>
                <w:szCs w:val="20"/>
                <w:color w:val="auto"/>
              </w:rPr>
            </w:pPr>
            <w:r>
              <w:rPr>
                <w:rFonts w:ascii="Arial" w:cs="Arial" w:eastAsia="Arial" w:hAnsi="Arial"/>
                <w:sz w:val="14"/>
                <w:szCs w:val="14"/>
                <w:b w:val="1"/>
                <w:bCs w:val="1"/>
                <w:color w:val="auto"/>
              </w:rPr>
              <w:t>May 28, 2005</w:t>
            </w:r>
          </w:p>
        </w:tc>
        <w:tc>
          <w:tcPr>
            <w:tcW w:w="28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w w:val="97"/>
              </w:rPr>
              <w:t>August 27, 2005</w:t>
            </w: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gridSpan w:val="2"/>
          </w:tcPr>
          <w:p>
            <w:pPr>
              <w:spacing w:after="0"/>
              <w:rPr>
                <w:sz w:val="8"/>
                <w:szCs w:val="8"/>
                <w:color w:val="auto"/>
              </w:rPr>
            </w:pPr>
          </w:p>
        </w:tc>
        <w:tc>
          <w:tcPr>
            <w:tcW w:w="148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148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266,133</w:t>
            </w:r>
          </w:p>
        </w:tc>
        <w:tc>
          <w:tcPr>
            <w:tcW w:w="36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740" w:type="dxa"/>
            <w:vAlign w:val="bottom"/>
            <w:shd w:val="clear" w:color="auto" w:fill="D6F3E8"/>
          </w:tcPr>
          <w:p>
            <w:pPr>
              <w:jc w:val="right"/>
              <w:ind w:right="197"/>
              <w:spacing w:after="0"/>
              <w:rPr>
                <w:sz w:val="20"/>
                <w:szCs w:val="20"/>
                <w:color w:val="auto"/>
              </w:rPr>
            </w:pPr>
            <w:r>
              <w:rPr>
                <w:rFonts w:ascii="Arial" w:cs="Arial" w:eastAsia="Arial" w:hAnsi="Arial"/>
                <w:sz w:val="18"/>
                <w:szCs w:val="18"/>
                <w:color w:val="auto"/>
              </w:rPr>
              <w:t>239,359</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255,022</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ind w:right="35"/>
              <w:spacing w:after="0"/>
              <w:rPr>
                <w:sz w:val="20"/>
                <w:szCs w:val="20"/>
                <w:color w:val="auto"/>
              </w:rPr>
            </w:pPr>
            <w:r>
              <w:rPr>
                <w:rFonts w:ascii="Arial" w:cs="Arial" w:eastAsia="Arial" w:hAnsi="Arial"/>
                <w:sz w:val="18"/>
                <w:szCs w:val="18"/>
                <w:color w:val="auto"/>
              </w:rPr>
              <w:t>231,461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Gross profit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40,064</w:t>
            </w:r>
          </w:p>
        </w:tc>
        <w:tc>
          <w:tcPr>
            <w:tcW w:w="360" w:type="dxa"/>
            <w:vAlign w:val="bottom"/>
          </w:tcPr>
          <w:p>
            <w:pPr>
              <w:spacing w:after="0"/>
              <w:rPr>
                <w:sz w:val="18"/>
                <w:szCs w:val="18"/>
                <w:color w:val="auto"/>
              </w:rPr>
            </w:pPr>
          </w:p>
        </w:tc>
        <w:tc>
          <w:tcPr>
            <w:tcW w:w="1740" w:type="dxa"/>
            <w:vAlign w:val="bottom"/>
          </w:tcPr>
          <w:p>
            <w:pPr>
              <w:jc w:val="right"/>
              <w:ind w:right="197"/>
              <w:spacing w:after="0"/>
              <w:rPr>
                <w:sz w:val="20"/>
                <w:szCs w:val="20"/>
                <w:color w:val="auto"/>
              </w:rPr>
            </w:pPr>
            <w:r>
              <w:rPr>
                <w:rFonts w:ascii="Arial" w:cs="Arial" w:eastAsia="Arial" w:hAnsi="Arial"/>
                <w:sz w:val="18"/>
                <w:szCs w:val="18"/>
                <w:color w:val="auto"/>
              </w:rPr>
              <w:t>29,261</w:t>
            </w:r>
          </w:p>
        </w:tc>
        <w:tc>
          <w:tcPr>
            <w:tcW w:w="180" w:type="dxa"/>
            <w:vAlign w:val="bottom"/>
          </w:tcPr>
          <w:p>
            <w:pPr>
              <w:spacing w:after="0"/>
              <w:rPr>
                <w:sz w:val="18"/>
                <w:szCs w:val="18"/>
                <w:color w:val="auto"/>
              </w:rPr>
            </w:pP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35,194</w:t>
            </w:r>
          </w:p>
        </w:tc>
        <w:tc>
          <w:tcPr>
            <w:tcW w:w="28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32,459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56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29,953</w:t>
            </w:r>
          </w:p>
        </w:tc>
        <w:tc>
          <w:tcPr>
            <w:tcW w:w="360" w:type="dxa"/>
            <w:vAlign w:val="bottom"/>
            <w:shd w:val="clear" w:color="auto" w:fill="D6F3E8"/>
          </w:tcPr>
          <w:p>
            <w:pPr>
              <w:spacing w:after="0"/>
              <w:rPr>
                <w:sz w:val="18"/>
                <w:szCs w:val="18"/>
                <w:color w:val="auto"/>
              </w:rPr>
            </w:pPr>
          </w:p>
        </w:tc>
        <w:tc>
          <w:tcPr>
            <w:tcW w:w="1740" w:type="dxa"/>
            <w:vAlign w:val="bottom"/>
            <w:shd w:val="clear" w:color="auto" w:fill="D6F3E8"/>
          </w:tcPr>
          <w:p>
            <w:pPr>
              <w:jc w:val="right"/>
              <w:ind w:right="197"/>
              <w:spacing w:after="0"/>
              <w:rPr>
                <w:sz w:val="20"/>
                <w:szCs w:val="20"/>
                <w:color w:val="auto"/>
              </w:rPr>
            </w:pPr>
            <w:r>
              <w:rPr>
                <w:rFonts w:ascii="Arial" w:cs="Arial" w:eastAsia="Arial" w:hAnsi="Arial"/>
                <w:sz w:val="18"/>
                <w:szCs w:val="18"/>
                <w:color w:val="auto"/>
              </w:rPr>
              <w:t>18,899</w:t>
            </w: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26,355</w:t>
            </w:r>
          </w:p>
        </w:tc>
        <w:tc>
          <w:tcPr>
            <w:tcW w:w="28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5"/>
              <w:spacing w:after="0"/>
              <w:rPr>
                <w:sz w:val="20"/>
                <w:szCs w:val="20"/>
                <w:color w:val="auto"/>
              </w:rPr>
            </w:pPr>
            <w:r>
              <w:rPr>
                <w:rFonts w:ascii="Arial" w:cs="Arial" w:eastAsia="Arial" w:hAnsi="Arial"/>
                <w:sz w:val="18"/>
                <w:szCs w:val="18"/>
                <w:color w:val="auto"/>
              </w:rPr>
              <w:t>23,048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0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19,544</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7"/>
              <w:spacing w:after="0"/>
              <w:rPr>
                <w:sz w:val="20"/>
                <w:szCs w:val="20"/>
                <w:color w:val="auto"/>
              </w:rPr>
            </w:pPr>
            <w:r>
              <w:rPr>
                <w:rFonts w:ascii="Arial" w:cs="Arial" w:eastAsia="Arial" w:hAnsi="Arial"/>
                <w:sz w:val="18"/>
                <w:szCs w:val="18"/>
                <w:color w:val="auto"/>
              </w:rPr>
              <w:t>12,571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17,580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15,378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Net income per share (basic)</w:t>
            </w:r>
          </w:p>
        </w:tc>
        <w:tc>
          <w:tcPr>
            <w:tcW w:w="1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0.58</w:t>
            </w:r>
          </w:p>
        </w:tc>
        <w:tc>
          <w:tcPr>
            <w:tcW w:w="36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740" w:type="dxa"/>
            <w:vAlign w:val="bottom"/>
            <w:shd w:val="clear" w:color="auto" w:fill="D6F3E8"/>
          </w:tcPr>
          <w:p>
            <w:pPr>
              <w:jc w:val="right"/>
              <w:ind w:right="197"/>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ind w:right="35"/>
              <w:spacing w:after="0"/>
              <w:rPr>
                <w:sz w:val="20"/>
                <w:szCs w:val="20"/>
                <w:color w:val="auto"/>
              </w:rPr>
            </w:pPr>
            <w:r>
              <w:rPr>
                <w:rFonts w:ascii="Arial" w:cs="Arial" w:eastAsia="Arial" w:hAnsi="Arial"/>
                <w:sz w:val="18"/>
                <w:szCs w:val="18"/>
                <w:color w:val="auto"/>
              </w:rPr>
              <w:t>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income per share (diluted)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0.57</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7"/>
              <w:spacing w:after="0"/>
              <w:rPr>
                <w:sz w:val="20"/>
                <w:szCs w:val="20"/>
                <w:color w:val="auto"/>
              </w:rPr>
            </w:pPr>
            <w:r>
              <w:rPr>
                <w:rFonts w:ascii="Arial" w:cs="Arial" w:eastAsia="Arial" w:hAnsi="Arial"/>
                <w:sz w:val="18"/>
                <w:szCs w:val="18"/>
                <w:color w:val="auto"/>
              </w:rPr>
              <w:t>0.37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0.52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restated.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color w:val="auto"/>
        </w:rPr>
        <w:t>Controls and Procedures</w:t>
      </w:r>
    </w:p>
    <w:p>
      <w:pPr>
        <w:spacing w:after="0" w:line="2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the end of the period covered by this report, we, with the participation of our Chief Executive Officer and Chief Financial Officer, conducted an evaluation of the effectiveness of the design and operation of our disclosure controls and procedures, as required by Securities Exchange Act of 1934, as amended (the “Exchange Act”) Rule 13a-15(f). Based on this evaluation, the Chief Executive Officer and Chief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by the SEC’s rules and forms.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7" w:lineRule="exact"/>
        <w:rPr>
          <w:sz w:val="20"/>
          <w:szCs w:val="20"/>
          <w:color w:val="auto"/>
        </w:rPr>
      </w:pPr>
    </w:p>
    <w:p>
      <w:pPr>
        <w:jc w:val="both"/>
        <w:ind w:right="140"/>
        <w:spacing w:after="0" w:line="314" w:lineRule="auto"/>
        <w:rPr>
          <w:sz w:val="20"/>
          <w:szCs w:val="20"/>
          <w:color w:val="auto"/>
        </w:rPr>
      </w:pPr>
      <w:r>
        <w:rPr>
          <w:rFonts w:ascii="Arial" w:cs="Arial" w:eastAsia="Arial" w:hAnsi="Arial"/>
          <w:sz w:val="15"/>
          <w:szCs w:val="15"/>
          <w:color w:val="auto"/>
        </w:rPr>
        <w:t>We are responsible for establishing and maintaining adequate internal control over financial reporting as defined in Exchange Act Rule 13a-15(f). We conducted an evaluation of the effectiveness of our internal control over financial reporting based on the framework and criteria established in Internal Control - Integrated Framework, issued by the Committee of Sponsoring Organizations of the Treadway Commission. Based on this evaluation, our management concluded that our internal control over financial reporting was effective as of August 26, 2006. During our assessment, we did not identify any material weaknesses in our internal control over financial reporting. Our independent registered public accounting firm, Deloitte &amp; Touche LLP, has audited our Consolidated Financial Statements and has issued an attestation report on management’s assessment of our internal control over financial reporting, as stated in their report included herein.</w:t>
      </w:r>
    </w:p>
    <w:p>
      <w:pPr>
        <w:spacing w:after="0" w:line="15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subsequent to the date we carried out its evaluation.</w:t>
      </w:r>
    </w:p>
    <w:p>
      <w:pPr>
        <w:spacing w:after="0" w:line="18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connection with the evaluation of internal control over financial reporting described above, no changes in our internal control over financing reporting were identified that occurred during the fourth quarter of Fiscal 2006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Directors and Executive Officers of the Registrant</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Reference is made to the table entitled “Executive Officers of the Registrant” in Part I of this report and to the information included under the captions “Election of Directors” and “Board of Directors, Committees of the Board and Corporate Governance” in our Proxy Statement for the Annual Meeting of Shareholders scheduled to be held January 9, 2007, which information is incorporated by reference herein.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16(a) of the Exchange Act requires our officers, directors and persons who beneficially own more than 10 percent of our common stock (collectively “Reporting Persons”) to file reports of ownership and changes in ownership with the Securities and Exchange Commission (the “SEC”) and the New York Stock Exchange. Reporting Persons are required by the SEC regulations to furnish us with copies of all Section 16(a) forms they file. Based solely on our review of the copies of such forms received or written representations from certain Reporting Persons that no Form 5 were required for those persons, we believe that, during Fiscal 2006, all the Reporting Persons complied with all applicable filing requirements, with the exception of Jerry Currie who filed one late report reporting two transactions.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adopted a written code of ethics, the “Code of Ethics for CEO and Senior Financial Officials” (the “Code”) which is applicable to our Chief Executive Officer, Chief Financial Officer, Controller and Treasurer (collectively, the “Senior Officers”). In accordance with the rules and regulations of the SEC, a copy of the Code has been filed as an exhibit to this Form 10-K and is posted on our Web site.</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We intend to disclose any changes in or waivers from the Code applicable to any Senior Officer on our Web site at </w:t>
      </w:r>
      <w:r>
        <w:rPr>
          <w:rFonts w:ascii="Arial" w:cs="Arial" w:eastAsia="Arial" w:hAnsi="Arial"/>
          <w:sz w:val="18"/>
          <w:szCs w:val="18"/>
          <w:u w:val="single" w:color="auto"/>
          <w:color w:val="auto"/>
        </w:rPr>
        <w:t>http://www.winnebagoind.com</w:t>
      </w:r>
      <w:r>
        <w:rPr>
          <w:rFonts w:ascii="Arial" w:cs="Arial" w:eastAsia="Arial" w:hAnsi="Arial"/>
          <w:sz w:val="18"/>
          <w:szCs w:val="18"/>
          <w:color w:val="auto"/>
        </w:rPr>
        <w:t xml:space="preserve"> or by filing a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color w:val="auto"/>
        </w:rPr>
        <w:t>Executive Compensation</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Reference is made to the information included under the caption “Executive Compensation” in our Proxy Statement for the Annual Meeting of Shareholders scheduled to be held January 9, 2007, which information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color w:val="auto"/>
        </w:rPr>
        <w:t>Security Ownership of Certain Beneficial Owners and Management and Related Stockholder Matters</w:t>
      </w:r>
    </w:p>
    <w:p>
      <w:pPr>
        <w:spacing w:after="0" w:line="23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Reference is made to the share ownership information included under the caption “Voting Securities and Principal Holders Thereof” in the Company’s Proxy Statement for the Annual Meeting of Shareholders scheduled to be held January 9, 2007, which information is incorporated by reference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color w:val="auto"/>
        </w:rPr>
        <w:t>Certain Relationships and Related Transactions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Reference is made to the information included under the caption “Certain Transactions with Management and Business Relationships” in our Proxy Statement for the Annual Meeting of Shareholders scheduled to be held January 9, 2007, which information is incorporated by reference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color w:val="auto"/>
        </w:rPr>
        <w:t>Principal Accounting Fees and Services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is made to the information included under the caption “Principal Accounting Fees and Services” in our Proxy Statement and for the Annual Meeting of Shareholders scheduled to be held January 9, 2007, which information is incorporated by reference herein.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color w:val="auto"/>
        </w:rPr>
        <w:t>Exhibits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 Schedules</w:t>
      </w:r>
    </w:p>
    <w:p>
      <w:pPr>
        <w:spacing w:after="0" w:line="24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   Our consolidated financial statements are incorporated by reference in ITEM 8 and an index to financial statements appears on page 17 of this report.</w:t>
      </w:r>
    </w:p>
    <w:p>
      <w:pPr>
        <w:spacing w:after="0" w:line="180" w:lineRule="exact"/>
        <w:rPr>
          <w:rFonts w:ascii="Arial" w:cs="Arial" w:eastAsia="Arial" w:hAnsi="Arial"/>
          <w:sz w:val="16"/>
          <w:szCs w:val="16"/>
          <w:color w:val="auto"/>
        </w:rPr>
      </w:pPr>
    </w:p>
    <w:p>
      <w:pPr>
        <w:jc w:val="both"/>
        <w:ind w:left="680" w:right="7580" w:hanging="334"/>
        <w:spacing w:after="0" w:line="370" w:lineRule="auto"/>
        <w:tabs>
          <w:tab w:leader="none" w:pos="6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Consolidated Financial Statement Schedules Winnebago Industries, Inc. and Subsidiaries</w:t>
      </w:r>
    </w:p>
    <w:p>
      <w:pPr>
        <w:spacing w:after="0" w:line="48" w:lineRule="exact"/>
        <w:rPr>
          <w:rFonts w:ascii="Arial" w:cs="Arial" w:eastAsia="Arial" w:hAnsi="Arial"/>
          <w:sz w:val="15"/>
          <w:szCs w:val="15"/>
          <w:color w:val="auto"/>
        </w:rPr>
      </w:pPr>
    </w:p>
    <w:p>
      <w:pPr>
        <w:ind w:left="680" w:right="240"/>
        <w:spacing w:after="0" w:line="268" w:lineRule="auto"/>
        <w:rPr>
          <w:rFonts w:ascii="Arial" w:cs="Arial" w:eastAsia="Arial" w:hAnsi="Arial"/>
          <w:sz w:val="15"/>
          <w:szCs w:val="15"/>
          <w:color w:val="auto"/>
        </w:rPr>
      </w:pPr>
      <w:r>
        <w:rPr>
          <w:rFonts w:ascii="Arial" w:cs="Arial" w:eastAsia="Arial" w:hAnsi="Arial"/>
          <w:sz w:val="18"/>
          <w:szCs w:val="18"/>
          <w:color w:val="auto"/>
        </w:rPr>
        <w:t>All schedules are omitted because of the absence of the conditions under which they are required or because the information required is shown in the consolidated financial statements or the notes thereto.</w:t>
      </w:r>
    </w:p>
    <w:p>
      <w:pPr>
        <w:spacing w:after="0" w:line="118" w:lineRule="exact"/>
        <w:rPr>
          <w:rFonts w:ascii="Arial" w:cs="Arial" w:eastAsia="Arial" w:hAnsi="Arial"/>
          <w:sz w:val="15"/>
          <w:szCs w:val="15"/>
          <w:color w:val="auto"/>
        </w:rPr>
      </w:pPr>
    </w:p>
    <w:p>
      <w:pPr>
        <w:ind w:left="680" w:hanging="334"/>
        <w:spacing w:after="0"/>
        <w:tabs>
          <w:tab w:leader="none" w:pos="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See Exhibit Index on pages 42 through 44.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UNDERTAKING</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33-21757 (which became effective on or about May 9, 1988), 33-59930 (which became effective on or about March 24, 1993), 333-31595 (which became effective on or about July 18, 1997), 333-47123 (which became effective on or about February 27, 1998) and 333-113246 (which became effective on or about March 3, 2004).</w:t>
      </w:r>
    </w:p>
    <w:p>
      <w:pPr>
        <w:spacing w:after="0" w:line="197"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WINNEBAGO INDUSTRIES, INC.</w:t>
      </w:r>
    </w:p>
    <w:p>
      <w:pPr>
        <w:spacing w:after="0" w:line="15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80010</wp:posOffset>
            </wp:positionV>
            <wp:extent cx="13804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Bruce D. Hertzke</w:t>
      </w:r>
    </w:p>
    <w:p>
      <w:pPr>
        <w:spacing w:after="0" w:line="15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of the Board, Chief Executive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Officer and Director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November 9, 2006, by the following persons on behalf of the Registrant and in the capacities indicated.</w:t>
      </w:r>
    </w:p>
    <w:p>
      <w:pPr>
        <w:spacing w:after="0" w:line="195" w:lineRule="exact"/>
        <w:rPr>
          <w:sz w:val="20"/>
          <w:szCs w:val="20"/>
          <w:color w:val="auto"/>
        </w:rPr>
      </w:pPr>
    </w:p>
    <w:p>
      <w:pPr>
        <w:ind w:left="3780"/>
        <w:spacing w:after="0"/>
        <w:tabs>
          <w:tab w:leader="none" w:pos="81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68580</wp:posOffset>
            </wp:positionV>
            <wp:extent cx="47180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68580</wp:posOffset>
            </wp:positionV>
            <wp:extent cx="42037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35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80010</wp:posOffset>
            </wp:positionV>
            <wp:extent cx="3310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239" w:lineRule="exact"/>
        <w:rPr>
          <w:sz w:val="20"/>
          <w:szCs w:val="20"/>
          <w:color w:val="auto"/>
        </w:rPr>
      </w:pPr>
    </w:p>
    <w:p>
      <w:pPr>
        <w:jc w:val="center"/>
        <w:ind w:left="840"/>
        <w:spacing w:after="0"/>
        <w:rPr>
          <w:sz w:val="20"/>
          <w:szCs w:val="20"/>
          <w:color w:val="auto"/>
        </w:rPr>
      </w:pPr>
      <w:r>
        <w:rPr>
          <w:rFonts w:ascii="Arial" w:cs="Arial" w:eastAsia="Arial" w:hAnsi="Arial"/>
          <w:sz w:val="16"/>
          <w:szCs w:val="16"/>
          <w:color w:val="auto"/>
        </w:rPr>
        <w:t>Bruce D. Hertzke</w:t>
      </w:r>
    </w:p>
    <w:p>
      <w:pPr>
        <w:spacing w:after="0" w:line="200" w:lineRule="exact"/>
        <w:rPr>
          <w:sz w:val="20"/>
          <w:szCs w:val="20"/>
          <w:color w:val="auto"/>
        </w:rPr>
      </w:pPr>
    </w:p>
    <w:p>
      <w:pPr>
        <w:spacing w:after="0" w:line="26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80010</wp:posOffset>
            </wp:positionV>
            <wp:extent cx="331025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19" w:lineRule="exact"/>
        <w:rPr>
          <w:sz w:val="20"/>
          <w:szCs w:val="20"/>
          <w:color w:val="auto"/>
        </w:rPr>
      </w:pPr>
    </w:p>
    <w:p>
      <w:pPr>
        <w:jc w:val="center"/>
        <w:ind w:left="800"/>
        <w:spacing w:after="0"/>
        <w:rPr>
          <w:sz w:val="20"/>
          <w:szCs w:val="20"/>
          <w:color w:val="auto"/>
        </w:rPr>
      </w:pPr>
      <w:r>
        <w:rPr>
          <w:rFonts w:ascii="Arial" w:cs="Arial" w:eastAsia="Arial" w:hAnsi="Arial"/>
          <w:sz w:val="16"/>
          <w:szCs w:val="16"/>
          <w:color w:val="auto"/>
        </w:rPr>
        <w:t>Sarah N. Nielsen</w:t>
      </w:r>
    </w:p>
    <w:p>
      <w:pPr>
        <w:spacing w:after="0" w:line="39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Brian J. Hrubes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80010</wp:posOffset>
            </wp:positionV>
            <wp:extent cx="331025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Chief Executive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558" w:lineRule="exact"/>
        <w:rPr>
          <w:sz w:val="20"/>
          <w:szCs w:val="20"/>
          <w:color w:val="auto"/>
        </w:rPr>
      </w:pPr>
    </w:p>
    <w:p>
      <w:pPr>
        <w:sectPr>
          <w:pgSz w:w="11900" w:h="16838" w:orient="portrait"/>
          <w:cols w:equalWidth="0" w:num="2">
            <w:col w:w="6180" w:space="720"/>
            <w:col w:w="4500"/>
          </w:cols>
          <w:pgMar w:left="240" w:top="131" w:right="259" w:bottom="1440" w:gutter="0" w:footer="0" w:header="0"/>
          <w:type w:val="continuous"/>
        </w:sectPr>
      </w:pPr>
    </w:p>
    <w:p>
      <w:pPr>
        <w:spacing w:after="0" w:line="39"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5220" w:type="dxa"/>
            <w:vAlign w:val="bottom"/>
          </w:tcPr>
          <w:p>
            <w:pPr>
              <w:ind w:left="1440"/>
              <w:spacing w:after="0"/>
              <w:rPr>
                <w:sz w:val="20"/>
                <w:szCs w:val="20"/>
                <w:color w:val="auto"/>
              </w:rPr>
            </w:pPr>
            <w:r>
              <w:rPr>
                <w:rFonts w:ascii="Arial" w:cs="Arial" w:eastAsia="Arial" w:hAnsi="Arial"/>
                <w:sz w:val="18"/>
                <w:szCs w:val="18"/>
                <w:color w:val="auto"/>
              </w:rPr>
              <w:t>Brian J. Hrubes</w:t>
            </w:r>
          </w:p>
        </w:tc>
        <w:tc>
          <w:tcPr>
            <w:tcW w:w="2860" w:type="dxa"/>
            <w:vAlign w:val="bottom"/>
          </w:tcPr>
          <w:p>
            <w:pPr>
              <w:ind w:left="220"/>
              <w:spacing w:after="0"/>
              <w:rPr>
                <w:sz w:val="20"/>
                <w:szCs w:val="20"/>
                <w:color w:val="auto"/>
              </w:rPr>
            </w:pPr>
            <w:r>
              <w:rPr>
                <w:rFonts w:ascii="Arial" w:cs="Arial" w:eastAsia="Arial" w:hAnsi="Arial"/>
                <w:sz w:val="18"/>
                <w:szCs w:val="18"/>
                <w:color w:val="auto"/>
              </w:rPr>
              <w:t>Controller</w:t>
            </w:r>
          </w:p>
        </w:tc>
      </w:tr>
      <w:tr>
        <w:trPr>
          <w:trHeight w:val="222"/>
        </w:trPr>
        <w:tc>
          <w:tcPr>
            <w:tcW w:w="5220" w:type="dxa"/>
            <w:vAlign w:val="bottom"/>
          </w:tcPr>
          <w:p>
            <w:pPr>
              <w:spacing w:after="0"/>
              <w:rPr>
                <w:sz w:val="19"/>
                <w:szCs w:val="19"/>
                <w:color w:val="auto"/>
              </w:rPr>
            </w:pPr>
          </w:p>
        </w:tc>
        <w:tc>
          <w:tcPr>
            <w:tcW w:w="2860" w:type="dxa"/>
            <w:vAlign w:val="bottom"/>
          </w:tcPr>
          <w:p>
            <w:pPr>
              <w:ind w:left="680"/>
              <w:spacing w:after="0"/>
              <w:rPr>
                <w:sz w:val="20"/>
                <w:szCs w:val="20"/>
                <w:color w:val="auto"/>
              </w:rPr>
            </w:pPr>
            <w:r>
              <w:rPr>
                <w:rFonts w:ascii="Arial" w:cs="Arial" w:eastAsia="Arial" w:hAnsi="Arial"/>
                <w:sz w:val="18"/>
                <w:szCs w:val="18"/>
                <w:color w:val="auto"/>
                <w:w w:val="92"/>
              </w:rPr>
              <w:t>(Principal Accounting Officer)</w:t>
            </w:r>
          </w:p>
        </w:tc>
      </w:tr>
      <w:tr>
        <w:trPr>
          <w:trHeight w:val="365"/>
        </w:trPr>
        <w:tc>
          <w:tcPr>
            <w:tcW w:w="5220" w:type="dxa"/>
            <w:vAlign w:val="bottom"/>
          </w:tcPr>
          <w:p>
            <w:pPr>
              <w:spacing w:after="0"/>
              <w:rPr>
                <w:sz w:val="20"/>
                <w:szCs w:val="20"/>
                <w:color w:val="auto"/>
              </w:rPr>
            </w:pPr>
            <w:r>
              <w:rPr>
                <w:rFonts w:ascii="Arial" w:cs="Arial" w:eastAsia="Arial" w:hAnsi="Arial"/>
                <w:sz w:val="18"/>
                <w:szCs w:val="18"/>
                <w:color w:val="auto"/>
              </w:rPr>
              <w:t>/s/ Irvin E. Aal</w:t>
            </w:r>
          </w:p>
        </w:tc>
        <w:tc>
          <w:tcPr>
            <w:tcW w:w="2860" w:type="dxa"/>
            <w:vAlign w:val="bottom"/>
          </w:tcPr>
          <w:p>
            <w:pPr>
              <w:spacing w:after="0"/>
              <w:rPr>
                <w:sz w:val="24"/>
                <w:szCs w:val="24"/>
                <w:color w:val="auto"/>
              </w:rPr>
            </w:pPr>
          </w:p>
        </w:tc>
      </w:tr>
      <w:tr>
        <w:trPr>
          <w:trHeight w:val="110"/>
        </w:trPr>
        <w:tc>
          <w:tcPr>
            <w:tcW w:w="522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r>
      <w:tr>
        <w:trPr>
          <w:trHeight w:val="316"/>
        </w:trPr>
        <w:tc>
          <w:tcPr>
            <w:tcW w:w="5220" w:type="dxa"/>
            <w:vAlign w:val="bottom"/>
          </w:tcPr>
          <w:p>
            <w:pPr>
              <w:ind w:left="1440"/>
              <w:spacing w:after="0"/>
              <w:rPr>
                <w:sz w:val="20"/>
                <w:szCs w:val="20"/>
                <w:color w:val="auto"/>
              </w:rPr>
            </w:pPr>
            <w:r>
              <w:rPr>
                <w:rFonts w:ascii="Arial" w:cs="Arial" w:eastAsia="Arial" w:hAnsi="Arial"/>
                <w:sz w:val="18"/>
                <w:szCs w:val="18"/>
                <w:color w:val="auto"/>
              </w:rPr>
              <w:t>Irvin E. Aal</w:t>
            </w:r>
          </w:p>
        </w:tc>
        <w:tc>
          <w:tcPr>
            <w:tcW w:w="28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365"/>
        </w:trPr>
        <w:tc>
          <w:tcPr>
            <w:tcW w:w="5220" w:type="dxa"/>
            <w:vAlign w:val="bottom"/>
          </w:tcPr>
          <w:p>
            <w:pPr>
              <w:spacing w:after="0"/>
              <w:rPr>
                <w:sz w:val="20"/>
                <w:szCs w:val="20"/>
                <w:color w:val="auto"/>
              </w:rPr>
            </w:pPr>
            <w:r>
              <w:rPr>
                <w:rFonts w:ascii="Arial" w:cs="Arial" w:eastAsia="Arial" w:hAnsi="Arial"/>
                <w:sz w:val="18"/>
                <w:szCs w:val="18"/>
                <w:color w:val="auto"/>
              </w:rPr>
              <w:t>/s/ Jerry N. Currie</w:t>
            </w:r>
          </w:p>
        </w:tc>
        <w:tc>
          <w:tcPr>
            <w:tcW w:w="2860" w:type="dxa"/>
            <w:vAlign w:val="bottom"/>
          </w:tcPr>
          <w:p>
            <w:pPr>
              <w:spacing w:after="0"/>
              <w:rPr>
                <w:sz w:val="24"/>
                <w:szCs w:val="24"/>
                <w:color w:val="auto"/>
              </w:rPr>
            </w:pPr>
          </w:p>
        </w:tc>
      </w:tr>
      <w:tr>
        <w:trPr>
          <w:trHeight w:val="110"/>
        </w:trPr>
        <w:tc>
          <w:tcPr>
            <w:tcW w:w="522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r>
      <w:tr>
        <w:trPr>
          <w:trHeight w:val="316"/>
        </w:trPr>
        <w:tc>
          <w:tcPr>
            <w:tcW w:w="5220" w:type="dxa"/>
            <w:vAlign w:val="bottom"/>
          </w:tcPr>
          <w:p>
            <w:pPr>
              <w:ind w:left="1440"/>
              <w:spacing w:after="0"/>
              <w:rPr>
                <w:sz w:val="20"/>
                <w:szCs w:val="20"/>
                <w:color w:val="auto"/>
              </w:rPr>
            </w:pPr>
            <w:r>
              <w:rPr>
                <w:rFonts w:ascii="Arial" w:cs="Arial" w:eastAsia="Arial" w:hAnsi="Arial"/>
                <w:sz w:val="18"/>
                <w:szCs w:val="18"/>
                <w:color w:val="auto"/>
              </w:rPr>
              <w:t>Jerry N. Currie</w:t>
            </w:r>
          </w:p>
        </w:tc>
        <w:tc>
          <w:tcPr>
            <w:tcW w:w="28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365"/>
        </w:trPr>
        <w:tc>
          <w:tcPr>
            <w:tcW w:w="5220" w:type="dxa"/>
            <w:vAlign w:val="bottom"/>
          </w:tcPr>
          <w:p>
            <w:pPr>
              <w:spacing w:after="0"/>
              <w:rPr>
                <w:sz w:val="20"/>
                <w:szCs w:val="20"/>
                <w:color w:val="auto"/>
              </w:rPr>
            </w:pPr>
            <w:r>
              <w:rPr>
                <w:rFonts w:ascii="Arial" w:cs="Arial" w:eastAsia="Arial" w:hAnsi="Arial"/>
                <w:sz w:val="18"/>
                <w:szCs w:val="18"/>
                <w:color w:val="auto"/>
              </w:rPr>
              <w:t>/s/ Joseph W. England</w:t>
            </w:r>
          </w:p>
        </w:tc>
        <w:tc>
          <w:tcPr>
            <w:tcW w:w="2860" w:type="dxa"/>
            <w:vAlign w:val="bottom"/>
          </w:tcPr>
          <w:p>
            <w:pPr>
              <w:spacing w:after="0"/>
              <w:rPr>
                <w:sz w:val="24"/>
                <w:szCs w:val="24"/>
                <w:color w:val="auto"/>
              </w:rPr>
            </w:pPr>
          </w:p>
        </w:tc>
      </w:tr>
      <w:tr>
        <w:trPr>
          <w:trHeight w:val="110"/>
        </w:trPr>
        <w:tc>
          <w:tcPr>
            <w:tcW w:w="522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r>
      <w:tr>
        <w:trPr>
          <w:trHeight w:val="316"/>
        </w:trPr>
        <w:tc>
          <w:tcPr>
            <w:tcW w:w="5220" w:type="dxa"/>
            <w:vAlign w:val="bottom"/>
          </w:tcPr>
          <w:p>
            <w:pPr>
              <w:ind w:left="1440"/>
              <w:spacing w:after="0"/>
              <w:rPr>
                <w:sz w:val="20"/>
                <w:szCs w:val="20"/>
                <w:color w:val="auto"/>
              </w:rPr>
            </w:pPr>
            <w:r>
              <w:rPr>
                <w:rFonts w:ascii="Arial" w:cs="Arial" w:eastAsia="Arial" w:hAnsi="Arial"/>
                <w:sz w:val="18"/>
                <w:szCs w:val="18"/>
                <w:color w:val="auto"/>
              </w:rPr>
              <w:t>Joseph W. England</w:t>
            </w:r>
          </w:p>
        </w:tc>
        <w:tc>
          <w:tcPr>
            <w:tcW w:w="28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365"/>
        </w:trPr>
        <w:tc>
          <w:tcPr>
            <w:tcW w:w="5220" w:type="dxa"/>
            <w:vAlign w:val="bottom"/>
          </w:tcPr>
          <w:p>
            <w:pPr>
              <w:spacing w:after="0"/>
              <w:rPr>
                <w:sz w:val="20"/>
                <w:szCs w:val="20"/>
                <w:color w:val="auto"/>
              </w:rPr>
            </w:pPr>
            <w:r>
              <w:rPr>
                <w:rFonts w:ascii="Arial" w:cs="Arial" w:eastAsia="Arial" w:hAnsi="Arial"/>
                <w:sz w:val="18"/>
                <w:szCs w:val="18"/>
                <w:color w:val="auto"/>
              </w:rPr>
              <w:t>/s/ Lawrence A. Erickson</w:t>
            </w:r>
          </w:p>
        </w:tc>
        <w:tc>
          <w:tcPr>
            <w:tcW w:w="2860" w:type="dxa"/>
            <w:vAlign w:val="bottom"/>
          </w:tcPr>
          <w:p>
            <w:pPr>
              <w:spacing w:after="0"/>
              <w:rPr>
                <w:sz w:val="24"/>
                <w:szCs w:val="24"/>
                <w:color w:val="auto"/>
              </w:rPr>
            </w:pPr>
          </w:p>
        </w:tc>
      </w:tr>
      <w:tr>
        <w:trPr>
          <w:trHeight w:val="110"/>
        </w:trPr>
        <w:tc>
          <w:tcPr>
            <w:tcW w:w="522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r>
      <w:tr>
        <w:trPr>
          <w:trHeight w:val="316"/>
        </w:trPr>
        <w:tc>
          <w:tcPr>
            <w:tcW w:w="5220" w:type="dxa"/>
            <w:vAlign w:val="bottom"/>
          </w:tcPr>
          <w:p>
            <w:pPr>
              <w:ind w:left="1440"/>
              <w:spacing w:after="0"/>
              <w:rPr>
                <w:sz w:val="20"/>
                <w:szCs w:val="20"/>
                <w:color w:val="auto"/>
              </w:rPr>
            </w:pPr>
            <w:r>
              <w:rPr>
                <w:rFonts w:ascii="Arial" w:cs="Arial" w:eastAsia="Arial" w:hAnsi="Arial"/>
                <w:sz w:val="18"/>
                <w:szCs w:val="18"/>
                <w:color w:val="auto"/>
              </w:rPr>
              <w:t>Lawrence A. Erickson</w:t>
            </w:r>
          </w:p>
        </w:tc>
        <w:tc>
          <w:tcPr>
            <w:tcW w:w="28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365"/>
        </w:trPr>
        <w:tc>
          <w:tcPr>
            <w:tcW w:w="5220" w:type="dxa"/>
            <w:vAlign w:val="bottom"/>
          </w:tcPr>
          <w:p>
            <w:pPr>
              <w:spacing w:after="0"/>
              <w:rPr>
                <w:sz w:val="20"/>
                <w:szCs w:val="20"/>
                <w:color w:val="auto"/>
              </w:rPr>
            </w:pPr>
            <w:r>
              <w:rPr>
                <w:rFonts w:ascii="Arial" w:cs="Arial" w:eastAsia="Arial" w:hAnsi="Arial"/>
                <w:sz w:val="18"/>
                <w:szCs w:val="18"/>
                <w:color w:val="auto"/>
              </w:rPr>
              <w:t>/s/ John V. Hanson</w:t>
            </w:r>
          </w:p>
        </w:tc>
        <w:tc>
          <w:tcPr>
            <w:tcW w:w="2860" w:type="dxa"/>
            <w:vAlign w:val="bottom"/>
          </w:tcPr>
          <w:p>
            <w:pPr>
              <w:spacing w:after="0"/>
              <w:rPr>
                <w:sz w:val="24"/>
                <w:szCs w:val="24"/>
                <w:color w:val="auto"/>
              </w:rPr>
            </w:pPr>
          </w:p>
        </w:tc>
      </w:tr>
      <w:tr>
        <w:trPr>
          <w:trHeight w:val="110"/>
        </w:trPr>
        <w:tc>
          <w:tcPr>
            <w:tcW w:w="522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r>
      <w:tr>
        <w:trPr>
          <w:trHeight w:val="316"/>
        </w:trPr>
        <w:tc>
          <w:tcPr>
            <w:tcW w:w="5220" w:type="dxa"/>
            <w:vAlign w:val="bottom"/>
          </w:tcPr>
          <w:p>
            <w:pPr>
              <w:ind w:left="1440"/>
              <w:spacing w:after="0"/>
              <w:rPr>
                <w:sz w:val="20"/>
                <w:szCs w:val="20"/>
                <w:color w:val="auto"/>
              </w:rPr>
            </w:pPr>
            <w:r>
              <w:rPr>
                <w:rFonts w:ascii="Arial" w:cs="Arial" w:eastAsia="Arial" w:hAnsi="Arial"/>
                <w:sz w:val="18"/>
                <w:szCs w:val="18"/>
                <w:color w:val="auto"/>
              </w:rPr>
              <w:t>John V. Hanson</w:t>
            </w:r>
          </w:p>
        </w:tc>
        <w:tc>
          <w:tcPr>
            <w:tcW w:w="28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365"/>
        </w:trPr>
        <w:tc>
          <w:tcPr>
            <w:tcW w:w="5220" w:type="dxa"/>
            <w:vAlign w:val="bottom"/>
          </w:tcPr>
          <w:p>
            <w:pPr>
              <w:spacing w:after="0"/>
              <w:rPr>
                <w:sz w:val="20"/>
                <w:szCs w:val="20"/>
                <w:color w:val="auto"/>
              </w:rPr>
            </w:pPr>
            <w:r>
              <w:rPr>
                <w:rFonts w:ascii="Arial" w:cs="Arial" w:eastAsia="Arial" w:hAnsi="Arial"/>
                <w:sz w:val="18"/>
                <w:szCs w:val="18"/>
                <w:color w:val="auto"/>
              </w:rPr>
              <w:t>/s/ John E. Herlitz</w:t>
            </w:r>
          </w:p>
        </w:tc>
        <w:tc>
          <w:tcPr>
            <w:tcW w:w="2860" w:type="dxa"/>
            <w:vAlign w:val="bottom"/>
          </w:tcPr>
          <w:p>
            <w:pPr>
              <w:spacing w:after="0"/>
              <w:rPr>
                <w:sz w:val="24"/>
                <w:szCs w:val="24"/>
                <w:color w:val="auto"/>
              </w:rPr>
            </w:pPr>
          </w:p>
        </w:tc>
      </w:tr>
      <w:tr>
        <w:trPr>
          <w:trHeight w:val="110"/>
        </w:trPr>
        <w:tc>
          <w:tcPr>
            <w:tcW w:w="522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r>
      <w:tr>
        <w:trPr>
          <w:trHeight w:val="316"/>
        </w:trPr>
        <w:tc>
          <w:tcPr>
            <w:tcW w:w="5220" w:type="dxa"/>
            <w:vAlign w:val="bottom"/>
          </w:tcPr>
          <w:p>
            <w:pPr>
              <w:ind w:left="1440"/>
              <w:spacing w:after="0"/>
              <w:rPr>
                <w:sz w:val="20"/>
                <w:szCs w:val="20"/>
                <w:color w:val="auto"/>
              </w:rPr>
            </w:pPr>
            <w:r>
              <w:rPr>
                <w:rFonts w:ascii="Arial" w:cs="Arial" w:eastAsia="Arial" w:hAnsi="Arial"/>
                <w:sz w:val="18"/>
                <w:szCs w:val="18"/>
                <w:color w:val="auto"/>
              </w:rPr>
              <w:t>John E. Herlitz</w:t>
            </w:r>
          </w:p>
        </w:tc>
        <w:tc>
          <w:tcPr>
            <w:tcW w:w="28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365"/>
        </w:trPr>
        <w:tc>
          <w:tcPr>
            <w:tcW w:w="5220" w:type="dxa"/>
            <w:vAlign w:val="bottom"/>
          </w:tcPr>
          <w:p>
            <w:pPr>
              <w:spacing w:after="0"/>
              <w:rPr>
                <w:sz w:val="20"/>
                <w:szCs w:val="20"/>
                <w:color w:val="auto"/>
              </w:rPr>
            </w:pPr>
            <w:r>
              <w:rPr>
                <w:rFonts w:ascii="Arial" w:cs="Arial" w:eastAsia="Arial" w:hAnsi="Arial"/>
                <w:sz w:val="18"/>
                <w:szCs w:val="18"/>
                <w:color w:val="auto"/>
              </w:rPr>
              <w:t>/s/ Gerald C. Kitch</w:t>
            </w:r>
          </w:p>
        </w:tc>
        <w:tc>
          <w:tcPr>
            <w:tcW w:w="2860" w:type="dxa"/>
            <w:vAlign w:val="bottom"/>
          </w:tcPr>
          <w:p>
            <w:pPr>
              <w:spacing w:after="0"/>
              <w:rPr>
                <w:sz w:val="24"/>
                <w:szCs w:val="24"/>
                <w:color w:val="auto"/>
              </w:rPr>
            </w:pPr>
          </w:p>
        </w:tc>
      </w:tr>
      <w:tr>
        <w:trPr>
          <w:trHeight w:val="110"/>
        </w:trPr>
        <w:tc>
          <w:tcPr>
            <w:tcW w:w="522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r>
      <w:tr>
        <w:trPr>
          <w:trHeight w:val="316"/>
        </w:trPr>
        <w:tc>
          <w:tcPr>
            <w:tcW w:w="5220" w:type="dxa"/>
            <w:vAlign w:val="bottom"/>
          </w:tcPr>
          <w:p>
            <w:pPr>
              <w:ind w:left="1440"/>
              <w:spacing w:after="0"/>
              <w:rPr>
                <w:sz w:val="20"/>
                <w:szCs w:val="20"/>
                <w:color w:val="auto"/>
              </w:rPr>
            </w:pPr>
            <w:r>
              <w:rPr>
                <w:rFonts w:ascii="Arial" w:cs="Arial" w:eastAsia="Arial" w:hAnsi="Arial"/>
                <w:sz w:val="18"/>
                <w:szCs w:val="18"/>
                <w:color w:val="auto"/>
              </w:rPr>
              <w:t>Gerald C. Kitch</w:t>
            </w:r>
          </w:p>
        </w:tc>
        <w:tc>
          <w:tcPr>
            <w:tcW w:w="2860" w:type="dxa"/>
            <w:vAlign w:val="bottom"/>
          </w:tcPr>
          <w:p>
            <w:pPr>
              <w:ind w:left="2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400"/>
          </w:cols>
          <w:pgMar w:left="240" w:top="131" w:right="259" w:bottom="1440" w:gutter="0" w:footer="0" w:header="0"/>
          <w:type w:val="continuous"/>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45" w:lineRule="exact"/>
        <w:rPr>
          <w:sz w:val="20"/>
          <w:szCs w:val="20"/>
          <w:color w:val="auto"/>
        </w:rPr>
      </w:pPr>
    </w:p>
    <w:p>
      <w:pPr>
        <w:ind w:left="580" w:right="280" w:hanging="579"/>
        <w:spacing w:after="0" w:line="268" w:lineRule="auto"/>
        <w:tabs>
          <w:tab w:leader="none" w:pos="56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color w:val="auto"/>
        </w:rPr>
        <w:t>Articles of Incorporation previously filed with the Registrant’s Quarterly Report on Form 10-Q for the quarter ended May 27, 2000 (Commission File Number 1-6403) and incorporated by reference herein.</w:t>
      </w:r>
    </w:p>
    <w:p>
      <w:pPr>
        <w:spacing w:after="0" w:line="118" w:lineRule="exact"/>
        <w:rPr>
          <w:sz w:val="20"/>
          <w:szCs w:val="20"/>
          <w:color w:val="auto"/>
        </w:rPr>
      </w:pPr>
    </w:p>
    <w:p>
      <w:pPr>
        <w:ind w:left="580" w:right="500" w:hanging="579"/>
        <w:spacing w:after="0" w:line="268" w:lineRule="auto"/>
        <w:tabs>
          <w:tab w:leader="none" w:pos="560" w:val="left"/>
        </w:tabs>
        <w:rPr>
          <w:sz w:val="20"/>
          <w:szCs w:val="20"/>
          <w:color w:val="auto"/>
        </w:rPr>
      </w:pPr>
      <w:r>
        <w:rPr>
          <w:rFonts w:ascii="Arial" w:cs="Arial" w:eastAsia="Arial" w:hAnsi="Arial"/>
          <w:sz w:val="18"/>
          <w:szCs w:val="18"/>
          <w:color w:val="auto"/>
        </w:rPr>
        <w:t>3b.</w:t>
      </w:r>
      <w:r>
        <w:rPr>
          <w:sz w:val="20"/>
          <w:szCs w:val="20"/>
          <w:color w:val="auto"/>
        </w:rPr>
        <w:tab/>
      </w:r>
      <w:r>
        <w:rPr>
          <w:rFonts w:ascii="Arial" w:cs="Arial" w:eastAsia="Arial" w:hAnsi="Arial"/>
          <w:sz w:val="18"/>
          <w:szCs w:val="18"/>
          <w:color w:val="auto"/>
        </w:rPr>
        <w:t>Amended By-Laws of the Registrant previously filed with the Registrant’s Annual Report on Form 10-K for the fiscal year ended August 28, 2004 (Commission File Number 1-6403) and incorporated by reference herein.</w:t>
      </w:r>
    </w:p>
    <w:p>
      <w:pPr>
        <w:spacing w:after="0" w:line="118" w:lineRule="exact"/>
        <w:rPr>
          <w:sz w:val="20"/>
          <w:szCs w:val="20"/>
          <w:color w:val="auto"/>
        </w:rPr>
      </w:pPr>
    </w:p>
    <w:p>
      <w:pPr>
        <w:ind w:left="580" w:right="20" w:hanging="579"/>
        <w:spacing w:after="0" w:line="259" w:lineRule="auto"/>
        <w:tabs>
          <w:tab w:leader="none" w:pos="560" w:val="left"/>
        </w:tabs>
        <w:rPr>
          <w:sz w:val="20"/>
          <w:szCs w:val="20"/>
          <w:color w:val="auto"/>
        </w:rPr>
      </w:pPr>
      <w:r>
        <w:rPr>
          <w:rFonts w:ascii="Arial" w:cs="Arial" w:eastAsia="Arial" w:hAnsi="Arial"/>
          <w:sz w:val="18"/>
          <w:szCs w:val="18"/>
          <w:color w:val="auto"/>
        </w:rPr>
        <w:t>4a.</w:t>
      </w:r>
      <w:r>
        <w:rPr>
          <w:sz w:val="20"/>
          <w:szCs w:val="20"/>
          <w:color w:val="auto"/>
        </w:rPr>
        <w:tab/>
      </w:r>
      <w:r>
        <w:rPr>
          <w:rFonts w:ascii="Arial" w:cs="Arial" w:eastAsia="Arial" w:hAnsi="Arial"/>
          <w:sz w:val="18"/>
          <w:szCs w:val="18"/>
          <w:color w:val="auto"/>
        </w:rPr>
        <w:t>Continuing Guaranty, Commercial Security Agreement, Deposit Account Control Agreement and Collateral Receipt all dated October 1, 2003 previously filed with the Registrant’s Annual Report on Form 10-K for the fiscal year ended August 30, 2003 (Commission File Number 1-6403) and incorporated by reference herein.</w:t>
      </w:r>
    </w:p>
    <w:p>
      <w:pPr>
        <w:spacing w:after="0" w:line="127" w:lineRule="exact"/>
        <w:rPr>
          <w:sz w:val="20"/>
          <w:szCs w:val="20"/>
          <w:color w:val="auto"/>
        </w:rPr>
      </w:pPr>
    </w:p>
    <w:p>
      <w:pPr>
        <w:jc w:val="both"/>
        <w:ind w:left="580" w:right="240" w:hanging="579"/>
        <w:spacing w:after="0" w:line="259" w:lineRule="auto"/>
        <w:tabs>
          <w:tab w:leader="none" w:pos="560" w:val="left"/>
        </w:tabs>
        <w:rPr>
          <w:sz w:val="20"/>
          <w:szCs w:val="20"/>
          <w:color w:val="auto"/>
        </w:rPr>
      </w:pPr>
      <w:r>
        <w:rPr>
          <w:rFonts w:ascii="Arial" w:cs="Arial" w:eastAsia="Arial" w:hAnsi="Arial"/>
          <w:sz w:val="18"/>
          <w:szCs w:val="18"/>
          <w:color w:val="auto"/>
        </w:rPr>
        <w:t>4b.</w:t>
      </w:r>
      <w:r>
        <w:rPr>
          <w:sz w:val="20"/>
          <w:szCs w:val="20"/>
          <w:color w:val="auto"/>
        </w:rPr>
        <w:tab/>
      </w:r>
      <w:r>
        <w:rPr>
          <w:rFonts w:ascii="Arial" w:cs="Arial" w:eastAsia="Arial" w:hAnsi="Arial"/>
          <w:sz w:val="18"/>
          <w:szCs w:val="18"/>
          <w:color w:val="auto"/>
        </w:rPr>
        <w:t>Limited Guaranty dated February 27, 2004 whereas Winnebago Industries, Inc. will act as the Guarantor to a certain lease agreement previously filed with the Registrant’s Quarterly Report on Form 10-Q for the quarter ended February 28, 2004 (Commission File Number 1-6403) and incorporated by reference herein.</w:t>
      </w:r>
    </w:p>
    <w:p>
      <w:pPr>
        <w:spacing w:after="0" w:line="127" w:lineRule="exact"/>
        <w:rPr>
          <w:sz w:val="20"/>
          <w:szCs w:val="20"/>
          <w:color w:val="auto"/>
        </w:rPr>
      </w:pPr>
    </w:p>
    <w:p>
      <w:pPr>
        <w:ind w:left="580" w:hanging="579"/>
        <w:spacing w:after="0" w:line="268" w:lineRule="auto"/>
        <w:tabs>
          <w:tab w:leader="none" w:pos="56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8"/>
          <w:szCs w:val="18"/>
          <w:color w:val="auto"/>
        </w:rPr>
        <w:t>Winnebago Industries, Inc. Stock Option Plan for Outside Directors previously filed with the Registrant’s Annual Report on Form 10-K for the fiscal year ended August 29, 1992 (Commission File Number 1-6403) and incorporated by reference herein.*</w:t>
      </w:r>
    </w:p>
    <w:p>
      <w:pPr>
        <w:spacing w:after="0" w:line="118" w:lineRule="exact"/>
        <w:rPr>
          <w:sz w:val="20"/>
          <w:szCs w:val="20"/>
          <w:color w:val="auto"/>
        </w:rPr>
      </w:pPr>
    </w:p>
    <w:p>
      <w:pPr>
        <w:ind w:left="580" w:right="220" w:hanging="579"/>
        <w:spacing w:after="0" w:line="256" w:lineRule="auto"/>
        <w:tabs>
          <w:tab w:leader="none" w:pos="560" w:val="left"/>
        </w:tabs>
        <w:rPr>
          <w:sz w:val="20"/>
          <w:szCs w:val="20"/>
          <w:color w:val="auto"/>
        </w:rPr>
      </w:pPr>
      <w:r>
        <w:rPr>
          <w:rFonts w:ascii="Arial" w:cs="Arial" w:eastAsia="Arial" w:hAnsi="Arial"/>
          <w:sz w:val="18"/>
          <w:szCs w:val="18"/>
          <w:color w:val="auto"/>
        </w:rPr>
        <w:t>10b.</w:t>
        <w:tab/>
        <w:t>Winnebago Industries, Inc. Deferred Compensation Plan previously filed with the Registrant’s Quarterly Report on Form 10-Q for the quarter ended March 2, 1991 (Commission File No. 1-6403), and incorporated by reference herein and the Amendment dated June 29, 1995 previously filed with the Registrant’s Annual Report on Form 10-K for the fiscal year ended August 26, 1995 (Commission File No. 1-6403) and incorporated by reference herein.*</w:t>
      </w:r>
    </w:p>
    <w:p>
      <w:pPr>
        <w:spacing w:after="0" w:line="130" w:lineRule="exact"/>
        <w:rPr>
          <w:sz w:val="20"/>
          <w:szCs w:val="20"/>
          <w:color w:val="auto"/>
        </w:rPr>
      </w:pPr>
    </w:p>
    <w:p>
      <w:pPr>
        <w:ind w:left="580" w:right="120" w:hanging="579"/>
        <w:spacing w:after="0" w:line="256" w:lineRule="auto"/>
        <w:tabs>
          <w:tab w:leader="none" w:pos="560" w:val="left"/>
        </w:tabs>
        <w:rPr>
          <w:sz w:val="20"/>
          <w:szCs w:val="20"/>
          <w:color w:val="auto"/>
        </w:rPr>
      </w:pPr>
      <w:r>
        <w:rPr>
          <w:rFonts w:ascii="Arial" w:cs="Arial" w:eastAsia="Arial" w:hAnsi="Arial"/>
          <w:sz w:val="18"/>
          <w:szCs w:val="18"/>
          <w:color w:val="auto"/>
        </w:rPr>
        <w:t>10c.</w:t>
      </w:r>
      <w:r>
        <w:rPr>
          <w:sz w:val="20"/>
          <w:szCs w:val="20"/>
          <w:color w:val="auto"/>
        </w:rPr>
        <w:tab/>
      </w:r>
      <w:r>
        <w:rPr>
          <w:rFonts w:ascii="Arial" w:cs="Arial" w:eastAsia="Arial" w:hAnsi="Arial"/>
          <w:sz w:val="18"/>
          <w:szCs w:val="18"/>
          <w:color w:val="auto"/>
        </w:rPr>
        <w:t>Winnebago Industries, Inc. Profit Sharing and Deferred Savings Investment Plan previously filed with the Registrant’s Annual Report on Form 10-K for the fiscal year ended August 31, 1985 (Commission File Number 1-6403), and incorporated be reference herein and the Amendment dated July 1, 1995 previously filed with the Registrant’s Annual Report on Form 10-K for the fiscal year ended August 26, 1995 (Commission File Number 1-6403) and incorporated by reference herein.*</w:t>
      </w:r>
    </w:p>
    <w:p>
      <w:pPr>
        <w:spacing w:after="0" w:line="130" w:lineRule="exact"/>
        <w:rPr>
          <w:sz w:val="20"/>
          <w:szCs w:val="20"/>
          <w:color w:val="auto"/>
        </w:rPr>
      </w:pPr>
    </w:p>
    <w:p>
      <w:pPr>
        <w:ind w:left="580" w:right="400" w:hanging="579"/>
        <w:spacing w:after="0" w:line="332" w:lineRule="auto"/>
        <w:tabs>
          <w:tab w:leader="none" w:pos="560" w:val="left"/>
        </w:tabs>
        <w:rPr>
          <w:sz w:val="20"/>
          <w:szCs w:val="20"/>
          <w:color w:val="auto"/>
        </w:rPr>
      </w:pPr>
      <w:r>
        <w:rPr>
          <w:rFonts w:ascii="Arial" w:cs="Arial" w:eastAsia="Arial" w:hAnsi="Arial"/>
          <w:sz w:val="16"/>
          <w:szCs w:val="16"/>
          <w:color w:val="auto"/>
        </w:rPr>
        <w:t>10d.</w:t>
      </w:r>
      <w:r>
        <w:rPr>
          <w:sz w:val="20"/>
          <w:szCs w:val="20"/>
          <w:color w:val="auto"/>
        </w:rPr>
        <w:tab/>
      </w:r>
      <w:r>
        <w:rPr>
          <w:rFonts w:ascii="Arial" w:cs="Arial" w:eastAsia="Arial" w:hAnsi="Arial"/>
          <w:sz w:val="16"/>
          <w:szCs w:val="16"/>
          <w:color w:val="auto"/>
        </w:rPr>
        <w:t>Winnebago Industries, Inc. 2004 Incentive Compensation Plan previously filed as Appendix B with the Registrant’s Proxy Statement for the Annual Meeting of Shareholders held on January 13, 2004 (Commission File Number 1- 6403) and incorporated by reference herein.*</w:t>
      </w:r>
    </w:p>
    <w:p>
      <w:pPr>
        <w:spacing w:after="0" w:line="72" w:lineRule="exact"/>
        <w:rPr>
          <w:sz w:val="20"/>
          <w:szCs w:val="20"/>
          <w:color w:val="auto"/>
        </w:rPr>
      </w:pPr>
    </w:p>
    <w:p>
      <w:pPr>
        <w:jc w:val="both"/>
        <w:ind w:left="580" w:hanging="579"/>
        <w:spacing w:after="0" w:line="256" w:lineRule="auto"/>
        <w:tabs>
          <w:tab w:leader="none" w:pos="560" w:val="left"/>
        </w:tabs>
        <w:rPr>
          <w:sz w:val="20"/>
          <w:szCs w:val="20"/>
          <w:color w:val="auto"/>
        </w:rPr>
      </w:pPr>
      <w:r>
        <w:rPr>
          <w:rFonts w:ascii="Arial" w:cs="Arial" w:eastAsia="Arial" w:hAnsi="Arial"/>
          <w:sz w:val="18"/>
          <w:szCs w:val="18"/>
          <w:color w:val="auto"/>
        </w:rPr>
        <w:t>10e.</w:t>
      </w:r>
      <w:r>
        <w:rPr>
          <w:sz w:val="20"/>
          <w:szCs w:val="20"/>
          <w:color w:val="auto"/>
        </w:rPr>
        <w:tab/>
      </w:r>
      <w:r>
        <w:rPr>
          <w:rFonts w:ascii="Arial" w:cs="Arial" w:eastAsia="Arial" w:hAnsi="Arial"/>
          <w:sz w:val="18"/>
          <w:szCs w:val="18"/>
          <w:color w:val="auto"/>
        </w:rPr>
        <w:t>Winnebago Industries, Inc. Directors’ Deferred Compensation Plan previously filed with the Registrant’s Annual Report on Form 10-K for the fiscal year ended August 30, 1997 (Commission File Number 1-6403), and incorporated by reference herein and the Amendment dated October 15, 2003 previously filed with the Registrant’s Quarterly Report on Form 10-Q for the quarter ended November 29, 2003 (Commission File Number 1-6403) and incorporated by reference herein.*</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10f.</w:t>
      </w:r>
      <w:r>
        <w:rPr>
          <w:sz w:val="20"/>
          <w:szCs w:val="20"/>
          <w:color w:val="auto"/>
        </w:rPr>
        <w:tab/>
      </w:r>
      <w:r>
        <w:rPr>
          <w:rFonts w:ascii="Arial" w:cs="Arial" w:eastAsia="Arial" w:hAnsi="Arial"/>
          <w:sz w:val="16"/>
          <w:szCs w:val="16"/>
          <w:color w:val="auto"/>
        </w:rPr>
        <w:t>Winnebago Industries, Inc. 1997 Stock Option Plan previously filed with the Registrant’s Annual Report on Form 10- K for the fiscal year ended August</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1997 (Commission File Number 1-6403) and incorporated by reference herein.*</w:t>
      </w:r>
    </w:p>
    <w:p>
      <w:pPr>
        <w:spacing w:after="0" w:line="151" w:lineRule="exact"/>
        <w:rPr>
          <w:sz w:val="20"/>
          <w:szCs w:val="20"/>
          <w:color w:val="auto"/>
        </w:rPr>
      </w:pPr>
    </w:p>
    <w:p>
      <w:pPr>
        <w:ind w:left="580" w:right="140" w:hanging="579"/>
        <w:spacing w:after="0" w:line="294" w:lineRule="auto"/>
        <w:tabs>
          <w:tab w:leader="none" w:pos="560" w:val="left"/>
        </w:tabs>
        <w:rPr>
          <w:sz w:val="20"/>
          <w:szCs w:val="20"/>
          <w:color w:val="auto"/>
        </w:rPr>
      </w:pPr>
      <w:r>
        <w:rPr>
          <w:rFonts w:ascii="Arial" w:cs="Arial" w:eastAsia="Arial" w:hAnsi="Arial"/>
          <w:sz w:val="16"/>
          <w:szCs w:val="16"/>
          <w:color w:val="auto"/>
        </w:rPr>
        <w:t>10g.</w:t>
      </w:r>
      <w:r>
        <w:rPr>
          <w:sz w:val="20"/>
          <w:szCs w:val="20"/>
          <w:color w:val="auto"/>
        </w:rPr>
        <w:tab/>
      </w:r>
      <w:r>
        <w:rPr>
          <w:rFonts w:ascii="Arial" w:cs="Arial" w:eastAsia="Arial" w:hAnsi="Arial"/>
          <w:sz w:val="16"/>
          <w:szCs w:val="16"/>
          <w:color w:val="auto"/>
        </w:rPr>
        <w:t>Winnebago Industries, Inc. Executive Share Option Plan previously filed with the Registrant’s Annual Report on Form10-K for the fiscal year ended August 29, 1998 (Commission File Number 1-6403) and incorporated by reference herein, and the Amendment dated July 1, 1999 previously filed with the Registrant’s Quarterly Report on Form 10-Q for the quarter ended May 29, 1999 (Commission File Number 1-6403) and incorporated by reference herein and the Amendment dated January 1, 2001 previously filed with the Registrant’s Quarterly Report on Form 10-Q for the quarter ended February 24, 2001 (Commission File No. 1-6403) and incorporated by reference herein.*</w:t>
      </w:r>
    </w:p>
    <w:p>
      <w:pPr>
        <w:spacing w:after="0" w:line="102" w:lineRule="exact"/>
        <w:rPr>
          <w:sz w:val="20"/>
          <w:szCs w:val="20"/>
          <w:color w:val="auto"/>
        </w:rPr>
      </w:pPr>
    </w:p>
    <w:p>
      <w:pPr>
        <w:ind w:left="580" w:right="80" w:hanging="579"/>
        <w:spacing w:after="0" w:line="255" w:lineRule="auto"/>
        <w:tabs>
          <w:tab w:leader="none" w:pos="560" w:val="left"/>
        </w:tabs>
        <w:rPr>
          <w:sz w:val="20"/>
          <w:szCs w:val="20"/>
          <w:color w:val="auto"/>
        </w:rPr>
      </w:pPr>
      <w:r>
        <w:rPr>
          <w:rFonts w:ascii="Arial" w:cs="Arial" w:eastAsia="Arial" w:hAnsi="Arial"/>
          <w:sz w:val="18"/>
          <w:szCs w:val="18"/>
          <w:color w:val="auto"/>
        </w:rPr>
        <w:t>10h.</w:t>
        <w:tab/>
        <w:t>Winnebago Industries, Inc. Rights Plan Agreement previously filed with the Registrant’s Current Report on Form 8-K dated May 3, 2000 (Commission File Number 1-6403) and incorporated by reference herein, the Amendment dated January 13, 2003 previously filed with the Registrant’s Quarterly Report on Form 10-Q for the quarter ended March 1, 2003 (Commission File Number 1-6403) and incorporated by reference herein and the Amendment dated May 17, 2006 previously filed with the Registrant’s Current Report on Form 8-K dated May 23, 2006 (Commission File No. 1- 6403) and incorporated by reference herein.</w:t>
      </w:r>
    </w:p>
    <w:p>
      <w:pPr>
        <w:spacing w:after="0" w:line="129" w:lineRule="exact"/>
        <w:rPr>
          <w:sz w:val="20"/>
          <w:szCs w:val="20"/>
          <w:color w:val="auto"/>
        </w:rPr>
      </w:pPr>
    </w:p>
    <w:p>
      <w:pPr>
        <w:ind w:left="580" w:right="160" w:hanging="579"/>
        <w:spacing w:after="0" w:line="259" w:lineRule="auto"/>
        <w:tabs>
          <w:tab w:leader="none" w:pos="560" w:val="left"/>
        </w:tabs>
        <w:rPr>
          <w:sz w:val="20"/>
          <w:szCs w:val="20"/>
          <w:color w:val="auto"/>
        </w:rPr>
      </w:pPr>
      <w:r>
        <w:rPr>
          <w:rFonts w:ascii="Arial" w:cs="Arial" w:eastAsia="Arial" w:hAnsi="Arial"/>
          <w:sz w:val="18"/>
          <w:szCs w:val="18"/>
          <w:color w:val="auto"/>
        </w:rPr>
        <w:t>10i.</w:t>
      </w:r>
      <w:r>
        <w:rPr>
          <w:sz w:val="20"/>
          <w:szCs w:val="20"/>
          <w:color w:val="auto"/>
        </w:rPr>
        <w:tab/>
      </w:r>
      <w:r>
        <w:rPr>
          <w:rFonts w:ascii="Arial" w:cs="Arial" w:eastAsia="Arial" w:hAnsi="Arial"/>
          <w:sz w:val="18"/>
          <w:szCs w:val="18"/>
          <w:color w:val="auto"/>
        </w:rPr>
        <w:t>Executive Change of Control Agreement dated January 17, 2001 between Winnebago Industries, Inc. and Bruce D. Hertzke previously filed with the Registrant’s Quarterly Report on Form 10-Q for the quarter ended February 24, 2001 (Commission File Number 1-6403) and incorporated by reference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32" w:lineRule="exact"/>
        <w:rPr>
          <w:sz w:val="20"/>
          <w:szCs w:val="20"/>
          <w:color w:val="auto"/>
        </w:rPr>
      </w:pPr>
    </w:p>
    <w:p>
      <w:pPr>
        <w:ind w:left="580" w:right="140" w:hanging="579"/>
        <w:spacing w:after="0" w:line="259" w:lineRule="auto"/>
        <w:tabs>
          <w:tab w:leader="none" w:pos="560" w:val="left"/>
        </w:tabs>
        <w:rPr>
          <w:sz w:val="20"/>
          <w:szCs w:val="20"/>
          <w:color w:val="auto"/>
        </w:rPr>
      </w:pPr>
      <w:r>
        <w:rPr>
          <w:rFonts w:ascii="Arial" w:cs="Arial" w:eastAsia="Arial" w:hAnsi="Arial"/>
          <w:sz w:val="18"/>
          <w:szCs w:val="18"/>
          <w:color w:val="auto"/>
        </w:rPr>
        <w:t>10j.</w:t>
      </w:r>
      <w:r>
        <w:rPr>
          <w:sz w:val="20"/>
          <w:szCs w:val="20"/>
          <w:color w:val="auto"/>
        </w:rPr>
        <w:tab/>
      </w:r>
      <w:r>
        <w:rPr>
          <w:rFonts w:ascii="Arial" w:cs="Arial" w:eastAsia="Arial" w:hAnsi="Arial"/>
          <w:sz w:val="18"/>
          <w:szCs w:val="18"/>
          <w:color w:val="auto"/>
        </w:rPr>
        <w:t>Executive Change of Control Agreement dated January 17, 2001 between Winnebago Industries, Inc. and Edwin F. Barker previously filed with the Registrant’s Quarterly Report on Form 10-Q for the quarter ended February 24, 2001 (Commission File Number 1-6403) and incorporated by reference herein.*</w:t>
      </w:r>
    </w:p>
    <w:p>
      <w:pPr>
        <w:spacing w:after="0" w:line="127" w:lineRule="exact"/>
        <w:rPr>
          <w:sz w:val="20"/>
          <w:szCs w:val="20"/>
          <w:color w:val="auto"/>
        </w:rPr>
      </w:pPr>
    </w:p>
    <w:p>
      <w:pPr>
        <w:jc w:val="both"/>
        <w:ind w:left="580" w:right="140" w:hanging="579"/>
        <w:spacing w:after="0" w:line="259" w:lineRule="auto"/>
        <w:tabs>
          <w:tab w:leader="none" w:pos="560" w:val="left"/>
        </w:tabs>
        <w:rPr>
          <w:sz w:val="20"/>
          <w:szCs w:val="20"/>
          <w:color w:val="auto"/>
        </w:rPr>
      </w:pPr>
      <w:r>
        <w:rPr>
          <w:rFonts w:ascii="Arial" w:cs="Arial" w:eastAsia="Arial" w:hAnsi="Arial"/>
          <w:sz w:val="18"/>
          <w:szCs w:val="18"/>
          <w:color w:val="auto"/>
        </w:rPr>
        <w:t>10k.</w:t>
        <w:tab/>
        <w:t>Executive Change of Control Agreement dated January 17, 2001 between Winnebago Industries, Inc. and Raymond M. Beebe previously filed with the Registrant’s Quarterly Report on Form 10-Q for the quarter ended February 24, 2001 (Commission File Number 1-6403) and incorporated by reference herein.*</w:t>
      </w:r>
    </w:p>
    <w:p>
      <w:pPr>
        <w:spacing w:after="0" w:line="127" w:lineRule="exact"/>
        <w:rPr>
          <w:sz w:val="20"/>
          <w:szCs w:val="20"/>
          <w:color w:val="auto"/>
        </w:rPr>
      </w:pPr>
    </w:p>
    <w:p>
      <w:pPr>
        <w:ind w:left="580" w:right="140" w:hanging="579"/>
        <w:spacing w:after="0" w:line="259" w:lineRule="auto"/>
        <w:tabs>
          <w:tab w:leader="none" w:pos="560" w:val="left"/>
        </w:tabs>
        <w:rPr>
          <w:sz w:val="20"/>
          <w:szCs w:val="20"/>
          <w:color w:val="auto"/>
        </w:rPr>
      </w:pPr>
      <w:r>
        <w:rPr>
          <w:rFonts w:ascii="Arial" w:cs="Arial" w:eastAsia="Arial" w:hAnsi="Arial"/>
          <w:sz w:val="18"/>
          <w:szCs w:val="18"/>
          <w:color w:val="auto"/>
        </w:rPr>
        <w:t>10l.</w:t>
      </w:r>
      <w:r>
        <w:rPr>
          <w:sz w:val="20"/>
          <w:szCs w:val="20"/>
          <w:color w:val="auto"/>
        </w:rPr>
        <w:tab/>
      </w:r>
      <w:r>
        <w:rPr>
          <w:rFonts w:ascii="Arial" w:cs="Arial" w:eastAsia="Arial" w:hAnsi="Arial"/>
          <w:sz w:val="18"/>
          <w:szCs w:val="18"/>
          <w:color w:val="auto"/>
        </w:rPr>
        <w:t>Executive Change of Control Agreement dated January 17, 2001 between Winnebago Industries, Inc. and Robert L. Gossett previously filed with the Registrant’s Quarterly Report on Form 10-Q for the quarter ended February 24, 2001 (Commission File Number 1-6403) and incorporated by reference herein.*</w:t>
      </w:r>
    </w:p>
    <w:p>
      <w:pPr>
        <w:spacing w:after="0" w:line="127" w:lineRule="exact"/>
        <w:rPr>
          <w:sz w:val="20"/>
          <w:szCs w:val="20"/>
          <w:color w:val="auto"/>
        </w:rPr>
      </w:pPr>
    </w:p>
    <w:p>
      <w:pPr>
        <w:ind w:left="580" w:right="140" w:hanging="579"/>
        <w:spacing w:after="0" w:line="259" w:lineRule="auto"/>
        <w:tabs>
          <w:tab w:leader="none" w:pos="560" w:val="left"/>
        </w:tabs>
        <w:rPr>
          <w:sz w:val="20"/>
          <w:szCs w:val="20"/>
          <w:color w:val="auto"/>
        </w:rPr>
      </w:pPr>
      <w:r>
        <w:rPr>
          <w:rFonts w:ascii="Arial" w:cs="Arial" w:eastAsia="Arial" w:hAnsi="Arial"/>
          <w:sz w:val="18"/>
          <w:szCs w:val="18"/>
          <w:color w:val="auto"/>
        </w:rPr>
        <w:t>10m.</w:t>
        <w:tab/>
        <w:t>Executive Change of Control Agreement dated January 17, 2001 between Winnebago Industries, Inc. and Robert J. Olson previously filed with the Registrant’s Quarterly Report on Form 10-Q for the quarter ended February 24, 2001 (Commission File Number 1-6403) and incorporated by reference herein.*</w:t>
      </w:r>
    </w:p>
    <w:p>
      <w:pPr>
        <w:spacing w:after="0" w:line="127" w:lineRule="exact"/>
        <w:rPr>
          <w:sz w:val="20"/>
          <w:szCs w:val="20"/>
          <w:color w:val="auto"/>
        </w:rPr>
      </w:pPr>
    </w:p>
    <w:p>
      <w:pPr>
        <w:ind w:left="580" w:hanging="579"/>
        <w:spacing w:after="0" w:line="259" w:lineRule="auto"/>
        <w:tabs>
          <w:tab w:leader="none" w:pos="560" w:val="left"/>
        </w:tabs>
        <w:rPr>
          <w:sz w:val="20"/>
          <w:szCs w:val="20"/>
          <w:color w:val="auto"/>
        </w:rPr>
      </w:pPr>
      <w:r>
        <w:rPr>
          <w:rFonts w:ascii="Arial" w:cs="Arial" w:eastAsia="Arial" w:hAnsi="Arial"/>
          <w:sz w:val="18"/>
          <w:szCs w:val="18"/>
          <w:color w:val="auto"/>
        </w:rPr>
        <w:t>10n.</w:t>
        <w:tab/>
        <w:t>Executive Change of Control Agreement dated July 12, 2001 between Winnebago Industries, Inc. and William J. O’Leary previously filed with the Registrant’s Annual Report on Form 10-K for the fiscal year ended August 25, 2001 (Commission Report Number 1-6403) and incorporated by reference herein.*</w:t>
      </w:r>
    </w:p>
    <w:p>
      <w:pPr>
        <w:spacing w:after="0" w:line="127" w:lineRule="exact"/>
        <w:rPr>
          <w:sz w:val="20"/>
          <w:szCs w:val="20"/>
          <w:color w:val="auto"/>
        </w:rPr>
      </w:pPr>
    </w:p>
    <w:p>
      <w:pPr>
        <w:ind w:left="580" w:right="180" w:hanging="579"/>
        <w:spacing w:after="0" w:line="259" w:lineRule="auto"/>
        <w:tabs>
          <w:tab w:leader="none" w:pos="560" w:val="left"/>
        </w:tabs>
        <w:rPr>
          <w:sz w:val="20"/>
          <w:szCs w:val="20"/>
          <w:color w:val="auto"/>
        </w:rPr>
      </w:pPr>
      <w:r>
        <w:rPr>
          <w:rFonts w:ascii="Arial" w:cs="Arial" w:eastAsia="Arial" w:hAnsi="Arial"/>
          <w:sz w:val="18"/>
          <w:szCs w:val="18"/>
          <w:color w:val="auto"/>
        </w:rPr>
        <w:t>10o.</w:t>
        <w:tab/>
        <w:t>Executive Change of Control Agreement dated November 14, 2005 between Winnebago Industries, Inc. and Sarah N. Nielsen previously filed with the Registrant’s Current Report on Form 8-K dated November 14, 2005 and filed on November 15, 2005 (Commission File Number 1-6403) and incorporated by reference herein.*</w:t>
      </w:r>
    </w:p>
    <w:p>
      <w:pPr>
        <w:spacing w:after="0" w:line="127" w:lineRule="exact"/>
        <w:rPr>
          <w:sz w:val="20"/>
          <w:szCs w:val="20"/>
          <w:color w:val="auto"/>
        </w:rPr>
      </w:pPr>
    </w:p>
    <w:p>
      <w:pPr>
        <w:ind w:left="580" w:right="140" w:hanging="579"/>
        <w:spacing w:after="0" w:line="268" w:lineRule="auto"/>
        <w:tabs>
          <w:tab w:leader="none" w:pos="560" w:val="left"/>
        </w:tabs>
        <w:rPr>
          <w:sz w:val="20"/>
          <w:szCs w:val="20"/>
          <w:color w:val="auto"/>
        </w:rPr>
      </w:pPr>
      <w:r>
        <w:rPr>
          <w:rFonts w:ascii="Arial" w:cs="Arial" w:eastAsia="Arial" w:hAnsi="Arial"/>
          <w:sz w:val="18"/>
          <w:szCs w:val="18"/>
          <w:color w:val="auto"/>
        </w:rPr>
        <w:t>10p.</w:t>
        <w:tab/>
        <w:t>Agreement dated March 13, 2002 between Winnebago Industries, Inc. and Bruce D. Hertzke filed with the Registrant’s Quarterly Report on Form 10-Q for the quarter ended March 2, 2002 (Commission File Number 1-6403) and incorporated by reference herein.*</w:t>
      </w:r>
    </w:p>
    <w:p>
      <w:pPr>
        <w:spacing w:after="0" w:line="118" w:lineRule="exact"/>
        <w:rPr>
          <w:sz w:val="20"/>
          <w:szCs w:val="20"/>
          <w:color w:val="auto"/>
        </w:rPr>
      </w:pPr>
    </w:p>
    <w:p>
      <w:pPr>
        <w:ind w:left="580" w:right="200" w:hanging="579"/>
        <w:spacing w:after="0" w:line="259" w:lineRule="auto"/>
        <w:tabs>
          <w:tab w:leader="none" w:pos="560" w:val="left"/>
        </w:tabs>
        <w:rPr>
          <w:sz w:val="20"/>
          <w:szCs w:val="20"/>
          <w:color w:val="auto"/>
        </w:rPr>
      </w:pPr>
      <w:r>
        <w:rPr>
          <w:rFonts w:ascii="Arial" w:cs="Arial" w:eastAsia="Arial" w:hAnsi="Arial"/>
          <w:sz w:val="18"/>
          <w:szCs w:val="18"/>
          <w:color w:val="auto"/>
        </w:rPr>
        <w:t>10q.</w:t>
        <w:tab/>
        <w:t>Executive Change of Control Agreement dated March 13, 2003 between Winnebago Industries, Inc. and Roger W. Martin previously filed with the Registrant’s Quarterly Report on Form 10-Q for the quarter ended March 1, 2003 (Commission Report Number 1-6403) and incorporated by reference herein.*</w:t>
      </w:r>
    </w:p>
    <w:p>
      <w:pPr>
        <w:spacing w:after="0" w:line="127" w:lineRule="exact"/>
        <w:rPr>
          <w:sz w:val="20"/>
          <w:szCs w:val="20"/>
          <w:color w:val="auto"/>
        </w:rPr>
      </w:pPr>
    </w:p>
    <w:p>
      <w:pPr>
        <w:ind w:left="580" w:right="360" w:hanging="579"/>
        <w:spacing w:after="0" w:line="259" w:lineRule="auto"/>
        <w:tabs>
          <w:tab w:leader="none" w:pos="560" w:val="left"/>
        </w:tabs>
        <w:rPr>
          <w:sz w:val="20"/>
          <w:szCs w:val="20"/>
          <w:color w:val="auto"/>
        </w:rPr>
      </w:pPr>
      <w:r>
        <w:rPr>
          <w:rFonts w:ascii="Arial" w:cs="Arial" w:eastAsia="Arial" w:hAnsi="Arial"/>
          <w:sz w:val="18"/>
          <w:szCs w:val="18"/>
          <w:color w:val="auto"/>
        </w:rPr>
        <w:t>10r.</w:t>
      </w:r>
      <w:r>
        <w:rPr>
          <w:sz w:val="20"/>
          <w:szCs w:val="20"/>
          <w:color w:val="auto"/>
        </w:rPr>
        <w:tab/>
      </w:r>
      <w:r>
        <w:rPr>
          <w:rFonts w:ascii="Arial" w:cs="Arial" w:eastAsia="Arial" w:hAnsi="Arial"/>
          <w:sz w:val="18"/>
          <w:szCs w:val="18"/>
          <w:color w:val="auto"/>
        </w:rPr>
        <w:t>Two Subordination Agreements both dated April 24, 2003 between Winnebago Acceptance Corporation and GE Commercial Distribution Finance Corporation previously filed with the Registrant’s Quarterly Report on Form 10-Q for the quarter ended May 31, 2003 (Commission File Number 1-6403) and incorporated by reference herein.</w:t>
      </w:r>
    </w:p>
    <w:p>
      <w:pPr>
        <w:spacing w:after="0" w:line="127" w:lineRule="exact"/>
        <w:rPr>
          <w:sz w:val="20"/>
          <w:szCs w:val="20"/>
          <w:color w:val="auto"/>
        </w:rPr>
      </w:pPr>
    </w:p>
    <w:p>
      <w:pPr>
        <w:ind w:left="580" w:right="120" w:hanging="579"/>
        <w:spacing w:after="0" w:line="259" w:lineRule="auto"/>
        <w:tabs>
          <w:tab w:leader="none" w:pos="560" w:val="left"/>
        </w:tabs>
        <w:rPr>
          <w:sz w:val="20"/>
          <w:szCs w:val="20"/>
          <w:color w:val="auto"/>
        </w:rPr>
      </w:pPr>
      <w:r>
        <w:rPr>
          <w:rFonts w:ascii="Arial" w:cs="Arial" w:eastAsia="Arial" w:hAnsi="Arial"/>
          <w:sz w:val="18"/>
          <w:szCs w:val="18"/>
          <w:color w:val="auto"/>
        </w:rPr>
        <w:t>10s.</w:t>
      </w:r>
      <w:r>
        <w:rPr>
          <w:sz w:val="20"/>
          <w:szCs w:val="20"/>
          <w:color w:val="auto"/>
        </w:rPr>
        <w:tab/>
      </w:r>
      <w:r>
        <w:rPr>
          <w:rFonts w:ascii="Arial" w:cs="Arial" w:eastAsia="Arial" w:hAnsi="Arial"/>
          <w:sz w:val="18"/>
          <w:szCs w:val="18"/>
          <w:color w:val="auto"/>
        </w:rPr>
        <w:t>Compensation terms for Bruce D. Hertzke and Edwin F. Barker, effective January 1, 2006, and stock option awards made to various officers, previously filed with the Registrant’s Current Report on Form 8-K dated October 12, 2005 and filed on October 17, 2005 (Commission File Number 1-6403) and incorporated by reference herein.*</w:t>
      </w:r>
    </w:p>
    <w:p>
      <w:pPr>
        <w:spacing w:after="0" w:line="127" w:lineRule="exact"/>
        <w:rPr>
          <w:sz w:val="20"/>
          <w:szCs w:val="20"/>
          <w:color w:val="auto"/>
        </w:rPr>
      </w:pPr>
    </w:p>
    <w:p>
      <w:pPr>
        <w:jc w:val="both"/>
        <w:ind w:left="580" w:right="440" w:hanging="579"/>
        <w:spacing w:after="0" w:line="332" w:lineRule="auto"/>
        <w:tabs>
          <w:tab w:leader="none" w:pos="560" w:val="left"/>
        </w:tabs>
        <w:rPr>
          <w:sz w:val="20"/>
          <w:szCs w:val="20"/>
          <w:color w:val="auto"/>
        </w:rPr>
      </w:pPr>
      <w:r>
        <w:rPr>
          <w:rFonts w:ascii="Arial" w:cs="Arial" w:eastAsia="Arial" w:hAnsi="Arial"/>
          <w:sz w:val="16"/>
          <w:szCs w:val="16"/>
          <w:color w:val="auto"/>
        </w:rPr>
        <w:t>10t.</w:t>
      </w:r>
      <w:r>
        <w:rPr>
          <w:sz w:val="20"/>
          <w:szCs w:val="20"/>
          <w:color w:val="auto"/>
        </w:rPr>
        <w:tab/>
      </w:r>
      <w:r>
        <w:rPr>
          <w:rFonts w:ascii="Arial" w:cs="Arial" w:eastAsia="Arial" w:hAnsi="Arial"/>
          <w:sz w:val="16"/>
          <w:szCs w:val="16"/>
          <w:color w:val="auto"/>
        </w:rPr>
        <w:t>Winnebago Industries, Inc. Officers’ Long-Term Incentive Plan, fiscal three-year period 2005, 2006 and 2007 previously filed with the Registrant’s Annual Report on Form 10-K for the fiscal year ended August 28, 2004 (Commission File Number 1-6403) and incorporated by reference herein.*</w:t>
      </w:r>
    </w:p>
    <w:p>
      <w:pPr>
        <w:spacing w:after="0" w:line="72" w:lineRule="exact"/>
        <w:rPr>
          <w:sz w:val="20"/>
          <w:szCs w:val="20"/>
          <w:color w:val="auto"/>
        </w:rPr>
      </w:pPr>
    </w:p>
    <w:p>
      <w:pPr>
        <w:ind w:left="580" w:right="440" w:hanging="579"/>
        <w:spacing w:after="0" w:line="332" w:lineRule="auto"/>
        <w:tabs>
          <w:tab w:leader="none" w:pos="560" w:val="left"/>
        </w:tabs>
        <w:rPr>
          <w:sz w:val="20"/>
          <w:szCs w:val="20"/>
          <w:color w:val="auto"/>
        </w:rPr>
      </w:pPr>
      <w:r>
        <w:rPr>
          <w:rFonts w:ascii="Arial" w:cs="Arial" w:eastAsia="Arial" w:hAnsi="Arial"/>
          <w:sz w:val="16"/>
          <w:szCs w:val="16"/>
          <w:color w:val="auto"/>
        </w:rPr>
        <w:t>10u.</w:t>
      </w:r>
      <w:r>
        <w:rPr>
          <w:sz w:val="20"/>
          <w:szCs w:val="20"/>
          <w:color w:val="auto"/>
        </w:rPr>
        <w:tab/>
      </w:r>
      <w:r>
        <w:rPr>
          <w:rFonts w:ascii="Arial" w:cs="Arial" w:eastAsia="Arial" w:hAnsi="Arial"/>
          <w:sz w:val="16"/>
          <w:szCs w:val="16"/>
          <w:color w:val="auto"/>
        </w:rPr>
        <w:t>Winnebago Industries, Inc. Officers’ Long-Term Incentive Plan, fiscal three-year period 2006, 2007 and 2008 previously filed with the Registrant’s Current Report on Form 8-K dated August 30, 2005 (Commission File Number 1-6403) and incorporated by reference herein.*</w:t>
      </w:r>
    </w:p>
    <w:p>
      <w:pPr>
        <w:spacing w:after="0" w:line="72" w:lineRule="exact"/>
        <w:rPr>
          <w:sz w:val="20"/>
          <w:szCs w:val="20"/>
          <w:color w:val="auto"/>
        </w:rPr>
      </w:pPr>
    </w:p>
    <w:p>
      <w:pPr>
        <w:ind w:left="580" w:right="100" w:hanging="579"/>
        <w:spacing w:after="0" w:line="259" w:lineRule="auto"/>
        <w:tabs>
          <w:tab w:leader="none" w:pos="560" w:val="left"/>
        </w:tabs>
        <w:rPr>
          <w:sz w:val="20"/>
          <w:szCs w:val="20"/>
          <w:color w:val="auto"/>
        </w:rPr>
      </w:pPr>
      <w:r>
        <w:rPr>
          <w:rFonts w:ascii="Arial" w:cs="Arial" w:eastAsia="Arial" w:hAnsi="Arial"/>
          <w:sz w:val="18"/>
          <w:szCs w:val="18"/>
          <w:color w:val="auto"/>
        </w:rPr>
        <w:t>10v.</w:t>
      </w:r>
      <w:r>
        <w:rPr>
          <w:sz w:val="20"/>
          <w:szCs w:val="20"/>
          <w:color w:val="auto"/>
        </w:rPr>
        <w:tab/>
      </w:r>
      <w:r>
        <w:rPr>
          <w:rFonts w:ascii="Arial" w:cs="Arial" w:eastAsia="Arial" w:hAnsi="Arial"/>
          <w:sz w:val="18"/>
          <w:szCs w:val="18"/>
          <w:color w:val="auto"/>
        </w:rPr>
        <w:t>Form of Winnebago Industries, Inc. Incentive Stock Option Agreement for grants of Incentive Stock Options under the 2004 Incentive Compensation Plan previously filed with the Registrant’s Current Report on Form 8-K dated October 13, 2004 (Commission File Number 1-6403) and incorporated by reference herein.*</w:t>
      </w:r>
    </w:p>
    <w:p>
      <w:pPr>
        <w:spacing w:after="0" w:line="127" w:lineRule="exact"/>
        <w:rPr>
          <w:sz w:val="20"/>
          <w:szCs w:val="20"/>
          <w:color w:val="auto"/>
        </w:rPr>
      </w:pPr>
    </w:p>
    <w:p>
      <w:pPr>
        <w:ind w:left="580" w:right="160" w:hanging="579"/>
        <w:spacing w:after="0" w:line="259" w:lineRule="auto"/>
        <w:tabs>
          <w:tab w:leader="none" w:pos="560" w:val="left"/>
        </w:tabs>
        <w:rPr>
          <w:sz w:val="20"/>
          <w:szCs w:val="20"/>
          <w:color w:val="auto"/>
        </w:rPr>
      </w:pPr>
      <w:r>
        <w:rPr>
          <w:rFonts w:ascii="Arial" w:cs="Arial" w:eastAsia="Arial" w:hAnsi="Arial"/>
          <w:sz w:val="18"/>
          <w:szCs w:val="18"/>
          <w:color w:val="auto"/>
        </w:rPr>
        <w:t>10w.</w:t>
        <w:tab/>
        <w:t>Form of Winnebago Industries, Inc. Non-Qualified Stock Option Agreement for grants on Non-Qualified Stock Options under the 2004 Incentive Compensation Plan previously filed with the Registrant’s Current Report on Form 8- K dated October 13, 2004 (Commission File Number 1-6403) and incorporated by reference herein.*</w:t>
      </w:r>
    </w:p>
    <w:p>
      <w:pPr>
        <w:spacing w:after="0" w:line="127" w:lineRule="exact"/>
        <w:rPr>
          <w:sz w:val="20"/>
          <w:szCs w:val="20"/>
          <w:color w:val="auto"/>
        </w:rPr>
      </w:pPr>
    </w:p>
    <w:p>
      <w:pPr>
        <w:ind w:left="580" w:right="440" w:hanging="579"/>
        <w:spacing w:after="0" w:line="332" w:lineRule="auto"/>
        <w:tabs>
          <w:tab w:leader="none" w:pos="560" w:val="left"/>
        </w:tabs>
        <w:rPr>
          <w:sz w:val="20"/>
          <w:szCs w:val="20"/>
          <w:color w:val="auto"/>
        </w:rPr>
      </w:pPr>
      <w:r>
        <w:rPr>
          <w:rFonts w:ascii="Arial" w:cs="Arial" w:eastAsia="Arial" w:hAnsi="Arial"/>
          <w:sz w:val="16"/>
          <w:szCs w:val="16"/>
          <w:color w:val="auto"/>
        </w:rPr>
        <w:t>10x.</w:t>
      </w:r>
      <w:r>
        <w:rPr>
          <w:sz w:val="20"/>
          <w:szCs w:val="20"/>
          <w:color w:val="auto"/>
        </w:rPr>
        <w:tab/>
      </w:r>
      <w:r>
        <w:rPr>
          <w:rFonts w:ascii="Arial" w:cs="Arial" w:eastAsia="Arial" w:hAnsi="Arial"/>
          <w:sz w:val="16"/>
          <w:szCs w:val="16"/>
          <w:color w:val="auto"/>
        </w:rPr>
        <w:t>Winnebago Industries, Inc. Officers’ Long-Term Incentive Plan, fiscal three-year period 2007, 2008 and 2009 previously filed with the Registrant’s Current Report on Form 8-K dated June 27, 2006 (Commission File Number 1- 6403) and incorporated by reference herein.*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10y.Winnebago Industries, Inc. Officers’ Incentive Compensation</w:t>
      </w:r>
    </w:p>
    <w:p>
      <w:pPr>
        <w:spacing w:after="0" w:line="38"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Plan for Fiscal 2007 previously filed with the Registrant’s</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Current Report on Form 8-K dated June 27, 2006</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(Commission File Number 1-6403) and incorporated by</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reference herein.*</w:t>
      </w:r>
    </w:p>
    <w:p>
      <w:pPr>
        <w:spacing w:after="0" w:line="151"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14.1Winnebago Industries, Inc. Code of Ethics for CEO and</w:t>
      </w:r>
    </w:p>
    <w:p>
      <w:pPr>
        <w:spacing w:after="0" w:line="38"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Senior Financial Officers previously filed with the</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Registrant’s Annual Report on Form 10-K for the fiscal year</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ended August 30, 2003 (Commission File Number 1- 6403)</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and incorporated by reference herein.</w:t>
      </w:r>
    </w:p>
    <w:p>
      <w:pPr>
        <w:spacing w:after="0" w:line="15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21. List of Subsidiaries.</w:t>
      </w:r>
    </w:p>
    <w:p>
      <w:pPr>
        <w:spacing w:after="0" w:line="158"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31.1Certification by the Chief Executive Officer pursuant to</w:t>
      </w:r>
    </w:p>
    <w:p>
      <w:pPr>
        <w:spacing w:after="0" w:line="38"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Section 302 of the Sarbanes-Oxley Act of 2002 dated</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November 9, 2006.</w:t>
      </w:r>
    </w:p>
    <w:p>
      <w:pPr>
        <w:spacing w:after="0" w:line="15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31.2Certification by the Chief Financial Officer pursuant to</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Section 302 of the Sarbanes-Oxley Act of 2002 dated</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November 9, 2006.</w:t>
      </w:r>
    </w:p>
    <w:p>
      <w:pPr>
        <w:spacing w:after="0" w:line="151"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32.1Certification by the Chief Executive Officer pursuant to</w:t>
      </w:r>
    </w:p>
    <w:p>
      <w:pPr>
        <w:spacing w:after="0" w:line="38"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Section 1350, as adopted pursuant to Section 906 of the</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Sarbanes-Oxley Act of 2002 dated November 9, 2006.</w:t>
      </w:r>
    </w:p>
    <w:p>
      <w:pPr>
        <w:spacing w:after="0" w:line="15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32.2Certification by the Chief Financial Officer pursuant to</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Section 1300, as adopted pursuant to Section 906 of the</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Sarbanes-Oxley Act of 2002 dated November 9, 2006.</w:t>
      </w:r>
    </w:p>
    <w:p>
      <w:pPr>
        <w:spacing w:after="0" w:line="151" w:lineRule="exact"/>
        <w:rPr>
          <w:sz w:val="20"/>
          <w:szCs w:val="20"/>
          <w:color w:val="auto"/>
        </w:rPr>
      </w:pPr>
    </w:p>
    <w:p>
      <w:pPr>
        <w:ind w:left="3380" w:right="3139" w:hanging="2"/>
        <w:spacing w:after="0" w:line="268" w:lineRule="auto"/>
        <w:tabs>
          <w:tab w:leader="none" w:pos="38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11-Year Selected Financial Data (1)</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percent and per share data)</w:t>
      </w:r>
    </w:p>
    <w:p>
      <w:pPr>
        <w:spacing w:after="0"/>
        <w:tabs>
          <w:tab w:leader="none" w:pos="6080" w:val="left"/>
          <w:tab w:leader="none" w:pos="7500" w:val="left"/>
          <w:tab w:leader="none" w:pos="8920" w:val="left"/>
          <w:tab w:leader="none" w:pos="10380" w:val="left"/>
        </w:tabs>
        <w:rPr>
          <w:sz w:val="20"/>
          <w:szCs w:val="20"/>
          <w:color w:val="auto"/>
        </w:rPr>
      </w:pPr>
      <w:r>
        <w:rPr>
          <w:rFonts w:ascii="Arial" w:cs="Arial" w:eastAsia="Arial" w:hAnsi="Arial"/>
          <w:sz w:val="14"/>
          <w:szCs w:val="14"/>
          <w:b w:val="1"/>
          <w:bCs w:val="1"/>
          <w:color w:val="auto"/>
        </w:rPr>
        <w:t>(Adjusted for the 2-for-1 stock split on</w:t>
      </w:r>
      <w:r>
        <w:rPr>
          <w:sz w:val="20"/>
          <w:szCs w:val="20"/>
          <w:color w:val="auto"/>
        </w:rPr>
        <w:tab/>
      </w:r>
      <w:r>
        <w:rPr>
          <w:rFonts w:ascii="Arial" w:cs="Arial" w:eastAsia="Arial" w:hAnsi="Arial"/>
          <w:sz w:val="14"/>
          <w:szCs w:val="14"/>
          <w:b w:val="1"/>
          <w:bCs w:val="1"/>
          <w:color w:val="auto"/>
        </w:rPr>
        <w:t>Aug. 26,</w:t>
      </w:r>
      <w:r>
        <w:rPr>
          <w:sz w:val="20"/>
          <w:szCs w:val="20"/>
          <w:color w:val="auto"/>
        </w:rPr>
        <w:tab/>
      </w:r>
      <w:r>
        <w:rPr>
          <w:rFonts w:ascii="Arial" w:cs="Arial" w:eastAsia="Arial" w:hAnsi="Arial"/>
          <w:sz w:val="14"/>
          <w:szCs w:val="14"/>
          <w:b w:val="1"/>
          <w:bCs w:val="1"/>
          <w:color w:val="auto"/>
        </w:rPr>
        <w:t>Aug. 27,</w:t>
      </w:r>
      <w:r>
        <w:rPr>
          <w:sz w:val="20"/>
          <w:szCs w:val="20"/>
          <w:color w:val="auto"/>
        </w:rPr>
        <w:tab/>
      </w:r>
      <w:r>
        <w:rPr>
          <w:rFonts w:ascii="Arial" w:cs="Arial" w:eastAsia="Arial" w:hAnsi="Arial"/>
          <w:sz w:val="14"/>
          <w:szCs w:val="14"/>
          <w:b w:val="1"/>
          <w:bCs w:val="1"/>
          <w:color w:val="auto"/>
        </w:rPr>
        <w:t>Aug. 28,</w:t>
      </w:r>
      <w:r>
        <w:rPr>
          <w:sz w:val="20"/>
          <w:szCs w:val="20"/>
          <w:color w:val="auto"/>
        </w:rPr>
        <w:tab/>
      </w:r>
      <w:r>
        <w:rPr>
          <w:rFonts w:ascii="Arial" w:cs="Arial" w:eastAsia="Arial" w:hAnsi="Arial"/>
          <w:sz w:val="11"/>
          <w:szCs w:val="11"/>
          <w:b w:val="1"/>
          <w:bCs w:val="1"/>
          <w:color w:val="auto"/>
        </w:rPr>
        <w:t>Aug. 30,</w:t>
      </w:r>
    </w:p>
    <w:p>
      <w:pPr>
        <w:spacing w:after="0"/>
        <w:tabs>
          <w:tab w:leader="none" w:pos="6180" w:val="left"/>
          <w:tab w:leader="none" w:pos="7600" w:val="left"/>
          <w:tab w:leader="none" w:pos="9020" w:val="left"/>
          <w:tab w:leader="none" w:pos="10480" w:val="left"/>
        </w:tabs>
        <w:rPr>
          <w:sz w:val="20"/>
          <w:szCs w:val="20"/>
          <w:color w:val="auto"/>
        </w:rPr>
      </w:pPr>
      <w:r>
        <w:rPr>
          <w:rFonts w:ascii="Arial" w:cs="Arial" w:eastAsia="Arial" w:hAnsi="Arial"/>
          <w:sz w:val="14"/>
          <w:szCs w:val="14"/>
          <w:b w:val="1"/>
          <w:bCs w:val="1"/>
          <w:color w:val="auto"/>
        </w:rPr>
        <w:t>March 5, 2004)</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1"/>
          <w:szCs w:val="11"/>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584" w:right="219" w:bottom="1035"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profit %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(credits)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Gain on sale of Cycle-Sat subsidiary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Income (loss) from discontinued operations (4)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Cum. effect of change in accounting principle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Income per share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Continuing operations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Discontinued operations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p>
      <w:pPr>
        <w:ind w:left="320" w:right="1700" w:hanging="154"/>
        <w:spacing w:after="0" w:line="250" w:lineRule="auto"/>
        <w:rPr>
          <w:sz w:val="20"/>
          <w:szCs w:val="20"/>
          <w:color w:val="auto"/>
        </w:rPr>
      </w:pPr>
      <w:r>
        <w:rPr>
          <w:rFonts w:ascii="Arial" w:cs="Arial" w:eastAsia="Arial" w:hAnsi="Arial"/>
          <w:sz w:val="18"/>
          <w:szCs w:val="18"/>
          <w:color w:val="auto"/>
        </w:rPr>
        <w:t>Cum. effect of change in accounting principle Basic</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Diluted</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income per share</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Diluted</w:t>
      </w:r>
    </w:p>
    <w:p>
      <w:pPr>
        <w:spacing w:after="0" w:line="232" w:lineRule="exact"/>
        <w:rPr>
          <w:sz w:val="20"/>
          <w:szCs w:val="20"/>
          <w:color w:val="auto"/>
        </w:rPr>
      </w:pPr>
    </w:p>
    <w:p>
      <w:pPr>
        <w:ind w:left="160" w:right="1800" w:hanging="155"/>
        <w:spacing w:after="0" w:line="254" w:lineRule="auto"/>
        <w:rPr>
          <w:sz w:val="20"/>
          <w:szCs w:val="20"/>
          <w:color w:val="auto"/>
        </w:rPr>
      </w:pPr>
      <w:r>
        <w:rPr>
          <w:rFonts w:ascii="Arial" w:cs="Arial" w:eastAsia="Arial" w:hAnsi="Arial"/>
          <w:sz w:val="18"/>
          <w:szCs w:val="18"/>
          <w:color w:val="auto"/>
        </w:rPr>
        <w:t>Weighted average common shares outstanding (in thousands)</w:t>
      </w:r>
    </w:p>
    <w:p>
      <w:pPr>
        <w:ind w:left="32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Diluted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paid per share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Book value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 on assets (ROA)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 on equity (ROE)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 on invested capital (ROIC)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 Sales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Class A</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Class C</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Class A &amp; C Motor Homes</w:t>
      </w:r>
    </w:p>
    <w:p>
      <w:pPr>
        <w:ind w:left="160"/>
        <w:spacing w:after="0" w:line="224" w:lineRule="auto"/>
        <w:rPr>
          <w:sz w:val="20"/>
          <w:szCs w:val="20"/>
          <w:color w:val="auto"/>
        </w:rPr>
      </w:pPr>
      <w:r>
        <w:rPr>
          <w:rFonts w:ascii="Arial" w:cs="Arial" w:eastAsia="Arial" w:hAnsi="Arial"/>
          <w:sz w:val="16"/>
          <w:szCs w:val="16"/>
          <w:color w:val="auto"/>
        </w:rPr>
        <w:t>Class B Conversions (EuroVan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Campers)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Year End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ratio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employees</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864,403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991,975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1,114,154</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845,210</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68,195</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100,890</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112,234</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78,693</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7.9%</w:t>
            </w:r>
          </w:p>
        </w:tc>
        <w:tc>
          <w:tcPr>
            <w:tcW w:w="30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9.3%</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23,451</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35,817</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41,593</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29,961</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34.4%</w:t>
            </w:r>
          </w:p>
        </w:tc>
        <w:tc>
          <w:tcPr>
            <w:tcW w:w="30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37.1%</w:t>
            </w:r>
          </w:p>
        </w:tc>
        <w:tc>
          <w:tcPr>
            <w:tcW w:w="4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38.1%</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44,744</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65,073</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70,641</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48,732</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1,152</w:t>
            </w:r>
          </w:p>
        </w:tc>
      </w:tr>
      <w:tr>
        <w:trPr>
          <w:trHeight w:val="228"/>
        </w:trPr>
        <w:tc>
          <w:tcPr>
            <w:tcW w:w="3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r>
      <w:tr>
        <w:trPr>
          <w:trHeight w:val="110"/>
        </w:trPr>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6"/>
        </w:trPr>
        <w:tc>
          <w:tcPr>
            <w:tcW w:w="30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44,744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65,073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70,641</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49,884</w:t>
            </w:r>
          </w:p>
        </w:tc>
      </w:tr>
      <w:tr>
        <w:trPr>
          <w:trHeight w:val="636"/>
        </w:trPr>
        <w:tc>
          <w:tcPr>
            <w:tcW w:w="30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1.39</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1.95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2.06</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1.32</w:t>
            </w:r>
          </w:p>
        </w:tc>
      </w:tr>
      <w:tr>
        <w:trPr>
          <w:trHeight w:val="228"/>
        </w:trPr>
        <w:tc>
          <w:tcPr>
            <w:tcW w:w="3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1.37</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1.30</w:t>
            </w:r>
          </w:p>
        </w:tc>
      </w:tr>
      <w:tr>
        <w:trPr>
          <w:trHeight w:val="420"/>
        </w:trPr>
        <w:tc>
          <w:tcPr>
            <w:tcW w:w="300" w:type="dxa"/>
            <w:vAlign w:val="bottom"/>
          </w:tcPr>
          <w:p>
            <w:pPr>
              <w:spacing w:after="0"/>
              <w:rPr>
                <w:sz w:val="24"/>
                <w:szCs w:val="24"/>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0.03</w:t>
            </w:r>
          </w:p>
        </w:tc>
      </w:tr>
      <w:tr>
        <w:trPr>
          <w:trHeight w:val="228"/>
        </w:trPr>
        <w:tc>
          <w:tcPr>
            <w:tcW w:w="3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0.03</w:t>
            </w:r>
          </w:p>
        </w:tc>
      </w:tr>
      <w:tr>
        <w:trPr>
          <w:trHeight w:val="420"/>
        </w:trPr>
        <w:tc>
          <w:tcPr>
            <w:tcW w:w="300" w:type="dxa"/>
            <w:vAlign w:val="bottom"/>
          </w:tcPr>
          <w:p>
            <w:pPr>
              <w:spacing w:after="0"/>
              <w:rPr>
                <w:sz w:val="24"/>
                <w:szCs w:val="24"/>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r>
      <w:tr>
        <w:trPr>
          <w:trHeight w:val="228"/>
        </w:trPr>
        <w:tc>
          <w:tcPr>
            <w:tcW w:w="3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r>
      <w:tr>
        <w:trPr>
          <w:trHeight w:val="110"/>
        </w:trPr>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519"/>
        </w:trPr>
        <w:tc>
          <w:tcPr>
            <w:tcW w:w="30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1.39</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1.95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2.06</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1.35</w:t>
            </w:r>
          </w:p>
        </w:tc>
      </w:tr>
      <w:tr>
        <w:trPr>
          <w:trHeight w:val="228"/>
        </w:trPr>
        <w:tc>
          <w:tcPr>
            <w:tcW w:w="3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1.37</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1.33</w:t>
            </w:r>
          </w:p>
        </w:tc>
      </w:tr>
      <w:tr>
        <w:trPr>
          <w:trHeight w:val="110"/>
        </w:trPr>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735"/>
        </w:trPr>
        <w:tc>
          <w:tcPr>
            <w:tcW w:w="300" w:type="dxa"/>
            <w:vAlign w:val="bottom"/>
          </w:tcPr>
          <w:p>
            <w:pPr>
              <w:spacing w:after="0"/>
              <w:rPr>
                <w:sz w:val="24"/>
                <w:szCs w:val="24"/>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32,265</w:t>
            </w:r>
          </w:p>
        </w:tc>
        <w:tc>
          <w:tcPr>
            <w:tcW w:w="3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33,382</w:t>
            </w:r>
          </w:p>
        </w:tc>
        <w:tc>
          <w:tcPr>
            <w:tcW w:w="34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34,214</w:t>
            </w:r>
          </w:p>
        </w:tc>
        <w:tc>
          <w:tcPr>
            <w:tcW w:w="40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36,974</w:t>
            </w:r>
          </w:p>
        </w:tc>
      </w:tr>
      <w:tr>
        <w:trPr>
          <w:trHeight w:val="228"/>
        </w:trPr>
        <w:tc>
          <w:tcPr>
            <w:tcW w:w="3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32,550</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33,812</w:t>
            </w:r>
          </w:p>
        </w:tc>
        <w:tc>
          <w:tcPr>
            <w:tcW w:w="34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34,789</w:t>
            </w:r>
          </w:p>
        </w:tc>
        <w:tc>
          <w:tcPr>
            <w:tcW w:w="4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37,636</w:t>
            </w:r>
          </w:p>
        </w:tc>
      </w:tr>
      <w:tr>
        <w:trPr>
          <w:trHeight w:val="110"/>
        </w:trPr>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03"/>
        </w:trPr>
        <w:tc>
          <w:tcPr>
            <w:tcW w:w="30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0.36</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0.28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0.20</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0.10</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7.01</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7.15</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6.01</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5.78</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11.2%</w:t>
            </w:r>
          </w:p>
        </w:tc>
        <w:tc>
          <w:tcPr>
            <w:tcW w:w="30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14.0%</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19.7%</w:t>
            </w:r>
          </w:p>
        </w:tc>
        <w:tc>
          <w:tcPr>
            <w:tcW w:w="30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29.7%</w:t>
            </w:r>
          </w:p>
        </w:tc>
        <w:tc>
          <w:tcPr>
            <w:tcW w:w="3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4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25.6%</w:t>
            </w:r>
          </w:p>
        </w:tc>
      </w:tr>
      <w:tr>
        <w:trPr>
          <w:trHeight w:val="228"/>
        </w:trPr>
        <w:tc>
          <w:tcPr>
            <w:tcW w:w="3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24.9%</w:t>
            </w:r>
          </w:p>
        </w:tc>
        <w:tc>
          <w:tcPr>
            <w:tcW w:w="3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35.4%</w:t>
            </w:r>
          </w:p>
        </w:tc>
        <w:tc>
          <w:tcPr>
            <w:tcW w:w="4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25.5%</w:t>
            </w:r>
          </w:p>
        </w:tc>
      </w:tr>
      <w:tr>
        <w:trPr>
          <w:trHeight w:val="420"/>
        </w:trPr>
        <w:tc>
          <w:tcPr>
            <w:tcW w:w="300" w:type="dxa"/>
            <w:vAlign w:val="bottom"/>
          </w:tcPr>
          <w:p>
            <w:pPr>
              <w:spacing w:after="0"/>
              <w:rPr>
                <w:sz w:val="24"/>
                <w:szCs w:val="24"/>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4,455</w:t>
            </w:r>
          </w:p>
        </w:tc>
        <w:tc>
          <w:tcPr>
            <w:tcW w:w="3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6,674</w:t>
            </w:r>
          </w:p>
        </w:tc>
        <w:tc>
          <w:tcPr>
            <w:tcW w:w="34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8,108</w:t>
            </w:r>
          </w:p>
        </w:tc>
        <w:tc>
          <w:tcPr>
            <w:tcW w:w="40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6,705</w:t>
            </w:r>
          </w:p>
        </w:tc>
      </w:tr>
      <w:tr>
        <w:trPr>
          <w:trHeight w:val="228"/>
        </w:trPr>
        <w:tc>
          <w:tcPr>
            <w:tcW w:w="3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5,388</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3,963</w:t>
            </w:r>
          </w:p>
        </w:tc>
        <w:tc>
          <w:tcPr>
            <w:tcW w:w="34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4,408</w:t>
            </w:r>
          </w:p>
        </w:tc>
        <w:tc>
          <w:tcPr>
            <w:tcW w:w="4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4,021</w:t>
            </w:r>
          </w:p>
        </w:tc>
      </w:tr>
      <w:tr>
        <w:trPr>
          <w:trHeight w:val="110"/>
        </w:trPr>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6"/>
        </w:trPr>
        <w:tc>
          <w:tcPr>
            <w:tcW w:w="300" w:type="dxa"/>
            <w:vAlign w:val="bottom"/>
          </w:tcPr>
          <w:p>
            <w:pPr>
              <w:spacing w:after="0"/>
              <w:rPr>
                <w:sz w:val="24"/>
                <w:szCs w:val="24"/>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9,843</w:t>
            </w:r>
          </w:p>
        </w:tc>
        <w:tc>
          <w:tcPr>
            <w:tcW w:w="3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10,637</w:t>
            </w:r>
          </w:p>
        </w:tc>
        <w:tc>
          <w:tcPr>
            <w:tcW w:w="34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12,516</w:t>
            </w:r>
          </w:p>
        </w:tc>
        <w:tc>
          <w:tcPr>
            <w:tcW w:w="40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10,726</w:t>
            </w:r>
          </w:p>
        </w:tc>
      </w:tr>
      <w:tr>
        <w:trPr>
          <w:trHeight w:val="257"/>
        </w:trPr>
        <w:tc>
          <w:tcPr>
            <w:tcW w:w="300" w:type="dxa"/>
            <w:vAlign w:val="bottom"/>
          </w:tcPr>
          <w:p>
            <w:pPr>
              <w:spacing w:after="0"/>
              <w:rPr>
                <w:sz w:val="22"/>
                <w:szCs w:val="22"/>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308</w:t>
            </w:r>
          </w:p>
        </w:tc>
      </w:tr>
      <w:tr>
        <w:trPr>
          <w:trHeight w:val="420"/>
        </w:trPr>
        <w:tc>
          <w:tcPr>
            <w:tcW w:w="30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384,715</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412,960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394,556</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377,462</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218,322</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235,887</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201,875</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210,626</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884,789</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1,073,165</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1,071,570</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898,010</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187,038</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197,469</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164,175</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164,017</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3.3 to 1</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3.2 to 1</w:t>
            </w:r>
          </w:p>
        </w:tc>
        <w:tc>
          <w:tcPr>
            <w:tcW w:w="34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2.6 to 1</w:t>
            </w:r>
          </w:p>
        </w:tc>
        <w:tc>
          <w:tcPr>
            <w:tcW w:w="4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2.8 to 1</w:t>
            </w:r>
          </w:p>
        </w:tc>
      </w:tr>
      <w:tr>
        <w:trPr>
          <w:trHeight w:val="228"/>
        </w:trPr>
        <w:tc>
          <w:tcPr>
            <w:tcW w:w="3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3,150</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3,610</w:t>
            </w:r>
          </w:p>
        </w:tc>
        <w:tc>
          <w:tcPr>
            <w:tcW w:w="34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4,220</w:t>
            </w:r>
          </w:p>
        </w:tc>
        <w:tc>
          <w:tcPr>
            <w:tcW w:w="4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-7064375</wp:posOffset>
            </wp:positionV>
            <wp:extent cx="7246620" cy="1371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-6790055</wp:posOffset>
            </wp:positionV>
            <wp:extent cx="7246620" cy="1371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-6515735</wp:posOffset>
            </wp:positionV>
            <wp:extent cx="7246620" cy="13716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-6241415</wp:posOffset>
            </wp:positionV>
            <wp:extent cx="7246620" cy="1371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-5967095</wp:posOffset>
            </wp:positionV>
            <wp:extent cx="7246620" cy="13716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-5546725</wp:posOffset>
            </wp:positionV>
            <wp:extent cx="7246620" cy="1371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-5272405</wp:posOffset>
            </wp:positionV>
            <wp:extent cx="7246620" cy="13716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-4998085</wp:posOffset>
            </wp:positionV>
            <wp:extent cx="7246620" cy="1371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-4723130</wp:posOffset>
            </wp:positionV>
            <wp:extent cx="7246620" cy="1371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-4448810</wp:posOffset>
            </wp:positionV>
            <wp:extent cx="7246620" cy="13716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-4174490</wp:posOffset>
            </wp:positionV>
            <wp:extent cx="7246620" cy="13716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-3754120</wp:posOffset>
            </wp:positionV>
            <wp:extent cx="7246620" cy="13716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-3334385</wp:posOffset>
            </wp:positionV>
            <wp:extent cx="7246620" cy="2743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-2922270</wp:posOffset>
            </wp:positionV>
            <wp:extent cx="7246620" cy="1371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-2502535</wp:posOffset>
            </wp:positionV>
            <wp:extent cx="7246620" cy="13716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-2227580</wp:posOffset>
            </wp:positionV>
            <wp:extent cx="7246620" cy="1371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-1953260</wp:posOffset>
            </wp:positionV>
            <wp:extent cx="7246620" cy="1371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-1678940</wp:posOffset>
            </wp:positionV>
            <wp:extent cx="7246620" cy="13716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-1258570</wp:posOffset>
            </wp:positionV>
            <wp:extent cx="7246620" cy="16319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-958850</wp:posOffset>
            </wp:positionV>
            <wp:extent cx="7246620" cy="13716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-683895</wp:posOffset>
            </wp:positionV>
            <wp:extent cx="7246620" cy="13716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-409575</wp:posOffset>
            </wp:positionV>
            <wp:extent cx="7246620" cy="13716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-135255</wp:posOffset>
            </wp:positionV>
            <wp:extent cx="7246620" cy="13716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720"/>
            <w:col w:w="5640"/>
          </w:cols>
          <w:pgMar w:left="240" w:top="584" w:right="219" w:bottom="1035" w:gutter="0" w:footer="0" w:header="0"/>
          <w:type w:val="continuous"/>
        </w:sectPr>
      </w:pPr>
    </w:p>
    <w:p>
      <w:pPr>
        <w:spacing w:after="0" w:line="50"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Certain prior periods’ information has been reclassified to conform to the current year-end presentation.</w:t>
      </w:r>
    </w:p>
    <w:p>
      <w:pPr>
        <w:spacing w:after="0" w:line="157" w:lineRule="exact"/>
        <w:rPr>
          <w:rFonts w:ascii="Arial" w:cs="Arial" w:eastAsia="Arial" w:hAnsi="Arial"/>
          <w:sz w:val="18"/>
          <w:szCs w:val="18"/>
          <w:i w:val="1"/>
          <w:iCs w:val="1"/>
          <w:color w:val="auto"/>
        </w:rPr>
      </w:pPr>
    </w:p>
    <w:p>
      <w:pPr>
        <w:ind w:left="580" w:hanging="572"/>
        <w:spacing w:after="0"/>
        <w:tabs>
          <w:tab w:leader="none" w:pos="5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fiscal years ended August 31, 2002 and August 31, 1996 contained 53 weeks; all other fiscal years contained 52 weeks.</w:t>
      </w:r>
    </w:p>
    <w:p>
      <w:pPr>
        <w:spacing w:after="0" w:line="157" w:lineRule="exact"/>
        <w:rPr>
          <w:rFonts w:ascii="Arial" w:cs="Arial" w:eastAsia="Arial" w:hAnsi="Arial"/>
          <w:sz w:val="18"/>
          <w:szCs w:val="18"/>
          <w:i w:val="1"/>
          <w:iCs w:val="1"/>
          <w:color w:val="auto"/>
        </w:rPr>
      </w:pPr>
    </w:p>
    <w:p>
      <w:pPr>
        <w:ind w:left="580" w:right="260" w:hanging="572"/>
        <w:spacing w:after="0" w:line="268" w:lineRule="auto"/>
        <w:tabs>
          <w:tab w:leader="none" w:pos="5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 noncash after-tax cumulative effect of change in accounting principle of $1.1 million expense or $0.05 per share due to the adoption of SAB No. 101, Revenue Recognition in Financial Statements.</w:t>
      </w:r>
    </w:p>
    <w:p>
      <w:pPr>
        <w:spacing w:after="0" w:line="118" w:lineRule="exact"/>
        <w:rPr>
          <w:rFonts w:ascii="Arial" w:cs="Arial" w:eastAsia="Arial" w:hAnsi="Arial"/>
          <w:sz w:val="18"/>
          <w:szCs w:val="18"/>
          <w:i w:val="1"/>
          <w:iCs w:val="1"/>
          <w:color w:val="auto"/>
        </w:rPr>
      </w:pPr>
    </w:p>
    <w:p>
      <w:pPr>
        <w:ind w:left="580" w:right="120" w:hanging="572"/>
        <w:spacing w:after="0" w:line="268" w:lineRule="auto"/>
        <w:tabs>
          <w:tab w:leader="none" w:pos="5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discontinued operations of Winnebago Acceptance Corporation for all years presented and discontinued operations of Cycle-Sat, Inc. for fiscal year ended August 31, 1996.</w:t>
      </w:r>
    </w:p>
    <w:p>
      <w:pPr>
        <w:sectPr>
          <w:pgSz w:w="11900" w:h="16838" w:orient="portrait"/>
          <w:cols w:equalWidth="0" w:num="1">
            <w:col w:w="11440"/>
          </w:cols>
          <w:pgMar w:left="240" w:top="584" w:right="219" w:bottom="1035" w:gutter="0" w:footer="0" w:header="0"/>
          <w:type w:val="continuous"/>
        </w:sectPr>
      </w:pP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584" w:right="219" w:bottom="1035"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w w:val="99"/>
              </w:rPr>
              <w:t>Aug. 31,</w:t>
            </w:r>
          </w:p>
        </w:tc>
        <w:tc>
          <w:tcPr>
            <w:tcW w:w="440" w:type="dxa"/>
            <w:vAlign w:val="bottom"/>
          </w:tcPr>
          <w:p>
            <w:pPr>
              <w:spacing w:after="0"/>
              <w:rPr>
                <w:sz w:val="14"/>
                <w:szCs w:val="14"/>
                <w:color w:val="auto"/>
              </w:rPr>
            </w:pPr>
          </w:p>
        </w:tc>
        <w:tc>
          <w:tcPr>
            <w:tcW w:w="1280" w:type="dxa"/>
            <w:vAlign w:val="bottom"/>
          </w:tcPr>
          <w:p>
            <w:pPr>
              <w:jc w:val="right"/>
              <w:ind w:right="613"/>
              <w:spacing w:after="0"/>
              <w:rPr>
                <w:sz w:val="20"/>
                <w:szCs w:val="20"/>
                <w:color w:val="auto"/>
              </w:rPr>
            </w:pPr>
            <w:r>
              <w:rPr>
                <w:rFonts w:ascii="Arial" w:cs="Arial" w:eastAsia="Arial" w:hAnsi="Arial"/>
                <w:sz w:val="14"/>
                <w:szCs w:val="14"/>
                <w:b w:val="1"/>
                <w:bCs w:val="1"/>
                <w:color w:val="auto"/>
              </w:rPr>
              <w:t>Aug. 25,</w:t>
            </w:r>
          </w:p>
        </w:tc>
        <w:tc>
          <w:tcPr>
            <w:tcW w:w="420" w:type="dxa"/>
            <w:vAlign w:val="bottom"/>
          </w:tcPr>
          <w:p>
            <w:pPr>
              <w:spacing w:after="0"/>
              <w:rPr>
                <w:sz w:val="14"/>
                <w:szCs w:val="14"/>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w w:val="99"/>
              </w:rPr>
              <w:t>Aug. 26,</w:t>
            </w:r>
          </w:p>
        </w:tc>
        <w:tc>
          <w:tcPr>
            <w:tcW w:w="400" w:type="dxa"/>
            <w:vAlign w:val="bottom"/>
          </w:tcPr>
          <w:p>
            <w:pPr>
              <w:spacing w:after="0"/>
              <w:rPr>
                <w:sz w:val="14"/>
                <w:szCs w:val="14"/>
                <w:color w:val="auto"/>
              </w:rPr>
            </w:pPr>
          </w:p>
        </w:tc>
        <w:tc>
          <w:tcPr>
            <w:tcW w:w="1280" w:type="dxa"/>
            <w:vAlign w:val="bottom"/>
          </w:tcPr>
          <w:p>
            <w:pPr>
              <w:jc w:val="right"/>
              <w:ind w:right="633"/>
              <w:spacing w:after="0"/>
              <w:rPr>
                <w:sz w:val="20"/>
                <w:szCs w:val="20"/>
                <w:color w:val="auto"/>
              </w:rPr>
            </w:pPr>
            <w:r>
              <w:rPr>
                <w:rFonts w:ascii="Arial" w:cs="Arial" w:eastAsia="Arial" w:hAnsi="Arial"/>
                <w:sz w:val="14"/>
                <w:szCs w:val="14"/>
                <w:b w:val="1"/>
                <w:bCs w:val="1"/>
                <w:color w:val="auto"/>
                <w:w w:val="99"/>
              </w:rPr>
              <w:t>Aug. 28,</w:t>
            </w:r>
          </w:p>
        </w:tc>
        <w:tc>
          <w:tcPr>
            <w:tcW w:w="480" w:type="dxa"/>
            <w:vAlign w:val="bottom"/>
          </w:tcPr>
          <w:p>
            <w:pPr>
              <w:spacing w:after="0"/>
              <w:rPr>
                <w:sz w:val="14"/>
                <w:szCs w:val="14"/>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Aug. 29,</w:t>
            </w:r>
          </w:p>
        </w:tc>
        <w:tc>
          <w:tcPr>
            <w:tcW w:w="480" w:type="dxa"/>
            <w:vAlign w:val="bottom"/>
          </w:tcPr>
          <w:p>
            <w:pPr>
              <w:spacing w:after="0"/>
              <w:rPr>
                <w:sz w:val="14"/>
                <w:szCs w:val="14"/>
                <w:color w:val="auto"/>
              </w:rPr>
            </w:pPr>
          </w:p>
        </w:tc>
        <w:tc>
          <w:tcPr>
            <w:tcW w:w="1300" w:type="dxa"/>
            <w:vAlign w:val="bottom"/>
          </w:tcPr>
          <w:p>
            <w:pPr>
              <w:jc w:val="right"/>
              <w:ind w:right="653"/>
              <w:spacing w:after="0"/>
              <w:rPr>
                <w:sz w:val="20"/>
                <w:szCs w:val="20"/>
                <w:color w:val="auto"/>
              </w:rPr>
            </w:pPr>
            <w:r>
              <w:rPr>
                <w:rFonts w:ascii="Arial" w:cs="Arial" w:eastAsia="Arial" w:hAnsi="Arial"/>
                <w:sz w:val="14"/>
                <w:szCs w:val="14"/>
                <w:b w:val="1"/>
                <w:bCs w:val="1"/>
                <w:color w:val="auto"/>
                <w:w w:val="99"/>
              </w:rPr>
              <w:t>Aug. 30,</w:t>
            </w:r>
          </w:p>
        </w:tc>
        <w:tc>
          <w:tcPr>
            <w:tcW w:w="46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2002(2)</w:t>
            </w:r>
          </w:p>
        </w:tc>
        <w:tc>
          <w:tcPr>
            <w:tcW w:w="440" w:type="dxa"/>
            <w:vAlign w:val="bottom"/>
          </w:tcPr>
          <w:p>
            <w:pPr>
              <w:spacing w:after="0"/>
              <w:rPr>
                <w:sz w:val="15"/>
                <w:szCs w:val="15"/>
                <w:color w:val="auto"/>
              </w:rPr>
            </w:pPr>
          </w:p>
        </w:tc>
        <w:tc>
          <w:tcPr>
            <w:tcW w:w="1280" w:type="dxa"/>
            <w:vAlign w:val="bottom"/>
          </w:tcPr>
          <w:p>
            <w:pPr>
              <w:jc w:val="right"/>
              <w:ind w:right="633"/>
              <w:spacing w:after="0"/>
              <w:rPr>
                <w:sz w:val="20"/>
                <w:szCs w:val="20"/>
                <w:color w:val="auto"/>
              </w:rPr>
            </w:pPr>
            <w:r>
              <w:rPr>
                <w:rFonts w:ascii="Arial" w:cs="Arial" w:eastAsia="Arial" w:hAnsi="Arial"/>
                <w:sz w:val="14"/>
                <w:szCs w:val="14"/>
                <w:b w:val="1"/>
                <w:bCs w:val="1"/>
                <w:color w:val="auto"/>
              </w:rPr>
              <w:t>2001(3)</w:t>
            </w:r>
          </w:p>
        </w:tc>
        <w:tc>
          <w:tcPr>
            <w:tcW w:w="420" w:type="dxa"/>
            <w:vAlign w:val="bottom"/>
          </w:tcPr>
          <w:p>
            <w:pPr>
              <w:spacing w:after="0"/>
              <w:rPr>
                <w:sz w:val="15"/>
                <w:szCs w:val="15"/>
                <w:color w:val="auto"/>
              </w:rPr>
            </w:pPr>
          </w:p>
        </w:tc>
        <w:tc>
          <w:tcPr>
            <w:tcW w:w="1200" w:type="dxa"/>
            <w:vAlign w:val="bottom"/>
          </w:tcPr>
          <w:p>
            <w:pPr>
              <w:jc w:val="right"/>
              <w:ind w:right="653"/>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15"/>
                <w:szCs w:val="15"/>
                <w:color w:val="auto"/>
              </w:rPr>
            </w:pPr>
          </w:p>
        </w:tc>
        <w:tc>
          <w:tcPr>
            <w:tcW w:w="1280" w:type="dxa"/>
            <w:vAlign w:val="bottom"/>
          </w:tcPr>
          <w:p>
            <w:pPr>
              <w:jc w:val="right"/>
              <w:ind w:right="733"/>
              <w:spacing w:after="0"/>
              <w:rPr>
                <w:sz w:val="20"/>
                <w:szCs w:val="20"/>
                <w:color w:val="auto"/>
              </w:rPr>
            </w:pPr>
            <w:r>
              <w:rPr>
                <w:rFonts w:ascii="Arial" w:cs="Arial" w:eastAsia="Arial" w:hAnsi="Arial"/>
                <w:sz w:val="14"/>
                <w:szCs w:val="14"/>
                <w:b w:val="1"/>
                <w:bCs w:val="1"/>
                <w:color w:val="auto"/>
              </w:rPr>
              <w:t>1999</w:t>
            </w:r>
          </w:p>
        </w:tc>
        <w:tc>
          <w:tcPr>
            <w:tcW w:w="480" w:type="dxa"/>
            <w:vAlign w:val="bottom"/>
          </w:tcPr>
          <w:p>
            <w:pPr>
              <w:spacing w:after="0"/>
              <w:rPr>
                <w:sz w:val="15"/>
                <w:szCs w:val="15"/>
                <w:color w:val="auto"/>
              </w:rPr>
            </w:pPr>
          </w:p>
        </w:tc>
        <w:tc>
          <w:tcPr>
            <w:tcW w:w="1300" w:type="dxa"/>
            <w:vAlign w:val="bottom"/>
          </w:tcPr>
          <w:p>
            <w:pPr>
              <w:jc w:val="right"/>
              <w:ind w:right="753"/>
              <w:spacing w:after="0"/>
              <w:rPr>
                <w:sz w:val="20"/>
                <w:szCs w:val="20"/>
                <w:color w:val="auto"/>
              </w:rPr>
            </w:pPr>
            <w:r>
              <w:rPr>
                <w:rFonts w:ascii="Arial" w:cs="Arial" w:eastAsia="Arial" w:hAnsi="Arial"/>
                <w:sz w:val="14"/>
                <w:szCs w:val="14"/>
                <w:b w:val="1"/>
                <w:bCs w:val="1"/>
                <w:color w:val="auto"/>
              </w:rPr>
              <w:t>1998</w:t>
            </w:r>
          </w:p>
        </w:tc>
        <w:tc>
          <w:tcPr>
            <w:tcW w:w="480" w:type="dxa"/>
            <w:vAlign w:val="bottom"/>
          </w:tcPr>
          <w:p>
            <w:pPr>
              <w:spacing w:after="0"/>
              <w:rPr>
                <w:sz w:val="15"/>
                <w:szCs w:val="15"/>
                <w:color w:val="auto"/>
              </w:rPr>
            </w:pPr>
          </w:p>
        </w:tc>
        <w:tc>
          <w:tcPr>
            <w:tcW w:w="1300" w:type="dxa"/>
            <w:vAlign w:val="bottom"/>
          </w:tcPr>
          <w:p>
            <w:pPr>
              <w:jc w:val="right"/>
              <w:ind w:right="753"/>
              <w:spacing w:after="0"/>
              <w:rPr>
                <w:sz w:val="20"/>
                <w:szCs w:val="20"/>
                <w:color w:val="auto"/>
              </w:rPr>
            </w:pPr>
            <w:r>
              <w:rPr>
                <w:rFonts w:ascii="Arial" w:cs="Arial" w:eastAsia="Arial" w:hAnsi="Arial"/>
                <w:sz w:val="14"/>
                <w:szCs w:val="14"/>
                <w:b w:val="1"/>
                <w:bCs w:val="1"/>
                <w:color w:val="auto"/>
              </w:rPr>
              <w:t>1997</w:t>
            </w:r>
          </w:p>
        </w:tc>
        <w:tc>
          <w:tcPr>
            <w:tcW w:w="460" w:type="dxa"/>
            <w:vAlign w:val="bottom"/>
          </w:tcPr>
          <w:p>
            <w:pPr>
              <w:spacing w:after="0"/>
              <w:rPr>
                <w:sz w:val="15"/>
                <w:szCs w:val="15"/>
                <w:color w:val="auto"/>
              </w:rPr>
            </w:pPr>
          </w:p>
        </w:tc>
        <w:tc>
          <w:tcPr>
            <w:tcW w:w="1000" w:type="dxa"/>
            <w:vAlign w:val="bottom"/>
          </w:tcPr>
          <w:p>
            <w:pPr>
              <w:jc w:val="right"/>
              <w:ind w:right="373"/>
              <w:spacing w:after="0"/>
              <w:rPr>
                <w:sz w:val="20"/>
                <w:szCs w:val="20"/>
                <w:color w:val="auto"/>
              </w:rPr>
            </w:pPr>
            <w:r>
              <w:rPr>
                <w:rFonts w:ascii="Arial" w:cs="Arial" w:eastAsia="Arial" w:hAnsi="Arial"/>
                <w:sz w:val="14"/>
                <w:szCs w:val="14"/>
                <w:b w:val="1"/>
                <w:bCs w:val="1"/>
                <w:color w:val="auto"/>
              </w:rPr>
              <w:t>1996(2)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825,269</w:t>
            </w:r>
          </w:p>
        </w:tc>
        <w:tc>
          <w:tcPr>
            <w:tcW w:w="4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671,686</w:t>
            </w:r>
          </w:p>
        </w:tc>
        <w:tc>
          <w:tcPr>
            <w:tcW w:w="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743,729</w:t>
            </w: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668,658</w:t>
            </w:r>
          </w:p>
        </w:tc>
        <w:tc>
          <w:tcPr>
            <w:tcW w:w="4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527,287</w:t>
            </w:r>
          </w:p>
        </w:tc>
        <w:tc>
          <w:tcPr>
            <w:tcW w:w="48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436,541</w:t>
            </w: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486,139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81,324</w:t>
            </w:r>
          </w:p>
        </w:tc>
        <w:tc>
          <w:tcPr>
            <w:tcW w:w="440" w:type="dxa"/>
            <w:vAlign w:val="bottom"/>
          </w:tcPr>
          <w:p>
            <w:pPr>
              <w:spacing w:after="0"/>
              <w:rPr>
                <w:sz w:val="18"/>
                <w:szCs w:val="18"/>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55,754</w:t>
            </w:r>
          </w:p>
        </w:tc>
        <w:tc>
          <w:tcPr>
            <w:tcW w:w="42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70,583</w:t>
            </w:r>
          </w:p>
        </w:tc>
        <w:tc>
          <w:tcPr>
            <w:tcW w:w="40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62,848</w:t>
            </w:r>
          </w:p>
        </w:tc>
        <w:tc>
          <w:tcPr>
            <w:tcW w:w="48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33,765</w:t>
            </w:r>
          </w:p>
        </w:tc>
        <w:tc>
          <w:tcPr>
            <w:tcW w:w="480" w:type="dxa"/>
            <w:vAlign w:val="bottom"/>
          </w:tcPr>
          <w:p>
            <w:pPr>
              <w:spacing w:after="0"/>
              <w:rPr>
                <w:sz w:val="18"/>
                <w:szCs w:val="18"/>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5,704</w:t>
            </w:r>
          </w:p>
        </w:tc>
        <w:tc>
          <w:tcPr>
            <w:tcW w:w="4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19,015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9.9%</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8.3%</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9.5%</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13"/>
              <w:spacing w:after="0"/>
              <w:rPr>
                <w:sz w:val="20"/>
                <w:szCs w:val="20"/>
                <w:color w:val="auto"/>
              </w:rPr>
            </w:pPr>
            <w:r>
              <w:rPr>
                <w:rFonts w:ascii="Arial" w:cs="Arial" w:eastAsia="Arial" w:hAnsi="Arial"/>
                <w:sz w:val="18"/>
                <w:szCs w:val="18"/>
                <w:color w:val="auto"/>
              </w:rPr>
              <w:t>9.4%</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233"/>
              <w:spacing w:after="0"/>
              <w:rPr>
                <w:sz w:val="20"/>
                <w:szCs w:val="20"/>
                <w:color w:val="auto"/>
              </w:rPr>
            </w:pPr>
            <w:r>
              <w:rPr>
                <w:rFonts w:ascii="Arial" w:cs="Arial" w:eastAsia="Arial" w:hAnsi="Arial"/>
                <w:sz w:val="18"/>
                <w:szCs w:val="18"/>
                <w:color w:val="auto"/>
              </w:rPr>
              <w:t>6.4%</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233"/>
              <w:spacing w:after="0"/>
              <w:rPr>
                <w:sz w:val="20"/>
                <w:szCs w:val="20"/>
                <w:color w:val="auto"/>
              </w:rPr>
            </w:pPr>
            <w:r>
              <w:rPr>
                <w:rFonts w:ascii="Arial" w:cs="Arial" w:eastAsia="Arial" w:hAnsi="Arial"/>
                <w:sz w:val="18"/>
                <w:szCs w:val="18"/>
                <w:color w:val="auto"/>
              </w:rPr>
              <w:t>1.3%</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28,431</w:t>
            </w:r>
          </w:p>
        </w:tc>
        <w:tc>
          <w:tcPr>
            <w:tcW w:w="440" w:type="dxa"/>
            <w:vAlign w:val="bottom"/>
          </w:tcPr>
          <w:p>
            <w:pPr>
              <w:spacing w:after="0"/>
              <w:rPr>
                <w:sz w:val="18"/>
                <w:szCs w:val="18"/>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14,258</w:t>
            </w:r>
          </w:p>
        </w:tc>
        <w:tc>
          <w:tcPr>
            <w:tcW w:w="42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24,400</w:t>
            </w:r>
          </w:p>
        </w:tc>
        <w:tc>
          <w:tcPr>
            <w:tcW w:w="40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21,033</w:t>
            </w:r>
          </w:p>
        </w:tc>
        <w:tc>
          <w:tcPr>
            <w:tcW w:w="48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10,786</w:t>
            </w:r>
          </w:p>
        </w:tc>
        <w:tc>
          <w:tcPr>
            <w:tcW w:w="480" w:type="dxa"/>
            <w:vAlign w:val="bottom"/>
          </w:tcPr>
          <w:p>
            <w:pPr>
              <w:spacing w:after="0"/>
              <w:rPr>
                <w:sz w:val="18"/>
                <w:szCs w:val="18"/>
                <w:color w:val="auto"/>
              </w:rPr>
            </w:pPr>
          </w:p>
        </w:tc>
        <w:tc>
          <w:tcPr>
            <w:tcW w:w="1300" w:type="dxa"/>
            <w:vAlign w:val="bottom"/>
          </w:tcPr>
          <w:p>
            <w:pPr>
              <w:jc w:val="right"/>
              <w:ind w:right="333"/>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25.6%</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34.6%</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13"/>
              <w:spacing w:after="0"/>
              <w:rPr>
                <w:sz w:val="20"/>
                <w:szCs w:val="20"/>
                <w:color w:val="auto"/>
              </w:rPr>
            </w:pPr>
            <w:r>
              <w:rPr>
                <w:rFonts w:ascii="Arial" w:cs="Arial" w:eastAsia="Arial" w:hAnsi="Arial"/>
                <w:sz w:val="18"/>
                <w:szCs w:val="18"/>
                <w:color w:val="auto"/>
              </w:rPr>
              <w:t>33.5%</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233"/>
              <w:spacing w:after="0"/>
              <w:rPr>
                <w:sz w:val="20"/>
                <w:szCs w:val="20"/>
                <w:color w:val="auto"/>
              </w:rPr>
            </w:pPr>
            <w:r>
              <w:rPr>
                <w:rFonts w:ascii="Arial" w:cs="Arial" w:eastAsia="Arial" w:hAnsi="Arial"/>
                <w:sz w:val="18"/>
                <w:szCs w:val="18"/>
                <w:color w:val="auto"/>
              </w:rPr>
              <w:t>31.9%</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173"/>
              <w:spacing w:after="0"/>
              <w:rPr>
                <w:sz w:val="20"/>
                <w:szCs w:val="20"/>
                <w:color w:val="auto"/>
              </w:rPr>
            </w:pPr>
            <w:r>
              <w:rPr>
                <w:rFonts w:ascii="Arial" w:cs="Arial" w:eastAsia="Arial" w:hAnsi="Arial"/>
                <w:sz w:val="18"/>
                <w:szCs w:val="18"/>
                <w:color w:val="auto"/>
              </w:rPr>
              <w:t>(0.6)%</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52,893</w:t>
            </w:r>
          </w:p>
        </w:tc>
        <w:tc>
          <w:tcPr>
            <w:tcW w:w="440" w:type="dxa"/>
            <w:vAlign w:val="bottom"/>
          </w:tcPr>
          <w:p>
            <w:pPr>
              <w:spacing w:after="0"/>
              <w:rPr>
                <w:sz w:val="18"/>
                <w:szCs w:val="18"/>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41,496</w:t>
            </w:r>
          </w:p>
        </w:tc>
        <w:tc>
          <w:tcPr>
            <w:tcW w:w="42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46,183</w:t>
            </w:r>
          </w:p>
        </w:tc>
        <w:tc>
          <w:tcPr>
            <w:tcW w:w="40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41,815</w:t>
            </w:r>
          </w:p>
        </w:tc>
        <w:tc>
          <w:tcPr>
            <w:tcW w:w="48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22,979</w:t>
            </w:r>
          </w:p>
        </w:tc>
        <w:tc>
          <w:tcPr>
            <w:tcW w:w="480" w:type="dxa"/>
            <w:vAlign w:val="bottom"/>
          </w:tcPr>
          <w:p>
            <w:pPr>
              <w:spacing w:after="0"/>
              <w:rPr>
                <w:sz w:val="18"/>
                <w:szCs w:val="18"/>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5,739</w:t>
            </w:r>
          </w:p>
        </w:tc>
        <w:tc>
          <w:tcPr>
            <w:tcW w:w="4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13,093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16,472</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1,778</w:t>
            </w:r>
          </w:p>
        </w:tc>
        <w:tc>
          <w:tcPr>
            <w:tcW w:w="440" w:type="dxa"/>
            <w:vAlign w:val="bottom"/>
          </w:tcPr>
          <w:p>
            <w:pPr>
              <w:spacing w:after="0"/>
              <w:rPr>
                <w:sz w:val="18"/>
                <w:szCs w:val="18"/>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2,258</w:t>
            </w:r>
          </w:p>
        </w:tc>
        <w:tc>
          <w:tcPr>
            <w:tcW w:w="42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2,216</w:t>
            </w:r>
          </w:p>
        </w:tc>
        <w:tc>
          <w:tcPr>
            <w:tcW w:w="40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2,445</w:t>
            </w:r>
          </w:p>
        </w:tc>
        <w:tc>
          <w:tcPr>
            <w:tcW w:w="48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1,405</w:t>
            </w:r>
          </w:p>
        </w:tc>
        <w:tc>
          <w:tcPr>
            <w:tcW w:w="480" w:type="dxa"/>
            <w:vAlign w:val="bottom"/>
          </w:tcPr>
          <w:p>
            <w:pPr>
              <w:spacing w:after="0"/>
              <w:rPr>
                <w:sz w:val="18"/>
                <w:szCs w:val="18"/>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837</w:t>
            </w:r>
          </w:p>
        </w:tc>
        <w:tc>
          <w:tcPr>
            <w:tcW w:w="46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33"/>
              <w:spacing w:after="0"/>
              <w:rPr>
                <w:sz w:val="20"/>
                <w:szCs w:val="20"/>
                <w:color w:val="auto"/>
              </w:rPr>
            </w:pPr>
            <w:r>
              <w:rPr>
                <w:rFonts w:ascii="Arial" w:cs="Arial" w:eastAsia="Arial" w:hAnsi="Arial"/>
                <w:sz w:val="18"/>
                <w:szCs w:val="18"/>
                <w:color w:val="auto"/>
              </w:rPr>
              <w:t>(1,050)</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54,671</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42,704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48,399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44,260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24,384</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23,048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12,385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1.33</w:t>
            </w:r>
          </w:p>
        </w:tc>
        <w:tc>
          <w:tcPr>
            <w:tcW w:w="4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0.94</w:t>
            </w:r>
          </w:p>
        </w:tc>
        <w:tc>
          <w:tcPr>
            <w:tcW w:w="4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0.48</w:t>
            </w:r>
          </w:p>
        </w:tc>
        <w:tc>
          <w:tcPr>
            <w:tcW w:w="48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0.11</w:t>
            </w: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19"/>
                <w:szCs w:val="19"/>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0.99</w:t>
            </w:r>
          </w:p>
        </w:tc>
        <w:tc>
          <w:tcPr>
            <w:tcW w:w="420" w:type="dxa"/>
            <w:vAlign w:val="bottom"/>
          </w:tcPr>
          <w:p>
            <w:pPr>
              <w:spacing w:after="0"/>
              <w:rPr>
                <w:sz w:val="19"/>
                <w:szCs w:val="19"/>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9"/>
                <w:szCs w:val="19"/>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0.93</w:t>
            </w:r>
          </w:p>
        </w:tc>
        <w:tc>
          <w:tcPr>
            <w:tcW w:w="480" w:type="dxa"/>
            <w:vAlign w:val="bottom"/>
          </w:tcPr>
          <w:p>
            <w:pPr>
              <w:spacing w:after="0"/>
              <w:rPr>
                <w:sz w:val="19"/>
                <w:szCs w:val="19"/>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0.47</w:t>
            </w:r>
          </w:p>
        </w:tc>
        <w:tc>
          <w:tcPr>
            <w:tcW w:w="480" w:type="dxa"/>
            <w:vAlign w:val="bottom"/>
          </w:tcPr>
          <w:p>
            <w:pPr>
              <w:spacing w:after="0"/>
              <w:rPr>
                <w:sz w:val="19"/>
                <w:szCs w:val="19"/>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0.11</w:t>
            </w:r>
          </w:p>
        </w:tc>
        <w:tc>
          <w:tcPr>
            <w:tcW w:w="46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0.04</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0.05</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0.05</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0.06</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0.03</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0.34</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0.04</w:t>
            </w:r>
          </w:p>
        </w:tc>
        <w:tc>
          <w:tcPr>
            <w:tcW w:w="440" w:type="dxa"/>
            <w:vAlign w:val="bottom"/>
          </w:tcPr>
          <w:p>
            <w:pPr>
              <w:spacing w:after="0"/>
              <w:rPr>
                <w:sz w:val="19"/>
                <w:szCs w:val="19"/>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0.05</w:t>
            </w:r>
          </w:p>
        </w:tc>
        <w:tc>
          <w:tcPr>
            <w:tcW w:w="420" w:type="dxa"/>
            <w:vAlign w:val="bottom"/>
          </w:tcPr>
          <w:p>
            <w:pPr>
              <w:spacing w:after="0"/>
              <w:rPr>
                <w:sz w:val="19"/>
                <w:szCs w:val="19"/>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19"/>
                <w:szCs w:val="19"/>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19"/>
                <w:szCs w:val="19"/>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0.03</w:t>
            </w:r>
          </w:p>
        </w:tc>
        <w:tc>
          <w:tcPr>
            <w:tcW w:w="480" w:type="dxa"/>
            <w:vAlign w:val="bottom"/>
          </w:tcPr>
          <w:p>
            <w:pPr>
              <w:spacing w:after="0"/>
              <w:rPr>
                <w:sz w:val="19"/>
                <w:szCs w:val="19"/>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0.34</w:t>
            </w:r>
          </w:p>
        </w:tc>
        <w:tc>
          <w:tcPr>
            <w:tcW w:w="46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33"/>
              <w:spacing w:after="0"/>
              <w:rPr>
                <w:sz w:val="20"/>
                <w:szCs w:val="20"/>
                <w:color w:val="auto"/>
              </w:rPr>
            </w:pPr>
            <w:r>
              <w:rPr>
                <w:rFonts w:ascii="Arial" w:cs="Arial" w:eastAsia="Arial" w:hAnsi="Arial"/>
                <w:sz w:val="18"/>
                <w:szCs w:val="18"/>
                <w:color w:val="auto"/>
              </w:rPr>
              <w:t>(0.02)</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80" w:type="dxa"/>
            <w:vAlign w:val="bottom"/>
          </w:tcPr>
          <w:p>
            <w:pPr>
              <w:jc w:val="right"/>
              <w:ind w:right="233"/>
              <w:spacing w:after="0"/>
              <w:rPr>
                <w:sz w:val="20"/>
                <w:szCs w:val="20"/>
                <w:color w:val="auto"/>
              </w:rPr>
            </w:pPr>
            <w:r>
              <w:rPr>
                <w:rFonts w:ascii="Arial" w:cs="Arial" w:eastAsia="Arial" w:hAnsi="Arial"/>
                <w:sz w:val="18"/>
                <w:szCs w:val="18"/>
                <w:color w:val="auto"/>
              </w:rPr>
              <w:t>(0.02)</w:t>
            </w:r>
          </w:p>
        </w:tc>
        <w:tc>
          <w:tcPr>
            <w:tcW w:w="420" w:type="dxa"/>
            <w:vAlign w:val="bottom"/>
          </w:tcPr>
          <w:p>
            <w:pPr>
              <w:spacing w:after="0"/>
              <w:rPr>
                <w:sz w:val="19"/>
                <w:szCs w:val="19"/>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8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1.03</w:t>
            </w:r>
          </w:p>
        </w:tc>
        <w:tc>
          <w:tcPr>
            <w:tcW w:w="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1.12</w:t>
            </w: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0.51</w:t>
            </w:r>
          </w:p>
        </w:tc>
        <w:tc>
          <w:tcPr>
            <w:tcW w:w="48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0.45</w:t>
            </w: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19"/>
                <w:szCs w:val="19"/>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9"/>
                <w:szCs w:val="19"/>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19"/>
                <w:szCs w:val="19"/>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0.98</w:t>
            </w:r>
          </w:p>
        </w:tc>
        <w:tc>
          <w:tcPr>
            <w:tcW w:w="480" w:type="dxa"/>
            <w:vAlign w:val="bottom"/>
          </w:tcPr>
          <w:p>
            <w:pPr>
              <w:spacing w:after="0"/>
              <w:rPr>
                <w:sz w:val="19"/>
                <w:szCs w:val="19"/>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0.50</w:t>
            </w:r>
          </w:p>
        </w:tc>
        <w:tc>
          <w:tcPr>
            <w:tcW w:w="480" w:type="dxa"/>
            <w:vAlign w:val="bottom"/>
          </w:tcPr>
          <w:p>
            <w:pPr>
              <w:spacing w:after="0"/>
              <w:rPr>
                <w:sz w:val="19"/>
                <w:szCs w:val="19"/>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0.45</w:t>
            </w:r>
          </w:p>
        </w:tc>
        <w:tc>
          <w:tcPr>
            <w:tcW w:w="46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39,898</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41,470</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43,360</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44,418</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48,212</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50,870</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50,698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40,768</w:t>
            </w:r>
          </w:p>
        </w:tc>
        <w:tc>
          <w:tcPr>
            <w:tcW w:w="440" w:type="dxa"/>
            <w:vAlign w:val="bottom"/>
          </w:tcPr>
          <w:p>
            <w:pPr>
              <w:spacing w:after="0"/>
              <w:rPr>
                <w:sz w:val="19"/>
                <w:szCs w:val="19"/>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42,080</w:t>
            </w:r>
          </w:p>
        </w:tc>
        <w:tc>
          <w:tcPr>
            <w:tcW w:w="420" w:type="dxa"/>
            <w:vAlign w:val="bottom"/>
          </w:tcPr>
          <w:p>
            <w:pPr>
              <w:spacing w:after="0"/>
              <w:rPr>
                <w:sz w:val="19"/>
                <w:szCs w:val="19"/>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44,022</w:t>
            </w:r>
          </w:p>
        </w:tc>
        <w:tc>
          <w:tcPr>
            <w:tcW w:w="400" w:type="dxa"/>
            <w:vAlign w:val="bottom"/>
          </w:tcPr>
          <w:p>
            <w:pPr>
              <w:spacing w:after="0"/>
              <w:rPr>
                <w:sz w:val="19"/>
                <w:szCs w:val="19"/>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45,074</w:t>
            </w:r>
          </w:p>
        </w:tc>
        <w:tc>
          <w:tcPr>
            <w:tcW w:w="480" w:type="dxa"/>
            <w:vAlign w:val="bottom"/>
          </w:tcPr>
          <w:p>
            <w:pPr>
              <w:spacing w:after="0"/>
              <w:rPr>
                <w:sz w:val="19"/>
                <w:szCs w:val="19"/>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48,628</w:t>
            </w:r>
          </w:p>
        </w:tc>
        <w:tc>
          <w:tcPr>
            <w:tcW w:w="480" w:type="dxa"/>
            <w:vAlign w:val="bottom"/>
          </w:tcPr>
          <w:p>
            <w:pPr>
              <w:spacing w:after="0"/>
              <w:rPr>
                <w:sz w:val="19"/>
                <w:szCs w:val="19"/>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51,100</w:t>
            </w:r>
          </w:p>
        </w:tc>
        <w:tc>
          <w:tcPr>
            <w:tcW w:w="46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51,048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8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0.10</w:t>
            </w:r>
          </w:p>
        </w:tc>
        <w:tc>
          <w:tcPr>
            <w:tcW w:w="4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0.10</w:t>
            </w:r>
          </w:p>
        </w:tc>
        <w:tc>
          <w:tcPr>
            <w:tcW w:w="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0.10</w:t>
            </w:r>
          </w:p>
        </w:tc>
        <w:tc>
          <w:tcPr>
            <w:tcW w:w="4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0.10</w:t>
            </w:r>
          </w:p>
        </w:tc>
        <w:tc>
          <w:tcPr>
            <w:tcW w:w="48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0.10</w:t>
            </w: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4.81</w:t>
            </w:r>
          </w:p>
        </w:tc>
        <w:tc>
          <w:tcPr>
            <w:tcW w:w="440" w:type="dxa"/>
            <w:vAlign w:val="bottom"/>
          </w:tcPr>
          <w:p>
            <w:pPr>
              <w:spacing w:after="0"/>
              <w:rPr>
                <w:sz w:val="18"/>
                <w:szCs w:val="18"/>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4.11</w:t>
            </w:r>
          </w:p>
        </w:tc>
        <w:tc>
          <w:tcPr>
            <w:tcW w:w="40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3.35</w:t>
            </w:r>
          </w:p>
        </w:tc>
        <w:tc>
          <w:tcPr>
            <w:tcW w:w="48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2.55</w:t>
            </w:r>
          </w:p>
        </w:tc>
        <w:tc>
          <w:tcPr>
            <w:tcW w:w="480" w:type="dxa"/>
            <w:vAlign w:val="bottom"/>
          </w:tcPr>
          <w:p>
            <w:pPr>
              <w:spacing w:after="0"/>
              <w:rPr>
                <w:sz w:val="18"/>
                <w:szCs w:val="18"/>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2.43</w:t>
            </w:r>
          </w:p>
        </w:tc>
        <w:tc>
          <w:tcPr>
            <w:tcW w:w="4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15.9%</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16.3%</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13"/>
              <w:spacing w:after="0"/>
              <w:rPr>
                <w:sz w:val="20"/>
                <w:szCs w:val="20"/>
                <w:color w:val="auto"/>
              </w:rPr>
            </w:pPr>
            <w:r>
              <w:rPr>
                <w:rFonts w:ascii="Arial" w:cs="Arial" w:eastAsia="Arial" w:hAnsi="Arial"/>
                <w:sz w:val="18"/>
                <w:szCs w:val="18"/>
                <w:color w:val="auto"/>
              </w:rPr>
              <w:t>17.1%</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233"/>
              <w:spacing w:after="0"/>
              <w:rPr>
                <w:sz w:val="20"/>
                <w:szCs w:val="20"/>
                <w:color w:val="auto"/>
              </w:rPr>
            </w:pPr>
            <w:r>
              <w:rPr>
                <w:rFonts w:ascii="Arial" w:cs="Arial" w:eastAsia="Arial" w:hAnsi="Arial"/>
                <w:sz w:val="18"/>
                <w:szCs w:val="18"/>
                <w:color w:val="auto"/>
              </w:rPr>
              <w:t>11.0%</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233"/>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28.2%</w:t>
            </w:r>
          </w:p>
        </w:tc>
        <w:tc>
          <w:tcPr>
            <w:tcW w:w="440" w:type="dxa"/>
            <w:vAlign w:val="bottom"/>
          </w:tcPr>
          <w:p>
            <w:pPr>
              <w:spacing w:after="0"/>
              <w:rPr>
                <w:sz w:val="18"/>
                <w:szCs w:val="18"/>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22.3%</w:t>
            </w:r>
          </w:p>
        </w:tc>
        <w:tc>
          <w:tcPr>
            <w:tcW w:w="420" w:type="dxa"/>
            <w:vAlign w:val="bottom"/>
          </w:tcPr>
          <w:p>
            <w:pPr>
              <w:spacing w:after="0"/>
              <w:rPr>
                <w:sz w:val="18"/>
                <w:szCs w:val="18"/>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29.8%</w:t>
            </w:r>
          </w:p>
        </w:tc>
        <w:tc>
          <w:tcPr>
            <w:tcW w:w="400" w:type="dxa"/>
            <w:vAlign w:val="bottom"/>
          </w:tcPr>
          <w:p>
            <w:pPr>
              <w:spacing w:after="0"/>
              <w:rPr>
                <w:sz w:val="18"/>
                <w:szCs w:val="18"/>
                <w:color w:val="auto"/>
              </w:rPr>
            </w:pPr>
          </w:p>
        </w:tc>
        <w:tc>
          <w:tcPr>
            <w:tcW w:w="1280" w:type="dxa"/>
            <w:vAlign w:val="bottom"/>
          </w:tcPr>
          <w:p>
            <w:pPr>
              <w:jc w:val="right"/>
              <w:ind w:right="213"/>
              <w:spacing w:after="0"/>
              <w:rPr>
                <w:sz w:val="20"/>
                <w:szCs w:val="20"/>
                <w:color w:val="auto"/>
              </w:rPr>
            </w:pPr>
            <w:r>
              <w:rPr>
                <w:rFonts w:ascii="Arial" w:cs="Arial" w:eastAsia="Arial" w:hAnsi="Arial"/>
                <w:sz w:val="18"/>
                <w:szCs w:val="18"/>
                <w:color w:val="auto"/>
              </w:rPr>
              <w:t>33.3%</w:t>
            </w:r>
          </w:p>
        </w:tc>
        <w:tc>
          <w:tcPr>
            <w:tcW w:w="480" w:type="dxa"/>
            <w:vAlign w:val="bottom"/>
          </w:tcPr>
          <w:p>
            <w:pPr>
              <w:spacing w:after="0"/>
              <w:rPr>
                <w:sz w:val="18"/>
                <w:szCs w:val="18"/>
                <w:color w:val="auto"/>
              </w:rPr>
            </w:pP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20.3%</w:t>
            </w:r>
          </w:p>
        </w:tc>
        <w:tc>
          <w:tcPr>
            <w:tcW w:w="480" w:type="dxa"/>
            <w:vAlign w:val="bottom"/>
          </w:tcPr>
          <w:p>
            <w:pPr>
              <w:spacing w:after="0"/>
              <w:rPr>
                <w:sz w:val="18"/>
                <w:szCs w:val="18"/>
                <w:color w:val="auto"/>
              </w:rPr>
            </w:pP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20.1%</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29.1%</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24.1%</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153"/>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13"/>
              <w:spacing w:after="0"/>
              <w:rPr>
                <w:sz w:val="20"/>
                <w:szCs w:val="20"/>
                <w:color w:val="auto"/>
              </w:rPr>
            </w:pPr>
            <w:r>
              <w:rPr>
                <w:rFonts w:ascii="Arial" w:cs="Arial" w:eastAsia="Arial" w:hAnsi="Arial"/>
                <w:sz w:val="18"/>
                <w:szCs w:val="18"/>
                <w:color w:val="auto"/>
              </w:rPr>
              <w:t>32.7%</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233"/>
              <w:spacing w:after="0"/>
              <w:rPr>
                <w:sz w:val="20"/>
                <w:szCs w:val="20"/>
                <w:color w:val="auto"/>
              </w:rPr>
            </w:pPr>
            <w:r>
              <w:rPr>
                <w:rFonts w:ascii="Arial" w:cs="Arial" w:eastAsia="Arial" w:hAnsi="Arial"/>
                <w:sz w:val="18"/>
                <w:szCs w:val="18"/>
                <w:color w:val="auto"/>
              </w:rPr>
              <w:t>19.2%</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233"/>
              <w:spacing w:after="0"/>
              <w:rPr>
                <w:sz w:val="20"/>
                <w:szCs w:val="20"/>
                <w:color w:val="auto"/>
              </w:rPr>
            </w:pPr>
            <w:r>
              <w:rPr>
                <w:rFonts w:ascii="Arial" w:cs="Arial" w:eastAsia="Arial" w:hAnsi="Arial"/>
                <w:sz w:val="18"/>
                <w:szCs w:val="18"/>
                <w:color w:val="auto"/>
              </w:rPr>
              <w:t>15.7%</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6,725</w:t>
            </w:r>
          </w:p>
        </w:tc>
        <w:tc>
          <w:tcPr>
            <w:tcW w:w="440" w:type="dxa"/>
            <w:vAlign w:val="bottom"/>
          </w:tcPr>
          <w:p>
            <w:pPr>
              <w:spacing w:after="0"/>
              <w:rPr>
                <w:sz w:val="24"/>
                <w:szCs w:val="24"/>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5,666</w:t>
            </w:r>
          </w:p>
        </w:tc>
        <w:tc>
          <w:tcPr>
            <w:tcW w:w="420" w:type="dxa"/>
            <w:vAlign w:val="bottom"/>
          </w:tcPr>
          <w:p>
            <w:pPr>
              <w:spacing w:after="0"/>
              <w:rPr>
                <w:sz w:val="24"/>
                <w:szCs w:val="24"/>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6,819</w:t>
            </w:r>
          </w:p>
        </w:tc>
        <w:tc>
          <w:tcPr>
            <w:tcW w:w="400" w:type="dxa"/>
            <w:vAlign w:val="bottom"/>
          </w:tcPr>
          <w:p>
            <w:pPr>
              <w:spacing w:after="0"/>
              <w:rPr>
                <w:sz w:val="24"/>
                <w:szCs w:val="24"/>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6,054</w:t>
            </w:r>
          </w:p>
        </w:tc>
        <w:tc>
          <w:tcPr>
            <w:tcW w:w="480" w:type="dxa"/>
            <w:vAlign w:val="bottom"/>
          </w:tcPr>
          <w:p>
            <w:pPr>
              <w:spacing w:after="0"/>
              <w:rPr>
                <w:sz w:val="24"/>
                <w:szCs w:val="24"/>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5,381</w:t>
            </w:r>
          </w:p>
        </w:tc>
        <w:tc>
          <w:tcPr>
            <w:tcW w:w="480" w:type="dxa"/>
            <w:vAlign w:val="bottom"/>
          </w:tcPr>
          <w:p>
            <w:pPr>
              <w:spacing w:after="0"/>
              <w:rPr>
                <w:sz w:val="24"/>
                <w:szCs w:val="24"/>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4,834</w:t>
            </w:r>
          </w:p>
        </w:tc>
        <w:tc>
          <w:tcPr>
            <w:tcW w:w="460" w:type="dxa"/>
            <w:vAlign w:val="bottom"/>
          </w:tcPr>
          <w:p>
            <w:pPr>
              <w:spacing w:after="0"/>
              <w:rPr>
                <w:sz w:val="24"/>
                <w:szCs w:val="24"/>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5,893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4,329</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3,410</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3,697</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4,222</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3,390</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2,724</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2,857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11,054</w:t>
            </w:r>
          </w:p>
        </w:tc>
        <w:tc>
          <w:tcPr>
            <w:tcW w:w="440" w:type="dxa"/>
            <w:vAlign w:val="bottom"/>
          </w:tcPr>
          <w:p>
            <w:pPr>
              <w:spacing w:after="0"/>
              <w:rPr>
                <w:sz w:val="24"/>
                <w:szCs w:val="24"/>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9,076</w:t>
            </w:r>
          </w:p>
        </w:tc>
        <w:tc>
          <w:tcPr>
            <w:tcW w:w="420" w:type="dxa"/>
            <w:vAlign w:val="bottom"/>
          </w:tcPr>
          <w:p>
            <w:pPr>
              <w:spacing w:after="0"/>
              <w:rPr>
                <w:sz w:val="24"/>
                <w:szCs w:val="24"/>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10,516</w:t>
            </w:r>
          </w:p>
        </w:tc>
        <w:tc>
          <w:tcPr>
            <w:tcW w:w="400" w:type="dxa"/>
            <w:vAlign w:val="bottom"/>
          </w:tcPr>
          <w:p>
            <w:pPr>
              <w:spacing w:after="0"/>
              <w:rPr>
                <w:sz w:val="24"/>
                <w:szCs w:val="24"/>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10,276</w:t>
            </w:r>
          </w:p>
        </w:tc>
        <w:tc>
          <w:tcPr>
            <w:tcW w:w="480" w:type="dxa"/>
            <w:vAlign w:val="bottom"/>
          </w:tcPr>
          <w:p>
            <w:pPr>
              <w:spacing w:after="0"/>
              <w:rPr>
                <w:sz w:val="24"/>
                <w:szCs w:val="24"/>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8,771</w:t>
            </w:r>
          </w:p>
        </w:tc>
        <w:tc>
          <w:tcPr>
            <w:tcW w:w="480" w:type="dxa"/>
            <w:vAlign w:val="bottom"/>
          </w:tcPr>
          <w:p>
            <w:pPr>
              <w:spacing w:after="0"/>
              <w:rPr>
                <w:sz w:val="24"/>
                <w:szCs w:val="24"/>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7,558</w:t>
            </w:r>
          </w:p>
        </w:tc>
        <w:tc>
          <w:tcPr>
            <w:tcW w:w="460" w:type="dxa"/>
            <w:vAlign w:val="bottom"/>
          </w:tcPr>
          <w:p>
            <w:pPr>
              <w:spacing w:after="0"/>
              <w:rPr>
                <w:sz w:val="24"/>
                <w:szCs w:val="24"/>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8,750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763</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703</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854</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600</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978</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1,205</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337,077</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351,922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308,686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285,889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230,612</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213,475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220,596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179,815</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207,464</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174,909</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149,384</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116,523</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123,882</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105,311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713,500</w:t>
            </w:r>
          </w:p>
        </w:tc>
        <w:tc>
          <w:tcPr>
            <w:tcW w:w="440" w:type="dxa"/>
            <w:vAlign w:val="bottom"/>
          </w:tcPr>
          <w:p>
            <w:pPr>
              <w:spacing w:after="0"/>
              <w:rPr>
                <w:sz w:val="18"/>
                <w:szCs w:val="18"/>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581,779</w:t>
            </w:r>
          </w:p>
        </w:tc>
        <w:tc>
          <w:tcPr>
            <w:tcW w:w="42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272,733</w:t>
            </w:r>
          </w:p>
        </w:tc>
        <w:tc>
          <w:tcPr>
            <w:tcW w:w="40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538,322</w:t>
            </w:r>
          </w:p>
        </w:tc>
        <w:tc>
          <w:tcPr>
            <w:tcW w:w="48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254,137</w:t>
            </w:r>
          </w:p>
        </w:tc>
        <w:tc>
          <w:tcPr>
            <w:tcW w:w="480" w:type="dxa"/>
            <w:vAlign w:val="bottom"/>
          </w:tcPr>
          <w:p>
            <w:pPr>
              <w:spacing w:after="0"/>
              <w:rPr>
                <w:sz w:val="18"/>
                <w:szCs w:val="18"/>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213,472</w:t>
            </w:r>
          </w:p>
        </w:tc>
        <w:tc>
          <w:tcPr>
            <w:tcW w:w="4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206,373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144,303</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173,677</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141,096</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123,245</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92,356</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99,618</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61,907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2.6 to 1</w:t>
            </w:r>
          </w:p>
        </w:tc>
        <w:tc>
          <w:tcPr>
            <w:tcW w:w="44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293"/>
              <w:spacing w:after="0"/>
              <w:rPr>
                <w:sz w:val="20"/>
                <w:szCs w:val="20"/>
                <w:color w:val="auto"/>
              </w:rPr>
            </w:pPr>
            <w:r>
              <w:rPr>
                <w:rFonts w:ascii="Arial" w:cs="Arial" w:eastAsia="Arial" w:hAnsi="Arial"/>
                <w:sz w:val="18"/>
                <w:szCs w:val="18"/>
                <w:color w:val="auto"/>
              </w:rPr>
              <w:t>3.2 to 1</w:t>
            </w:r>
          </w:p>
        </w:tc>
        <w:tc>
          <w:tcPr>
            <w:tcW w:w="420" w:type="dxa"/>
            <w:vAlign w:val="bottom"/>
            <w:shd w:val="clear" w:color="auto" w:fill="D6F3E8"/>
          </w:tcPr>
          <w:p>
            <w:pPr>
              <w:spacing w:after="0"/>
              <w:rPr>
                <w:sz w:val="18"/>
                <w:szCs w:val="18"/>
                <w:color w:val="auto"/>
              </w:rPr>
            </w:pPr>
          </w:p>
        </w:tc>
        <w:tc>
          <w:tcPr>
            <w:tcW w:w="1200" w:type="dxa"/>
            <w:vAlign w:val="bottom"/>
            <w:shd w:val="clear" w:color="auto" w:fill="D6F3E8"/>
          </w:tcPr>
          <w:p>
            <w:pPr>
              <w:jc w:val="right"/>
              <w:ind w:right="313"/>
              <w:spacing w:after="0"/>
              <w:rPr>
                <w:sz w:val="20"/>
                <w:szCs w:val="20"/>
                <w:color w:val="auto"/>
              </w:rPr>
            </w:pPr>
            <w:r>
              <w:rPr>
                <w:rFonts w:ascii="Arial" w:cs="Arial" w:eastAsia="Arial" w:hAnsi="Arial"/>
                <w:sz w:val="18"/>
                <w:szCs w:val="18"/>
                <w:color w:val="auto"/>
              </w:rPr>
              <w:t>3.0 to 1</w:t>
            </w:r>
          </w:p>
        </w:tc>
        <w:tc>
          <w:tcPr>
            <w:tcW w:w="40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353"/>
              <w:spacing w:after="0"/>
              <w:rPr>
                <w:sz w:val="20"/>
                <w:szCs w:val="20"/>
                <w:color w:val="auto"/>
              </w:rPr>
            </w:pPr>
            <w:r>
              <w:rPr>
                <w:rFonts w:ascii="Arial" w:cs="Arial" w:eastAsia="Arial" w:hAnsi="Arial"/>
                <w:sz w:val="18"/>
                <w:szCs w:val="18"/>
                <w:color w:val="auto"/>
              </w:rPr>
              <w:t>2.5 to 1</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73"/>
              <w:spacing w:after="0"/>
              <w:rPr>
                <w:sz w:val="20"/>
                <w:szCs w:val="20"/>
                <w:color w:val="auto"/>
              </w:rPr>
            </w:pPr>
            <w:r>
              <w:rPr>
                <w:rFonts w:ascii="Arial" w:cs="Arial" w:eastAsia="Arial" w:hAnsi="Arial"/>
                <w:sz w:val="18"/>
                <w:szCs w:val="18"/>
                <w:color w:val="auto"/>
              </w:rPr>
              <w:t>2.5 to 1</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93"/>
              <w:spacing w:after="0"/>
              <w:rPr>
                <w:sz w:val="20"/>
                <w:szCs w:val="20"/>
                <w:color w:val="auto"/>
              </w:rPr>
            </w:pPr>
            <w:r>
              <w:rPr>
                <w:rFonts w:ascii="Arial" w:cs="Arial" w:eastAsia="Arial" w:hAnsi="Arial"/>
                <w:sz w:val="18"/>
                <w:szCs w:val="18"/>
                <w:color w:val="auto"/>
              </w:rPr>
              <w:t>3.4 to 1</w:t>
            </w:r>
          </w:p>
        </w:tc>
        <w:tc>
          <w:tcPr>
            <w:tcW w:w="4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2.0 to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color w:val="auto"/>
              </w:rPr>
              <w:t>3,685</w:t>
            </w:r>
          </w:p>
        </w:tc>
        <w:tc>
          <w:tcPr>
            <w:tcW w:w="440" w:type="dxa"/>
            <w:vAlign w:val="bottom"/>
          </w:tcPr>
          <w:p>
            <w:pPr>
              <w:spacing w:after="0"/>
              <w:rPr>
                <w:sz w:val="19"/>
                <w:szCs w:val="19"/>
                <w:color w:val="auto"/>
              </w:rPr>
            </w:pP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3,325</w:t>
            </w:r>
          </w:p>
        </w:tc>
        <w:tc>
          <w:tcPr>
            <w:tcW w:w="420" w:type="dxa"/>
            <w:vAlign w:val="bottom"/>
          </w:tcPr>
          <w:p>
            <w:pPr>
              <w:spacing w:after="0"/>
              <w:rPr>
                <w:sz w:val="19"/>
                <w:szCs w:val="19"/>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rPr>
              <w:t>3,300</w:t>
            </w:r>
          </w:p>
        </w:tc>
        <w:tc>
          <w:tcPr>
            <w:tcW w:w="400" w:type="dxa"/>
            <w:vAlign w:val="bottom"/>
          </w:tcPr>
          <w:p>
            <w:pPr>
              <w:spacing w:after="0"/>
              <w:rPr>
                <w:sz w:val="19"/>
                <w:szCs w:val="19"/>
                <w:color w:val="auto"/>
              </w:rPr>
            </w:pPr>
          </w:p>
        </w:tc>
        <w:tc>
          <w:tcPr>
            <w:tcW w:w="1280" w:type="dxa"/>
            <w:vAlign w:val="bottom"/>
          </w:tcPr>
          <w:p>
            <w:pPr>
              <w:jc w:val="right"/>
              <w:ind w:right="353"/>
              <w:spacing w:after="0"/>
              <w:rPr>
                <w:sz w:val="20"/>
                <w:szCs w:val="20"/>
                <w:color w:val="auto"/>
              </w:rPr>
            </w:pPr>
            <w:r>
              <w:rPr>
                <w:rFonts w:ascii="Arial" w:cs="Arial" w:eastAsia="Arial" w:hAnsi="Arial"/>
                <w:sz w:val="18"/>
                <w:szCs w:val="18"/>
                <w:color w:val="auto"/>
              </w:rPr>
              <w:t>3,400</w:t>
            </w:r>
          </w:p>
        </w:tc>
        <w:tc>
          <w:tcPr>
            <w:tcW w:w="480" w:type="dxa"/>
            <w:vAlign w:val="bottom"/>
          </w:tcPr>
          <w:p>
            <w:pPr>
              <w:spacing w:after="0"/>
              <w:rPr>
                <w:sz w:val="19"/>
                <w:szCs w:val="19"/>
                <w:color w:val="auto"/>
              </w:rPr>
            </w:pP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3,010</w:t>
            </w:r>
          </w:p>
        </w:tc>
        <w:tc>
          <w:tcPr>
            <w:tcW w:w="480" w:type="dxa"/>
            <w:vAlign w:val="bottom"/>
          </w:tcPr>
          <w:p>
            <w:pPr>
              <w:spacing w:after="0"/>
              <w:rPr>
                <w:sz w:val="19"/>
                <w:szCs w:val="19"/>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2,830</w:t>
            </w:r>
          </w:p>
        </w:tc>
        <w:tc>
          <w:tcPr>
            <w:tcW w:w="46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ROA - Current period net income divided by average total asset balance using current ending period and previous ending period.</w:t>
      </w:r>
    </w:p>
    <w:p>
      <w:pPr>
        <w:spacing w:after="0" w:line="157" w:lineRule="exact"/>
        <w:rPr>
          <w:rFonts w:ascii="Arial" w:cs="Arial" w:eastAsia="Arial" w:hAnsi="Arial"/>
          <w:sz w:val="18"/>
          <w:szCs w:val="18"/>
          <w:i w:val="1"/>
          <w:iCs w:val="1"/>
          <w:color w:val="auto"/>
        </w:rPr>
      </w:pPr>
    </w:p>
    <w:p>
      <w:pPr>
        <w:ind w:left="580" w:hanging="572"/>
        <w:spacing w:after="0"/>
        <w:tabs>
          <w:tab w:leader="none" w:pos="5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ROE - Current period net income divided by average equity balance using current ending period and previous ending period</w:t>
      </w:r>
    </w:p>
    <w:p>
      <w:pPr>
        <w:spacing w:after="0" w:line="157" w:lineRule="exact"/>
        <w:rPr>
          <w:rFonts w:ascii="Arial" w:cs="Arial" w:eastAsia="Arial" w:hAnsi="Arial"/>
          <w:sz w:val="18"/>
          <w:szCs w:val="18"/>
          <w:i w:val="1"/>
          <w:iCs w:val="1"/>
          <w:color w:val="auto"/>
        </w:rPr>
      </w:pPr>
    </w:p>
    <w:p>
      <w:pPr>
        <w:ind w:left="580" w:right="300" w:hanging="572"/>
        <w:spacing w:after="0" w:line="268" w:lineRule="auto"/>
        <w:tabs>
          <w:tab w:leader="none" w:pos="5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ROIC - Current period net income divided by average invested capital using current ending period - total assets minus cash and noninterest liabilities and previous ending period - total assets minus cash and noninterest liabilities.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371" w:right="21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Shareholder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notice of Annual Meeting of Shareholders and Proxy Statement is furnished to shareholders in advance of the annual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Copies of our quarterly financial earnings releases, the annual report on Form 10-K (without exhibits), the quarterly reports on Form 10-Q (without exhibits) and current reports on Form 8-K (without exhibits) as filed by us with the Securities and Exchange Commission, may be obtained without charge from the corporate offices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Sheila Davis, PR/IR Manager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 50436-0152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(641) 585-3535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(641) 585-6966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w:t>
      </w:r>
      <w:r>
        <w:rPr>
          <w:rFonts w:ascii="Arial" w:cs="Arial" w:eastAsia="Arial" w:hAnsi="Arial"/>
          <w:sz w:val="18"/>
          <w:szCs w:val="18"/>
          <w:u w:val="single" w:color="auto"/>
          <w:color w:val="auto"/>
        </w:rPr>
        <w:t>@winnebagoind.com</w:t>
      </w:r>
    </w:p>
    <w:p>
      <w:pPr>
        <w:spacing w:after="0" w:line="21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All news releases issued by us, reports filed by us with the Securities and Exchange Commission (including exhibits) and information on our Corporate Governance Policies and Procedures may also be viewed at the Winnebago Industries’ Web site: </w:t>
      </w:r>
      <w:r>
        <w:rPr>
          <w:rFonts w:ascii="Arial" w:cs="Arial" w:eastAsia="Arial" w:hAnsi="Arial"/>
          <w:sz w:val="16"/>
          <w:szCs w:val="16"/>
          <w:u w:val="single" w:color="auto"/>
          <w:color w:val="auto"/>
        </w:rPr>
        <w:t>http://winnebagoind.com/investor.html</w:t>
      </w:r>
      <w:r>
        <w:rPr>
          <w:rFonts w:ascii="Arial" w:cs="Arial" w:eastAsia="Arial" w:hAnsi="Arial"/>
          <w:sz w:val="16"/>
          <w:szCs w:val="16"/>
          <w:color w:val="auto"/>
        </w:rPr>
        <w:t>. Information contained on Winnebago Industries’ Web site is not incorporated into this Annual Report or other securities filings.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Account Assistance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to contact for address changes, account certificates and stock holdings: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Shareowner Services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64854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55164-0854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 North Concord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St. Paul, Minnesota 55075-1139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(800) 468-9716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 450-4064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Inquirees: www.wellsfargo.com/shareownerservices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Annual Meeting of Shareholders is scheduled to be held on Tuesday, January 9, 2007, at 4:00 p.m. (CST) in Winnebago Industries’ South Office Complex Theater, 605 W. Crystal Lake Road, Forest City, Iowa.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400 One Financial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 South 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55402-1844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397-4000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Common Stock</w:t>
      </w:r>
    </w:p>
    <w:p>
      <w:pPr>
        <w:spacing w:after="0" w:line="23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Winnebago Industries stock may be purchased from ShareBuilder Corporation through our Web site at: http://winnebagoind.com/investor.html. Winnebago Industries is not affiliated with ShareBuilder and has no involvement in the relationship between ShareBuilder and any of its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Annual CEO Certification and Sarbanes-Oxley Section 302 Certifications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submitted the annual Chief Executive Officer Certification to the New York Stock Exchange (NYSE) as required under the corporate governance rules of the NYSE. We also filed as exhibits to our 2006 Annual Report on Form 10-K, the Chief Executive Officer and Chief Financial Officer certifications required under Section 302 of the Sarbanes-Oxley Act of 2002.</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12" w:right="33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22"/>
          <w:szCs w:val="22"/>
          <w:b w:val="1"/>
          <w:bCs w:val="1"/>
          <w:color w:val="auto"/>
        </w:rPr>
        <w:t>EXHIBIT 21</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List of Subsidiaries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2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tcPr>
          <w:p>
            <w:pPr>
              <w:ind w:left="3220"/>
              <w:spacing w:after="0"/>
              <w:rPr>
                <w:sz w:val="20"/>
                <w:szCs w:val="20"/>
                <w:color w:val="auto"/>
              </w:rPr>
            </w:pPr>
            <w:r>
              <w:rPr>
                <w:rFonts w:ascii="Arial" w:cs="Arial" w:eastAsia="Arial" w:hAnsi="Arial"/>
                <w:sz w:val="14"/>
                <w:szCs w:val="14"/>
                <w:b w:val="1"/>
                <w:bCs w:val="1"/>
                <w:color w:val="auto"/>
              </w:rPr>
              <w:t>Name of Corporation</w:t>
            </w:r>
          </w:p>
        </w:tc>
        <w:tc>
          <w:tcPr>
            <w:tcW w:w="3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2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D6F3E8"/>
          </w:tcPr>
          <w:p>
            <w:pPr>
              <w:spacing w:after="0"/>
              <w:rPr>
                <w:sz w:val="20"/>
                <w:szCs w:val="20"/>
                <w:color w:val="auto"/>
              </w:rPr>
            </w:pPr>
            <w:r>
              <w:rPr>
                <w:rFonts w:ascii="Arial" w:cs="Arial" w:eastAsia="Arial" w:hAnsi="Arial"/>
                <w:sz w:val="18"/>
                <w:szCs w:val="18"/>
                <w:color w:val="auto"/>
              </w:rPr>
              <w:t>Winnebago Industries, Inc.</w:t>
            </w:r>
          </w:p>
        </w:tc>
        <w:tc>
          <w:tcPr>
            <w:tcW w:w="300" w:type="dxa"/>
            <w:vAlign w:val="bottom"/>
            <w:shd w:val="clear" w:color="auto" w:fill="D6F3E8"/>
          </w:tcPr>
          <w:p>
            <w:pPr>
              <w:spacing w:after="0"/>
              <w:rPr>
                <w:sz w:val="18"/>
                <w:szCs w:val="18"/>
                <w:color w:val="auto"/>
              </w:rPr>
            </w:pPr>
          </w:p>
        </w:tc>
        <w:tc>
          <w:tcPr>
            <w:tcW w:w="154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4"/>
              </w:rPr>
              <w:t>Iowa</w:t>
            </w:r>
          </w:p>
        </w:tc>
        <w:tc>
          <w:tcPr>
            <w:tcW w:w="200" w:type="dxa"/>
            <w:vAlign w:val="bottom"/>
            <w:shd w:val="clear" w:color="auto" w:fill="D6F3E8"/>
          </w:tcPr>
          <w:p>
            <w:pPr>
              <w:spacing w:after="0"/>
              <w:rPr>
                <w:sz w:val="18"/>
                <w:szCs w:val="18"/>
                <w:color w:val="auto"/>
              </w:rPr>
            </w:pPr>
          </w:p>
        </w:tc>
        <w:tc>
          <w:tcPr>
            <w:tcW w:w="164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2"/>
              </w:rPr>
              <w:t>Parent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Winnebago Acceptance Corporation</w:t>
            </w:r>
          </w:p>
        </w:tc>
        <w:tc>
          <w:tcPr>
            <w:tcW w:w="3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Iowa</w:t>
            </w:r>
          </w:p>
        </w:tc>
        <w:tc>
          <w:tcPr>
            <w:tcW w:w="184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D6F3E8"/>
          </w:tcPr>
          <w:p>
            <w:pPr>
              <w:spacing w:after="0"/>
              <w:rPr>
                <w:sz w:val="20"/>
                <w:szCs w:val="20"/>
                <w:color w:val="auto"/>
              </w:rPr>
            </w:pPr>
            <w:r>
              <w:rPr>
                <w:rFonts w:ascii="Arial" w:cs="Arial" w:eastAsia="Arial" w:hAnsi="Arial"/>
                <w:sz w:val="18"/>
                <w:szCs w:val="18"/>
                <w:color w:val="auto"/>
              </w:rPr>
              <w:t>Winnebago R.V., Inc.</w:t>
            </w:r>
          </w:p>
        </w:tc>
        <w:tc>
          <w:tcPr>
            <w:tcW w:w="300" w:type="dxa"/>
            <w:vAlign w:val="bottom"/>
            <w:shd w:val="clear" w:color="auto" w:fill="D6F3E8"/>
          </w:tcPr>
          <w:p>
            <w:pPr>
              <w:spacing w:after="0"/>
              <w:rPr>
                <w:sz w:val="18"/>
                <w:szCs w:val="18"/>
                <w:color w:val="auto"/>
              </w:rPr>
            </w:pPr>
          </w:p>
        </w:tc>
        <w:tc>
          <w:tcPr>
            <w:tcW w:w="154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Delaware</w:t>
            </w:r>
          </w:p>
        </w:tc>
        <w:tc>
          <w:tcPr>
            <w:tcW w:w="1840" w:type="dxa"/>
            <w:vAlign w:val="bottom"/>
            <w:gridSpan w:val="2"/>
            <w:shd w:val="clear" w:color="auto" w:fill="D6F3E8"/>
          </w:tcPr>
          <w:p>
            <w:pPr>
              <w:jc w:val="center"/>
              <w:ind w:left="112"/>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7"/>
        </w:trPr>
        <w:tc>
          <w:tcPr>
            <w:tcW w:w="20" w:type="dxa"/>
            <w:vAlign w:val="bottom"/>
            <w:tcBorders>
              <w:bottom w:val="single" w:sz="8" w:color="808080"/>
            </w:tcBorders>
          </w:tcPr>
          <w:p>
            <w:pPr>
              <w:spacing w:after="0"/>
              <w:rPr>
                <w:sz w:val="24"/>
                <w:szCs w:val="24"/>
                <w:color w:val="auto"/>
              </w:rPr>
            </w:pPr>
          </w:p>
        </w:tc>
        <w:tc>
          <w:tcPr>
            <w:tcW w:w="7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51" w:name="page52"/>
    <w:bookmarkEnd w:id="51"/>
    <w:p>
      <w:pPr>
        <w:ind w:left="5040"/>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CERTIFICATION BY CHIEF EXECUTIVE OFFICER</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PURSUANT TO 18 U.S.C. SECTION 1350,</w:t>
      </w:r>
    </w:p>
    <w:p>
      <w:pPr>
        <w:ind w:left="350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79" w:lineRule="exact"/>
        <w:rPr>
          <w:sz w:val="20"/>
          <w:szCs w:val="20"/>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Winnebago Industries, Inc. (the “Registrant”);</w:t>
      </w:r>
    </w:p>
    <w:p>
      <w:pPr>
        <w:spacing w:after="0" w:line="211" w:lineRule="exact"/>
        <w:rPr>
          <w:rFonts w:ascii="Arial" w:cs="Arial" w:eastAsia="Arial" w:hAnsi="Arial"/>
          <w:sz w:val="18"/>
          <w:szCs w:val="18"/>
          <w:color w:val="auto"/>
        </w:rPr>
      </w:pPr>
    </w:p>
    <w:p>
      <w:pPr>
        <w:ind w:left="920" w:right="120" w:hanging="453"/>
        <w:spacing w:after="0" w:line="259"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0" w:lineRule="exact"/>
        <w:rPr>
          <w:rFonts w:ascii="Arial" w:cs="Arial" w:eastAsia="Arial" w:hAnsi="Arial"/>
          <w:sz w:val="18"/>
          <w:szCs w:val="18"/>
          <w:color w:val="auto"/>
        </w:rPr>
      </w:pPr>
    </w:p>
    <w:p>
      <w:pPr>
        <w:ind w:left="920" w:right="320" w:hanging="453"/>
        <w:spacing w:after="0" w:line="370" w:lineRule="auto"/>
        <w:tabs>
          <w:tab w:leader="none" w:pos="9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2" w:lineRule="exact"/>
        <w:rPr>
          <w:rFonts w:ascii="Arial" w:cs="Arial" w:eastAsia="Arial" w:hAnsi="Arial"/>
          <w:sz w:val="15"/>
          <w:szCs w:val="15"/>
          <w:color w:val="auto"/>
        </w:rPr>
      </w:pPr>
    </w:p>
    <w:p>
      <w:pPr>
        <w:ind w:left="920" w:right="20" w:hanging="453"/>
        <w:spacing w:after="0" w:line="259"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1500" w:hanging="587"/>
        <w:spacing w:after="0" w:line="306" w:lineRule="auto"/>
        <w:tabs>
          <w:tab w:leader="none" w:pos="15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7" w:lineRule="exact"/>
        <w:rPr>
          <w:rFonts w:ascii="Arial" w:cs="Arial" w:eastAsia="Arial" w:hAnsi="Arial"/>
          <w:sz w:val="16"/>
          <w:szCs w:val="16"/>
          <w:color w:val="auto"/>
        </w:rPr>
      </w:pPr>
    </w:p>
    <w:p>
      <w:pPr>
        <w:jc w:val="both"/>
        <w:ind w:left="1500" w:right="240" w:hanging="587"/>
        <w:spacing w:after="0" w:line="259" w:lineRule="auto"/>
        <w:tabs>
          <w:tab w:leader="none" w:pos="15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1500" w:right="40" w:hanging="587"/>
        <w:spacing w:after="0" w:line="259" w:lineRule="auto"/>
        <w:tabs>
          <w:tab w:leader="none" w:pos="15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(the “Evaluation Date”) based on such evaluation; and</w:t>
      </w:r>
    </w:p>
    <w:p>
      <w:pPr>
        <w:spacing w:after="0" w:line="180" w:lineRule="exact"/>
        <w:rPr>
          <w:rFonts w:ascii="Arial" w:cs="Arial" w:eastAsia="Arial" w:hAnsi="Arial"/>
          <w:sz w:val="18"/>
          <w:szCs w:val="18"/>
          <w:color w:val="auto"/>
        </w:rPr>
      </w:pPr>
    </w:p>
    <w:p>
      <w:pPr>
        <w:jc w:val="both"/>
        <w:ind w:left="1500" w:right="60" w:hanging="587"/>
        <w:spacing w:after="0" w:line="259" w:lineRule="auto"/>
        <w:tabs>
          <w:tab w:leader="none" w:pos="15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 and,</w:t>
      </w:r>
    </w:p>
    <w:p>
      <w:pPr>
        <w:spacing w:after="0" w:line="180" w:lineRule="exact"/>
        <w:rPr>
          <w:rFonts w:ascii="Arial" w:cs="Arial" w:eastAsia="Arial" w:hAnsi="Arial"/>
          <w:sz w:val="18"/>
          <w:szCs w:val="18"/>
          <w:color w:val="auto"/>
        </w:rPr>
      </w:pPr>
    </w:p>
    <w:p>
      <w:pPr>
        <w:ind w:left="920" w:right="80" w:hanging="453"/>
        <w:spacing w:after="0" w:line="332"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500" w:right="680" w:hanging="587"/>
        <w:spacing w:after="0" w:line="332" w:lineRule="auto"/>
        <w:tabs>
          <w:tab w:leader="none" w:pos="15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500" w:right="300" w:hanging="587"/>
        <w:spacing w:after="0" w:line="268" w:lineRule="auto"/>
        <w:tabs>
          <w:tab w:leader="none" w:pos="15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2006</w:t>
      </w:r>
    </w:p>
    <w:p>
      <w:pPr>
        <w:spacing w:after="0" w:line="3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97155</wp:posOffset>
            </wp:positionV>
            <wp:extent cx="299275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7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Bruce D. Hertzke</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52" w:name="page53"/>
    <w:bookmarkEnd w:id="52"/>
    <w:p>
      <w:pPr>
        <w:ind w:left="5040"/>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CERTIFICATION BY CHIEF FINANCIAL OFFICER</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18 U.S.C. SECTION 1350,</w:t>
      </w:r>
    </w:p>
    <w:p>
      <w:pPr>
        <w:jc w:val="center"/>
        <w:ind w:right="-59"/>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79"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Winnebago Industries, Inc. (the “Registrant”);</w:t>
      </w:r>
    </w:p>
    <w:p>
      <w:pPr>
        <w:spacing w:after="0" w:line="211" w:lineRule="exact"/>
        <w:rPr>
          <w:rFonts w:ascii="Arial" w:cs="Arial" w:eastAsia="Arial" w:hAnsi="Arial"/>
          <w:sz w:val="18"/>
          <w:szCs w:val="18"/>
          <w:color w:val="auto"/>
        </w:rPr>
      </w:pPr>
    </w:p>
    <w:p>
      <w:pPr>
        <w:ind w:left="920" w:right="120" w:hanging="453"/>
        <w:spacing w:after="0" w:line="259"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0" w:lineRule="exact"/>
        <w:rPr>
          <w:rFonts w:ascii="Arial" w:cs="Arial" w:eastAsia="Arial" w:hAnsi="Arial"/>
          <w:sz w:val="18"/>
          <w:szCs w:val="18"/>
          <w:color w:val="auto"/>
        </w:rPr>
      </w:pPr>
    </w:p>
    <w:p>
      <w:pPr>
        <w:ind w:left="920" w:right="320" w:hanging="453"/>
        <w:spacing w:after="0" w:line="370" w:lineRule="auto"/>
        <w:tabs>
          <w:tab w:leader="none" w:pos="9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2" w:lineRule="exact"/>
        <w:rPr>
          <w:rFonts w:ascii="Arial" w:cs="Arial" w:eastAsia="Arial" w:hAnsi="Arial"/>
          <w:sz w:val="15"/>
          <w:szCs w:val="15"/>
          <w:color w:val="auto"/>
        </w:rPr>
      </w:pPr>
    </w:p>
    <w:p>
      <w:pPr>
        <w:ind w:left="920" w:right="20" w:hanging="453"/>
        <w:spacing w:after="0" w:line="259"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1500" w:hanging="587"/>
        <w:spacing w:after="0" w:line="306" w:lineRule="auto"/>
        <w:tabs>
          <w:tab w:leader="none" w:pos="15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7" w:lineRule="exact"/>
        <w:rPr>
          <w:rFonts w:ascii="Arial" w:cs="Arial" w:eastAsia="Arial" w:hAnsi="Arial"/>
          <w:sz w:val="16"/>
          <w:szCs w:val="16"/>
          <w:color w:val="auto"/>
        </w:rPr>
      </w:pPr>
    </w:p>
    <w:p>
      <w:pPr>
        <w:jc w:val="both"/>
        <w:ind w:left="1500" w:right="240" w:hanging="587"/>
        <w:spacing w:after="0" w:line="259"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1500" w:right="40" w:hanging="587"/>
        <w:spacing w:after="0" w:line="259"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(the “Evaluation Date”) based on such evaluation; and</w:t>
      </w:r>
    </w:p>
    <w:p>
      <w:pPr>
        <w:spacing w:after="0" w:line="180" w:lineRule="exact"/>
        <w:rPr>
          <w:rFonts w:ascii="Arial" w:cs="Arial" w:eastAsia="Arial" w:hAnsi="Arial"/>
          <w:sz w:val="18"/>
          <w:szCs w:val="18"/>
          <w:color w:val="auto"/>
        </w:rPr>
      </w:pPr>
    </w:p>
    <w:p>
      <w:pPr>
        <w:jc w:val="both"/>
        <w:ind w:left="1500" w:right="60" w:hanging="587"/>
        <w:spacing w:after="0" w:line="259"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 and,</w:t>
      </w:r>
    </w:p>
    <w:p>
      <w:pPr>
        <w:spacing w:after="0" w:line="180" w:lineRule="exact"/>
        <w:rPr>
          <w:rFonts w:ascii="Arial" w:cs="Arial" w:eastAsia="Arial" w:hAnsi="Arial"/>
          <w:sz w:val="18"/>
          <w:szCs w:val="18"/>
          <w:color w:val="auto"/>
        </w:rPr>
      </w:pPr>
    </w:p>
    <w:p>
      <w:pPr>
        <w:ind w:left="920" w:right="80" w:hanging="453"/>
        <w:spacing w:after="0" w:line="332" w:lineRule="auto"/>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500" w:right="680" w:hanging="587"/>
        <w:spacing w:after="0" w:line="332" w:lineRule="auto"/>
        <w:tabs>
          <w:tab w:leader="none" w:pos="15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500" w:right="300" w:hanging="587"/>
        <w:spacing w:after="0" w:line="268"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2006</w:t>
      </w:r>
    </w:p>
    <w:p>
      <w:pPr>
        <w:spacing w:after="0" w:line="3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97155</wp:posOffset>
            </wp:positionV>
            <wp:extent cx="299275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7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Sarah N. Nielsen</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53" w:name="page54"/>
    <w:bookmarkEnd w:id="53"/>
    <w:p>
      <w:pPr>
        <w:ind w:left="5160"/>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OF THE SARBANES-OXLEY ACT OF 2002</w:t>
      </w:r>
    </w:p>
    <w:p>
      <w:pPr>
        <w:jc w:val="center"/>
        <w:ind w:right="-159"/>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this Annual Report on Form 10-K of Winnebago Industries, Inc. for the period ended August 26, 2006, I, Bruce D. Hertzke, Chairman of the Board and Chief Executive Officer of Winnebago Industries, Inc., certifies that pursuant to 18 U.S.C. §1350 as adopted pursuant to §906 of the Sarbanes-Oxley Act of 2002, that:</w:t>
      </w:r>
    </w:p>
    <w:p>
      <w:pPr>
        <w:spacing w:after="0" w:line="248" w:lineRule="exact"/>
        <w:rPr>
          <w:sz w:val="20"/>
          <w:szCs w:val="20"/>
          <w:color w:val="auto"/>
        </w:rPr>
      </w:pPr>
    </w:p>
    <w:p>
      <w:pPr>
        <w:ind w:left="1160" w:right="20" w:hanging="558"/>
        <w:spacing w:after="0" w:line="259"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Annual Report on Form 10-K (“periodic report”) of Winnebago Industries, Inc. (the “issuer”), for the fiscal year ended August 26, 2006 as filed with the Securities and Exchange Commission on the date of this certificate, which this statement accompanies, fully complies with the requirements of Section 13(a) or 15(d) of the Securities Exchange Act of 1934, and</w:t>
      </w:r>
    </w:p>
    <w:p>
      <w:pPr>
        <w:spacing w:after="0" w:line="180" w:lineRule="exact"/>
        <w:rPr>
          <w:rFonts w:ascii="Arial" w:cs="Arial" w:eastAsia="Arial" w:hAnsi="Arial"/>
          <w:sz w:val="18"/>
          <w:szCs w:val="18"/>
          <w:color w:val="auto"/>
        </w:rPr>
      </w:pPr>
    </w:p>
    <w:p>
      <w:pPr>
        <w:ind w:left="1160" w:hanging="558"/>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81" w:lineRule="exact"/>
        <w:rPr>
          <w:sz w:val="20"/>
          <w:szCs w:val="20"/>
          <w:color w:val="auto"/>
        </w:rPr>
      </w:pPr>
    </w:p>
    <w:p>
      <w:pPr>
        <w:ind w:left="580"/>
        <w:spacing w:after="0"/>
        <w:tabs>
          <w:tab w:leader="none" w:pos="1360" w:val="left"/>
          <w:tab w:leader="none" w:pos="5560" w:val="left"/>
          <w:tab w:leader="none" w:pos="6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97155</wp:posOffset>
            </wp:positionV>
            <wp:extent cx="308737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7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Bruce D. Hertzke</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6757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12" w:right="379" w:bottom="1440" w:gutter="0" w:footer="0" w:header="0"/>
        </w:sectPr>
      </w:pPr>
    </w:p>
    <w:bookmarkStart w:id="54" w:name="page55"/>
    <w:bookmarkEnd w:id="54"/>
    <w:p>
      <w:pPr>
        <w:ind w:left="5160"/>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OF THE SARBANES-OXLEY ACT OF 2002</w:t>
      </w:r>
    </w:p>
    <w:p>
      <w:pPr>
        <w:jc w:val="center"/>
        <w:ind w:right="-159"/>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connection with this Annual Report on Form 10-K of Winnebago Industries, Inc. for the period ended August 26, 2006, I, Sarah N. Nielsen, Chief Financial Officer of Winnebago Industries, Inc., certifies that pursuant to 18 U.S.C. §1350 as adopted pursuant to §906 of the Sarbanes-Oxley Act of 2002, that:</w:t>
      </w:r>
    </w:p>
    <w:p>
      <w:pPr>
        <w:spacing w:after="0" w:line="193" w:lineRule="exact"/>
        <w:rPr>
          <w:sz w:val="20"/>
          <w:szCs w:val="20"/>
          <w:color w:val="auto"/>
        </w:rPr>
      </w:pPr>
    </w:p>
    <w:p>
      <w:pPr>
        <w:ind w:left="1160" w:right="20" w:hanging="558"/>
        <w:spacing w:after="0" w:line="25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Annual Report on Form 10-K (“periodic report”) of Winnebago Industries, Inc. (the “issuer”), for the fiscal year ended August 26, 2006 as filed with the Securities and Exchange Commission on the date of this certificate, which this statement accompanies, fully complies with the requirements of Section 13(a) or 15(d) of the Securities Exchange Act of 1934, and</w:t>
      </w:r>
    </w:p>
    <w:p>
      <w:pPr>
        <w:spacing w:after="0" w:line="180" w:lineRule="exact"/>
        <w:rPr>
          <w:rFonts w:ascii="Arial" w:cs="Arial" w:eastAsia="Arial" w:hAnsi="Arial"/>
          <w:sz w:val="18"/>
          <w:szCs w:val="18"/>
          <w:color w:val="auto"/>
        </w:rPr>
      </w:pPr>
    </w:p>
    <w:p>
      <w:pPr>
        <w:ind w:left="1160" w:hanging="558"/>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600"/>
        <w:spacing w:after="0"/>
        <w:tabs>
          <w:tab w:leader="none" w:pos="1360" w:val="left"/>
          <w:tab w:leader="none" w:pos="5560" w:val="left"/>
          <w:tab w:leader="none" w:pos="6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97155</wp:posOffset>
            </wp:positionV>
            <wp:extent cx="308737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7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Sarah N. Nielsen</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6757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80"/>
      </w:cols>
      <w:pgMar w:left="24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lvl w:ilvl="1">
      <w:lvlJc w:val="left"/>
      <w:lvlText w:val="%2."/>
      <w:numFmt w:val="decimal"/>
      <w:start w:val="2"/>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2019-12-13T08:26:02Z</dcterms:created>
  <dcterms:modified xsi:type="dcterms:W3CDTF">2019-12-13T08:26:02Z</dcterms:modified>
</cp:coreProperties>
</file>