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9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5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4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-652780</wp:posOffset>
            </wp:positionV>
            <wp:extent cx="59690" cy="66611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61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4148455</wp:posOffset>
            </wp:positionH>
            <wp:positionV relativeFrom="paragraph">
              <wp:posOffset>-652780</wp:posOffset>
            </wp:positionV>
            <wp:extent cx="59690" cy="66611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61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-1696085</wp:posOffset>
            </wp:positionH>
            <wp:positionV relativeFrom="paragraph">
              <wp:posOffset>20955</wp:posOffset>
            </wp:positionV>
            <wp:extent cx="7322820" cy="495617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49561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ENGLAND JOSEPH W</w:t>
        </w:r>
      </w:hyperlink>
    </w:p>
    <w:p>
      <w:pPr>
        <w:spacing w:after="0" w:line="31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8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WINNEBAGO INDUSTRIES, INC.</w:t>
            </w:r>
          </w:p>
        </w:tc>
      </w:tr>
      <w:tr>
        <w:trPr>
          <w:trHeight w:val="26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P.O. BOX 152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15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69"/>
        </w:trPr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4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FOREST CITY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IA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50436</w:t>
            </w:r>
          </w:p>
        </w:tc>
      </w:tr>
      <w:tr>
        <w:trPr>
          <w:trHeight w:val="15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3980" w:type="dxa"/>
            <w:vAlign w:val="bottom"/>
            <w:gridSpan w:val="4"/>
          </w:tcPr>
          <w:p>
            <w:pPr>
              <w:ind w:left="80"/>
              <w:spacing w:after="0" w:line="21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8"/>
                </w:rPr>
                <w:t xml:space="preserve">WINNEBAGO INDUSTRIES INC </w:t>
              </w:r>
            </w:hyperlink>
            <w:r>
              <w:rPr>
                <w:rFonts w:ascii="Arial" w:cs="Arial" w:eastAsia="Arial" w:hAnsi="Arial"/>
                <w:sz w:val="22"/>
                <w:szCs w:val="22"/>
                <w:color w:val="000000"/>
                <w:w w:val="98"/>
              </w:rPr>
              <w:t>[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  <w:t xml:space="preserve">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WGO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  <w:t xml:space="preserve"> </w:t>
            </w:r>
            <w:r>
              <w:rPr>
                <w:rFonts w:ascii="Arial" w:cs="Arial" w:eastAsia="Arial" w:hAnsi="Arial"/>
                <w:sz w:val="22"/>
                <w:szCs w:val="22"/>
                <w:color w:val="000000"/>
                <w:w w:val="98"/>
              </w:rPr>
              <w:t>]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4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31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03/31/2011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260"/>
        <w:spacing w:after="0" w:line="236" w:lineRule="auto"/>
        <w:tabs>
          <w:tab w:leader="none" w:pos="45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4" w:lineRule="exact"/>
        <w:rPr>
          <w:sz w:val="24"/>
          <w:szCs w:val="24"/>
          <w:color w:val="auto"/>
        </w:rPr>
      </w:pP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9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520"/>
          </w:cols>
          <w:pgMar w:left="240" w:top="226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1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Winnebago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375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 w:line="3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w w:val="93"/>
                <w:vertAlign w:val="subscript"/>
              </w:rPr>
              <w:t>375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93"/>
              </w:rPr>
              <w:t>(2)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25,911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20" w:type="dxa"/>
            <w:vAlign w:val="bottom"/>
          </w:tcPr>
          <w:p>
            <w:pPr>
              <w:jc w:val="right"/>
              <w:ind w:right="1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03/31/2011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13.615</w:t>
            </w: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jc w:val="both"/>
        <w:ind w:left="40" w:right="320" w:firstLine="8"/>
        <w:spacing w:after="0" w:line="255" w:lineRule="auto"/>
        <w:tabs>
          <w:tab w:leader="none" w:pos="17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Winnebago Stock Units are accrued under the Winnebago Industries, Inc. Directors Deferred Compensation Plan and are to be settled 100% in Winnebago common stock upon the earliest of the following events: reporting person's termination of service as a director, death, disability or a "change in the effective control of the Company" as defined in the Plan pursuant to an election made by reporting person on 12/15/2010.</w:t>
      </w:r>
    </w:p>
    <w:p>
      <w:pPr>
        <w:spacing w:after="0" w:line="2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amount of Winnebago Stock Units acquired by reporting person on the transaction date.</w:t>
      </w:r>
    </w:p>
    <w:p>
      <w:pPr>
        <w:spacing w:after="0" w:line="52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total amount of Winnebago Stock Units held by reporting person in Winnebago Industries, Inc. Directors Deferred Compensation Plan as of reporting date.</w:t>
      </w:r>
    </w:p>
    <w:p>
      <w:pPr>
        <w:sectPr>
          <w:pgSz w:w="11900" w:h="16838" w:orient="portrait"/>
          <w:cols w:equalWidth="0" w:num="1">
            <w:col w:w="11520"/>
          </w:cols>
          <w:pgMar w:left="240" w:top="226" w:right="139" w:bottom="1440" w:gutter="0" w:footer="0" w:header="0"/>
          <w:type w:val="continuous"/>
        </w:sectPr>
      </w:pPr>
    </w:p>
    <w:p>
      <w:pPr>
        <w:spacing w:after="0" w:line="82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/s/ Raymond M. Beebe,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-6985</wp:posOffset>
            </wp:positionV>
            <wp:extent cx="1052195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5219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Secretary, Winnebago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-11430</wp:posOffset>
            </wp:positionV>
            <wp:extent cx="97536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53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Industries, Inc. under Power of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2540</wp:posOffset>
            </wp:positionV>
            <wp:extent cx="137604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604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3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Attorney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-11430</wp:posOffset>
            </wp:positionV>
            <wp:extent cx="39497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497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5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1200" w:firstLine="8"/>
        <w:spacing w:after="0" w:line="322" w:lineRule="auto"/>
        <w:tabs>
          <w:tab w:leader="none" w:pos="18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38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04/01/2011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</wp:posOffset>
            </wp:positionH>
            <wp:positionV relativeFrom="paragraph">
              <wp:posOffset>6985</wp:posOffset>
            </wp:positionV>
            <wp:extent cx="501650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65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84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9020" w:space="120"/>
            <w:col w:w="2380"/>
          </w:cols>
          <w:pgMar w:left="240" w:top="226" w:right="1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2" Type="http://schemas.openxmlformats.org/officeDocument/2006/relationships/hyperlink" Target="http://www.sec.gov/cgi-bin/browse-edgar?action=getcompany&amp;CIK=0001055702" TargetMode="External"/><Relationship Id="rId13" Type="http://schemas.openxmlformats.org/officeDocument/2006/relationships/hyperlink" Target="http://www.sec.gov/cgi-bin/browse-edgar?action=getcompany&amp;CIK=000010768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2019-12-16T08:00:12Z</dcterms:created>
  <dcterms:modified xsi:type="dcterms:W3CDTF">2019-12-16T08:00:12Z</dcterms:modified>
</cp:coreProperties>
</file>