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x Quarterly Report Pursuant 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For the Quarterly Period Ended May 26, 2007</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or</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For the transition period from ____________ to ____________</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90"/>
              </w:rPr>
              <w:t>Iowa</w:t>
            </w:r>
          </w:p>
        </w:tc>
        <w:tc>
          <w:tcPr>
            <w:tcW w:w="3720" w:type="dxa"/>
            <w:vAlign w:val="bottom"/>
          </w:tcPr>
          <w:p>
            <w:pPr>
              <w:jc w:val="right"/>
              <w:ind w:right="1482"/>
              <w:spacing w:after="0"/>
              <w:rPr>
                <w:sz w:val="20"/>
                <w:szCs w:val="20"/>
                <w:color w:val="auto"/>
              </w:rPr>
            </w:pPr>
            <w:r>
              <w:rPr>
                <w:rFonts w:ascii="Arial" w:cs="Arial" w:eastAsia="Arial" w:hAnsi="Arial"/>
                <w:sz w:val="22"/>
                <w:szCs w:val="22"/>
                <w:color w:val="auto"/>
              </w:rPr>
              <w:t>001-06403</w:t>
            </w:r>
          </w:p>
        </w:tc>
        <w:tc>
          <w:tcPr>
            <w:tcW w:w="2380" w:type="dxa"/>
            <w:vAlign w:val="bottom"/>
          </w:tcPr>
          <w:p>
            <w:pPr>
              <w:jc w:val="right"/>
              <w:ind w:right="44"/>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88"/>
              </w:rPr>
              <w:t>(State or Other Jurisdiction</w:t>
            </w:r>
          </w:p>
        </w:tc>
        <w:tc>
          <w:tcPr>
            <w:tcW w:w="3720" w:type="dxa"/>
            <w:vAlign w:val="bottom"/>
          </w:tcPr>
          <w:p>
            <w:pPr>
              <w:jc w:val="center"/>
              <w:ind w:right="242"/>
              <w:spacing w:after="0"/>
              <w:rPr>
                <w:sz w:val="20"/>
                <w:szCs w:val="20"/>
                <w:color w:val="auto"/>
              </w:rPr>
            </w:pPr>
            <w:r>
              <w:rPr>
                <w:rFonts w:ascii="Arial" w:cs="Arial" w:eastAsia="Arial" w:hAnsi="Arial"/>
                <w:sz w:val="18"/>
                <w:szCs w:val="18"/>
                <w:color w:val="auto"/>
                <w:w w:val="90"/>
              </w:rPr>
              <w:t>(Commission File Number)</w:t>
            </w: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of Incorporation or Organization)</w:t>
            </w:r>
          </w:p>
        </w:tc>
        <w:tc>
          <w:tcPr>
            <w:tcW w:w="3720" w:type="dxa"/>
            <w:vAlign w:val="bottom"/>
          </w:tcPr>
          <w:p>
            <w:pPr>
              <w:spacing w:after="0"/>
              <w:rPr>
                <w:sz w:val="21"/>
                <w:szCs w:val="21"/>
                <w:color w:val="auto"/>
              </w:rPr>
            </w:pP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88"/>
              </w:rPr>
              <w:t>P.O. Box 152, Forest City, Iowa</w:t>
            </w:r>
          </w:p>
        </w:tc>
        <w:tc>
          <w:tcPr>
            <w:tcW w:w="372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(Address of Principal Executive Offices)</w:t>
            </w:r>
          </w:p>
        </w:tc>
        <w:tc>
          <w:tcPr>
            <w:tcW w:w="372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bl>
    <w:p>
      <w:pPr>
        <w:spacing w:after="0" w:line="22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Registrant’s telephone number, including area code: (641) 585-3535</w:t>
      </w:r>
    </w:p>
    <w:p>
      <w:pPr>
        <w:spacing w:after="0" w:line="233" w:lineRule="exact"/>
        <w:rPr>
          <w:sz w:val="24"/>
          <w:szCs w:val="24"/>
          <w:color w:val="auto"/>
        </w:rPr>
      </w:pPr>
    </w:p>
    <w:p>
      <w:pPr>
        <w:ind w:firstLine="486"/>
        <w:spacing w:after="0" w:line="258"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b w:val="1"/>
          <w:bCs w:val="1"/>
          <w:color w:val="auto"/>
        </w:rPr>
        <w:t>x</w:t>
      </w:r>
      <w:r>
        <w:rPr>
          <w:rFonts w:ascii="Arial" w:cs="Arial" w:eastAsia="Arial" w:hAnsi="Arial"/>
          <w:sz w:val="21"/>
          <w:szCs w:val="21"/>
          <w:color w:val="auto"/>
        </w:rPr>
        <w:t xml:space="preserve"> No </w:t>
      </w:r>
      <w:r>
        <w:rPr>
          <w:rFonts w:ascii="Arial" w:cs="Arial" w:eastAsia="Arial" w:hAnsi="Arial"/>
          <w:sz w:val="21"/>
          <w:szCs w:val="21"/>
          <w:b w:val="1"/>
          <w:bCs w:val="1"/>
          <w:color w:val="auto"/>
        </w:rPr>
        <w:t>o</w:t>
      </w:r>
    </w:p>
    <w:p>
      <w:pPr>
        <w:spacing w:after="0" w:line="194" w:lineRule="exact"/>
        <w:rPr>
          <w:sz w:val="24"/>
          <w:szCs w:val="24"/>
          <w:color w:val="auto"/>
        </w:rPr>
      </w:pPr>
    </w:p>
    <w:p>
      <w:pPr>
        <w:ind w:right="140" w:firstLine="486"/>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See definition of “accelerated filer and large accelerated filer” in Rule 12b-2 of the Exchange Act. Large accelerated filer x Accelerated filer o Non-accelerated filer o</w:t>
      </w:r>
    </w:p>
    <w:p>
      <w:pPr>
        <w:spacing w:after="0" w:line="213" w:lineRule="exact"/>
        <w:rPr>
          <w:sz w:val="24"/>
          <w:szCs w:val="24"/>
          <w:color w:val="auto"/>
        </w:rPr>
      </w:pPr>
    </w:p>
    <w:p>
      <w:pPr>
        <w:ind w:right="960" w:firstLine="486"/>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The number of shares of common stock, par value $0.50 per share, outstanding on June 22, 2007 was 30,781,591.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REPORT ON FORM 10-Q</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5020" w:type="dxa"/>
            <w:vAlign w:val="bottom"/>
            <w:gridSpan w:val="6"/>
            <w:vMerge w:val="restart"/>
          </w:tcPr>
          <w:p>
            <w:pPr>
              <w:spacing w:after="0"/>
              <w:rPr>
                <w:sz w:val="20"/>
                <w:szCs w:val="20"/>
                <w:color w:val="auto"/>
              </w:rPr>
            </w:pPr>
            <w:r>
              <w:rPr>
                <w:rFonts w:ascii="Arial" w:cs="Arial" w:eastAsia="Arial" w:hAnsi="Arial"/>
                <w:sz w:val="18"/>
                <w:szCs w:val="18"/>
                <w:color w:val="auto"/>
              </w:rPr>
              <w:t>FINANCIAL INFORMATION:</w:t>
            </w:r>
          </w:p>
        </w:tc>
        <w:tc>
          <w:tcPr>
            <w:tcW w:w="5240" w:type="dxa"/>
            <w:vAlign w:val="bottom"/>
            <w:gridSpan w:val="2"/>
          </w:tcPr>
          <w:p>
            <w:pPr>
              <w:jc w:val="center"/>
              <w:ind w:left="4192"/>
              <w:spacing w:after="0"/>
              <w:rPr>
                <w:sz w:val="20"/>
                <w:szCs w:val="20"/>
                <w:color w:val="auto"/>
              </w:rPr>
            </w:pPr>
            <w:r>
              <w:rPr>
                <w:rFonts w:ascii="Arial" w:cs="Arial" w:eastAsia="Arial" w:hAnsi="Arial"/>
                <w:sz w:val="18"/>
                <w:szCs w:val="18"/>
                <w:color w:val="auto"/>
                <w:w w:val="86"/>
              </w:rPr>
              <w:t>Page Number</w:t>
            </w:r>
          </w:p>
        </w:tc>
        <w:tc>
          <w:tcPr>
            <w:tcW w:w="0" w:type="dxa"/>
            <w:vAlign w:val="bottom"/>
          </w:tcPr>
          <w:p>
            <w:pPr>
              <w:spacing w:after="0"/>
              <w:rPr>
                <w:sz w:val="1"/>
                <w:szCs w:val="1"/>
                <w:color w:val="auto"/>
              </w:rPr>
            </w:pPr>
          </w:p>
        </w:tc>
      </w:tr>
      <w:tr>
        <w:trPr>
          <w:trHeight w:val="235"/>
        </w:trPr>
        <w:tc>
          <w:tcPr>
            <w:tcW w:w="1000" w:type="dxa"/>
            <w:vAlign w:val="bottom"/>
            <w:vMerge w:val="continue"/>
          </w:tcPr>
          <w:p>
            <w:pPr>
              <w:spacing w:after="0"/>
              <w:rPr>
                <w:sz w:val="20"/>
                <w:szCs w:val="20"/>
                <w:color w:val="auto"/>
              </w:rPr>
            </w:pPr>
          </w:p>
        </w:tc>
        <w:tc>
          <w:tcPr>
            <w:tcW w:w="5020" w:type="dxa"/>
            <w:vAlign w:val="bottom"/>
            <w:gridSpan w:val="6"/>
            <w:vMerge w:val="continue"/>
          </w:tcPr>
          <w:p>
            <w:pPr>
              <w:spacing w:after="0"/>
              <w:rPr>
                <w:sz w:val="20"/>
                <w:szCs w:val="20"/>
                <w:color w:val="auto"/>
              </w:rPr>
            </w:pPr>
          </w:p>
        </w:tc>
        <w:tc>
          <w:tcPr>
            <w:tcW w:w="42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50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4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Unaudited Consolidated Statements of Income</w:t>
              </w:r>
            </w:hyperlink>
          </w:p>
        </w:tc>
        <w:tc>
          <w:tcPr>
            <w:tcW w:w="1400" w:type="dxa"/>
            <w:vAlign w:val="bottom"/>
            <w:gridSpan w:val="2"/>
          </w:tcPr>
          <w:p>
            <w:pPr>
              <w:spacing w:after="0"/>
              <w:rPr>
                <w:sz w:val="17"/>
                <w:szCs w:val="17"/>
                <w:color w:val="auto"/>
              </w:rPr>
            </w:pPr>
          </w:p>
        </w:tc>
        <w:tc>
          <w:tcPr>
            <w:tcW w:w="5240" w:type="dxa"/>
            <w:vAlign w:val="bottom"/>
            <w:gridSpan w:val="2"/>
          </w:tcPr>
          <w:p>
            <w:pPr>
              <w:jc w:val="center"/>
              <w:ind w:left="4172"/>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2">
              <w:r>
                <w:rPr>
                  <w:rFonts w:ascii="Arial" w:cs="Arial" w:eastAsia="Arial" w:hAnsi="Arial"/>
                  <w:sz w:val="18"/>
                  <w:szCs w:val="18"/>
                  <w:color w:val="0000EE"/>
                  <w:w w:val="86"/>
                </w:rPr>
                <w:t>Unaudited Consolidated Balance Sheets</w:t>
              </w:r>
            </w:hyperlink>
          </w:p>
        </w:tc>
        <w:tc>
          <w:tcPr>
            <w:tcW w:w="1860" w:type="dxa"/>
            <w:vAlign w:val="bottom"/>
            <w:gridSpan w:val="3"/>
          </w:tcPr>
          <w:p>
            <w:pPr>
              <w:spacing w:after="0"/>
              <w:rPr>
                <w:sz w:val="17"/>
                <w:szCs w:val="17"/>
                <w:color w:val="auto"/>
              </w:rPr>
            </w:pPr>
          </w:p>
        </w:tc>
        <w:tc>
          <w:tcPr>
            <w:tcW w:w="5240" w:type="dxa"/>
            <w:vAlign w:val="bottom"/>
            <w:gridSpan w:val="2"/>
          </w:tcPr>
          <w:p>
            <w:pPr>
              <w:jc w:val="center"/>
              <w:ind w:left="4172"/>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Consolidated Statements of Cash Flows</w:t>
              </w:r>
            </w:hyperlink>
          </w:p>
        </w:tc>
        <w:tc>
          <w:tcPr>
            <w:tcW w:w="1100" w:type="dxa"/>
            <w:vAlign w:val="bottom"/>
          </w:tcPr>
          <w:p>
            <w:pPr>
              <w:spacing w:after="0"/>
              <w:rPr>
                <w:sz w:val="17"/>
                <w:szCs w:val="17"/>
                <w:color w:val="auto"/>
              </w:rPr>
            </w:pPr>
          </w:p>
        </w:tc>
        <w:tc>
          <w:tcPr>
            <w:tcW w:w="5240" w:type="dxa"/>
            <w:vAlign w:val="bottom"/>
            <w:gridSpan w:val="2"/>
          </w:tcPr>
          <w:p>
            <w:pPr>
              <w:jc w:val="center"/>
              <w:ind w:left="4172"/>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Notes to Condensed Consolidated Financial Statements</w:t>
              </w:r>
            </w:hyperlink>
          </w:p>
        </w:tc>
        <w:tc>
          <w:tcPr>
            <w:tcW w:w="5240" w:type="dxa"/>
            <w:vAlign w:val="bottom"/>
            <w:gridSpan w:val="2"/>
          </w:tcPr>
          <w:p>
            <w:pPr>
              <w:jc w:val="center"/>
              <w:ind w:left="4172"/>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ectPr>
          <w:pgSz w:w="11900" w:h="16857"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Management’s Discussion and Analysis of Financial Condition and Results of Operations</w:t>
              </w:r>
            </w:hyperlink>
          </w:p>
        </w:tc>
        <w:tc>
          <w:tcPr>
            <w:tcW w:w="1680" w:type="dxa"/>
            <w:vAlign w:val="bottom"/>
          </w:tcPr>
          <w:p>
            <w:pPr>
              <w:spacing w:after="0"/>
              <w:rPr>
                <w:sz w:val="17"/>
                <w:szCs w:val="17"/>
                <w:color w:val="auto"/>
              </w:rPr>
            </w:pPr>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99"/>
              </w:rPr>
              <w:t>9</w:t>
            </w: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Quantitative and Qualitative Disclosures About Market Risk</w:t>
              </w:r>
            </w:hyperlink>
          </w:p>
        </w:tc>
        <w:tc>
          <w:tcPr>
            <w:tcW w:w="3720" w:type="dxa"/>
            <w:vAlign w:val="bottom"/>
            <w:gridSpan w:val="2"/>
          </w:tcPr>
          <w:p>
            <w:pPr>
              <w:spacing w:after="0"/>
              <w:rPr>
                <w:sz w:val="24"/>
                <w:szCs w:val="24"/>
                <w:color w:val="auto"/>
              </w:rPr>
            </w:pPr>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89"/>
              </w:rPr>
              <w:t>15</w:t>
            </w: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7980" w:type="dxa"/>
            <w:vAlign w:val="bottom"/>
            <w:gridSpan w:val="1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Controls and Procedures</w:t>
              </w:r>
            </w:hyperlink>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89"/>
              </w:rPr>
              <w:t>15</w:t>
            </w: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7980" w:type="dxa"/>
            <w:vAlign w:val="bottom"/>
            <w:gridSpan w:val="1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Report of Independent Registered Public Accounting Firm</w:t>
              </w:r>
            </w:hyperlink>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89"/>
              </w:rPr>
              <w:t>16</w:t>
            </w:r>
          </w:p>
        </w:tc>
      </w:tr>
      <w:tr>
        <w:trPr>
          <w:trHeight w:val="383"/>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41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OTHER INFORMATION</w:t>
            </w:r>
          </w:p>
        </w:tc>
        <w:tc>
          <w:tcPr>
            <w:tcW w:w="3880" w:type="dxa"/>
            <w:vAlign w:val="bottom"/>
            <w:gridSpan w:val="4"/>
          </w:tcPr>
          <w:p>
            <w:pPr>
              <w:spacing w:after="0"/>
              <w:rPr>
                <w:sz w:val="24"/>
                <w:szCs w:val="24"/>
                <w:color w:val="auto"/>
              </w:rPr>
            </w:pPr>
          </w:p>
        </w:tc>
        <w:tc>
          <w:tcPr>
            <w:tcW w:w="1880" w:type="dxa"/>
            <w:vAlign w:val="bottom"/>
          </w:tcPr>
          <w:p>
            <w:pPr>
              <w:spacing w:after="0"/>
              <w:rPr>
                <w:sz w:val="24"/>
                <w:szCs w:val="24"/>
                <w:color w:val="auto"/>
              </w:rPr>
            </w:pPr>
          </w:p>
        </w:tc>
      </w:tr>
      <w:tr>
        <w:trPr>
          <w:trHeight w:val="32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3">
              <w:r>
                <w:rPr>
                  <w:rFonts w:ascii="Arial" w:cs="Arial" w:eastAsia="Arial" w:hAnsi="Arial"/>
                  <w:sz w:val="18"/>
                  <w:szCs w:val="18"/>
                  <w:color w:val="0000EE"/>
                  <w:w w:val="85"/>
                </w:rPr>
                <w:t>Legal Proceedings</w:t>
              </w:r>
            </w:hyperlink>
          </w:p>
        </w:tc>
        <w:tc>
          <w:tcPr>
            <w:tcW w:w="6680" w:type="dxa"/>
            <w:vAlign w:val="bottom"/>
            <w:gridSpan w:val="6"/>
          </w:tcPr>
          <w:p>
            <w:pPr>
              <w:spacing w:after="0"/>
              <w:rPr>
                <w:sz w:val="24"/>
                <w:szCs w:val="24"/>
                <w:color w:val="auto"/>
              </w:rPr>
            </w:pPr>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89"/>
              </w:rPr>
              <w:t>17</w:t>
            </w: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3">
              <w:r>
                <w:rPr>
                  <w:rFonts w:ascii="Arial" w:cs="Arial" w:eastAsia="Arial" w:hAnsi="Arial"/>
                  <w:sz w:val="18"/>
                  <w:szCs w:val="18"/>
                  <w:color w:val="0000EE"/>
                  <w:w w:val="86"/>
                </w:rPr>
                <w:t>Unregistered Sales of Equity Securities and Use of Proceeds</w:t>
              </w:r>
            </w:hyperlink>
          </w:p>
        </w:tc>
        <w:tc>
          <w:tcPr>
            <w:tcW w:w="3740" w:type="dxa"/>
            <w:vAlign w:val="bottom"/>
            <w:gridSpan w:val="3"/>
          </w:tcPr>
          <w:p>
            <w:pPr>
              <w:spacing w:after="0"/>
              <w:rPr>
                <w:sz w:val="24"/>
                <w:szCs w:val="24"/>
                <w:color w:val="auto"/>
              </w:rPr>
            </w:pPr>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89"/>
              </w:rPr>
              <w:t>17</w:t>
            </w: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Exhibits</w:t>
              </w:r>
            </w:hyperlink>
          </w:p>
        </w:tc>
        <w:tc>
          <w:tcPr>
            <w:tcW w:w="7400" w:type="dxa"/>
            <w:vAlign w:val="bottom"/>
            <w:gridSpan w:val="9"/>
          </w:tcPr>
          <w:p>
            <w:pPr>
              <w:spacing w:after="0"/>
              <w:rPr>
                <w:sz w:val="24"/>
                <w:szCs w:val="24"/>
                <w:color w:val="auto"/>
              </w:rPr>
            </w:pPr>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89"/>
              </w:rPr>
              <w:t>17</w:t>
            </w:r>
          </w:p>
        </w:tc>
      </w:tr>
      <w:tr>
        <w:trPr>
          <w:trHeight w:val="345"/>
        </w:trPr>
        <w:tc>
          <w:tcPr>
            <w:tcW w:w="100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14">
              <w:r>
                <w:rPr>
                  <w:rFonts w:ascii="Arial" w:cs="Arial" w:eastAsia="Arial" w:hAnsi="Arial"/>
                  <w:sz w:val="18"/>
                  <w:szCs w:val="18"/>
                  <w:color w:val="0000EE"/>
                  <w:w w:val="83"/>
                </w:rPr>
                <w:t>Signatures</w:t>
              </w:r>
            </w:hyperlink>
          </w:p>
        </w:tc>
        <w:tc>
          <w:tcPr>
            <w:tcW w:w="7240" w:type="dxa"/>
            <w:vAlign w:val="bottom"/>
            <w:gridSpan w:val="8"/>
          </w:tcPr>
          <w:p>
            <w:pPr>
              <w:spacing w:after="0"/>
              <w:rPr>
                <w:sz w:val="24"/>
                <w:szCs w:val="24"/>
                <w:color w:val="auto"/>
              </w:rPr>
            </w:pPr>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89"/>
              </w:rPr>
              <w:t>18</w:t>
            </w:r>
          </w:p>
        </w:tc>
      </w:tr>
      <w:tr>
        <w:trPr>
          <w:trHeight w:val="345"/>
        </w:trPr>
        <w:tc>
          <w:tcPr>
            <w:tcW w:w="100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Exhibit Index</w:t>
              </w:r>
            </w:hyperlink>
          </w:p>
        </w:tc>
        <w:tc>
          <w:tcPr>
            <w:tcW w:w="7020" w:type="dxa"/>
            <w:vAlign w:val="bottom"/>
            <w:gridSpan w:val="7"/>
          </w:tcPr>
          <w:p>
            <w:pPr>
              <w:spacing w:after="0"/>
              <w:rPr>
                <w:sz w:val="24"/>
                <w:szCs w:val="24"/>
                <w:color w:val="auto"/>
              </w:rPr>
            </w:pPr>
          </w:p>
        </w:tc>
        <w:tc>
          <w:tcPr>
            <w:tcW w:w="1880" w:type="dxa"/>
            <w:vAlign w:val="bottom"/>
          </w:tcPr>
          <w:p>
            <w:pPr>
              <w:jc w:val="center"/>
              <w:ind w:left="1612"/>
              <w:spacing w:after="0"/>
              <w:rPr>
                <w:sz w:val="20"/>
                <w:szCs w:val="20"/>
                <w:color w:val="auto"/>
              </w:rPr>
            </w:pPr>
            <w:r>
              <w:rPr>
                <w:rFonts w:ascii="Arial" w:cs="Arial" w:eastAsia="Arial" w:hAnsi="Arial"/>
                <w:sz w:val="18"/>
                <w:szCs w:val="18"/>
                <w:color w:val="auto"/>
                <w:w w:val="89"/>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4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Winnebago Industries, Inc.</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Income</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980" w:type="dxa"/>
            <w:vAlign w:val="bottom"/>
          </w:tcPr>
          <w:p>
            <w:pPr>
              <w:spacing w:after="0"/>
              <w:rPr>
                <w:sz w:val="20"/>
                <w:szCs w:val="20"/>
                <w:color w:val="auto"/>
              </w:rPr>
            </w:pPr>
            <w:r>
              <w:rPr>
                <w:rFonts w:ascii="Arial" w:cs="Arial" w:eastAsia="Arial" w:hAnsi="Arial"/>
                <w:sz w:val="22"/>
                <w:szCs w:val="22"/>
                <w:b w:val="1"/>
                <w:bCs w:val="1"/>
                <w:color w:val="auto"/>
              </w:rPr>
              <w:t>PART I.</w:t>
            </w:r>
          </w:p>
        </w:tc>
        <w:tc>
          <w:tcPr>
            <w:tcW w:w="4400" w:type="dxa"/>
            <w:vAlign w:val="bottom"/>
            <w:gridSpan w:val="2"/>
          </w:tcPr>
          <w:p>
            <w:pPr>
              <w:spacing w:after="0"/>
              <w:rPr>
                <w:sz w:val="20"/>
                <w:szCs w:val="20"/>
                <w:color w:val="auto"/>
              </w:rPr>
            </w:pPr>
            <w:r>
              <w:rPr>
                <w:rFonts w:ascii="Arial" w:cs="Arial" w:eastAsia="Arial" w:hAnsi="Arial"/>
                <w:sz w:val="22"/>
                <w:szCs w:val="22"/>
                <w:b w:val="1"/>
                <w:bCs w:val="1"/>
                <w:color w:val="auto"/>
              </w:rPr>
              <w:t>FINANCIAL INFORMATION</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980" w:type="dxa"/>
            <w:vAlign w:val="bottom"/>
          </w:tcPr>
          <w:p>
            <w:pPr>
              <w:spacing w:after="0"/>
              <w:rPr>
                <w:sz w:val="20"/>
                <w:szCs w:val="20"/>
                <w:color w:val="auto"/>
              </w:rPr>
            </w:pPr>
            <w:r>
              <w:rPr>
                <w:rFonts w:ascii="Arial" w:cs="Arial" w:eastAsia="Arial" w:hAnsi="Arial"/>
                <w:sz w:val="22"/>
                <w:szCs w:val="22"/>
                <w:b w:val="1"/>
                <w:bCs w:val="1"/>
                <w:color w:val="auto"/>
              </w:rPr>
              <w:t>Item 1.</w:t>
            </w:r>
          </w:p>
        </w:tc>
        <w:tc>
          <w:tcPr>
            <w:tcW w:w="4400" w:type="dxa"/>
            <w:vAlign w:val="bottom"/>
            <w:gridSpan w:val="2"/>
          </w:tcPr>
          <w:p>
            <w:pPr>
              <w:spacing w:after="0"/>
              <w:rPr>
                <w:sz w:val="20"/>
                <w:szCs w:val="20"/>
                <w:color w:val="auto"/>
              </w:rPr>
            </w:pPr>
            <w:r>
              <w:rPr>
                <w:rFonts w:ascii="Arial" w:cs="Arial" w:eastAsia="Arial" w:hAnsi="Arial"/>
                <w:sz w:val="22"/>
                <w:szCs w:val="22"/>
                <w:b w:val="1"/>
                <w:bCs w:val="1"/>
                <w:color w:val="auto"/>
              </w:rPr>
              <w:t>Financial Statements.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May 26,</w:t>
            </w: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w w:val="94"/>
              </w:rPr>
              <w:t>May 27,</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75"/>
              <w:spacing w:after="0" w:line="129" w:lineRule="exact"/>
              <w:rPr>
                <w:sz w:val="20"/>
                <w:szCs w:val="20"/>
                <w:color w:val="auto"/>
              </w:rPr>
            </w:pPr>
            <w:r>
              <w:rPr>
                <w:rFonts w:ascii="Arial" w:cs="Arial" w:eastAsia="Arial" w:hAnsi="Arial"/>
                <w:sz w:val="14"/>
                <w:szCs w:val="14"/>
                <w:b w:val="1"/>
                <w:bCs w:val="1"/>
                <w:color w:val="auto"/>
              </w:rPr>
              <w:t>May 26,</w:t>
            </w: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May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Net revenues</w:t>
            </w:r>
          </w:p>
        </w:tc>
        <w:tc>
          <w:tcPr>
            <w:tcW w:w="560" w:type="dxa"/>
            <w:vAlign w:val="bottom"/>
            <w:gridSpan w:val="2"/>
            <w:shd w:val="clear" w:color="auto" w:fill="D6F3E8"/>
          </w:tcPr>
          <w:p>
            <w:pPr>
              <w:jc w:val="right"/>
              <w:ind w:right="43"/>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231,692</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220,312</w:t>
            </w:r>
          </w:p>
        </w:tc>
        <w:tc>
          <w:tcPr>
            <w:tcW w:w="36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632,471</w:t>
            </w:r>
          </w:p>
        </w:tc>
        <w:tc>
          <w:tcPr>
            <w:tcW w:w="540" w:type="dxa"/>
            <w:vAlign w:val="bottom"/>
            <w:gridSpan w:val="2"/>
            <w:shd w:val="clear" w:color="auto" w:fill="D6F3E8"/>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658,992</w:t>
            </w:r>
          </w:p>
        </w:tc>
        <w:tc>
          <w:tcPr>
            <w:tcW w:w="0" w:type="dxa"/>
            <w:vAlign w:val="bottom"/>
          </w:tcPr>
          <w:p>
            <w:pPr>
              <w:spacing w:after="0"/>
              <w:rPr>
                <w:sz w:val="1"/>
                <w:szCs w:val="1"/>
                <w:color w:val="auto"/>
              </w:rPr>
            </w:pPr>
          </w:p>
        </w:tc>
      </w:tr>
      <w:tr>
        <w:trPr>
          <w:trHeight w:val="229"/>
        </w:trPr>
        <w:tc>
          <w:tcPr>
            <w:tcW w:w="5380" w:type="dxa"/>
            <w:vAlign w:val="bottom"/>
            <w:gridSpan w:val="3"/>
          </w:tcPr>
          <w:p>
            <w:pPr>
              <w:ind w:left="16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205,436</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192,236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565,866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579,432</w:t>
            </w:r>
          </w:p>
        </w:tc>
        <w:tc>
          <w:tcPr>
            <w:tcW w:w="0" w:type="dxa"/>
            <w:vAlign w:val="bottom"/>
          </w:tcPr>
          <w:p>
            <w:pPr>
              <w:spacing w:after="0"/>
              <w:rPr>
                <w:sz w:val="1"/>
                <w:szCs w:val="1"/>
                <w:color w:val="auto"/>
              </w:rPr>
            </w:pPr>
          </w:p>
        </w:tc>
      </w:tr>
      <w:tr>
        <w:trPr>
          <w:trHeight w:val="211"/>
        </w:trPr>
        <w:tc>
          <w:tcPr>
            <w:tcW w:w="5380" w:type="dxa"/>
            <w:vAlign w:val="bottom"/>
            <w:tcBorders>
              <w:top w:val="single" w:sz="8" w:color="D6F3E8"/>
            </w:tcBorders>
            <w:gridSpan w:val="3"/>
            <w:shd w:val="clear" w:color="auto" w:fill="D6F3E8"/>
          </w:tcPr>
          <w:p>
            <w:pPr>
              <w:ind w:left="16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26,256</w:t>
            </w:r>
          </w:p>
        </w:tc>
        <w:tc>
          <w:tcPr>
            <w:tcW w:w="34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28,076</w:t>
            </w:r>
          </w:p>
        </w:tc>
        <w:tc>
          <w:tcPr>
            <w:tcW w:w="1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66,605</w:t>
            </w:r>
          </w:p>
        </w:tc>
        <w:tc>
          <w:tcPr>
            <w:tcW w:w="3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79,560</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380" w:type="dxa"/>
            <w:vAlign w:val="bottom"/>
            <w:gridSpan w:val="3"/>
          </w:tcPr>
          <w:p>
            <w:pPr>
              <w:ind w:left="16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320"/>
              <w:spacing w:after="0"/>
              <w:rPr>
                <w:sz w:val="20"/>
                <w:szCs w:val="20"/>
                <w:color w:val="auto"/>
              </w:rPr>
            </w:pPr>
            <w:r>
              <w:rPr>
                <w:rFonts w:ascii="Arial" w:cs="Arial" w:eastAsia="Arial" w:hAnsi="Arial"/>
                <w:sz w:val="18"/>
                <w:szCs w:val="18"/>
                <w:color w:val="auto"/>
              </w:rPr>
              <w:t>Selling</w:t>
            </w:r>
          </w:p>
        </w:tc>
        <w:tc>
          <w:tcPr>
            <w:tcW w:w="2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5,511</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4,536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14,553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31"/>
        </w:trPr>
        <w:tc>
          <w:tcPr>
            <w:tcW w:w="5380" w:type="dxa"/>
            <w:vAlign w:val="bottom"/>
            <w:gridSpan w:val="3"/>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3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6,086</w:t>
            </w:r>
          </w:p>
        </w:tc>
        <w:tc>
          <w:tcPr>
            <w:tcW w:w="280" w:type="dxa"/>
            <w:vAlign w:val="bottom"/>
            <w:shd w:val="clear" w:color="auto" w:fill="D6F3E8"/>
          </w:tcPr>
          <w:p>
            <w:pPr>
              <w:spacing w:after="0"/>
              <w:rPr>
                <w:sz w:val="20"/>
                <w:szCs w:val="20"/>
                <w:color w:val="auto"/>
              </w:rPr>
            </w:pP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5,160</w:t>
            </w:r>
          </w:p>
        </w:tc>
        <w:tc>
          <w:tcPr>
            <w:tcW w:w="1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17,893</w:t>
            </w:r>
          </w:p>
        </w:tc>
        <w:tc>
          <w:tcPr>
            <w:tcW w:w="34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10"/>
        </w:trPr>
        <w:tc>
          <w:tcPr>
            <w:tcW w:w="5380" w:type="dxa"/>
            <w:vAlign w:val="bottom"/>
            <w:gridSpan w:val="3"/>
          </w:tcPr>
          <w:p>
            <w:pPr>
              <w:ind w:left="64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11,597</w:t>
            </w:r>
          </w:p>
        </w:tc>
        <w:tc>
          <w:tcPr>
            <w:tcW w:w="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32,446</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14,659</w:t>
            </w:r>
          </w:p>
        </w:tc>
        <w:tc>
          <w:tcPr>
            <w:tcW w:w="28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18,380</w:t>
            </w:r>
          </w:p>
        </w:tc>
        <w:tc>
          <w:tcPr>
            <w:tcW w:w="1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34,159</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50,353</w:t>
            </w:r>
          </w:p>
        </w:tc>
        <w:tc>
          <w:tcPr>
            <w:tcW w:w="0" w:type="dxa"/>
            <w:vAlign w:val="bottom"/>
          </w:tcPr>
          <w:p>
            <w:pPr>
              <w:spacing w:after="0"/>
              <w:rPr>
                <w:sz w:val="1"/>
                <w:szCs w:val="1"/>
                <w:color w:val="auto"/>
              </w:rPr>
            </w:pPr>
          </w:p>
        </w:tc>
      </w:tr>
      <w:tr>
        <w:trPr>
          <w:trHeight w:val="229"/>
        </w:trPr>
        <w:tc>
          <w:tcPr>
            <w:tcW w:w="5380" w:type="dxa"/>
            <w:vAlign w:val="bottom"/>
            <w:gridSpan w:val="3"/>
          </w:tcPr>
          <w:p>
            <w:pPr>
              <w:ind w:left="160"/>
              <w:spacing w:after="0"/>
              <w:rPr>
                <w:sz w:val="20"/>
                <w:szCs w:val="20"/>
                <w:color w:val="auto"/>
              </w:rPr>
            </w:pPr>
            <w:r>
              <w:rPr>
                <w:rFonts w:ascii="Arial" w:cs="Arial" w:eastAsia="Arial" w:hAnsi="Arial"/>
                <w:sz w:val="18"/>
                <w:szCs w:val="18"/>
                <w:color w:val="auto"/>
              </w:rPr>
              <w:t>Financial income</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1,799</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11"/>
        </w:trPr>
        <w:tc>
          <w:tcPr>
            <w:tcW w:w="5380" w:type="dxa"/>
            <w:vAlign w:val="bottom"/>
            <w:tcBorders>
              <w:top w:val="single" w:sz="8" w:color="D6F3E8"/>
            </w:tcBorders>
            <w:gridSpan w:val="3"/>
            <w:shd w:val="clear" w:color="auto" w:fill="D6F3E8"/>
          </w:tcPr>
          <w:p>
            <w:pPr>
              <w:ind w:left="160"/>
              <w:spacing w:after="0" w:line="203" w:lineRule="exact"/>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16,458</w:t>
            </w:r>
          </w:p>
        </w:tc>
        <w:tc>
          <w:tcPr>
            <w:tcW w:w="34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19,798</w:t>
            </w:r>
          </w:p>
        </w:tc>
        <w:tc>
          <w:tcPr>
            <w:tcW w:w="1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39,123</w:t>
            </w:r>
          </w:p>
        </w:tc>
        <w:tc>
          <w:tcPr>
            <w:tcW w:w="3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54,007</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gridSpan w:val="3"/>
          </w:tcPr>
          <w:p>
            <w:pPr>
              <w:ind w:left="160"/>
              <w:spacing w:after="0"/>
              <w:rPr>
                <w:sz w:val="20"/>
                <w:szCs w:val="20"/>
                <w:color w:val="auto"/>
              </w:rPr>
            </w:pPr>
            <w:r>
              <w:rPr>
                <w:rFonts w:ascii="Arial" w:cs="Arial" w:eastAsia="Arial" w:hAnsi="Arial"/>
                <w:sz w:val="18"/>
                <w:szCs w:val="18"/>
                <w:color w:val="auto"/>
              </w:rPr>
              <w:t>Provision for taxes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5,205</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6,641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18,580</w:t>
            </w:r>
          </w:p>
        </w:tc>
        <w:tc>
          <w:tcPr>
            <w:tcW w:w="0" w:type="dxa"/>
            <w:vAlign w:val="bottom"/>
          </w:tcPr>
          <w:p>
            <w:pPr>
              <w:spacing w:after="0"/>
              <w:rPr>
                <w:sz w:val="1"/>
                <w:szCs w:val="1"/>
                <w:color w:val="auto"/>
              </w:rPr>
            </w:pPr>
          </w:p>
        </w:tc>
      </w:tr>
      <w:tr>
        <w:trPr>
          <w:trHeight w:val="211"/>
        </w:trPr>
        <w:tc>
          <w:tcPr>
            <w:tcW w:w="980" w:type="dxa"/>
            <w:vAlign w:val="bottom"/>
            <w:tcBorders>
              <w:top w:val="single" w:sz="8" w:color="D6F3E8"/>
              <w:bottom w:val="single" w:sz="8" w:color="D6F3E8"/>
            </w:tcBorders>
            <w:shd w:val="clear" w:color="auto" w:fill="D6F3E8"/>
          </w:tcPr>
          <w:p>
            <w:pPr>
              <w:ind w:left="160"/>
              <w:spacing w:after="0"/>
              <w:rPr>
                <w:sz w:val="20"/>
                <w:szCs w:val="20"/>
                <w:color w:val="auto"/>
              </w:rPr>
            </w:pPr>
            <w:r>
              <w:rPr>
                <w:rFonts w:ascii="Arial" w:cs="Arial" w:eastAsia="Arial" w:hAnsi="Arial"/>
                <w:sz w:val="18"/>
                <w:szCs w:val="18"/>
                <w:color w:val="auto"/>
                <w:w w:val="87"/>
              </w:rPr>
              <w:t>Net income</w:t>
            </w:r>
          </w:p>
        </w:tc>
        <w:tc>
          <w:tcPr>
            <w:tcW w:w="280" w:type="dxa"/>
            <w:vAlign w:val="bottom"/>
            <w:tcBorders>
              <w:top w:val="single" w:sz="8" w:color="D6F3E8"/>
              <w:bottom w:val="single" w:sz="8" w:color="D6F3E8"/>
            </w:tcBorders>
            <w:shd w:val="clear" w:color="auto" w:fill="D6F3E8"/>
          </w:tcPr>
          <w:p>
            <w:pPr>
              <w:spacing w:after="0"/>
              <w:rPr>
                <w:sz w:val="18"/>
                <w:szCs w:val="18"/>
                <w:color w:val="auto"/>
              </w:rPr>
            </w:pPr>
          </w:p>
        </w:tc>
        <w:tc>
          <w:tcPr>
            <w:tcW w:w="4120" w:type="dxa"/>
            <w:vAlign w:val="bottom"/>
            <w:tcBorders>
              <w:top w:val="single" w:sz="8" w:color="D6F3E8"/>
              <w:bottom w:val="single" w:sz="8" w:color="D6F3E8"/>
            </w:tcBorders>
            <w:shd w:val="clear" w:color="auto" w:fill="D6F3E8"/>
          </w:tcPr>
          <w:p>
            <w:pPr>
              <w:spacing w:after="0"/>
              <w:rPr>
                <w:sz w:val="18"/>
                <w:szCs w:val="18"/>
                <w:color w:val="auto"/>
              </w:rPr>
            </w:pP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11,253</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13,157</w:t>
            </w: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26,721</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35,427</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ind w:left="160"/>
              <w:spacing w:after="0"/>
              <w:rPr>
                <w:sz w:val="20"/>
                <w:szCs w:val="20"/>
                <w:color w:val="auto"/>
              </w:rPr>
            </w:pPr>
            <w:r>
              <w:rPr>
                <w:rFonts w:ascii="Arial" w:cs="Arial" w:eastAsia="Arial" w:hAnsi="Arial"/>
                <w:sz w:val="18"/>
                <w:szCs w:val="18"/>
                <w:color w:val="auto"/>
              </w:rPr>
              <w:t>Income per common share:</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98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5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0.85</w:t>
            </w:r>
          </w:p>
        </w:tc>
        <w:tc>
          <w:tcPr>
            <w:tcW w:w="5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7"/>
        </w:trPr>
        <w:tc>
          <w:tcPr>
            <w:tcW w:w="980" w:type="dxa"/>
            <w:vAlign w:val="bottom"/>
            <w:tcBorders>
              <w:top w:val="single" w:sz="8" w:color="D6F3E8"/>
              <w:bottom w:val="single" w:sz="8" w:color="D6F3E8"/>
            </w:tcBorders>
            <w:shd w:val="clear" w:color="auto" w:fill="D6F3E8"/>
          </w:tcPr>
          <w:p>
            <w:pPr>
              <w:ind w:left="320"/>
              <w:spacing w:after="0" w:line="195"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D6F3E8"/>
              <w:bottom w:val="single" w:sz="8" w:color="D6F3E8"/>
            </w:tcBorders>
            <w:shd w:val="clear" w:color="auto" w:fill="D6F3E8"/>
          </w:tcPr>
          <w:p>
            <w:pPr>
              <w:spacing w:after="0"/>
              <w:rPr>
                <w:sz w:val="17"/>
                <w:szCs w:val="17"/>
                <w:color w:val="auto"/>
              </w:rPr>
            </w:pPr>
          </w:p>
        </w:tc>
        <w:tc>
          <w:tcPr>
            <w:tcW w:w="4120" w:type="dxa"/>
            <w:vAlign w:val="bottom"/>
            <w:tcBorders>
              <w:top w:val="single" w:sz="8" w:color="D6F3E8"/>
              <w:bottom w:val="single" w:sz="8" w:color="D6F3E8"/>
            </w:tcBorders>
            <w:shd w:val="clear" w:color="auto" w:fill="D6F3E8"/>
          </w:tcPr>
          <w:p>
            <w:pPr>
              <w:spacing w:after="0"/>
              <w:rPr>
                <w:sz w:val="17"/>
                <w:szCs w:val="17"/>
                <w:color w:val="auto"/>
              </w:rPr>
            </w:pPr>
          </w:p>
        </w:tc>
        <w:tc>
          <w:tcPr>
            <w:tcW w:w="360" w:type="dxa"/>
            <w:vAlign w:val="bottom"/>
            <w:tcBorders>
              <w:top w:val="single" w:sz="8" w:color="D6F3E8"/>
              <w:bottom w:val="single" w:sz="8" w:color="D6F3E8"/>
            </w:tcBorders>
            <w:shd w:val="clear" w:color="auto" w:fill="D6F3E8"/>
          </w:tcPr>
          <w:p>
            <w:pPr>
              <w:spacing w:after="0"/>
              <w:rPr>
                <w:sz w:val="17"/>
                <w:szCs w:val="17"/>
                <w:color w:val="auto"/>
              </w:rPr>
            </w:pP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0.35</w:t>
            </w:r>
          </w:p>
        </w:tc>
        <w:tc>
          <w:tcPr>
            <w:tcW w:w="340" w:type="dxa"/>
            <w:vAlign w:val="bottom"/>
            <w:tcBorders>
              <w:top w:val="single" w:sz="8" w:color="D6F3E8"/>
              <w:bottom w:val="single" w:sz="8" w:color="D6F3E8"/>
            </w:tcBorders>
            <w:shd w:val="clear" w:color="auto" w:fill="D6F3E8"/>
          </w:tcPr>
          <w:p>
            <w:pPr>
              <w:spacing w:after="0"/>
              <w:rPr>
                <w:sz w:val="17"/>
                <w:szCs w:val="17"/>
                <w:color w:val="auto"/>
              </w:rPr>
            </w:pP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0.40</w:t>
            </w:r>
          </w:p>
        </w:tc>
        <w:tc>
          <w:tcPr>
            <w:tcW w:w="180" w:type="dxa"/>
            <w:vAlign w:val="bottom"/>
            <w:tcBorders>
              <w:top w:val="single" w:sz="8" w:color="D6F3E8"/>
              <w:bottom w:val="single" w:sz="8" w:color="D6F3E8"/>
            </w:tcBorders>
            <w:shd w:val="clear" w:color="auto" w:fill="D6F3E8"/>
          </w:tcPr>
          <w:p>
            <w:pPr>
              <w:spacing w:after="0"/>
              <w:rPr>
                <w:sz w:val="17"/>
                <w:szCs w:val="17"/>
                <w:color w:val="auto"/>
              </w:rPr>
            </w:pPr>
          </w:p>
        </w:tc>
        <w:tc>
          <w:tcPr>
            <w:tcW w:w="160" w:type="dxa"/>
            <w:vAlign w:val="bottom"/>
            <w:tcBorders>
              <w:top w:val="single" w:sz="8" w:color="D6F3E8"/>
              <w:bottom w:val="single" w:sz="8" w:color="D6F3E8"/>
            </w:tcBorders>
            <w:shd w:val="clear" w:color="auto" w:fill="D6F3E8"/>
          </w:tcPr>
          <w:p>
            <w:pPr>
              <w:spacing w:after="0"/>
              <w:rPr>
                <w:sz w:val="17"/>
                <w:szCs w:val="17"/>
                <w:color w:val="auto"/>
              </w:rPr>
            </w:pPr>
          </w:p>
        </w:tc>
        <w:tc>
          <w:tcPr>
            <w:tcW w:w="200" w:type="dxa"/>
            <w:vAlign w:val="bottom"/>
            <w:tcBorders>
              <w:top w:val="single" w:sz="8" w:color="auto"/>
              <w:bottom w:val="single" w:sz="8" w:color="auto"/>
            </w:tcBorders>
            <w:shd w:val="clear" w:color="auto" w:fill="D6F3E8"/>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0.84</w:t>
            </w:r>
          </w:p>
        </w:tc>
        <w:tc>
          <w:tcPr>
            <w:tcW w:w="340" w:type="dxa"/>
            <w:vAlign w:val="bottom"/>
            <w:tcBorders>
              <w:top w:val="single" w:sz="8" w:color="D6F3E8"/>
              <w:bottom w:val="single" w:sz="8" w:color="D6F3E8"/>
            </w:tcBorders>
            <w:shd w:val="clear" w:color="auto" w:fill="D6F3E8"/>
          </w:tcPr>
          <w:p>
            <w:pPr>
              <w:spacing w:after="0"/>
              <w:rPr>
                <w:sz w:val="17"/>
                <w:szCs w:val="17"/>
                <w:color w:val="auto"/>
              </w:rPr>
            </w:pP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Borders>
              <w:top w:val="single" w:sz="8" w:color="D6F3E8"/>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3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31,524</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32,195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31,411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32,645</w:t>
            </w:r>
          </w:p>
        </w:tc>
        <w:tc>
          <w:tcPr>
            <w:tcW w:w="0" w:type="dxa"/>
            <w:vAlign w:val="bottom"/>
          </w:tcPr>
          <w:p>
            <w:pPr>
              <w:spacing w:after="0"/>
              <w:rPr>
                <w:sz w:val="1"/>
                <w:szCs w:val="1"/>
                <w:color w:val="auto"/>
              </w:rPr>
            </w:pPr>
          </w:p>
        </w:tc>
      </w:tr>
      <w:tr>
        <w:trPr>
          <w:trHeight w:val="217"/>
        </w:trPr>
        <w:tc>
          <w:tcPr>
            <w:tcW w:w="9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D6F3E8"/>
          </w:tcPr>
          <w:p>
            <w:pPr>
              <w:spacing w:after="0"/>
              <w:rPr>
                <w:sz w:val="18"/>
                <w:szCs w:val="18"/>
                <w:color w:val="auto"/>
              </w:rPr>
            </w:pPr>
          </w:p>
        </w:tc>
        <w:tc>
          <w:tcPr>
            <w:tcW w:w="412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31,761</w:t>
            </w:r>
          </w:p>
        </w:tc>
        <w:tc>
          <w:tcPr>
            <w:tcW w:w="28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32,496</w:t>
            </w:r>
          </w:p>
        </w:tc>
        <w:tc>
          <w:tcPr>
            <w:tcW w:w="1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31,697</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32,937</w:t>
            </w:r>
          </w:p>
        </w:tc>
        <w:tc>
          <w:tcPr>
            <w:tcW w:w="0" w:type="dxa"/>
            <w:vAlign w:val="bottom"/>
          </w:tcPr>
          <w:p>
            <w:pPr>
              <w:spacing w:after="0"/>
              <w:rPr>
                <w:sz w:val="1"/>
                <w:szCs w:val="1"/>
                <w:color w:val="auto"/>
              </w:rPr>
            </w:pPr>
          </w:p>
        </w:tc>
      </w:tr>
      <w:tr>
        <w:trPr>
          <w:trHeight w:val="403"/>
        </w:trPr>
        <w:tc>
          <w:tcPr>
            <w:tcW w:w="5380" w:type="dxa"/>
            <w:vAlign w:val="bottom"/>
            <w:gridSpan w:val="3"/>
          </w:tcPr>
          <w:p>
            <w:pPr>
              <w:ind w:left="160"/>
              <w:spacing w:after="0"/>
              <w:rPr>
                <w:sz w:val="20"/>
                <w:szCs w:val="20"/>
                <w:color w:val="auto"/>
              </w:rPr>
            </w:pPr>
            <w:r>
              <w:rPr>
                <w:rFonts w:ascii="Arial" w:cs="Arial" w:eastAsia="Arial" w:hAnsi="Arial"/>
                <w:sz w:val="18"/>
                <w:szCs w:val="18"/>
                <w:color w:val="auto"/>
              </w:rPr>
              <w:t>Dividends paid per common share</w:t>
            </w:r>
          </w:p>
        </w:tc>
        <w:tc>
          <w:tcPr>
            <w:tcW w:w="5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0.30</w:t>
            </w:r>
          </w:p>
        </w:tc>
        <w:tc>
          <w:tcPr>
            <w:tcW w:w="5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May 26,</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August 26,</w:t>
            </w:r>
          </w:p>
        </w:tc>
      </w:tr>
      <w:tr>
        <w:trPr>
          <w:trHeight w:val="161"/>
        </w:trPr>
        <w:tc>
          <w:tcPr>
            <w:tcW w:w="8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ectPr>
          <w:pgSz w:w="11900" w:h="16838" w:orient="portrait"/>
          <w:cols w:equalWidth="0" w:num="1">
            <w:col w:w="11420"/>
          </w:cols>
          <w:pgMar w:left="240" w:top="270" w:right="239" w:bottom="0" w:gutter="0" w:footer="0" w:header="0"/>
        </w:sectPr>
      </w:pPr>
    </w:p>
    <w:bookmarkStart w:id="2" w:name="page3"/>
    <w:bookmarkEnd w:id="2"/>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11,911</w:t>
            </w:r>
          </w:p>
        </w:tc>
        <w:tc>
          <w:tcPr>
            <w:tcW w:w="320" w:type="dxa"/>
            <w:vAlign w:val="bottom"/>
            <w:shd w:val="clear" w:color="auto" w:fill="D6F3E8"/>
          </w:tcPr>
          <w:p>
            <w:pPr>
              <w:spacing w:after="0"/>
              <w:rPr>
                <w:sz w:val="18"/>
                <w:szCs w:val="18"/>
                <w:color w:val="auto"/>
              </w:rPr>
            </w:pPr>
          </w:p>
        </w:tc>
        <w:tc>
          <w:tcPr>
            <w:tcW w:w="360" w:type="dxa"/>
            <w:vAlign w:val="bottom"/>
            <w:gridSpan w:val="2"/>
            <w:shd w:val="clear" w:color="auto" w:fill="D6F3E8"/>
          </w:tcPr>
          <w:p>
            <w:pPr>
              <w:jc w:val="right"/>
              <w:ind w:right="183"/>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24,934</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144,950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129,950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Receivables, less allowance for doubtful accounts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60" w:type="dxa"/>
            <w:vAlign w:val="bottom"/>
            <w:shd w:val="clear" w:color="auto" w:fill="D6F3E8"/>
          </w:tcPr>
          <w:p>
            <w:pPr>
              <w:ind w:left="640"/>
              <w:spacing w:after="0"/>
              <w:rPr>
                <w:sz w:val="20"/>
                <w:szCs w:val="20"/>
                <w:color w:val="auto"/>
              </w:rPr>
            </w:pPr>
            <w:r>
              <w:rPr>
                <w:rFonts w:ascii="Arial" w:cs="Arial" w:eastAsia="Arial" w:hAnsi="Arial"/>
                <w:sz w:val="18"/>
                <w:szCs w:val="18"/>
                <w:color w:val="auto"/>
              </w:rPr>
              <w:t>($122 and $164, respectively)</w:t>
            </w:r>
          </w:p>
        </w:tc>
        <w:tc>
          <w:tcPr>
            <w:tcW w:w="360" w:type="dxa"/>
            <w:vAlign w:val="bottom"/>
            <w:shd w:val="clear" w:color="auto" w:fill="D6F3E8"/>
          </w:tcPr>
          <w:p>
            <w:pPr>
              <w:spacing w:after="0"/>
              <w:rPr>
                <w:sz w:val="19"/>
                <w:szCs w:val="19"/>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22,680</w:t>
            </w:r>
          </w:p>
        </w:tc>
        <w:tc>
          <w:tcPr>
            <w:tcW w:w="3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20,859</w:t>
            </w:r>
          </w:p>
        </w:tc>
        <w:tc>
          <w:tcPr>
            <w:tcW w:w="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90,862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4,756</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5,269</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14,327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60" w:type="dxa"/>
            <w:vAlign w:val="bottom"/>
            <w:tcBorders>
              <w:top w:val="single" w:sz="8" w:color="D6F3E8"/>
            </w:tcBorders>
            <w:shd w:val="clear" w:color="auto" w:fill="D6F3E8"/>
          </w:tcPr>
          <w:p>
            <w:pPr>
              <w:ind w:left="4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289,486</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267,160</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60" w:type="dxa"/>
            <w:vAlign w:val="bottom"/>
          </w:tcPr>
          <w:p>
            <w:pPr>
              <w:spacing w:after="0" w:line="188" w:lineRule="exact"/>
              <w:rPr>
                <w:sz w:val="20"/>
                <w:szCs w:val="20"/>
                <w:color w:val="auto"/>
              </w:rPr>
            </w:pPr>
            <w:r>
              <w:rPr>
                <w:rFonts w:ascii="Arial" w:cs="Arial" w:eastAsia="Arial" w:hAnsi="Arial"/>
                <w:sz w:val="18"/>
                <w:szCs w:val="18"/>
                <w:color w:val="auto"/>
              </w:rPr>
              <w:t>Property and equipment, at cost:</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Buildings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59,465</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59,378</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100,231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Transportation equipment</w:t>
            </w:r>
          </w:p>
        </w:tc>
        <w:tc>
          <w:tcPr>
            <w:tcW w:w="360" w:type="dxa"/>
            <w:vAlign w:val="bottom"/>
            <w:shd w:val="clear" w:color="auto" w:fill="D6F3E8"/>
          </w:tcPr>
          <w:p>
            <w:pPr>
              <w:spacing w:after="0"/>
              <w:rPr>
                <w:sz w:val="19"/>
                <w:szCs w:val="19"/>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9,561</w:t>
            </w:r>
          </w:p>
        </w:tc>
        <w:tc>
          <w:tcPr>
            <w:tcW w:w="3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9,561</w:t>
            </w:r>
          </w:p>
        </w:tc>
        <w:tc>
          <w:tcPr>
            <w:tcW w:w="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tcPr>
          <w:p>
            <w:pPr>
              <w:ind w:left="480"/>
              <w:spacing w:after="0" w:line="202" w:lineRule="exact"/>
              <w:rPr>
                <w:sz w:val="20"/>
                <w:szCs w:val="20"/>
                <w:color w:val="auto"/>
              </w:rPr>
            </w:pPr>
            <w:r>
              <w:rPr>
                <w:rFonts w:ascii="Arial" w:cs="Arial" w:eastAsia="Arial" w:hAnsi="Arial"/>
                <w:sz w:val="18"/>
                <w:szCs w:val="18"/>
                <w:color w:val="auto"/>
              </w:rPr>
              <w:t>Total property and equipment, at cost</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170,191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Accumulated depreciation</w:t>
            </w:r>
          </w:p>
        </w:tc>
        <w:tc>
          <w:tcPr>
            <w:tcW w:w="36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(117,691)</w:t>
            </w:r>
          </w:p>
        </w:tc>
        <w:tc>
          <w:tcPr>
            <w:tcW w:w="2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100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(112,817)</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D6F3E8"/>
            </w:tcBorders>
          </w:tcPr>
          <w:p>
            <w:pPr>
              <w:ind w:left="48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52,500</w:t>
            </w:r>
          </w:p>
        </w:tc>
        <w:tc>
          <w:tcPr>
            <w:tcW w:w="320" w:type="dxa"/>
            <w:vAlign w:val="bottom"/>
            <w:tcBorders>
              <w:top w:val="single" w:sz="8" w:color="D6F3E8"/>
              <w:bottom w:val="single" w:sz="8" w:color="D6F3E8"/>
            </w:tcBorders>
          </w:tcPr>
          <w:p>
            <w:pPr>
              <w:spacing w:after="0"/>
              <w:rPr>
                <w:sz w:val="18"/>
                <w:szCs w:val="18"/>
                <w:color w:val="auto"/>
              </w:rPr>
            </w:pPr>
          </w:p>
        </w:tc>
        <w:tc>
          <w:tcPr>
            <w:tcW w:w="20" w:type="dxa"/>
            <w:vAlign w:val="bottom"/>
            <w:tcBorders>
              <w:top w:val="single" w:sz="8" w:color="D6F3E8"/>
              <w:bottom w:val="single" w:sz="8" w:color="D6F3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56,907</w:t>
            </w:r>
          </w:p>
        </w:tc>
        <w:tc>
          <w:tcPr>
            <w:tcW w:w="20" w:type="dxa"/>
            <w:vAlign w:val="bottom"/>
            <w:tcBorders>
              <w:top w:val="single" w:sz="8" w:color="D6F3E8"/>
              <w:bottom w:val="single" w:sz="8" w:color="D6F3E8"/>
            </w:tcBorders>
          </w:tcPr>
          <w:p>
            <w:pPr>
              <w:spacing w:after="0"/>
              <w:rPr>
                <w:sz w:val="18"/>
                <w:szCs w:val="18"/>
                <w:color w:val="auto"/>
              </w:rPr>
            </w:pPr>
          </w:p>
        </w:tc>
        <w:tc>
          <w:tcPr>
            <w:tcW w:w="80" w:type="dxa"/>
            <w:vAlign w:val="bottom"/>
            <w:tcBorders>
              <w:top w:val="single" w:sz="8" w:color="D6F3E8"/>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Investment in life insurance</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19,754</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20,814</w:t>
            </w:r>
          </w:p>
        </w:tc>
        <w:tc>
          <w:tcPr>
            <w:tcW w:w="2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25,907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D6F3E8"/>
          </w:tcPr>
          <w:p>
            <w:pPr>
              <w:spacing w:after="0"/>
              <w:rPr>
                <w:sz w:val="19"/>
                <w:szCs w:val="19"/>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17,162</w:t>
            </w:r>
          </w:p>
        </w:tc>
        <w:tc>
          <w:tcPr>
            <w:tcW w:w="3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14,832</w:t>
            </w:r>
          </w:p>
        </w:tc>
        <w:tc>
          <w:tcPr>
            <w:tcW w:w="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33,049</w:t>
            </w:r>
          </w:p>
        </w:tc>
        <w:tc>
          <w:tcPr>
            <w:tcW w:w="320" w:type="dxa"/>
            <w:vAlign w:val="bottom"/>
            <w:shd w:val="clear" w:color="auto" w:fill="D6F3E8"/>
          </w:tcPr>
          <w:p>
            <w:pPr>
              <w:spacing w:after="0"/>
              <w:rPr>
                <w:sz w:val="18"/>
                <w:szCs w:val="18"/>
                <w:color w:val="auto"/>
              </w:rPr>
            </w:pPr>
          </w:p>
        </w:tc>
        <w:tc>
          <w:tcPr>
            <w:tcW w:w="360" w:type="dxa"/>
            <w:vAlign w:val="bottom"/>
            <w:gridSpan w:val="2"/>
            <w:shd w:val="clear" w:color="auto" w:fill="D6F3E8"/>
          </w:tcPr>
          <w:p>
            <w:pPr>
              <w:jc w:val="right"/>
              <w:ind w:right="183"/>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27,923</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64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14,678</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12,498</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640"/>
              <w:spacing w:after="0"/>
              <w:rPr>
                <w:sz w:val="20"/>
                <w:szCs w:val="20"/>
                <w:color w:val="auto"/>
              </w:rPr>
            </w:pPr>
            <w:r>
              <w:rPr>
                <w:rFonts w:ascii="Arial" w:cs="Arial" w:eastAsia="Arial" w:hAnsi="Arial"/>
                <w:sz w:val="18"/>
                <w:szCs w:val="18"/>
                <w:color w:val="auto"/>
              </w:rPr>
              <w:t>Product warranties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10,791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640"/>
              <w:spacing w:after="0"/>
              <w:rPr>
                <w:sz w:val="20"/>
                <w:szCs w:val="20"/>
                <w:color w:val="auto"/>
              </w:rPr>
            </w:pPr>
            <w:r>
              <w:rPr>
                <w:rFonts w:ascii="Arial" w:cs="Arial" w:eastAsia="Arial" w:hAnsi="Arial"/>
                <w:sz w:val="18"/>
                <w:szCs w:val="18"/>
                <w:color w:val="auto"/>
              </w:rPr>
              <w:t>Self-insurance</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9,073</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7,842</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640"/>
              <w:spacing w:after="0"/>
              <w:rPr>
                <w:sz w:val="20"/>
                <w:szCs w:val="20"/>
                <w:color w:val="auto"/>
              </w:rPr>
            </w:pPr>
            <w:r>
              <w:rPr>
                <w:rFonts w:ascii="Arial" w:cs="Arial" w:eastAsia="Arial" w:hAnsi="Arial"/>
                <w:sz w:val="18"/>
                <w:szCs w:val="18"/>
                <w:color w:val="auto"/>
              </w:rPr>
              <w:t>Promotional</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640"/>
              <w:spacing w:after="0"/>
              <w:rPr>
                <w:sz w:val="20"/>
                <w:szCs w:val="20"/>
                <w:color w:val="auto"/>
              </w:rPr>
            </w:pPr>
            <w:r>
              <w:rPr>
                <w:rFonts w:ascii="Arial" w:cs="Arial" w:eastAsia="Arial" w:hAnsi="Arial"/>
                <w:sz w:val="18"/>
                <w:szCs w:val="18"/>
                <w:color w:val="auto"/>
              </w:rPr>
              <w:t>Accrued dividends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3,160</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3,109</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6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60" w:type="dxa"/>
            <w:vAlign w:val="bottom"/>
            <w:tcBorders>
              <w:top w:val="single" w:sz="8" w:color="D6F3E8"/>
            </w:tcBorders>
            <w:shd w:val="clear" w:color="auto" w:fill="D6F3E8"/>
          </w:tcPr>
          <w:p>
            <w:pPr>
              <w:ind w:left="7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88,131</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80,122</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87,710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60" w:type="dxa"/>
            <w:vAlign w:val="bottom"/>
          </w:tcPr>
          <w:p>
            <w:pPr>
              <w:spacing w:after="0" w:line="188" w:lineRule="exact"/>
              <w:rPr>
                <w:sz w:val="20"/>
                <w:szCs w:val="20"/>
                <w:color w:val="auto"/>
              </w:rPr>
            </w:pPr>
            <w:r>
              <w:rPr>
                <w:rFonts w:ascii="Arial" w:cs="Arial" w:eastAsia="Arial" w:hAnsi="Arial"/>
                <w:sz w:val="18"/>
                <w:szCs w:val="18"/>
                <w:color w:val="auto"/>
              </w:rPr>
              <w:t>Contingent liabilities and commitments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25,888</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28,197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497,704</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480,446</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6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360" w:type="dxa"/>
            <w:vAlign w:val="bottom"/>
          </w:tcPr>
          <w:p>
            <w:pPr>
              <w:spacing w:after="0"/>
              <w:rPr>
                <w:sz w:val="19"/>
                <w:szCs w:val="19"/>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(322,821)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(310,280)</w:t>
            </w:r>
          </w:p>
        </w:tc>
        <w:tc>
          <w:tcPr>
            <w:tcW w:w="0" w:type="dxa"/>
            <w:vAlign w:val="bottom"/>
          </w:tcPr>
          <w:p>
            <w:pPr>
              <w:spacing w:after="0"/>
              <w:rPr>
                <w:sz w:val="1"/>
                <w:szCs w:val="1"/>
                <w:color w:val="auto"/>
              </w:rPr>
            </w:pPr>
          </w:p>
        </w:tc>
      </w:tr>
      <w:tr>
        <w:trPr>
          <w:trHeight w:val="223"/>
        </w:trPr>
        <w:tc>
          <w:tcPr>
            <w:tcW w:w="8460" w:type="dxa"/>
            <w:vAlign w:val="bottom"/>
          </w:tcPr>
          <w:p>
            <w:pPr>
              <w:ind w:left="640"/>
              <w:spacing w:after="0"/>
              <w:rPr>
                <w:sz w:val="20"/>
                <w:szCs w:val="20"/>
                <w:color w:val="auto"/>
              </w:rPr>
            </w:pPr>
            <w:r>
              <w:rPr>
                <w:rFonts w:ascii="Arial" w:cs="Arial" w:eastAsia="Arial" w:hAnsi="Arial"/>
                <w:sz w:val="18"/>
                <w:szCs w:val="18"/>
                <w:color w:val="auto"/>
              </w:rPr>
              <w:t>(20,729 and 20,633 shares, respectively)</w:t>
            </w:r>
          </w:p>
        </w:tc>
        <w:tc>
          <w:tcPr>
            <w:tcW w:w="3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60" w:type="dxa"/>
            <w:vAlign w:val="bottom"/>
            <w:tcBorders>
              <w:top w:val="single" w:sz="8" w:color="D6F3E8"/>
            </w:tcBorders>
            <w:shd w:val="clear" w:color="auto" w:fill="D6F3E8"/>
          </w:tcPr>
          <w:p>
            <w:pPr>
              <w:ind w:left="3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228,968</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218,322</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404,809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-316865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-316865</wp:posOffset>
            </wp:positionV>
            <wp:extent cx="214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8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8460" w:type="dxa"/>
            <w:vAlign w:val="bottom"/>
          </w:tcPr>
          <w:p>
            <w:pPr>
              <w:spacing w:after="0"/>
              <w:rPr>
                <w:sz w:val="11"/>
                <w:szCs w:val="11"/>
                <w:color w:val="auto"/>
              </w:rPr>
            </w:pPr>
          </w:p>
        </w:tc>
        <w:tc>
          <w:tcPr>
            <w:tcW w:w="1420" w:type="dxa"/>
            <w:vAlign w:val="bottom"/>
          </w:tcPr>
          <w:p>
            <w:pPr>
              <w:jc w:val="center"/>
              <w:ind w:right="112"/>
              <w:spacing w:after="0" w:line="129" w:lineRule="exact"/>
              <w:rPr>
                <w:sz w:val="20"/>
                <w:szCs w:val="20"/>
                <w:color w:val="auto"/>
              </w:rPr>
            </w:pPr>
            <w:r>
              <w:rPr>
                <w:rFonts w:ascii="Arial" w:cs="Arial" w:eastAsia="Arial" w:hAnsi="Arial"/>
                <w:sz w:val="14"/>
                <w:szCs w:val="14"/>
                <w:b w:val="1"/>
                <w:bCs w:val="1"/>
                <w:color w:val="auto"/>
                <w:w w:val="94"/>
              </w:rPr>
              <w:t>May 26,</w:t>
            </w:r>
          </w:p>
        </w:tc>
        <w:tc>
          <w:tcPr>
            <w:tcW w:w="1440" w:type="dxa"/>
            <w:vAlign w:val="bottom"/>
          </w:tcPr>
          <w:p>
            <w:pPr>
              <w:jc w:val="center"/>
              <w:ind w:left="72"/>
              <w:spacing w:after="0" w:line="129" w:lineRule="exact"/>
              <w:rPr>
                <w:sz w:val="20"/>
                <w:szCs w:val="20"/>
                <w:color w:val="auto"/>
              </w:rPr>
            </w:pPr>
            <w:r>
              <w:rPr>
                <w:rFonts w:ascii="Arial" w:cs="Arial" w:eastAsia="Arial" w:hAnsi="Arial"/>
                <w:sz w:val="14"/>
                <w:szCs w:val="14"/>
                <w:b w:val="1"/>
                <w:bCs w:val="1"/>
                <w:color w:val="auto"/>
                <w:w w:val="90"/>
              </w:rPr>
              <w:t>May 27,</w:t>
            </w:r>
          </w:p>
        </w:tc>
      </w:tr>
      <w:tr>
        <w:trPr>
          <w:trHeight w:val="174"/>
        </w:trPr>
        <w:tc>
          <w:tcPr>
            <w:tcW w:w="8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jc w:val="right"/>
              <w:ind w:right="572"/>
              <w:spacing w:after="0"/>
              <w:rPr>
                <w:sz w:val="20"/>
                <w:szCs w:val="20"/>
                <w:color w:val="auto"/>
              </w:rPr>
            </w:pPr>
            <w:r>
              <w:rPr>
                <w:rFonts w:ascii="Arial" w:cs="Arial" w:eastAsia="Arial" w:hAnsi="Arial"/>
                <w:sz w:val="14"/>
                <w:szCs w:val="14"/>
                <w:b w:val="1"/>
                <w:bCs w:val="1"/>
                <w:color w:val="auto"/>
              </w:rPr>
              <w:t>2007</w:t>
            </w:r>
          </w:p>
        </w:tc>
        <w:tc>
          <w:tcPr>
            <w:tcW w:w="14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78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68" w:orient="portrait"/>
          <w:cols w:equalWidth="0" w:num="1">
            <w:col w:w="11420"/>
          </w:cols>
          <w:pgMar w:left="240" w:top="153" w:right="239" w:bottom="0" w:gutter="0" w:footer="0" w:header="0"/>
        </w:sectPr>
      </w:pPr>
    </w:p>
    <w:p>
      <w:pPr>
        <w:jc w:val="center"/>
        <w:ind w:right="6300"/>
        <w:spacing w:after="0"/>
        <w:rPr>
          <w:sz w:val="20"/>
          <w:szCs w:val="20"/>
          <w:color w:val="auto"/>
        </w:rPr>
      </w:pPr>
      <w:r>
        <w:rPr>
          <w:rFonts w:ascii="Arial" w:cs="Arial" w:eastAsia="Arial" w:hAnsi="Arial"/>
          <w:sz w:val="16"/>
          <w:szCs w:val="16"/>
          <w:color w:val="auto"/>
        </w:rPr>
        <w:t>Operating activities: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Depreciation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Postretirement benefit income and deferred compensation expense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Deferred income taxes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Excess tax benefit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Increase in cash surrender value of life insurance policies</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(Gain) loss on disposal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Change in assets and liabilities: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Receivables and prepaid assets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26,721</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35,427</w:t>
            </w:r>
          </w:p>
        </w:tc>
      </w:tr>
      <w:tr>
        <w:trPr>
          <w:trHeight w:val="426"/>
        </w:trPr>
        <w:tc>
          <w:tcPr>
            <w:tcW w:w="42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7,942</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7,989</w:t>
            </w:r>
          </w:p>
        </w:tc>
      </w:tr>
      <w:tr>
        <w:trPr>
          <w:trHeight w:val="216"/>
        </w:trPr>
        <w:tc>
          <w:tcPr>
            <w:tcW w:w="42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4,374</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3,964</w:t>
            </w:r>
          </w:p>
        </w:tc>
      </w:tr>
      <w:tr>
        <w:trPr>
          <w:trHeight w:val="216"/>
        </w:trPr>
        <w:tc>
          <w:tcPr>
            <w:tcW w:w="42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1,154</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22"/>
        </w:trPr>
        <w:tc>
          <w:tcPr>
            <w:tcW w:w="4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7"/>
        </w:trPr>
        <w:tc>
          <w:tcPr>
            <w:tcW w:w="4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(6,165)</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57"/>
        </w:trPr>
        <w:tc>
          <w:tcPr>
            <w:tcW w:w="4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(1,926)</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57"/>
        </w:trPr>
        <w:tc>
          <w:tcPr>
            <w:tcW w:w="4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(585)</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50"/>
        </w:trPr>
        <w:tc>
          <w:tcPr>
            <w:tcW w:w="4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2"/>
        </w:trPr>
        <w:tc>
          <w:tcPr>
            <w:tcW w:w="4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73"/>
        </w:trPr>
        <w:tc>
          <w:tcPr>
            <w:tcW w:w="4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(13,781)</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32,456</w:t>
            </w:r>
          </w:p>
        </w:tc>
      </w:tr>
      <w:tr>
        <w:trPr>
          <w:trHeight w:val="257"/>
        </w:trPr>
        <w:tc>
          <w:tcPr>
            <w:tcW w:w="4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(1,423)</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16,030</w:t>
            </w:r>
          </w:p>
        </w:tc>
      </w:tr>
    </w:tbl>
    <w:p>
      <w:pPr>
        <w:sectPr>
          <w:pgSz w:w="11900" w:h="16868" w:orient="portrait"/>
          <w:cols w:equalWidth="0" w:num="2">
            <w:col w:w="7740" w:space="720"/>
            <w:col w:w="2960"/>
          </w:cols>
          <w:pgMar w:left="240" w:top="153" w:right="239" w:bottom="0" w:gutter="0" w:footer="0" w:header="0"/>
          <w:type w:val="continuous"/>
        </w:sectPr>
      </w:pPr>
    </w:p>
    <w:bookmarkStart w:id="3" w:name="page4"/>
    <w:bookmarkEnd w:id="3"/>
    <w:p>
      <w:pPr>
        <w:ind w:left="30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Postretirement and deferred compensation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 w:lineRule="exact"/>
        <w:rPr>
          <w:sz w:val="20"/>
          <w:szCs w:val="20"/>
          <w:color w:val="auto"/>
        </w:rPr>
      </w:pPr>
    </w:p>
    <w:p>
      <w:pPr>
        <w:ind w:left="300" w:right="3160"/>
        <w:spacing w:after="0" w:line="268" w:lineRule="auto"/>
        <w:rPr>
          <w:sz w:val="20"/>
          <w:szCs w:val="20"/>
          <w:color w:val="auto"/>
        </w:rPr>
      </w:pPr>
      <w:r>
        <w:rPr>
          <w:rFonts w:ascii="Arial" w:cs="Arial" w:eastAsia="Arial" w:hAnsi="Arial"/>
          <w:sz w:val="18"/>
          <w:szCs w:val="18"/>
          <w:color w:val="auto"/>
        </w:rPr>
        <w:t>Proceeds from the sale or maturity of short-term investments 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Proceeds from the sale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Payments for 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Payments of cash dividends</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Excess tax benefit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taxes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(11,696)</w:t>
            </w:r>
          </w:p>
        </w:tc>
      </w:tr>
      <w:tr>
        <w:trPr>
          <w:trHeight w:val="222"/>
        </w:trPr>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5,113</w:t>
            </w:r>
          </w:p>
        </w:tc>
        <w:tc>
          <w:tcPr>
            <w:tcW w:w="80" w:type="dxa"/>
            <w:vAlign w:val="bottom"/>
          </w:tcPr>
          <w:p>
            <w:pPr>
              <w:spacing w:after="0"/>
              <w:rPr>
                <w:sz w:val="19"/>
                <w:szCs w:val="19"/>
                <w:color w:val="auto"/>
              </w:rPr>
            </w:pPr>
          </w:p>
        </w:tc>
      </w:tr>
      <w:tr>
        <w:trPr>
          <w:trHeight w:val="258"/>
        </w:trPr>
        <w:tc>
          <w:tcPr>
            <w:tcW w:w="360" w:type="dxa"/>
            <w:vAlign w:val="bottom"/>
          </w:tcPr>
          <w:p>
            <w:pPr>
              <w:spacing w:after="0"/>
              <w:rPr>
                <w:sz w:val="22"/>
                <w:szCs w:val="22"/>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(980)</w:t>
            </w:r>
          </w:p>
        </w:tc>
        <w:tc>
          <w:tcPr>
            <w:tcW w:w="34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(826)</w:t>
            </w:r>
          </w:p>
        </w:tc>
      </w:tr>
      <w:tr>
        <w:trPr>
          <w:trHeight w:val="211"/>
        </w:trPr>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25,148</w:t>
            </w:r>
          </w:p>
        </w:tc>
        <w:tc>
          <w:tcPr>
            <w:tcW w:w="340" w:type="dxa"/>
            <w:vAlign w:val="bottom"/>
            <w:tcBorders>
              <w:top w:val="single" w:sz="8" w:color="D6F3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89,635</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D6F3E8"/>
            </w:tcBorders>
          </w:tcPr>
          <w:p>
            <w:pPr>
              <w:spacing w:after="0"/>
              <w:rPr>
                <w:sz w:val="18"/>
                <w:szCs w:val="18"/>
                <w:color w:val="auto"/>
              </w:rPr>
            </w:pPr>
          </w:p>
        </w:tc>
      </w:tr>
      <w:tr>
        <w:trPr>
          <w:trHeight w:val="633"/>
        </w:trPr>
        <w:tc>
          <w:tcPr>
            <w:tcW w:w="36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(238,649)</w:t>
            </w:r>
          </w:p>
        </w:tc>
        <w:tc>
          <w:tcPr>
            <w:tcW w:w="340" w:type="dxa"/>
            <w:vAlign w:val="bottom"/>
          </w:tcPr>
          <w:p>
            <w:pPr>
              <w:spacing w:after="0"/>
              <w:rPr>
                <w:sz w:val="24"/>
                <w:szCs w:val="2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(150,475)</w:t>
            </w:r>
          </w:p>
        </w:tc>
      </w:tr>
      <w:tr>
        <w:trPr>
          <w:trHeight w:val="222"/>
        </w:trPr>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223,649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118,575</w:t>
            </w:r>
          </w:p>
        </w:tc>
        <w:tc>
          <w:tcPr>
            <w:tcW w:w="80" w:type="dxa"/>
            <w:vAlign w:val="bottom"/>
          </w:tcPr>
          <w:p>
            <w:pPr>
              <w:spacing w:after="0"/>
              <w:rPr>
                <w:sz w:val="19"/>
                <w:szCs w:val="19"/>
                <w:color w:val="auto"/>
              </w:rPr>
            </w:pPr>
          </w:p>
        </w:tc>
      </w:tr>
      <w:tr>
        <w:trPr>
          <w:trHeight w:val="250"/>
        </w:trPr>
        <w:tc>
          <w:tcPr>
            <w:tcW w:w="36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(3,677)</w:t>
            </w:r>
          </w:p>
        </w:tc>
        <w:tc>
          <w:tcPr>
            <w:tcW w:w="3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(3,193)</w:t>
            </w:r>
          </w:p>
        </w:tc>
      </w:tr>
      <w:tr>
        <w:trPr>
          <w:trHeight w:val="222"/>
        </w:trPr>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r>
      <w:tr>
        <w:trPr>
          <w:trHeight w:val="231"/>
        </w:trPr>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r>
      <w:tr>
        <w:trPr>
          <w:trHeight w:val="237"/>
        </w:trPr>
        <w:tc>
          <w:tcPr>
            <w:tcW w:w="3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(17,773)</w:t>
            </w:r>
          </w:p>
        </w:tc>
        <w:tc>
          <w:tcPr>
            <w:tcW w:w="3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(34,778)</w:t>
            </w:r>
          </w:p>
        </w:tc>
      </w:tr>
      <w:tr>
        <w:trPr>
          <w:trHeight w:val="20"/>
        </w:trPr>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4"/>
        </w:trPr>
        <w:tc>
          <w:tcPr>
            <w:tcW w:w="36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(20,548)</w:t>
            </w:r>
          </w:p>
        </w:tc>
        <w:tc>
          <w:tcPr>
            <w:tcW w:w="340" w:type="dxa"/>
            <w:vAlign w:val="bottom"/>
          </w:tcPr>
          <w:p>
            <w:pPr>
              <w:spacing w:after="0"/>
              <w:rPr>
                <w:sz w:val="24"/>
                <w:szCs w:val="2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(51,576)</w:t>
            </w:r>
          </w:p>
        </w:tc>
      </w:tr>
      <w:tr>
        <w:trPr>
          <w:trHeight w:val="250"/>
        </w:trPr>
        <w:tc>
          <w:tcPr>
            <w:tcW w:w="36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(9,412)</w:t>
            </w:r>
          </w:p>
        </w:tc>
        <w:tc>
          <w:tcPr>
            <w:tcW w:w="3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(8,871)</w:t>
            </w:r>
          </w:p>
        </w:tc>
      </w:tr>
      <w:tr>
        <w:trPr>
          <w:trHeight w:val="222"/>
        </w:trPr>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9"/>
                <w:szCs w:val="19"/>
                <w:color w:val="auto"/>
              </w:rPr>
            </w:pPr>
          </w:p>
        </w:tc>
      </w:tr>
      <w:tr>
        <w:trPr>
          <w:trHeight w:val="231"/>
        </w:trPr>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0"/>
                <w:szCs w:val="20"/>
                <w:color w:val="auto"/>
              </w:rPr>
            </w:pPr>
          </w:p>
        </w:tc>
      </w:tr>
      <w:tr>
        <w:trPr>
          <w:trHeight w:val="237"/>
        </w:trPr>
        <w:tc>
          <w:tcPr>
            <w:tcW w:w="3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(20,398)</w:t>
            </w:r>
          </w:p>
        </w:tc>
        <w:tc>
          <w:tcPr>
            <w:tcW w:w="3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(58,922)</w:t>
            </w:r>
          </w:p>
        </w:tc>
      </w:tr>
      <w:tr>
        <w:trPr>
          <w:trHeight w:val="20"/>
        </w:trPr>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r>
      <w:tr>
        <w:trPr>
          <w:trHeight w:val="438"/>
        </w:trPr>
        <w:tc>
          <w:tcPr>
            <w:tcW w:w="36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(13,023)</w:t>
            </w:r>
          </w:p>
        </w:tc>
        <w:tc>
          <w:tcPr>
            <w:tcW w:w="340" w:type="dxa"/>
            <w:vAlign w:val="bottom"/>
          </w:tcPr>
          <w:p>
            <w:pPr>
              <w:spacing w:after="0"/>
              <w:rPr>
                <w:sz w:val="24"/>
                <w:szCs w:val="2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(4,065)</w:t>
            </w:r>
          </w:p>
        </w:tc>
      </w:tr>
      <w:tr>
        <w:trPr>
          <w:trHeight w:val="231"/>
        </w:trPr>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24,934</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19,484</w:t>
            </w:r>
          </w:p>
        </w:tc>
        <w:tc>
          <w:tcPr>
            <w:tcW w:w="80" w:type="dxa"/>
            <w:vAlign w:val="bottom"/>
          </w:tcPr>
          <w:p>
            <w:pPr>
              <w:spacing w:after="0"/>
              <w:rPr>
                <w:sz w:val="20"/>
                <w:szCs w:val="20"/>
                <w:color w:val="auto"/>
              </w:rPr>
            </w:pPr>
          </w:p>
        </w:tc>
      </w:tr>
      <w:tr>
        <w:trPr>
          <w:trHeight w:val="211"/>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34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15,419</w:t>
            </w:r>
          </w:p>
        </w:tc>
        <w:tc>
          <w:tcPr>
            <w:tcW w:w="80" w:type="dxa"/>
            <w:vAlign w:val="bottom"/>
          </w:tcPr>
          <w:p>
            <w:pPr>
              <w:spacing w:after="0"/>
              <w:rPr>
                <w:sz w:val="18"/>
                <w:szCs w:val="18"/>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7"/>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17,176</w:t>
            </w:r>
          </w:p>
        </w:tc>
        <w:tc>
          <w:tcPr>
            <w:tcW w:w="340" w:type="dxa"/>
            <w:vAlign w:val="bottom"/>
          </w:tcPr>
          <w:p>
            <w:pPr>
              <w:spacing w:after="0"/>
              <w:rPr>
                <w:sz w:val="24"/>
                <w:szCs w:val="24"/>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12,465</w:t>
            </w:r>
          </w:p>
        </w:tc>
        <w:tc>
          <w:tcPr>
            <w:tcW w:w="80" w:type="dxa"/>
            <w:vAlign w:val="bottom"/>
          </w:tcPr>
          <w:p>
            <w:pPr>
              <w:spacing w:after="0"/>
              <w:rPr>
                <w:sz w:val="24"/>
                <w:szCs w:val="24"/>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3" w:lineRule="exact"/>
        <w:rPr>
          <w:sz w:val="20"/>
          <w:szCs w:val="20"/>
          <w:color w:val="auto"/>
        </w:rPr>
      </w:pPr>
    </w:p>
    <w:p>
      <w:pPr>
        <w:sectPr>
          <w:pgSz w:w="11900" w:h="16838" w:orient="portrait"/>
          <w:cols w:equalWidth="0" w:num="2">
            <w:col w:w="7740" w:space="720"/>
            <w:col w:w="2960"/>
          </w:cols>
          <w:pgMar w:left="240" w:top="145" w:right="239" w:bottom="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the effect of global tensions,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11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the consolidated financial position as of May 26, 2007 and the consolidated statements of income for the quarter and nine months ended May 26, 2007 and May 27, 2006, and consolidated cash flows for the nine months ended May 26, 2007 and May 27, 2006. The consolidated statement of income for the nine months ended May 26, 2007 is not necessarily indicative of the results to be expected for the full year. The balance sheet data as of August 26, 2006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26, 2006. Certain prior period information in the unaudited consolidated statements of cash flows has been reclassified to conform to the current year presentation.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 Plans</w:t>
      </w:r>
    </w:p>
    <w:p>
      <w:pPr>
        <w:spacing w:after="0" w:line="1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a 2004 Incentive Compensation Plan, as amended, in place which allows us to grant stock options and other equity compensation to key employees and to nonemployee directors. In prior years, stock-based compensation consisted only of stock options. In Fiscal 2007, we granted restricted stock awards to key employees and directors instead of stock options. The value of the restricted stock awards is determined using the intrinsic value method which, in this case, is based on the number of shares granted and the closing price of our common stock on the date of grant.</w:t>
      </w:r>
    </w:p>
    <w:p>
      <w:pPr>
        <w:spacing w:after="0" w:line="99"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Total stock-based compensation expense included in our statements of income for the quarters ended May 26, 2007 and May 27, 2006 was $765,000 and $997,000, respectively. The total stock-based compensation for the nine months ended May 26, 2007 and May 27, 2006 was $4.4 million and $3.8 million,</w:t>
      </w:r>
    </w:p>
    <w:p>
      <w:pPr>
        <w:sectPr>
          <w:pgSz w:w="11900" w:h="16838" w:orient="portrait"/>
          <w:cols w:equalWidth="0" w:num="1">
            <w:col w:w="11420"/>
          </w:cols>
          <w:pgMar w:left="240" w:top="145" w:right="239" w:bottom="0" w:gutter="0" w:footer="0" w:header="0"/>
          <w:type w:val="continuous"/>
        </w:sectPr>
      </w:pPr>
    </w:p>
    <w:bookmarkStart w:id="4" w:name="page5"/>
    <w:bookmarkEnd w:id="4"/>
    <w:p>
      <w:pPr>
        <w:spacing w:after="0" w:line="318" w:lineRule="auto"/>
        <w:rPr>
          <w:sz w:val="20"/>
          <w:szCs w:val="20"/>
          <w:color w:val="auto"/>
        </w:rPr>
      </w:pPr>
      <w:r>
        <w:rPr>
          <w:rFonts w:ascii="Arial" w:cs="Arial" w:eastAsia="Arial" w:hAnsi="Arial"/>
          <w:sz w:val="15"/>
          <w:szCs w:val="15"/>
          <w:color w:val="auto"/>
        </w:rPr>
        <w:t>respectively. Of the $4.4 million, $2.8 million is related to the granting to employees of 105,450 shares and the granting to nonemployee directors of 7,000 shares of restricted stock. The remainder is related to the amortization of previously granted employee and nonemployee directors stock options and nonemployee directors stock units issued in lieu of their fees. We will continue to recognize compensation expense over the three-year vesting periods for awards granted prior to adoption of Statement of Financial Accounting Standards (SFAS) No. 123R, but for all awards granted after August 27, 2005, compensation expense will be recognized over the requisite service period of the award or over a period ending with an employee’s eligible retirement date, if earlier.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16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SFAS 109 has been amended by Financial Accounting Standards Interpretations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The amendment establishes a consistent threshold for recognizing current and deferred income taxes and results in increased comparability in how companies report income tax assets and liabilities. The effective date of FIN 48 is for fiscal years beginning after December 15, 2006 (our first quarter of Fiscal 2008). We are currently evaluating the impact of this pronouncement on our future consolidated financial statements.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September 2006, the Financial Accounting Standards Board (FASB) issued Financing Accounting Standards (FAS)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provides a definition of fair value and a consistent basis by which to measure fair value. The statement is effective for fiscal years beginning after November 15, 2007 and for interim periods within those fiscal years (our Fiscal Year 2009). We are currently evaluating the impact of this pronouncement on our future consolidated financial statements.</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In September 2006, the FASB issued SFAS No. 158, </w:t>
      </w:r>
      <w:r>
        <w:rPr>
          <w:rFonts w:ascii="Arial" w:cs="Arial" w:eastAsia="Arial" w:hAnsi="Arial"/>
          <w:sz w:val="16"/>
          <w:szCs w:val="16"/>
          <w:i w:val="1"/>
          <w:iCs w:val="1"/>
          <w:color w:val="auto"/>
        </w:rPr>
        <w:t>Employer’s Accounting for Defined Benefit Pension and Other Postretirement Plans –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Statements No. 87, 88, 106, and 132(R) </w:t>
      </w:r>
      <w:r>
        <w:rPr>
          <w:rFonts w:ascii="Arial" w:cs="Arial" w:eastAsia="Arial" w:hAnsi="Arial"/>
          <w:sz w:val="16"/>
          <w:szCs w:val="16"/>
          <w:color w:val="auto"/>
        </w:rPr>
        <w:t>(“SFAS 158”). SFAS 158 requires that we recognize the overfunded or underfunded status of our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and retiree medical plans as an asset or liability in our 2007 year-end balance sheet, with changes in the funded status recognized through comprehensive income in the year in which they occur. SFAS 158 is effective for fiscal years ending after December 15, 2006; for us, our fiscal year ending August 25, 2007. We are currently evaluating the impact of adopting SFAS 158 on our future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May 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August 26,</w:t>
            </w:r>
          </w:p>
        </w:tc>
      </w:tr>
      <w:tr>
        <w:trPr>
          <w:trHeight w:val="161"/>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D6F3E8"/>
            </w:tcBorders>
          </w:tcPr>
          <w:p>
            <w:pPr>
              <w:spacing w:after="0"/>
              <w:rPr>
                <w:sz w:val="14"/>
                <w:szCs w:val="14"/>
                <w:color w:val="auto"/>
              </w:rPr>
            </w:pPr>
          </w:p>
        </w:tc>
        <w:tc>
          <w:tcPr>
            <w:tcW w:w="20" w:type="dxa"/>
            <w:vAlign w:val="bottom"/>
            <w:tcBorders>
              <w:bottom w:val="single" w:sz="8" w:color="D6F3E8"/>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D6F3E8"/>
            </w:tcBorders>
          </w:tcPr>
          <w:p>
            <w:pPr>
              <w:spacing w:after="0"/>
              <w:rPr>
                <w:sz w:val="14"/>
                <w:szCs w:val="14"/>
                <w:color w:val="auto"/>
              </w:rPr>
            </w:pPr>
          </w:p>
        </w:tc>
      </w:tr>
      <w:tr>
        <w:trPr>
          <w:trHeight w:val="210"/>
        </w:trPr>
        <w:tc>
          <w:tcPr>
            <w:tcW w:w="416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44,015</w:t>
            </w:r>
          </w:p>
        </w:tc>
        <w:tc>
          <w:tcPr>
            <w:tcW w:w="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33,420</w:t>
            </w:r>
          </w:p>
        </w:tc>
        <w:tc>
          <w:tcPr>
            <w:tcW w:w="60" w:type="dxa"/>
            <w:vAlign w:val="bottom"/>
            <w:shd w:val="clear" w:color="auto" w:fill="D6F3E8"/>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41,161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35,166</w:t>
            </w:r>
          </w:p>
        </w:tc>
        <w:tc>
          <w:tcPr>
            <w:tcW w:w="60" w:type="dxa"/>
            <w:vAlign w:val="bottom"/>
          </w:tcPr>
          <w:p>
            <w:pPr>
              <w:spacing w:after="0"/>
              <w:rPr>
                <w:sz w:val="18"/>
                <w:szCs w:val="18"/>
                <w:color w:val="auto"/>
              </w:rPr>
            </w:pPr>
          </w:p>
        </w:tc>
      </w:tr>
      <w:tr>
        <w:trPr>
          <w:trHeight w:val="229"/>
        </w:trPr>
        <w:tc>
          <w:tcPr>
            <w:tcW w:w="416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8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38,674</w:t>
            </w:r>
          </w:p>
        </w:tc>
        <w:tc>
          <w:tcPr>
            <w:tcW w:w="34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00" w:type="dxa"/>
            <w:vAlign w:val="bottom"/>
            <w:tcBorders>
              <w:bottom w:val="single" w:sz="8" w:color="auto"/>
            </w:tcBorders>
            <w:shd w:val="clear" w:color="auto" w:fill="D6F3E8"/>
          </w:tcPr>
          <w:p>
            <w:pPr>
              <w:spacing w:after="0"/>
              <w:rPr>
                <w:sz w:val="19"/>
                <w:szCs w:val="19"/>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40,080</w:t>
            </w:r>
          </w:p>
        </w:tc>
        <w:tc>
          <w:tcPr>
            <w:tcW w:w="60" w:type="dxa"/>
            <w:vAlign w:val="bottom"/>
            <w:shd w:val="clear" w:color="auto" w:fill="D6F3E8"/>
          </w:tcPr>
          <w:p>
            <w:pPr>
              <w:spacing w:after="0"/>
              <w:rPr>
                <w:sz w:val="19"/>
                <w:szCs w:val="19"/>
                <w:color w:val="auto"/>
              </w:rPr>
            </w:pPr>
          </w:p>
        </w:tc>
      </w:tr>
      <w:tr>
        <w:trPr>
          <w:trHeight w:val="211"/>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123,850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108,666</w:t>
            </w:r>
          </w:p>
        </w:tc>
        <w:tc>
          <w:tcPr>
            <w:tcW w:w="60" w:type="dxa"/>
            <w:vAlign w:val="bottom"/>
          </w:tcPr>
          <w:p>
            <w:pPr>
              <w:spacing w:after="0"/>
              <w:rPr>
                <w:sz w:val="18"/>
                <w:szCs w:val="18"/>
                <w:color w:val="auto"/>
              </w:rPr>
            </w:pPr>
          </w:p>
        </w:tc>
      </w:tr>
      <w:tr>
        <w:trPr>
          <w:trHeight w:val="257"/>
        </w:trPr>
        <w:tc>
          <w:tcPr>
            <w:tcW w:w="416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(32,988)</w:t>
            </w:r>
          </w:p>
        </w:tc>
        <w:tc>
          <w:tcPr>
            <w:tcW w:w="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9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(31,585)</w:t>
            </w:r>
          </w:p>
        </w:tc>
      </w:tr>
      <w:tr>
        <w:trPr>
          <w:trHeight w:val="210"/>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90,862</w:t>
            </w:r>
          </w:p>
        </w:tc>
        <w:tc>
          <w:tcPr>
            <w:tcW w:w="340" w:type="dxa"/>
            <w:vAlign w:val="bottom"/>
            <w:tcBorders>
              <w:top w:val="single" w:sz="8" w:color="D6F3E8"/>
            </w:tcBorders>
          </w:tcPr>
          <w:p>
            <w:pPr>
              <w:spacing w:after="0"/>
              <w:rPr>
                <w:sz w:val="18"/>
                <w:szCs w:val="18"/>
                <w:color w:val="auto"/>
              </w:rPr>
            </w:pPr>
          </w:p>
        </w:tc>
        <w:tc>
          <w:tcPr>
            <w:tcW w:w="20" w:type="dxa"/>
            <w:vAlign w:val="bottom"/>
            <w:tcBorders>
              <w:top w:val="single" w:sz="8" w:color="D6F3E8"/>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77,081</w:t>
            </w:r>
          </w:p>
        </w:tc>
        <w:tc>
          <w:tcPr>
            <w:tcW w:w="60" w:type="dxa"/>
            <w:vAlign w:val="bottom"/>
            <w:tcBorders>
              <w:top w:val="single" w:sz="8" w:color="D6F3E8"/>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The Company adopted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at the beginning of Fiscal 2006. We have not recognized any charges related to idle capacity due to the fact that we believe our current production levels to be within the range of normal production levels.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Warranty</w:t>
      </w:r>
    </w:p>
    <w:p>
      <w:pPr>
        <w:spacing w:after="0" w:line="16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provide our motor home customers a comprehensive 12-month/15,000-mile warranty on the coach, and a 3-year/36,000-mile warranty on sidewalls and floors. We record a liability based on our estimate of the amounts necessary to settle future and existing claims on products sold as of the balance sheet date. Changes in our product warranty liability reserve are as follows: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4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May 26,</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May 27,</w:t>
            </w:r>
          </w:p>
        </w:tc>
        <w:tc>
          <w:tcPr>
            <w:tcW w:w="60" w:type="dxa"/>
            <w:vAlign w:val="bottom"/>
          </w:tcPr>
          <w:p>
            <w:pPr>
              <w:spacing w:after="0"/>
              <w:rPr>
                <w:sz w:val="11"/>
                <w:szCs w:val="11"/>
                <w:color w:val="auto"/>
              </w:rPr>
            </w:pPr>
          </w:p>
        </w:tc>
      </w:tr>
      <w:tr>
        <w:trPr>
          <w:trHeight w:val="161"/>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D6F3E8"/>
            </w:tcBorders>
          </w:tcPr>
          <w:p>
            <w:pPr>
              <w:spacing w:after="0"/>
              <w:rPr>
                <w:sz w:val="14"/>
                <w:szCs w:val="14"/>
                <w:color w:val="auto"/>
              </w:rPr>
            </w:pPr>
          </w:p>
        </w:tc>
        <w:tc>
          <w:tcPr>
            <w:tcW w:w="2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D6F3E8"/>
            </w:tcBorders>
          </w:tcPr>
          <w:p>
            <w:pPr>
              <w:spacing w:after="0"/>
              <w:rPr>
                <w:sz w:val="14"/>
                <w:szCs w:val="14"/>
                <w:color w:val="auto"/>
              </w:rPr>
            </w:pPr>
          </w:p>
        </w:tc>
      </w:tr>
      <w:tr>
        <w:trPr>
          <w:trHeight w:val="210"/>
        </w:trPr>
        <w:tc>
          <w:tcPr>
            <w:tcW w:w="416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9,523</w:t>
            </w:r>
          </w:p>
        </w:tc>
        <w:tc>
          <w:tcPr>
            <w:tcW w:w="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12,183</w:t>
            </w:r>
          </w:p>
        </w:tc>
        <w:tc>
          <w:tcPr>
            <w:tcW w:w="60" w:type="dxa"/>
            <w:vAlign w:val="bottom"/>
            <w:shd w:val="clear" w:color="auto" w:fill="D6F3E8"/>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8,058</w:t>
            </w:r>
          </w:p>
        </w:tc>
        <w:tc>
          <w:tcPr>
            <w:tcW w:w="60" w:type="dxa"/>
            <w:vAlign w:val="bottom"/>
          </w:tcPr>
          <w:p>
            <w:pPr>
              <w:spacing w:after="0"/>
              <w:rPr>
                <w:sz w:val="18"/>
                <w:szCs w:val="18"/>
                <w:color w:val="auto"/>
              </w:rPr>
            </w:pPr>
          </w:p>
        </w:tc>
      </w:tr>
      <w:tr>
        <w:trPr>
          <w:trHeight w:val="257"/>
        </w:trPr>
        <w:tc>
          <w:tcPr>
            <w:tcW w:w="41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Claims paid</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(8,359)</w:t>
            </w:r>
          </w:p>
        </w:tc>
        <w:tc>
          <w:tcPr>
            <w:tcW w:w="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(9,522)</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10,791</w:t>
            </w:r>
          </w:p>
        </w:tc>
        <w:tc>
          <w:tcPr>
            <w:tcW w:w="340" w:type="dxa"/>
            <w:vAlign w:val="bottom"/>
            <w:tcBorders>
              <w:top w:val="single" w:sz="8" w:color="D6F3E8"/>
            </w:tcBorders>
          </w:tcPr>
          <w:p>
            <w:pPr>
              <w:spacing w:after="0"/>
              <w:rPr>
                <w:sz w:val="18"/>
                <w:szCs w:val="18"/>
                <w:color w:val="auto"/>
              </w:rPr>
            </w:pPr>
          </w:p>
        </w:tc>
        <w:tc>
          <w:tcPr>
            <w:tcW w:w="20" w:type="dxa"/>
            <w:vAlign w:val="bottom"/>
            <w:tcBorders>
              <w:top w:val="single" w:sz="8" w:color="D6F3E8"/>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60" w:type="dxa"/>
            <w:vAlign w:val="bottom"/>
            <w:tcBorders>
              <w:top w:val="single" w:sz="8" w:color="D6F3E8"/>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 claim rate experiences and the estimated cost of repairs. Estimated costs are accrued at the time the service action is implemented and included in cost of sales in our consolidated statements of income and as other accrued expenses in our consolidated balance sheets.</w:t>
      </w:r>
    </w:p>
    <w:p>
      <w:pPr>
        <w:sectPr>
          <w:pgSz w:w="11900" w:h="16838" w:orient="portrait"/>
          <w:cols w:equalWidth="0" w:num="1">
            <w:col w:w="11360"/>
          </w:cols>
          <w:pgMar w:left="240" w:top="131" w:right="299" w:bottom="18"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Changes in our reserve for customer service actions are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0</wp:posOffset>
            </wp:positionV>
            <wp:extent cx="434784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6"/>
          <w:szCs w:val="16"/>
          <w:color w:val="auto"/>
        </w:rPr>
        <w:t>Balance at beginning of period</w:t>
      </w:r>
    </w:p>
    <w:p>
      <w:pPr>
        <w:spacing w:after="0" w:line="3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6985</wp:posOffset>
            </wp:positionV>
            <wp:extent cx="434784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8"/>
          <w:szCs w:val="18"/>
          <w:color w:val="auto"/>
        </w:rPr>
        <w:t>Claims paid</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280"/>
        <w:spacing w:after="0"/>
        <w:rPr>
          <w:sz w:val="20"/>
          <w:szCs w:val="20"/>
          <w:color w:val="auto"/>
        </w:rPr>
      </w:pPr>
      <w:r>
        <w:rPr>
          <w:rFonts w:ascii="Arial" w:cs="Arial" w:eastAsia="Arial" w:hAnsi="Arial"/>
          <w:sz w:val="14"/>
          <w:szCs w:val="14"/>
          <w:b w:val="1"/>
          <w:bCs w:val="1"/>
          <w:color w:val="auto"/>
        </w:rPr>
        <w:t>Nine Months Ended</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rPr>
              <w:t>May 26,</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May 27,</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505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624</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11"/>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40" w:type="dxa"/>
            <w:vAlign w:val="bottom"/>
            <w:tcBorders>
              <w:top w:val="single" w:sz="8" w:color="D6F3E8"/>
            </w:tcBorders>
          </w:tcPr>
          <w:p>
            <w:pPr>
              <w:spacing w:after="0"/>
              <w:rPr>
                <w:sz w:val="18"/>
                <w:szCs w:val="18"/>
                <w:color w:val="auto"/>
              </w:rPr>
            </w:pPr>
          </w:p>
        </w:tc>
        <w:tc>
          <w:tcPr>
            <w:tcW w:w="20" w:type="dxa"/>
            <w:vAlign w:val="bottom"/>
            <w:tcBorders>
              <w:top w:val="single" w:sz="8" w:color="D6F3E8"/>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60" w:type="dxa"/>
            <w:vAlign w:val="bottom"/>
            <w:tcBorders>
              <w:top w:val="single" w:sz="8" w:color="D6F3E8"/>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2">
            <w:col w:w="6060" w:space="720"/>
            <w:col w:w="4580"/>
          </w:cols>
          <w:pgMar w:left="240" w:top="131" w:right="299" w:bottom="18"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360"/>
          </w:cols>
          <w:pgMar w:left="240" w:top="131" w:right="299" w:bottom="18" w:gutter="0" w:footer="0" w:header="0"/>
          <w:type w:val="continuous"/>
        </w:sectPr>
      </w:pPr>
    </w:p>
    <w:bookmarkStart w:id="5" w:name="page6"/>
    <w:bookmarkEnd w:id="5"/>
    <w:p>
      <w:pPr>
        <w:spacing w:after="0" w:line="8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and Retiree Benefits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Reserves for long-term postretirement health care and deferred compensation benefits are as follows: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Postretirement health care benefit cost (1)</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Deferred compensation liability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6985</wp:posOffset>
            </wp:positionV>
            <wp:extent cx="579755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Executive share option plan liability</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Total postretirement health care and deferred compensation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6"/>
        <w:spacing w:after="0"/>
        <w:rPr>
          <w:sz w:val="20"/>
          <w:szCs w:val="20"/>
          <w:color w:val="auto"/>
        </w:rPr>
      </w:pPr>
      <w:r>
        <w:rPr>
          <w:rFonts w:ascii="Arial" w:cs="Arial" w:eastAsia="Arial" w:hAnsi="Arial"/>
          <w:sz w:val="14"/>
          <w:szCs w:val="14"/>
          <w:b w:val="1"/>
          <w:bCs w:val="1"/>
          <w:color w:val="auto"/>
        </w:rPr>
        <w:t>May 26,</w:t>
      </w:r>
    </w:p>
    <w:p>
      <w:pPr>
        <w:spacing w:after="0" w:line="1" w:lineRule="exact"/>
        <w:rPr>
          <w:sz w:val="20"/>
          <w:szCs w:val="20"/>
          <w:color w:val="auto"/>
        </w:rPr>
      </w:pPr>
    </w:p>
    <w:p>
      <w:pPr>
        <w:ind w:left="366"/>
        <w:spacing w:after="0"/>
        <w:rPr>
          <w:sz w:val="20"/>
          <w:szCs w:val="20"/>
          <w:color w:val="auto"/>
        </w:rPr>
      </w:pPr>
      <w:r>
        <w:rPr>
          <w:rFonts w:ascii="Arial" w:cs="Arial" w:eastAsia="Arial" w:hAnsi="Arial"/>
          <w:sz w:val="14"/>
          <w:szCs w:val="14"/>
          <w:b w:val="1"/>
          <w:bCs w:val="1"/>
          <w:color w:val="auto"/>
        </w:rPr>
        <w:t>2007</w:t>
      </w:r>
    </w:p>
    <w:p>
      <w:pPr>
        <w:ind w:left="526" w:hanging="526"/>
        <w:spacing w:after="0"/>
        <w:tabs>
          <w:tab w:leader="none" w:pos="526" w:val="left"/>
        </w:tabs>
        <w:numPr>
          <w:ilvl w:val="0"/>
          <w:numId w:val="1"/>
        </w:numPr>
        <w:rPr>
          <w:rFonts w:ascii="Arial" w:cs="Arial" w:eastAsia="Arial" w:hAnsi="Arial"/>
          <w:sz w:val="15"/>
          <w:szCs w:val="15"/>
          <w:color w:val="auto"/>
        </w:rPr>
      </w:pPr>
      <w:r>
        <w:rPr>
          <w:rFonts w:ascii="Arial" w:cs="Arial" w:eastAsia="Arial" w:hAnsi="Arial"/>
          <w:sz w:val="15"/>
          <w:szCs w:val="15"/>
          <w:color w:val="auto"/>
        </w:rPr>
        <w:t>49,420</w:t>
      </w:r>
    </w:p>
    <w:p>
      <w:pPr>
        <w:spacing w:after="0" w:line="42" w:lineRule="exact"/>
        <w:rPr>
          <w:rFonts w:ascii="Arial" w:cs="Arial" w:eastAsia="Arial" w:hAnsi="Arial"/>
          <w:sz w:val="15"/>
          <w:szCs w:val="15"/>
          <w:color w:val="auto"/>
        </w:rPr>
      </w:pPr>
    </w:p>
    <w:p>
      <w:pPr>
        <w:ind w:left="526"/>
        <w:spacing w:after="0"/>
        <w:rPr>
          <w:rFonts w:ascii="Arial" w:cs="Arial" w:eastAsia="Arial" w:hAnsi="Arial"/>
          <w:sz w:val="15"/>
          <w:szCs w:val="15"/>
          <w:color w:val="auto"/>
        </w:rPr>
      </w:pPr>
      <w:r>
        <w:rPr>
          <w:rFonts w:ascii="Arial" w:cs="Arial" w:eastAsia="Arial" w:hAnsi="Arial"/>
          <w:sz w:val="15"/>
          <w:szCs w:val="15"/>
          <w:color w:val="auto"/>
        </w:rPr>
        <w:t>25,170</w:t>
      </w:r>
    </w:p>
    <w:p>
      <w:pPr>
        <w:spacing w:after="0" w:line="50" w:lineRule="exact"/>
        <w:rPr>
          <w:rFonts w:ascii="Arial" w:cs="Arial" w:eastAsia="Arial" w:hAnsi="Arial"/>
          <w:sz w:val="15"/>
          <w:szCs w:val="15"/>
          <w:color w:val="auto"/>
        </w:rPr>
      </w:pPr>
    </w:p>
    <w:p>
      <w:pPr>
        <w:ind w:left="526"/>
        <w:spacing w:after="0"/>
        <w:rPr>
          <w:rFonts w:ascii="Arial" w:cs="Arial" w:eastAsia="Arial" w:hAnsi="Arial"/>
          <w:sz w:val="15"/>
          <w:szCs w:val="15"/>
          <w:color w:val="auto"/>
        </w:rPr>
      </w:pPr>
      <w:r>
        <w:rPr>
          <w:rFonts w:ascii="Arial" w:cs="Arial" w:eastAsia="Arial" w:hAnsi="Arial"/>
          <w:sz w:val="15"/>
          <w:szCs w:val="15"/>
          <w:color w:val="auto"/>
        </w:rPr>
        <w:t>13,120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343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7" w:lineRule="exact"/>
        <w:rPr>
          <w:sz w:val="20"/>
          <w:szCs w:val="20"/>
          <w:color w:val="auto"/>
        </w:rPr>
      </w:pPr>
    </w:p>
    <w:p>
      <w:pPr>
        <w:ind w:left="526" w:hanging="526"/>
        <w:spacing w:after="0"/>
        <w:tabs>
          <w:tab w:leader="none" w:pos="526" w:val="left"/>
        </w:tabs>
        <w:numPr>
          <w:ilvl w:val="0"/>
          <w:numId w:val="2"/>
        </w:numPr>
        <w:rPr>
          <w:rFonts w:ascii="Arial" w:cs="Arial" w:eastAsia="Arial" w:hAnsi="Arial"/>
          <w:sz w:val="15"/>
          <w:szCs w:val="15"/>
          <w:color w:val="auto"/>
        </w:rPr>
      </w:pPr>
      <w:r>
        <w:rPr>
          <w:rFonts w:ascii="Arial" w:cs="Arial" w:eastAsia="Arial" w:hAnsi="Arial"/>
          <w:sz w:val="15"/>
          <w:szCs w:val="15"/>
          <w:color w:val="auto"/>
        </w:rPr>
        <w:t>87,710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343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6343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2"/>
        <w:spacing w:after="0"/>
        <w:rPr>
          <w:sz w:val="20"/>
          <w:szCs w:val="20"/>
          <w:color w:val="auto"/>
        </w:rPr>
      </w:pPr>
      <w:r>
        <w:rPr>
          <w:rFonts w:ascii="Arial" w:cs="Arial" w:eastAsia="Arial" w:hAnsi="Arial"/>
          <w:sz w:val="14"/>
          <w:szCs w:val="14"/>
          <w:b w:val="1"/>
          <w:bCs w:val="1"/>
          <w:color w:val="auto"/>
        </w:rPr>
        <w:t>August 26,</w:t>
      </w:r>
    </w:p>
    <w:p>
      <w:pPr>
        <w:spacing w:after="0" w:line="1" w:lineRule="exact"/>
        <w:rPr>
          <w:sz w:val="20"/>
          <w:szCs w:val="20"/>
          <w:color w:val="auto"/>
        </w:rPr>
      </w:pPr>
    </w:p>
    <w:p>
      <w:pPr>
        <w:ind w:left="362"/>
        <w:spacing w:after="0"/>
        <w:rPr>
          <w:sz w:val="20"/>
          <w:szCs w:val="20"/>
          <w:color w:val="auto"/>
        </w:rPr>
      </w:pPr>
      <w:r>
        <w:rPr>
          <w:rFonts w:ascii="Arial" w:cs="Arial" w:eastAsia="Arial" w:hAnsi="Arial"/>
          <w:sz w:val="14"/>
          <w:szCs w:val="14"/>
          <w:b w:val="1"/>
          <w:bCs w:val="1"/>
          <w:color w:val="auto"/>
        </w:rPr>
        <w:t>2006</w:t>
      </w:r>
    </w:p>
    <w:p>
      <w:pPr>
        <w:ind w:left="522" w:hanging="522"/>
        <w:spacing w:after="0"/>
        <w:tabs>
          <w:tab w:leader="none" w:pos="522" w:val="left"/>
        </w:tabs>
        <w:numPr>
          <w:ilvl w:val="0"/>
          <w:numId w:val="3"/>
        </w:numPr>
        <w:rPr>
          <w:rFonts w:ascii="Arial" w:cs="Arial" w:eastAsia="Arial" w:hAnsi="Arial"/>
          <w:sz w:val="15"/>
          <w:szCs w:val="15"/>
          <w:color w:val="auto"/>
        </w:rPr>
      </w:pPr>
      <w:r>
        <w:rPr>
          <w:rFonts w:ascii="Arial" w:cs="Arial" w:eastAsia="Arial" w:hAnsi="Arial"/>
          <w:sz w:val="15"/>
          <w:szCs w:val="15"/>
          <w:color w:val="auto"/>
        </w:rPr>
        <w:t>50,583</w:t>
      </w:r>
    </w:p>
    <w:p>
      <w:pPr>
        <w:spacing w:after="0" w:line="42" w:lineRule="exact"/>
        <w:rPr>
          <w:rFonts w:ascii="Arial" w:cs="Arial" w:eastAsia="Arial" w:hAnsi="Arial"/>
          <w:sz w:val="15"/>
          <w:szCs w:val="15"/>
          <w:color w:val="auto"/>
        </w:rPr>
      </w:pPr>
    </w:p>
    <w:p>
      <w:pPr>
        <w:ind w:left="522"/>
        <w:spacing w:after="0"/>
        <w:rPr>
          <w:rFonts w:ascii="Arial" w:cs="Arial" w:eastAsia="Arial" w:hAnsi="Arial"/>
          <w:sz w:val="15"/>
          <w:szCs w:val="15"/>
          <w:color w:val="auto"/>
        </w:rPr>
      </w:pPr>
      <w:r>
        <w:rPr>
          <w:rFonts w:ascii="Arial" w:cs="Arial" w:eastAsia="Arial" w:hAnsi="Arial"/>
          <w:sz w:val="15"/>
          <w:szCs w:val="15"/>
          <w:color w:val="auto"/>
        </w:rPr>
        <w:t>25,015</w:t>
      </w:r>
    </w:p>
    <w:p>
      <w:pPr>
        <w:spacing w:after="0" w:line="50" w:lineRule="exact"/>
        <w:rPr>
          <w:rFonts w:ascii="Arial" w:cs="Arial" w:eastAsia="Arial" w:hAnsi="Arial"/>
          <w:sz w:val="15"/>
          <w:szCs w:val="15"/>
          <w:color w:val="auto"/>
        </w:rPr>
      </w:pPr>
    </w:p>
    <w:p>
      <w:pPr>
        <w:ind w:left="522"/>
        <w:spacing w:after="0"/>
        <w:rPr>
          <w:rFonts w:ascii="Arial" w:cs="Arial" w:eastAsia="Arial" w:hAnsi="Arial"/>
          <w:sz w:val="15"/>
          <w:szCs w:val="15"/>
          <w:color w:val="auto"/>
        </w:rPr>
      </w:pPr>
      <w:r>
        <w:rPr>
          <w:rFonts w:ascii="Arial" w:cs="Arial" w:eastAsia="Arial" w:hAnsi="Arial"/>
          <w:sz w:val="15"/>
          <w:szCs w:val="15"/>
          <w:color w:val="auto"/>
        </w:rPr>
        <w:t>10,673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343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7" w:lineRule="exact"/>
        <w:rPr>
          <w:sz w:val="20"/>
          <w:szCs w:val="20"/>
          <w:color w:val="auto"/>
        </w:rPr>
      </w:pPr>
    </w:p>
    <w:p>
      <w:pPr>
        <w:ind w:left="522" w:hanging="522"/>
        <w:spacing w:after="0"/>
        <w:tabs>
          <w:tab w:leader="none" w:pos="522" w:val="left"/>
        </w:tabs>
        <w:numPr>
          <w:ilvl w:val="0"/>
          <w:numId w:val="4"/>
        </w:numPr>
        <w:rPr>
          <w:rFonts w:ascii="Arial" w:cs="Arial" w:eastAsia="Arial" w:hAnsi="Arial"/>
          <w:sz w:val="15"/>
          <w:szCs w:val="15"/>
          <w:color w:val="auto"/>
        </w:rPr>
      </w:pPr>
      <w:r>
        <w:rPr>
          <w:rFonts w:ascii="Arial" w:cs="Arial" w:eastAsia="Arial" w:hAnsi="Arial"/>
          <w:sz w:val="15"/>
          <w:szCs w:val="15"/>
          <w:color w:val="auto"/>
        </w:rPr>
        <w:t>86,271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343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6343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33" w:lineRule="exact"/>
        <w:rPr>
          <w:sz w:val="20"/>
          <w:szCs w:val="20"/>
          <w:color w:val="auto"/>
        </w:rPr>
      </w:pPr>
    </w:p>
    <w:p>
      <w:pPr>
        <w:sectPr>
          <w:pgSz w:w="11900" w:h="16922" w:orient="portrait"/>
          <w:cols w:equalWidth="0" w:num="3">
            <w:col w:w="7114" w:space="720"/>
            <w:col w:w="1006" w:space="358"/>
            <w:col w:w="2202"/>
          </w:cols>
          <w:pgMar w:left="240" w:top="131" w:right="259" w:bottom="0" w:gutter="0" w:footer="0" w:header="0"/>
        </w:sectPr>
      </w:pPr>
    </w:p>
    <w:p>
      <w:pPr>
        <w:ind w:left="340" w:right="3420" w:hanging="332"/>
        <w:spacing w:after="0" w:line="25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portion of accrued postretirement benefit cost of $995,000 and $903,000 as of May 26, 2007 and August 26, 2006, respectively, is included within other accrued expenses.</w:t>
      </w:r>
    </w:p>
    <w:p>
      <w:pPr>
        <w:ind w:left="340" w:right="328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portion of deferred compensation liability of $1.5 million and $1.6 million as of May 26, 2007 and August 26, 2006, respectively, is included within accrued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Care Benefits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of continuous service. Retirees are required to pay a monthly premium for medical coverage based on years of service at retirement and then current 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September 2004, we amended our postretirement health care benefit by establishing a maximum employer contribution amount which resulted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$40.4 million reduction of the accumulated postretirement benefit obligation. This reduction was deferred and is being amortized over the approximate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 period of active participants. Net periodic postretirement benefit income consisted of the following components: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May 26,</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w w:val="98"/>
              </w:rPr>
              <w:t>May 27,</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May 26,</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May 27,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6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41"/>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Interest cost</w:t>
            </w: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1,416</w:t>
            </w:r>
          </w:p>
        </w:tc>
        <w:tc>
          <w:tcPr>
            <w:tcW w:w="18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940" w:type="dxa"/>
            <w:vAlign w:val="bottom"/>
            <w:tcBorders>
              <w:right w:val="single" w:sz="8" w:color="D6F3E8"/>
            </w:tcBorders>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D6F3E8"/>
          </w:tcPr>
          <w:p>
            <w:pPr>
              <w:spacing w:after="0"/>
              <w:rPr>
                <w:sz w:val="22"/>
                <w:szCs w:val="22"/>
                <w:color w:val="auto"/>
              </w:rPr>
            </w:pPr>
          </w:p>
        </w:tc>
        <w:tc>
          <w:tcPr>
            <w:tcW w:w="1100" w:type="dxa"/>
            <w:vAlign w:val="bottom"/>
            <w:tcBorders>
              <w:right w:val="single" w:sz="8" w:color="D6F3E8"/>
            </w:tcBorders>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(2,390)</w:t>
            </w:r>
          </w:p>
        </w:tc>
        <w:tc>
          <w:tcPr>
            <w:tcW w:w="180" w:type="dxa"/>
            <w:vAlign w:val="bottom"/>
            <w:shd w:val="clear" w:color="auto" w:fill="D6F3E8"/>
          </w:tcPr>
          <w:p>
            <w:pPr>
              <w:spacing w:after="0"/>
              <w:rPr>
                <w:sz w:val="22"/>
                <w:szCs w:val="22"/>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periodic postretirement benefit income</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20" w:type="dxa"/>
            <w:vAlign w:val="bottom"/>
            <w:gridSpan w:val="2"/>
            <w:vMerge w:val="continue"/>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accounting purposes, we recognized income from the plan for all three quarters of both Fiscal 2007 and Fiscal 2006 due to the amortization of the cost savings from the September 2004 amendment. However, we are still obligated to pay the cost of previously accrued and earned retiree benefits and paid approximately $240,000 and $126,000 of such benefits for the quarters ended May 26, 2007 and May 27, 2006, respectively, and $702,000 and $686,000 for the nine months ended May 26, 2007 and May 27, 2006,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Contingent Liabilities and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Our contingent liability on these repurchase agreements was approximately $294.1 million and $278.6 million at May 26, 2007 and August 26, 2006, respectively. Losses under these repurchase agreements for the nine months ended May 26, 2007 and May 27, 2006 were $4,000 and $0, respectively. Our reserve methodology is used to record an estimated expense and loss reserve in each accounting period based upon our extensive history and experience and known current events with respect to repurchase agreements with the lenders to our dealers. Based on the historical data and known current events, repurchase reserves under our repurchase agreements at May 26, 2007 and August 26, 2006 were not significant. Upon resale of the repurchased units, we do not record the transaction as revenue. The difference between the repurchase price and the net proceeds received from reselling the units is charged against or credited to our reserve for losses or gains on repurchases.</w:t>
      </w:r>
    </w:p>
    <w:p>
      <w:pPr>
        <w:spacing w:after="0" w:line="17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 our knowledge, none of our dealers or their lending institutions use subsidiaries that conduct business solely or primarily with us. Many of our dealers are engaged in other areas of business, including the sale of automobiles, and most of our dealers carry one or more competitive lines of motor home products. We conduct an extensive investigation of all dealers prior to delivering any products to them and we have verified that our dealers are independent businesses with substantive assets to provide security for credit extended to them related to the purchase of our products. To our knowledge, the lending institutions that offer our dealers floorplan financing all are engaged in a broad array of financing activities and they have not created separate subsidiaries to provide this financing. Based on these considerations, we concluded these parties are not variable interest entities.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For Suppliers</w:t>
      </w:r>
    </w:p>
    <w:p>
      <w:pPr>
        <w:spacing w:after="0" w:line="1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During the second quarter of Fiscal 2002, we entered into a five-year services agreement (the “Agreement”) with an unaffiliated third-party paint Supplier (the “Supplier”) and the Forest City Economic Development, Inc., (“FCED”) an Iowa nonprofit corporation, requiring the Supplier to provide paint services on our recreation vehicles. The FCED constructed and debt financed a facility which is leased by the Supplier. In the event of termination of the lease agreement by any of the parties involved before September 1, 2007, the rights and obligations of the Supplier under the lease would be transferred to us. As of May 26, 2007, the Supplier is current with its lease payment obligations to the FCED with approximately $2.7 million (principal and interest) remaining to be paid through August 2012. Under the terms of the Agreement in the event of a default by the Supplier, we would be obligated to purchase from the Supplier equipment installed in the paint facility at net book value of $340,000 as of May 26, 2007, and we would be obligated to assume payment obligations for approximately $7,000 in capital equipment leases remaining to be paid at May 26, 2007.</w:t>
      </w:r>
    </w:p>
    <w:p>
      <w:pPr>
        <w:spacing w:after="0" w:line="11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(“Guaranty Agreement”) with a leasing corporation (“Landlord”) and the previously discussed Supplier. The Landlord constructed a paint facility through debt financing on land adjoining our Charles City manufacturing plant for the Supplier. The Landlord and the Supplier have signed a ten-year lease agreement which commenced on August 1, 2004. The Guarantee Agreement states that we will guarantee the first 60 monthly lease payments (totaling approximately $1.6 million of which $598,000 was remaining as of May 26, 2007). In the event of a default under the lease agreement before August 2009 and the Supplier’s failure to correct the default, the Landlord shall give</w:t>
      </w:r>
    </w:p>
    <w:p>
      <w:pPr>
        <w:sectPr>
          <w:pgSz w:w="11900" w:h="16922" w:orient="portrait"/>
          <w:cols w:equalWidth="0" w:num="1">
            <w:col w:w="11400"/>
          </w:cols>
          <w:pgMar w:left="240" w:top="131" w:right="259" w:bottom="0" w:gutter="0" w:footer="0" w:header="0"/>
          <w:type w:val="continuous"/>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t>us, the guarantor, written notice of its intent to terminate said lease. At the time of that notification, we will have various options that we must exercise in a timely manner. One option is to purchase the real estate with improvements from the Landlord. The price we would pay would be the outstanding loan owed by the Landlord to construct the paint facility, which was approximately $1.6 million as of May 26, 2007. As of May 26, 2007, the Supplier is current with its lease payment obligations to the Landlord. As of May 26, 2007, the balance of the guarantee was approximately $135,000 and presented as other accrued liabilities in the accompanying consolidated balance sheets.</w:t>
      </w:r>
    </w:p>
    <w:p>
      <w:pPr>
        <w:spacing w:after="0" w:line="19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Supplier has a long history of providing the same service (painting motor homes) to similar manufacturers and we pay the Supplier an amount that is commensurate with the level of effort to provide these services. The owners of the Supplier have personally guaranteed the entire indebtedness related to both painting facilities. The service contracts with the Supplier are subject to cancellation provisions that are customary for such contracts. Based on these considerations, we determined that the Supplier was a variable interest entity; however, we determined due to our limited financial exposure we are not the primary beneficiary.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regularly involved in legal proceedings in the ordinary course of business, some of which are covered in part by insurance. We prepare cost estimates of pending litigation based on historical experience, the professional judgment of our legal counsel, and other assumptions that we believe to be reasonable. Due to the uncertainties related to the outcome of the litigation and range of loss on certain cases, we occasionally are unable to make a reasonable estimate of the liability that could result from an unfavorable outcome. As additional information becomes available, we reassess the potential liability related to pending litigation and revise the related estimates. Such revisions and any actual liability that greatly exceed our estimates could materially adversely impact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Dividends Declared</w:t>
      </w:r>
    </w:p>
    <w:p>
      <w:pPr>
        <w:spacing w:after="0" w:line="16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On March 22, 2007, the Board of Directors declared a quarterly cash dividend of $0.10 per common share, payable July 9, 2007 to shareholders of record on June 8, 2007, which has been recorded as an accrued liability in the accompanying balance sheet as of May 26, 2007.</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June 20, 2007, the Board of Directors declared a quarterly cash dividend of $0.12 per common share, payable October 8, 2007 to shareholders of record on September 7, 2007.</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Repurchase of Outstanding Stock</w:t>
      </w:r>
    </w:p>
    <w:p>
      <w:pPr>
        <w:spacing w:after="0" w:line="23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On April 12, 2006, the Board of Directors authorized the repurchase of outstanding shares of our common stock, depending on market conditions, for an aggregate consideration of up to $50 million. There is no time restriction on this authorization. Repurchases for the nine months ended May 26, 2007 were approximately 628,000 shares for an aggregate consideration of approximately $20.5 million. Repurchases of up to $1.7 million of our common stock remain available under this authorization.</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June 20, 2007, the Board of Directors authorized the repurchase of outstanding shares of our common stock, depending on market conditions, for an aggregate consideration of up to $60 million. There is no time restriction on this authorization.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quarters and nine months ended May 26, 2007 and May 27, 2006.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2180" w:type="dxa"/>
            <w:vAlign w:val="bottom"/>
            <w:gridSpan w:val="7"/>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18"/>
              <w:spacing w:after="0" w:line="129" w:lineRule="exact"/>
              <w:rPr>
                <w:sz w:val="20"/>
                <w:szCs w:val="20"/>
                <w:color w:val="auto"/>
              </w:rPr>
            </w:pPr>
            <w:r>
              <w:rPr>
                <w:rFonts w:ascii="Arial" w:cs="Arial" w:eastAsia="Arial" w:hAnsi="Arial"/>
                <w:sz w:val="14"/>
                <w:szCs w:val="14"/>
                <w:b w:val="1"/>
                <w:bCs w:val="1"/>
                <w:color w:val="auto"/>
              </w:rPr>
              <w:t>May 26,</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May 27,</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May 26,</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May 27,</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2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4"/>
                <w:szCs w:val="14"/>
                <w:color w:val="auto"/>
              </w:rPr>
            </w:pPr>
          </w:p>
        </w:tc>
        <w:tc>
          <w:tcPr>
            <w:tcW w:w="860" w:type="dxa"/>
            <w:vAlign w:val="bottom"/>
          </w:tcPr>
          <w:p>
            <w:pPr>
              <w:jc w:val="right"/>
              <w:ind w:right="29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9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6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rPr>
              <w:t>Income per share - basic</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4"/>
            <w:shd w:val="clear" w:color="auto" w:fill="D6F3E8"/>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11,253</w:t>
            </w:r>
          </w:p>
        </w:tc>
        <w:tc>
          <w:tcPr>
            <w:tcW w:w="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13,157</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26,721</w:t>
            </w:r>
          </w:p>
        </w:tc>
        <w:tc>
          <w:tcPr>
            <w:tcW w:w="180" w:type="dxa"/>
            <w:vAlign w:val="bottom"/>
            <w:gridSpan w:val="2"/>
            <w:shd w:val="clear" w:color="auto" w:fill="D6F3E8"/>
          </w:tcPr>
          <w:p>
            <w:pPr>
              <w:jc w:val="right"/>
              <w:ind w:right="5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35,427</w:t>
            </w:r>
          </w:p>
        </w:tc>
        <w:tc>
          <w:tcPr>
            <w:tcW w:w="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D6F3E8"/>
            </w:tcBorders>
            <w:gridSpan w:val="4"/>
          </w:tcPr>
          <w:p>
            <w:pPr>
              <w:ind w:left="1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31,524</w:t>
            </w:r>
          </w:p>
        </w:tc>
        <w:tc>
          <w:tcPr>
            <w:tcW w:w="220" w:type="dxa"/>
            <w:vAlign w:val="bottom"/>
            <w:tcBorders>
              <w:bottom w:val="single" w:sz="8" w:color="D6F3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32,195</w:t>
            </w:r>
          </w:p>
        </w:tc>
        <w:tc>
          <w:tcPr>
            <w:tcW w:w="240" w:type="dxa"/>
            <w:vAlign w:val="bottom"/>
            <w:tcBorders>
              <w:bottom w:val="single" w:sz="8" w:color="D6F3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31,411</w:t>
            </w:r>
          </w:p>
        </w:tc>
        <w:tc>
          <w:tcPr>
            <w:tcW w:w="22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32,645</w:t>
            </w:r>
          </w:p>
        </w:tc>
        <w:tc>
          <w:tcPr>
            <w:tcW w:w="20" w:type="dxa"/>
            <w:vAlign w:val="bottom"/>
            <w:tcBorders>
              <w:bottom w:val="single" w:sz="8" w:color="D6F3E8"/>
            </w:tcBorders>
          </w:tcPr>
          <w:p>
            <w:pPr>
              <w:spacing w:after="0"/>
              <w:rPr>
                <w:sz w:val="18"/>
                <w:szCs w:val="18"/>
                <w:color w:val="auto"/>
              </w:rPr>
            </w:pPr>
          </w:p>
        </w:tc>
        <w:tc>
          <w:tcPr>
            <w:tcW w:w="8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D6F3E8"/>
            </w:tcBorders>
            <w:gridSpan w:val="4"/>
            <w:shd w:val="clear" w:color="auto" w:fill="D6F3E8"/>
          </w:tcPr>
          <w:p>
            <w:pPr>
              <w:ind w:left="14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Borders>
              <w:bottom w:val="single" w:sz="8" w:color="D6F3E8"/>
            </w:tcBorders>
            <w:shd w:val="clear" w:color="auto" w:fill="D6F3E8"/>
          </w:tcPr>
          <w:p>
            <w:pPr>
              <w:spacing w:after="0"/>
              <w:rPr>
                <w:sz w:val="18"/>
                <w:szCs w:val="18"/>
                <w:color w:val="auto"/>
              </w:rPr>
            </w:pPr>
          </w:p>
        </w:tc>
        <w:tc>
          <w:tcPr>
            <w:tcW w:w="2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5"/>
            <w:vMerge w:val="restart"/>
          </w:tcPr>
          <w:p>
            <w:pPr>
              <w:spacing w:after="0"/>
              <w:rPr>
                <w:sz w:val="20"/>
                <w:szCs w:val="20"/>
                <w:color w:val="auto"/>
              </w:rPr>
            </w:pPr>
            <w:r>
              <w:rPr>
                <w:rFonts w:ascii="Arial" w:cs="Arial" w:eastAsia="Arial" w:hAnsi="Arial"/>
                <w:sz w:val="18"/>
                <w:szCs w:val="18"/>
                <w:color w:val="auto"/>
              </w:rPr>
              <w:t>Income per share - assuming dilution</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Net income</w:t>
            </w:r>
          </w:p>
        </w:tc>
        <w:tc>
          <w:tcPr>
            <w:tcW w:w="3900" w:type="dxa"/>
            <w:vAlign w:val="bottom"/>
            <w:gridSpan w:val="2"/>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13,157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26,721</w:t>
            </w:r>
          </w:p>
        </w:tc>
        <w:tc>
          <w:tcPr>
            <w:tcW w:w="180" w:type="dxa"/>
            <w:vAlign w:val="bottom"/>
            <w:gridSpan w:val="2"/>
          </w:tcPr>
          <w:p>
            <w:pPr>
              <w:jc w:val="right"/>
              <w:ind w:right="5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35,427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tcBorders>
              <w:top w:val="single" w:sz="8" w:color="D6F3E8"/>
            </w:tcBorders>
            <w:gridSpan w:val="4"/>
            <w:shd w:val="clear" w:color="auto" w:fill="D6F3E8"/>
          </w:tcPr>
          <w:p>
            <w:pPr>
              <w:ind w:left="140"/>
              <w:spacing w:after="0" w:line="203" w:lineRule="exact"/>
              <w:rPr>
                <w:sz w:val="20"/>
                <w:szCs w:val="20"/>
                <w:color w:val="auto"/>
              </w:rPr>
            </w:pPr>
            <w:r>
              <w:rPr>
                <w:rFonts w:ascii="Arial" w:cs="Arial" w:eastAsia="Arial" w:hAnsi="Arial"/>
                <w:sz w:val="18"/>
                <w:szCs w:val="18"/>
                <w:color w:val="auto"/>
              </w:rPr>
              <w:t>Weighted average shares outstanding</w:t>
            </w:r>
          </w:p>
        </w:tc>
        <w:tc>
          <w:tcPr>
            <w:tcW w:w="18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31,524</w:t>
            </w:r>
          </w:p>
        </w:tc>
        <w:tc>
          <w:tcPr>
            <w:tcW w:w="22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32,195</w:t>
            </w:r>
          </w:p>
        </w:tc>
        <w:tc>
          <w:tcPr>
            <w:tcW w:w="2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31,411</w:t>
            </w:r>
          </w:p>
        </w:tc>
        <w:tc>
          <w:tcPr>
            <w:tcW w:w="2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32,645</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gridSpan w:val="4"/>
          </w:tcPr>
          <w:p>
            <w:pPr>
              <w:ind w:left="140"/>
              <w:spacing w:after="0"/>
              <w:rPr>
                <w:sz w:val="20"/>
                <w:szCs w:val="20"/>
                <w:color w:val="auto"/>
              </w:rPr>
            </w:pPr>
            <w:r>
              <w:rPr>
                <w:rFonts w:ascii="Arial" w:cs="Arial" w:eastAsia="Arial" w:hAnsi="Arial"/>
                <w:sz w:val="18"/>
                <w:szCs w:val="18"/>
                <w:color w:val="auto"/>
              </w:rPr>
              <w:t>Dilutive impact of options and awards outstanding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tcBorders>
              <w:top w:val="single" w:sz="8" w:color="D6F3E8"/>
            </w:tcBorders>
            <w:gridSpan w:val="4"/>
            <w:shd w:val="clear" w:color="auto" w:fill="D6F3E8"/>
          </w:tcPr>
          <w:p>
            <w:pPr>
              <w:ind w:left="140"/>
              <w:spacing w:after="0"/>
              <w:rPr>
                <w:sz w:val="20"/>
                <w:szCs w:val="20"/>
                <w:color w:val="auto"/>
              </w:rPr>
            </w:pPr>
            <w:r>
              <w:rPr>
                <w:rFonts w:ascii="Arial" w:cs="Arial" w:eastAsia="Arial" w:hAnsi="Arial"/>
                <w:sz w:val="18"/>
                <w:szCs w:val="18"/>
                <w:color w:val="auto"/>
              </w:rPr>
              <w:t>Weighted average shares and potential dilutive shares outstanding</w:t>
            </w: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31,761</w:t>
            </w:r>
          </w:p>
        </w:tc>
        <w:tc>
          <w:tcPr>
            <w:tcW w:w="22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32,496</w:t>
            </w:r>
          </w:p>
        </w:tc>
        <w:tc>
          <w:tcPr>
            <w:tcW w:w="2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31,697</w:t>
            </w:r>
          </w:p>
        </w:tc>
        <w:tc>
          <w:tcPr>
            <w:tcW w:w="2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32,937</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4"/>
          </w:tcPr>
          <w:p>
            <w:pPr>
              <w:ind w:left="140"/>
              <w:spacing w:after="0"/>
              <w:rPr>
                <w:sz w:val="20"/>
                <w:szCs w:val="20"/>
                <w:color w:val="auto"/>
              </w:rPr>
            </w:pPr>
            <w:r>
              <w:rPr>
                <w:rFonts w:ascii="Arial" w:cs="Arial" w:eastAsia="Arial" w:hAnsi="Arial"/>
                <w:sz w:val="18"/>
                <w:szCs w:val="18"/>
                <w:color w:val="auto"/>
              </w:rPr>
              <w:t>Net income per share - assuming dilution</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 xml:space="preserve">For the quarters ended May 26, 2007 and May 27, 2006, there were options outstanding to purchase 285,061 shares and 585,646 shares, respectively, of common stock at an average price of $32.59 and $31.32,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6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For the nine months ended May 26, 2007 and May 27, 2006, there were options outstanding to purchase 274,389 shares and 672,281 shares, respectively, of common stock at an average price of $32.81 and $30.76,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4763"/>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7" w:name="page8"/>
    <w:bookmarkEnd w:id="7"/>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26, 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the last 49 years. We continue to lead the industry in retail unit combined market share of Class A and Class C motor homes, with 18.3 percent, for the calendar year-to-date ended April 30, 2007 per Statistical Surveys, Inc. Our strategy is to manufacture quality motor homes in a profitable manner. We measure profitability by using five guidelines: return on assets, return on equity, return on invested capital, operating income as a percent of net revenues and net income as a percent of net revenues. Our primary goal is to be a leader in profitability in the recreation vehicle industry. As a result of our performance, we have returned significant profits back to our shareholders through stock repurchases and dividends. During the nine months ended May 26, 2007, we repurchased approximately 628,000 shares of stock for $20.5 million and we paid out dividends of $9.4 million to our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 interest rate levels, the level of discretionary spending, availability of credit and consumer confidence. The motorized portion of the recreation vehicle industry has experienced a volume decline for over two years. An extended continuation of higher fuel costs, higher interest rates, lower discretionary spending and lower consumer confidence would adversely affect our business, results of operations and financial condition. We will continue to adjust our factory schedule as necessary to reflect the demand for our products.</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According to Statistical Surveys, Inc., Class A and Class C motor home retail industry unit sales have decreased 9.5 percent calendar year-to-date through April 2007, continuing the downward trend experienced in 2006. Winnebago Industries’ motor home unit wholesale deliveries for the nine months ended May 26, 2007 decreased 6.1 percent. However, revenues in the third quarter of Fiscal 2007 grew over prior year’s third quarter for the first time since the first quarter of Fiscal 2005. Unit volumes were essentially flat, but included a higher mix of Class A motor home deliveries, thus increasing our average selling price by 6.4 percent for the quarter. However, our gross profit was negatively impacted in the third quarter by an increase in the mix of lower margin motor homes in both Class A and Class C categories, as well as increasing materials and labor costs. The Company considered these cost pressures in the development and pricing of our Model Year 2008 products, which were introduced to our dealers at our annual Dealer Days event in May. Approximately 49 percent of our 2008 product lineup is either new or redesigned, which we hope will help improve our market share going forward, regardless of industry market conditions.</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evidenced in the table below, as of May 26, 2007, our sales order backlog showed an increase of 122.3 percent in the Class A gas segment and 176.4 percent in the Class A diesel segment, while the Class C segment remained fairly flat compared to the sales order backlog reported as of May 27, 2006. The increase in Class A backlog is due primarily to the timing of our Dealer Days event and acceptance of our new 2008 product at that event and is not a reflection of the current market. Our Dealer Days were held at the end of the third quarter in Fiscal 2007 and at the beginning of the fourth quarter in Fiscal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by units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May 26,</w:t>
            </w:r>
          </w:p>
        </w:tc>
        <w:tc>
          <w:tcPr>
            <w:tcW w:w="360" w:type="dxa"/>
            <w:vAlign w:val="bottom"/>
          </w:tcPr>
          <w:p>
            <w:pPr>
              <w:spacing w:after="0"/>
              <w:rPr>
                <w:sz w:val="11"/>
                <w:szCs w:val="11"/>
                <w:color w:val="auto"/>
              </w:rPr>
            </w:pPr>
          </w:p>
        </w:tc>
        <w:tc>
          <w:tcPr>
            <w:tcW w:w="92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99"/>
              </w:rPr>
              <w:t>Product Mix</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May 27,</w:t>
            </w:r>
          </w:p>
        </w:tc>
        <w:tc>
          <w:tcPr>
            <w:tcW w:w="12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Product Mix</w:t>
            </w:r>
          </w:p>
        </w:tc>
        <w:tc>
          <w:tcPr>
            <w:tcW w:w="140" w:type="dxa"/>
            <w:vAlign w:val="bottom"/>
          </w:tcPr>
          <w:p>
            <w:pPr>
              <w:spacing w:after="0"/>
              <w:rPr>
                <w:sz w:val="11"/>
                <w:szCs w:val="11"/>
                <w:color w:val="auto"/>
              </w:rPr>
            </w:pPr>
          </w:p>
        </w:tc>
        <w:tc>
          <w:tcPr>
            <w:tcW w:w="120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Increase</w:t>
            </w:r>
          </w:p>
        </w:tc>
        <w:tc>
          <w:tcPr>
            <w:tcW w:w="920" w:type="dxa"/>
            <w:vAlign w:val="bottom"/>
          </w:tcPr>
          <w:p>
            <w:pPr>
              <w:jc w:val="right"/>
              <w:ind w:right="317"/>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128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98"/>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900" w:type="dxa"/>
            <w:vAlign w:val="bottom"/>
          </w:tcPr>
          <w:p>
            <w:pPr>
              <w:jc w:val="right"/>
              <w:ind w:right="29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(Decrease)</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907</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38.2</w:t>
            </w:r>
          </w:p>
        </w:tc>
        <w:tc>
          <w:tcPr>
            <w:tcW w:w="3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408</w:t>
            </w:r>
          </w:p>
        </w:tc>
        <w:tc>
          <w:tcPr>
            <w:tcW w:w="34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499</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20"/>
                <w:szCs w:val="20"/>
                <w:color w:val="auto"/>
              </w:rPr>
            </w:pPr>
            <w:r>
              <w:rPr>
                <w:rFonts w:ascii="Arial" w:cs="Arial" w:eastAsia="Arial" w:hAnsi="Arial"/>
                <w:sz w:val="18"/>
                <w:szCs w:val="18"/>
                <w:color w:val="auto"/>
              </w:rPr>
              <w:t>Class A diesel</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2"/>
        </w:trPr>
        <w:tc>
          <w:tcPr>
            <w:tcW w:w="378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Total Class A</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1,316</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55.4</w:t>
            </w:r>
          </w:p>
        </w:tc>
        <w:tc>
          <w:tcPr>
            <w:tcW w:w="3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760</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780" w:type="dxa"/>
            <w:vAlign w:val="bottom"/>
          </w:tcPr>
          <w:p>
            <w:pPr>
              <w:spacing w:after="0"/>
              <w:rPr>
                <w:sz w:val="20"/>
                <w:szCs w:val="20"/>
                <w:color w:val="auto"/>
              </w:rPr>
            </w:pPr>
            <w:r>
              <w:rPr>
                <w:rFonts w:ascii="Arial" w:cs="Arial" w:eastAsia="Arial" w:hAnsi="Arial"/>
                <w:sz w:val="18"/>
                <w:szCs w:val="18"/>
                <w:color w:val="auto"/>
              </w:rPr>
              <w:t>Class C</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1,086</w:t>
            </w:r>
          </w:p>
        </w:tc>
        <w:tc>
          <w:tcPr>
            <w:tcW w:w="3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1"/>
        </w:trPr>
        <w:tc>
          <w:tcPr>
            <w:tcW w:w="378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backlog</w:t>
            </w: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2,375</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1,642</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733</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Total approximate revenue dollars</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207.6</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121.0</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86.6</w:t>
            </w:r>
          </w:p>
        </w:tc>
        <w:tc>
          <w:tcPr>
            <w:tcW w:w="34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1"/>
        </w:trPr>
        <w:tc>
          <w:tcPr>
            <w:tcW w:w="3780" w:type="dxa"/>
            <w:vAlign w:val="bottom"/>
          </w:tcPr>
          <w:p>
            <w:pPr>
              <w:ind w:left="180"/>
              <w:spacing w:after="0"/>
              <w:rPr>
                <w:sz w:val="20"/>
                <w:szCs w:val="20"/>
                <w:color w:val="auto"/>
              </w:rPr>
            </w:pPr>
            <w:r>
              <w:rPr>
                <w:rFonts w:ascii="Arial" w:cs="Arial" w:eastAsia="Arial" w:hAnsi="Arial"/>
                <w:sz w:val="18"/>
                <w:szCs w:val="18"/>
                <w:color w:val="auto"/>
              </w:rPr>
              <w:t>(in millions)</w:t>
            </w:r>
          </w:p>
        </w:tc>
        <w:tc>
          <w:tcPr>
            <w:tcW w:w="2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D6F3E8"/>
            </w:tcBorders>
            <w:vMerge w:val="restart"/>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D6F3E8"/>
            </w:tcBorders>
            <w:shd w:val="clear" w:color="auto" w:fill="D6F3E8"/>
          </w:tcPr>
          <w:p>
            <w:pPr>
              <w:spacing w:after="0" w:line="20" w:lineRule="exact"/>
              <w:rPr>
                <w:sz w:val="1"/>
                <w:szCs w:val="1"/>
                <w:color w:val="auto"/>
              </w:rPr>
            </w:pPr>
          </w:p>
        </w:tc>
        <w:tc>
          <w:tcPr>
            <w:tcW w:w="920" w:type="dxa"/>
            <w:vAlign w:val="bottom"/>
            <w:tcBorders>
              <w:top w:val="single" w:sz="8" w:color="D6F3E8"/>
            </w:tcBorders>
            <w:shd w:val="clear" w:color="auto" w:fill="D6F3E8"/>
          </w:tcPr>
          <w:p>
            <w:pPr>
              <w:spacing w:after="0" w:line="20" w:lineRule="exact"/>
              <w:rPr>
                <w:sz w:val="1"/>
                <w:szCs w:val="1"/>
                <w:color w:val="auto"/>
              </w:rPr>
            </w:pPr>
          </w:p>
        </w:tc>
        <w:tc>
          <w:tcPr>
            <w:tcW w:w="360" w:type="dxa"/>
            <w:vAlign w:val="bottom"/>
            <w:tcBorders>
              <w:top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90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shd w:val="clear" w:color="auto" w:fill="D6F3E8"/>
          </w:tcPr>
          <w:p>
            <w:pPr>
              <w:spacing w:after="0"/>
              <w:rPr>
                <w:sz w:val="16"/>
                <w:szCs w:val="16"/>
                <w:color w:val="auto"/>
              </w:rPr>
            </w:pPr>
          </w:p>
        </w:tc>
        <w:tc>
          <w:tcPr>
            <w:tcW w:w="200" w:type="dxa"/>
            <w:vAlign w:val="bottom"/>
            <w:shd w:val="clear" w:color="auto" w:fill="D6F3E8"/>
          </w:tcPr>
          <w:p>
            <w:pPr>
              <w:spacing w:after="0"/>
              <w:rPr>
                <w:sz w:val="16"/>
                <w:szCs w:val="16"/>
                <w:color w:val="auto"/>
              </w:rPr>
            </w:pPr>
          </w:p>
        </w:tc>
        <w:tc>
          <w:tcPr>
            <w:tcW w:w="84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4,604</w:t>
            </w:r>
          </w:p>
        </w:tc>
        <w:tc>
          <w:tcPr>
            <w:tcW w:w="360" w:type="dxa"/>
            <w:vAlign w:val="bottom"/>
            <w:shd w:val="clear" w:color="auto" w:fill="D6F3E8"/>
          </w:tcPr>
          <w:p>
            <w:pPr>
              <w:spacing w:after="0"/>
              <w:rPr>
                <w:sz w:val="16"/>
                <w:szCs w:val="16"/>
                <w:color w:val="auto"/>
              </w:rPr>
            </w:pPr>
          </w:p>
        </w:tc>
        <w:tc>
          <w:tcPr>
            <w:tcW w:w="920" w:type="dxa"/>
            <w:vAlign w:val="bottom"/>
            <w:shd w:val="clear" w:color="auto" w:fill="D6F3E8"/>
          </w:tcPr>
          <w:p>
            <w:pPr>
              <w:spacing w:after="0"/>
              <w:rPr>
                <w:sz w:val="16"/>
                <w:szCs w:val="16"/>
                <w:color w:val="auto"/>
              </w:rPr>
            </w:pPr>
          </w:p>
        </w:tc>
        <w:tc>
          <w:tcPr>
            <w:tcW w:w="36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84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4,881</w:t>
            </w:r>
          </w:p>
        </w:tc>
        <w:tc>
          <w:tcPr>
            <w:tcW w:w="340" w:type="dxa"/>
            <w:vAlign w:val="bottom"/>
            <w:shd w:val="clear" w:color="auto" w:fill="D6F3E8"/>
          </w:tcPr>
          <w:p>
            <w:pPr>
              <w:spacing w:after="0"/>
              <w:rPr>
                <w:sz w:val="16"/>
                <w:szCs w:val="16"/>
                <w:color w:val="auto"/>
              </w:rPr>
            </w:pPr>
          </w:p>
        </w:tc>
        <w:tc>
          <w:tcPr>
            <w:tcW w:w="900" w:type="dxa"/>
            <w:vAlign w:val="bottom"/>
            <w:shd w:val="clear" w:color="auto" w:fill="D6F3E8"/>
          </w:tcPr>
          <w:p>
            <w:pPr>
              <w:spacing w:after="0"/>
              <w:rPr>
                <w:sz w:val="16"/>
                <w:szCs w:val="16"/>
                <w:color w:val="auto"/>
              </w:rPr>
            </w:pPr>
          </w:p>
        </w:tc>
        <w:tc>
          <w:tcPr>
            <w:tcW w:w="340" w:type="dxa"/>
            <w:vAlign w:val="bottom"/>
            <w:shd w:val="clear" w:color="auto" w:fill="D6F3E8"/>
          </w:tcPr>
          <w:p>
            <w:pPr>
              <w:spacing w:after="0"/>
              <w:rPr>
                <w:sz w:val="16"/>
                <w:szCs w:val="16"/>
                <w:color w:val="auto"/>
              </w:rPr>
            </w:pPr>
          </w:p>
        </w:tc>
        <w:tc>
          <w:tcPr>
            <w:tcW w:w="140" w:type="dxa"/>
            <w:vAlign w:val="bottom"/>
            <w:shd w:val="clear" w:color="auto" w:fill="D6F3E8"/>
          </w:tcPr>
          <w:p>
            <w:pPr>
              <w:spacing w:after="0"/>
              <w:rPr>
                <w:sz w:val="16"/>
                <w:szCs w:val="16"/>
                <w:color w:val="auto"/>
              </w:rPr>
            </w:pPr>
          </w:p>
        </w:tc>
        <w:tc>
          <w:tcPr>
            <w:tcW w:w="1200" w:type="dxa"/>
            <w:vAlign w:val="bottom"/>
            <w:gridSpan w:val="2"/>
            <w:vMerge w:val="restart"/>
            <w:shd w:val="clear" w:color="auto" w:fill="D6F3E8"/>
          </w:tcPr>
          <w:p>
            <w:pPr>
              <w:jc w:val="right"/>
              <w:ind w:right="280"/>
              <w:spacing w:after="0"/>
              <w:rPr>
                <w:sz w:val="20"/>
                <w:szCs w:val="20"/>
                <w:color w:val="auto"/>
              </w:rPr>
            </w:pPr>
            <w:r>
              <w:rPr>
                <w:rFonts w:ascii="Arial" w:cs="Arial" w:eastAsia="Arial" w:hAnsi="Arial"/>
                <w:sz w:val="18"/>
                <w:szCs w:val="18"/>
                <w:color w:val="auto"/>
              </w:rPr>
              <w:t>(277)</w:t>
            </w:r>
          </w:p>
        </w:tc>
        <w:tc>
          <w:tcPr>
            <w:tcW w:w="1020" w:type="dxa"/>
            <w:vAlign w:val="bottom"/>
            <w:gridSpan w:val="2"/>
            <w:vMerge w:val="restart"/>
            <w:shd w:val="clear" w:color="auto" w:fill="D6F3E8"/>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1"/>
        </w:trPr>
        <w:tc>
          <w:tcPr>
            <w:tcW w:w="37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(units)</w:t>
            </w:r>
          </w:p>
        </w:tc>
        <w:tc>
          <w:tcPr>
            <w:tcW w:w="200" w:type="dxa"/>
            <w:vAlign w:val="bottom"/>
            <w:shd w:val="clear" w:color="auto" w:fill="D6F3E8"/>
          </w:tcPr>
          <w:p>
            <w:pPr>
              <w:spacing w:after="0"/>
              <w:rPr>
                <w:sz w:val="18"/>
                <w:szCs w:val="18"/>
                <w:color w:val="auto"/>
              </w:rPr>
            </w:pPr>
          </w:p>
        </w:tc>
        <w:tc>
          <w:tcPr>
            <w:tcW w:w="840" w:type="dxa"/>
            <w:vAlign w:val="bottom"/>
            <w:vMerge w:val="continue"/>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40" w:type="dxa"/>
            <w:vAlign w:val="bottom"/>
            <w:vMerge w:val="continue"/>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0" w:type="dxa"/>
            <w:vAlign w:val="bottom"/>
            <w:gridSpan w:val="2"/>
            <w:vMerge w:val="continue"/>
            <w:shd w:val="clear" w:color="auto" w:fill="D6F3E8"/>
          </w:tcPr>
          <w:p>
            <w:pPr>
              <w:spacing w:after="0"/>
              <w:rPr>
                <w:sz w:val="18"/>
                <w:szCs w:val="18"/>
                <w:color w:val="auto"/>
              </w:rPr>
            </w:pPr>
          </w:p>
        </w:tc>
        <w:tc>
          <w:tcPr>
            <w:tcW w:w="1020" w:type="dxa"/>
            <w:vAlign w:val="bottom"/>
            <w:gridSpan w:val="2"/>
            <w:vMerge w:val="continue"/>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6F3E8"/>
              <w:bottom w:val="single" w:sz="8" w:color="D6F3E8"/>
            </w:tcBorders>
            <w:gridSpan w:val="2"/>
            <w:vMerge w:val="restart"/>
          </w:tcPr>
          <w:p>
            <w:pPr>
              <w:jc w:val="right"/>
              <w:ind w:right="257"/>
              <w:spacing w:after="0"/>
              <w:rPr>
                <w:sz w:val="20"/>
                <w:szCs w:val="20"/>
                <w:color w:val="auto"/>
              </w:rPr>
            </w:pPr>
            <w:r>
              <w:rPr>
                <w:rFonts w:ascii="Arial" w:cs="Arial" w:eastAsia="Arial" w:hAnsi="Arial"/>
                <w:sz w:val="18"/>
                <w:szCs w:val="18"/>
                <w:color w:val="auto"/>
              </w:rPr>
              <w:t>9</w:t>
            </w:r>
          </w:p>
        </w:tc>
        <w:tc>
          <w:tcPr>
            <w:tcW w:w="3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shd w:val="clear" w:color="auto" w:fill="D6F3E8"/>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bottom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Long-term demographics are favorable for our industry as our target market of consumers age 50 and older is expected to substantially increase over the next 30 years due to the aging of the baby boom market. Also, according to a 2005 study conducted by the University of Michigan, the age at which the motor home consumer is purchasing motor homes has broadened. Motor home buyers are entering the market earlier than in the past, as young as 35, and living active and healthier lives with more buyers remaining in the RV lifestyle over the age of 75. The study also indicates that owners are using their motor homes for more than just traditional camping, having a positive impact on long-term motor home market growth. The study shows that motor homes are used to pursue consumers’ many lifestyle passions which may include going to motor sports events or tailgating at sporting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Our consolidated financial statements are prepared in accordance with accounting principles generally accepted in the United States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w:t>
      </w:r>
    </w:p>
    <w:p>
      <w:pPr>
        <w:sectPr>
          <w:pgSz w:w="11900" w:h="16838" w:orient="portrait"/>
          <w:cols w:equalWidth="0" w:num="1">
            <w:col w:w="11420"/>
          </w:cols>
          <w:pgMar w:left="240" w:top="374" w:right="239" w:bottom="0" w:gutter="0" w:footer="0" w:header="0"/>
        </w:sectPr>
      </w:pPr>
    </w:p>
    <w:bookmarkStart w:id="8" w:name="page9"/>
    <w:bookmarkEnd w:id="8"/>
    <w:p>
      <w:pPr>
        <w:ind w:right="220"/>
        <w:spacing w:after="0" w:line="256" w:lineRule="auto"/>
        <w:rPr>
          <w:sz w:val="20"/>
          <w:szCs w:val="20"/>
          <w:color w:val="auto"/>
        </w:rPr>
      </w:pPr>
      <w:r>
        <w:rPr>
          <w:rFonts w:ascii="Arial" w:cs="Arial" w:eastAsia="Arial" w:hAnsi="Arial"/>
          <w:sz w:val="18"/>
          <w:szCs w:val="18"/>
          <w:color w:val="auto"/>
        </w:rPr>
        <w:t>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9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55"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Revenues from the sales of our original equipment manufacturing components and motor home-related parts are recorded as the products are shipped from our location. The title of ownership transfers on these products as they leave our location due to the freight terms of F.O.B. - Forest City, Iowa.</w:t>
      </w:r>
    </w:p>
    <w:p>
      <w:pPr>
        <w:spacing w:after="0" w:line="133"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Postretirement Benefits Obligations and Costs. </w:t>
      </w:r>
      <w:r>
        <w:rPr>
          <w:rFonts w:ascii="Arial" w:cs="Arial" w:eastAsia="Arial" w:hAnsi="Arial"/>
          <w:sz w:val="16"/>
          <w:szCs w:val="16"/>
          <w:color w:val="auto"/>
        </w:rPr>
        <w:t>We provide certain health care and other benefits for retired employees, hired before April 1, 2001, who have</w:t>
      </w:r>
      <w:r>
        <w:rPr>
          <w:rFonts w:ascii="Arial" w:cs="Arial" w:eastAsia="Arial" w:hAnsi="Arial"/>
          <w:sz w:val="16"/>
          <w:szCs w:val="16"/>
          <w:b w:val="1"/>
          <w:bCs w:val="1"/>
          <w:color w:val="auto"/>
        </w:rPr>
        <w:t xml:space="preserve"> </w:t>
      </w:r>
      <w:r>
        <w:rPr>
          <w:rFonts w:ascii="Arial" w:cs="Arial" w:eastAsia="Arial" w:hAnsi="Arial"/>
          <w:sz w:val="16"/>
          <w:szCs w:val="16"/>
          <w:color w:val="auto"/>
        </w:rPr>
        <w:t>fulfilled eligibility requirements at age 55 with 15 years of continuous service. Postretirement benefit liabilities are determined by actuaries using assumptions about the discount rate and health care cost-trend rates. A significant increase or decrease in interest rates could have a significant impact on our operating results. Further discussion of our postretirement benefit plan and related assumptions is included in Note 6.</w:t>
      </w:r>
    </w:p>
    <w:p>
      <w:pPr>
        <w:spacing w:after="0" w:line="1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A comprehensive 12-month/15,000-mile warranty and a 3-year/36,000-mile warranty on sidewalls and floors are provided by us with the retail</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of any new motor home in the United States or Canada.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5.</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Repurchase Commitments. </w:t>
      </w:r>
      <w:r>
        <w:rPr>
          <w:rFonts w:ascii="Arial" w:cs="Arial" w:eastAsia="Arial" w:hAnsi="Arial"/>
          <w:sz w:val="16"/>
          <w:szCs w:val="16"/>
          <w:color w:val="auto"/>
        </w:rPr>
        <w:t>Generally, companies in the RV industry enter into repurchase agreements with lending institutions which have provided wholesale</w:t>
      </w:r>
      <w:r>
        <w:rPr>
          <w:rFonts w:ascii="Arial" w:cs="Arial" w:eastAsia="Arial" w:hAnsi="Arial"/>
          <w:sz w:val="16"/>
          <w:szCs w:val="16"/>
          <w:b w:val="1"/>
          <w:bCs w:val="1"/>
          <w:color w:val="auto"/>
        </w:rPr>
        <w:t xml:space="preserve"> </w:t>
      </w:r>
      <w:r>
        <w:rPr>
          <w:rFonts w:ascii="Arial" w:cs="Arial" w:eastAsia="Arial" w:hAnsi="Arial"/>
          <w:sz w:val="16"/>
          <w:szCs w:val="16"/>
          <w:color w:val="auto"/>
        </w:rPr>
        <w:t>floorplan financing to dealers. Our repurchase agreements provide that, in the event of default by the dealer on the agreement to pay the lending institution, we will repurchase the financed motor homes. The agreements also provide that our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Our obligations under these repurchase agreements are reduced by the proceeds received upon the resale of any repurchased unit. The gross repurchase obligation will vary depending on the season and the level of dealer inventories. Past losses under these agreements have not been significant. Further discussion of our repurchase obligations is included in Note 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Historically, we have granted stock options to our key employees and nonemployee directors as part of their compensation.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Fiscal 2007, we granted restricted stock awards to key employees and nonemployee directors instead of stock options.</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amount of compensation expense incurred related to stock awards and to be incurred in future periods is dependent upon a number of factors, such as the number of awards, both options and shares granted, the timing of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These assumptions include, among others, our expected stock price volatility and the expected life of our stock options, which are based primarily on our historical experience.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restricted stock is based on the closing price of our common stock on the date of grant.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fair value of each award is amortized on a straight-line basis over the requisite service period or to an employee’s eligible retirement date, if earlier. This is because our awards typically vest over three years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2.</w:t>
      </w:r>
    </w:p>
    <w:p>
      <w:pPr>
        <w:spacing w:after="0" w:line="19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have reserves for other loss exposures, such as litigation, taxes, product liability, worker’s compensation, employee medical claims,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131" w:right="259"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Compared to the Third Quarter Last Year</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quarter ended May 26, 2007 compared to the quarter ended May 27, 2006.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0"/>
              </w:rPr>
              <w:t>Quarter Ended</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96"/>
              <w:spacing w:after="0" w:line="129" w:lineRule="exact"/>
              <w:rPr>
                <w:sz w:val="20"/>
                <w:szCs w:val="20"/>
                <w:color w:val="auto"/>
              </w:rPr>
            </w:pPr>
            <w:r>
              <w:rPr>
                <w:rFonts w:ascii="Arial" w:cs="Arial" w:eastAsia="Arial" w:hAnsi="Arial"/>
                <w:sz w:val="14"/>
                <w:szCs w:val="14"/>
                <w:b w:val="1"/>
                <w:bCs w:val="1"/>
                <w:color w:val="auto"/>
                <w:w w:val="90"/>
              </w:rPr>
              <w:t>May 26,</w:t>
            </w:r>
          </w:p>
        </w:tc>
        <w:tc>
          <w:tcPr>
            <w:tcW w:w="36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138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90"/>
              </w:rPr>
              <w:t>May 27,</w:t>
            </w:r>
          </w:p>
        </w:tc>
        <w:tc>
          <w:tcPr>
            <w:tcW w:w="106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12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4"/>
              </w:rPr>
              <w:t>Increase</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340" w:type="dxa"/>
            <w:vAlign w:val="bottom"/>
            <w:tcBorders>
              <w:bottom w:val="single" w:sz="8" w:color="D6F3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Borders>
              <w:bottom w:val="single" w:sz="8" w:color="D6F3E8"/>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6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1"/>
              </w:rPr>
              <w:t>Revenues</w:t>
            </w:r>
          </w:p>
        </w:tc>
        <w:tc>
          <w:tcPr>
            <w:tcW w:w="34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3"/>
              </w:rPr>
              <w:t>(Decrease)</w:t>
            </w:r>
          </w:p>
        </w:tc>
        <w:tc>
          <w:tcPr>
            <w:tcW w:w="340" w:type="dxa"/>
            <w:vAlign w:val="bottom"/>
            <w:tcBorders>
              <w:bottom w:val="single" w:sz="8" w:color="D6F3E8"/>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231,692</w:t>
            </w:r>
          </w:p>
        </w:tc>
        <w:tc>
          <w:tcPr>
            <w:tcW w:w="1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right w:val="single" w:sz="8" w:color="D6F3E8"/>
            </w:tcBorders>
            <w:shd w:val="clear" w:color="auto" w:fill="D6F3E8"/>
          </w:tcPr>
          <w:p>
            <w:pPr>
              <w:spacing w:after="0"/>
              <w:rPr>
                <w:sz w:val="19"/>
                <w:szCs w:val="19"/>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220,312</w:t>
            </w:r>
          </w:p>
        </w:tc>
        <w:tc>
          <w:tcPr>
            <w:tcW w:w="340" w:type="dxa"/>
            <w:vAlign w:val="bottom"/>
            <w:tcBorders>
              <w:right w:val="single" w:sz="8" w:color="D6F3E8"/>
            </w:tcBorders>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06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11,380</w:t>
            </w:r>
          </w:p>
        </w:tc>
        <w:tc>
          <w:tcPr>
            <w:tcW w:w="340" w:type="dxa"/>
            <w:vAlign w:val="bottom"/>
            <w:shd w:val="clear" w:color="auto" w:fill="D6F3E8"/>
          </w:tcPr>
          <w:p>
            <w:pPr>
              <w:spacing w:after="0"/>
              <w:rPr>
                <w:sz w:val="19"/>
                <w:szCs w:val="19"/>
                <w:color w:val="auto"/>
              </w:rPr>
            </w:pPr>
          </w:p>
        </w:tc>
        <w:tc>
          <w:tcPr>
            <w:tcW w:w="10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2"/>
        </w:trPr>
        <w:tc>
          <w:tcPr>
            <w:tcW w:w="3780" w:type="dxa"/>
            <w:vAlign w:val="bottom"/>
            <w:tcBorders>
              <w:bottom w:val="single" w:sz="8" w:color="D6F3E8"/>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205,436</w:t>
            </w:r>
          </w:p>
        </w:tc>
        <w:tc>
          <w:tcPr>
            <w:tcW w:w="360" w:type="dxa"/>
            <w:vAlign w:val="bottom"/>
            <w:tcBorders>
              <w:bottom w:val="single" w:sz="8" w:color="D6F3E8"/>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360" w:type="dxa"/>
            <w:vAlign w:val="bottom"/>
            <w:tcBorders>
              <w:bottom w:val="single" w:sz="8" w:color="D6F3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192,236</w:t>
            </w:r>
          </w:p>
        </w:tc>
        <w:tc>
          <w:tcPr>
            <w:tcW w:w="340" w:type="dxa"/>
            <w:vAlign w:val="bottom"/>
            <w:tcBorders>
              <w:bottom w:val="single" w:sz="8" w:color="D6F3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340" w:type="dxa"/>
            <w:vAlign w:val="bottom"/>
            <w:tcBorders>
              <w:bottom w:val="single" w:sz="8" w:color="D6F3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340" w:type="dxa"/>
            <w:vAlign w:val="bottom"/>
            <w:tcBorders>
              <w:bottom w:val="single" w:sz="8" w:color="D6F3E8"/>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D6F3E8"/>
          </w:tcPr>
          <w:p>
            <w:pPr>
              <w:spacing w:after="0"/>
              <w:rPr>
                <w:sz w:val="23"/>
                <w:szCs w:val="23"/>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26,256</w:t>
            </w:r>
          </w:p>
        </w:tc>
        <w:tc>
          <w:tcPr>
            <w:tcW w:w="360" w:type="dxa"/>
            <w:vAlign w:val="bottom"/>
            <w:shd w:val="clear" w:color="auto" w:fill="D6F3E8"/>
          </w:tcPr>
          <w:p>
            <w:pPr>
              <w:spacing w:after="0"/>
              <w:rPr>
                <w:sz w:val="23"/>
                <w:szCs w:val="23"/>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Borders>
              <w:right w:val="single" w:sz="8" w:color="D6F3E8"/>
            </w:tcBorders>
            <w:shd w:val="clear" w:color="auto" w:fill="D6F3E8"/>
          </w:tcPr>
          <w:p>
            <w:pPr>
              <w:spacing w:after="0"/>
              <w:rPr>
                <w:sz w:val="23"/>
                <w:szCs w:val="23"/>
                <w:color w:val="auto"/>
              </w:rPr>
            </w:pPr>
          </w:p>
        </w:tc>
        <w:tc>
          <w:tcPr>
            <w:tcW w:w="160" w:type="dxa"/>
            <w:vAlign w:val="bottom"/>
            <w:shd w:val="clear" w:color="auto" w:fill="D6F3E8"/>
          </w:tcPr>
          <w:p>
            <w:pPr>
              <w:spacing w:after="0"/>
              <w:rPr>
                <w:sz w:val="23"/>
                <w:szCs w:val="23"/>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28,076</w:t>
            </w:r>
          </w:p>
        </w:tc>
        <w:tc>
          <w:tcPr>
            <w:tcW w:w="340" w:type="dxa"/>
            <w:vAlign w:val="bottom"/>
            <w:tcBorders>
              <w:right w:val="single" w:sz="8" w:color="D6F3E8"/>
            </w:tcBorders>
            <w:shd w:val="clear" w:color="auto" w:fill="D6F3E8"/>
          </w:tcPr>
          <w:p>
            <w:pPr>
              <w:spacing w:after="0"/>
              <w:rPr>
                <w:sz w:val="23"/>
                <w:szCs w:val="23"/>
                <w:color w:val="auto"/>
              </w:rPr>
            </w:pPr>
          </w:p>
        </w:tc>
        <w:tc>
          <w:tcPr>
            <w:tcW w:w="180" w:type="dxa"/>
            <w:vAlign w:val="bottom"/>
            <w:shd w:val="clear" w:color="auto" w:fill="D6F3E8"/>
          </w:tcPr>
          <w:p>
            <w:pPr>
              <w:spacing w:after="0"/>
              <w:rPr>
                <w:sz w:val="23"/>
                <w:szCs w:val="23"/>
                <w:color w:val="auto"/>
              </w:rPr>
            </w:pPr>
          </w:p>
        </w:tc>
        <w:tc>
          <w:tcPr>
            <w:tcW w:w="7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Borders>
              <w:right w:val="single" w:sz="8" w:color="D6F3E8"/>
            </w:tcBorders>
            <w:shd w:val="clear" w:color="auto" w:fill="D6F3E8"/>
          </w:tcPr>
          <w:p>
            <w:pPr>
              <w:spacing w:after="0"/>
              <w:rPr>
                <w:sz w:val="23"/>
                <w:szCs w:val="23"/>
                <w:color w:val="auto"/>
              </w:rPr>
            </w:pPr>
          </w:p>
        </w:tc>
        <w:tc>
          <w:tcPr>
            <w:tcW w:w="140" w:type="dxa"/>
            <w:vAlign w:val="bottom"/>
            <w:shd w:val="clear" w:color="auto" w:fill="D6F3E8"/>
          </w:tcPr>
          <w:p>
            <w:pPr>
              <w:spacing w:after="0"/>
              <w:rPr>
                <w:sz w:val="23"/>
                <w:szCs w:val="23"/>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(1,820)</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3780" w:type="dxa"/>
            <w:vAlign w:val="bottom"/>
            <w:gridSpan w:val="2"/>
          </w:tcPr>
          <w:p>
            <w:pPr>
              <w:ind w:left="20"/>
              <w:spacing w:after="0" w:line="188" w:lineRule="exact"/>
              <w:rPr>
                <w:sz w:val="20"/>
                <w:szCs w:val="20"/>
                <w:color w:val="auto"/>
              </w:rPr>
            </w:pPr>
            <w:r>
              <w:rPr>
                <w:rFonts w:ascii="Arial" w:cs="Arial" w:eastAsia="Arial" w:hAnsi="Arial"/>
                <w:sz w:val="18"/>
                <w:szCs w:val="18"/>
                <w:color w:val="auto"/>
              </w:rPr>
              <w:t>Selling</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5,511</w:t>
            </w:r>
          </w:p>
        </w:tc>
        <w:tc>
          <w:tcPr>
            <w:tcW w:w="360" w:type="dxa"/>
            <w:vAlign w:val="bottom"/>
          </w:tcPr>
          <w:p>
            <w:pPr>
              <w:spacing w:after="0"/>
              <w:rPr>
                <w:sz w:val="17"/>
                <w:szCs w:val="17"/>
                <w:color w:val="auto"/>
              </w:rPr>
            </w:pPr>
          </w:p>
        </w:tc>
        <w:tc>
          <w:tcPr>
            <w:tcW w:w="9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4,536</w:t>
            </w: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975</w:t>
            </w:r>
          </w:p>
        </w:tc>
        <w:tc>
          <w:tcPr>
            <w:tcW w:w="340" w:type="dxa"/>
            <w:vAlign w:val="bottom"/>
            <w:tcBorders>
              <w:top w:val="single" w:sz="8" w:color="D6F3E8"/>
            </w:tcBorders>
          </w:tcPr>
          <w:p>
            <w:pPr>
              <w:spacing w:after="0"/>
              <w:rPr>
                <w:sz w:val="17"/>
                <w:szCs w:val="17"/>
                <w:color w:val="auto"/>
              </w:rPr>
            </w:pPr>
          </w:p>
        </w:tc>
        <w:tc>
          <w:tcPr>
            <w:tcW w:w="9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Borders>
              <w:top w:val="single" w:sz="8" w:color="D6F3E8"/>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D6F3E8"/>
          </w:tcPr>
          <w:p>
            <w:pPr>
              <w:spacing w:after="0"/>
              <w:rPr>
                <w:sz w:val="21"/>
                <w:szCs w:val="21"/>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6,086</w:t>
            </w:r>
          </w:p>
        </w:tc>
        <w:tc>
          <w:tcPr>
            <w:tcW w:w="360" w:type="dxa"/>
            <w:vAlign w:val="bottom"/>
            <w:shd w:val="clear" w:color="auto" w:fill="D6F3E8"/>
          </w:tcPr>
          <w:p>
            <w:pPr>
              <w:spacing w:after="0"/>
              <w:rPr>
                <w:sz w:val="21"/>
                <w:szCs w:val="21"/>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right w:val="single" w:sz="8" w:color="D6F3E8"/>
            </w:tcBorders>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86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5,160</w:t>
            </w:r>
          </w:p>
        </w:tc>
        <w:tc>
          <w:tcPr>
            <w:tcW w:w="340" w:type="dxa"/>
            <w:vAlign w:val="bottom"/>
            <w:tcBorders>
              <w:right w:val="single" w:sz="8" w:color="D6F3E8"/>
            </w:tcBorders>
            <w:shd w:val="clear" w:color="auto" w:fill="D6F3E8"/>
          </w:tcPr>
          <w:p>
            <w:pPr>
              <w:spacing w:after="0"/>
              <w:rPr>
                <w:sz w:val="21"/>
                <w:szCs w:val="21"/>
                <w:color w:val="auto"/>
              </w:rPr>
            </w:pPr>
          </w:p>
        </w:tc>
        <w:tc>
          <w:tcPr>
            <w:tcW w:w="180" w:type="dxa"/>
            <w:vAlign w:val="bottom"/>
            <w:tcBorders>
              <w:bottom w:val="single" w:sz="8" w:color="auto"/>
            </w:tcBorders>
            <w:shd w:val="clear" w:color="auto" w:fill="D6F3E8"/>
          </w:tcPr>
          <w:p>
            <w:pPr>
              <w:spacing w:after="0"/>
              <w:rPr>
                <w:sz w:val="21"/>
                <w:szCs w:val="21"/>
                <w:color w:val="auto"/>
              </w:rPr>
            </w:pPr>
          </w:p>
        </w:tc>
        <w:tc>
          <w:tcPr>
            <w:tcW w:w="72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right w:val="single" w:sz="8" w:color="D6F3E8"/>
            </w:tcBorders>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926</w:t>
            </w:r>
          </w:p>
        </w:tc>
        <w:tc>
          <w:tcPr>
            <w:tcW w:w="340" w:type="dxa"/>
            <w:vAlign w:val="bottom"/>
            <w:shd w:val="clear" w:color="auto" w:fill="D6F3E8"/>
          </w:tcPr>
          <w:p>
            <w:pPr>
              <w:spacing w:after="0"/>
              <w:rPr>
                <w:sz w:val="21"/>
                <w:szCs w:val="21"/>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780" w:type="dxa"/>
            <w:vAlign w:val="bottom"/>
            <w:tcBorders>
              <w:bottom w:val="single" w:sz="8" w:color="D6F3E8"/>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11,597</w:t>
            </w:r>
          </w:p>
        </w:tc>
        <w:tc>
          <w:tcPr>
            <w:tcW w:w="360" w:type="dxa"/>
            <w:vAlign w:val="bottom"/>
            <w:tcBorders>
              <w:bottom w:val="single" w:sz="8" w:color="D6F3E8"/>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D6F3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w:t>
            </w:r>
          </w:p>
        </w:tc>
        <w:tc>
          <w:tcPr>
            <w:tcW w:w="340" w:type="dxa"/>
            <w:vAlign w:val="bottom"/>
            <w:tcBorders>
              <w:bottom w:val="single" w:sz="8" w:color="D6F3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340" w:type="dxa"/>
            <w:vAlign w:val="bottom"/>
            <w:tcBorders>
              <w:bottom w:val="single" w:sz="8" w:color="D6F3E8"/>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6F3E8"/>
          </w:tcPr>
          <w:p>
            <w:pPr>
              <w:spacing w:after="0"/>
              <w:rPr>
                <w:sz w:val="20"/>
                <w:szCs w:val="20"/>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14,659</w:t>
            </w:r>
          </w:p>
        </w:tc>
        <w:tc>
          <w:tcPr>
            <w:tcW w:w="1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6.3</w:t>
            </w:r>
          </w:p>
        </w:tc>
        <w:tc>
          <w:tcPr>
            <w:tcW w:w="360" w:type="dxa"/>
            <w:vAlign w:val="bottom"/>
            <w:tcBorders>
              <w:right w:val="single" w:sz="8" w:color="D6F3E8"/>
            </w:tcBorders>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18,380</w:t>
            </w: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6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(3,721)</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2"/>
        </w:trPr>
        <w:tc>
          <w:tcPr>
            <w:tcW w:w="3780" w:type="dxa"/>
            <w:vAlign w:val="bottom"/>
            <w:tcBorders>
              <w:bottom w:val="single" w:sz="8" w:color="D6F3E8"/>
            </w:tcBorders>
            <w:gridSpan w:val="2"/>
          </w:tcPr>
          <w:p>
            <w:pPr>
              <w:ind w:left="20"/>
              <w:spacing w:after="0"/>
              <w:rPr>
                <w:sz w:val="20"/>
                <w:szCs w:val="20"/>
                <w:color w:val="auto"/>
              </w:rPr>
            </w:pPr>
            <w:r>
              <w:rPr>
                <w:rFonts w:ascii="Arial" w:cs="Arial" w:eastAsia="Arial" w:hAnsi="Arial"/>
                <w:sz w:val="18"/>
                <w:szCs w:val="18"/>
                <w:color w:val="auto"/>
              </w:rPr>
              <w:t>Financial income</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360" w:type="dxa"/>
            <w:vAlign w:val="bottom"/>
            <w:tcBorders>
              <w:bottom w:val="single" w:sz="8" w:color="D6F3E8"/>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D6F3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340" w:type="dxa"/>
            <w:vAlign w:val="bottom"/>
            <w:tcBorders>
              <w:bottom w:val="single" w:sz="8" w:color="D6F3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D6F3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Borders>
              <w:bottom w:val="single" w:sz="8" w:color="D6F3E8"/>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D6F3E8"/>
          </w:tcPr>
          <w:p>
            <w:pPr>
              <w:spacing w:after="0"/>
              <w:rPr>
                <w:sz w:val="20"/>
                <w:szCs w:val="20"/>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16,458</w:t>
            </w:r>
          </w:p>
        </w:tc>
        <w:tc>
          <w:tcPr>
            <w:tcW w:w="1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7.1</w:t>
            </w:r>
          </w:p>
        </w:tc>
        <w:tc>
          <w:tcPr>
            <w:tcW w:w="360" w:type="dxa"/>
            <w:vAlign w:val="bottom"/>
            <w:tcBorders>
              <w:right w:val="single" w:sz="8" w:color="D6F3E8"/>
            </w:tcBorders>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19,798</w:t>
            </w: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6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(3,340)</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Provision for taxes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5,205</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(1,436)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3440" w:type="dxa"/>
            <w:vAlign w:val="bottom"/>
            <w:shd w:val="clear" w:color="auto" w:fill="D6F3E8"/>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Borders>
              <w:right w:val="single" w:sz="8" w:color="D6F3E8"/>
            </w:tcBorders>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11,253</w:t>
            </w:r>
          </w:p>
        </w:tc>
        <w:tc>
          <w:tcPr>
            <w:tcW w:w="360" w:type="dxa"/>
            <w:vAlign w:val="bottom"/>
            <w:shd w:val="clear" w:color="auto" w:fill="D6F3E8"/>
          </w:tcPr>
          <w:p>
            <w:pPr>
              <w:spacing w:after="0"/>
              <w:rPr>
                <w:sz w:val="20"/>
                <w:szCs w:val="20"/>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right w:val="single" w:sz="8" w:color="D6F3E8"/>
            </w:tcBorders>
            <w:shd w:val="clear" w:color="auto" w:fill="D6F3E8"/>
          </w:tcPr>
          <w:p>
            <w:pPr>
              <w:spacing w:after="0"/>
              <w:rPr>
                <w:sz w:val="20"/>
                <w:szCs w:val="20"/>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13,157</w:t>
            </w: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60" w:type="dxa"/>
            <w:vAlign w:val="bottom"/>
            <w:tcBorders>
              <w:right w:val="single" w:sz="8" w:color="D6F3E8"/>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(1,904)</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780" w:type="dxa"/>
            <w:vAlign w:val="bottom"/>
            <w:tcBorders>
              <w:top w:val="single" w:sz="8" w:color="D6F3E8"/>
              <w:bottom w:val="single" w:sz="8" w:color="D6F3E8"/>
            </w:tcBorders>
            <w:gridSpan w:val="2"/>
            <w:vMerge w:val="restart"/>
          </w:tcPr>
          <w:p>
            <w:pPr>
              <w:ind w:left="20"/>
              <w:spacing w:after="0"/>
              <w:rPr>
                <w:sz w:val="20"/>
                <w:szCs w:val="20"/>
                <w:color w:val="auto"/>
              </w:rPr>
            </w:pPr>
            <w:r>
              <w:rPr>
                <w:rFonts w:ascii="Arial" w:cs="Arial" w:eastAsia="Arial" w:hAnsi="Arial"/>
                <w:sz w:val="18"/>
                <w:szCs w:val="18"/>
                <w:color w:val="auto"/>
              </w:rPr>
              <w:t>Diluted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80" w:type="dxa"/>
            <w:vAlign w:val="bottom"/>
            <w:gridSpan w:val="2"/>
            <w:vMerge w:val="continue"/>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780" w:type="dxa"/>
            <w:vAlign w:val="bottom"/>
            <w:tcBorders>
              <w:top w:val="single" w:sz="8" w:color="D6F3E8"/>
            </w:tcBorders>
            <w:gridSpan w:val="2"/>
            <w:vMerge w:val="restart"/>
            <w:shd w:val="clear" w:color="auto" w:fill="D6F3E8"/>
          </w:tcPr>
          <w:p>
            <w:pPr>
              <w:ind w:left="20"/>
              <w:spacing w:after="0"/>
              <w:rPr>
                <w:sz w:val="20"/>
                <w:szCs w:val="20"/>
                <w:color w:val="auto"/>
              </w:rPr>
            </w:pPr>
            <w:r>
              <w:rPr>
                <w:rFonts w:ascii="Arial" w:cs="Arial" w:eastAsia="Arial" w:hAnsi="Arial"/>
                <w:sz w:val="18"/>
                <w:szCs w:val="18"/>
                <w:color w:val="auto"/>
              </w:rPr>
              <w:t>Fully diluted average shares outstanding</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D6F3E8"/>
            </w:tcBorders>
            <w:shd w:val="clear" w:color="auto" w:fill="D6F3E8"/>
          </w:tcPr>
          <w:p>
            <w:pPr>
              <w:spacing w:after="0" w:line="20" w:lineRule="exact"/>
              <w:rPr>
                <w:sz w:val="1"/>
                <w:szCs w:val="1"/>
                <w:color w:val="auto"/>
              </w:rPr>
            </w:pPr>
          </w:p>
        </w:tc>
        <w:tc>
          <w:tcPr>
            <w:tcW w:w="920" w:type="dxa"/>
            <w:vAlign w:val="bottom"/>
            <w:tcBorders>
              <w:top w:val="single" w:sz="8" w:color="D6F3E8"/>
            </w:tcBorders>
            <w:shd w:val="clear" w:color="auto" w:fill="D6F3E8"/>
          </w:tcPr>
          <w:p>
            <w:pPr>
              <w:spacing w:after="0" w:line="20" w:lineRule="exact"/>
              <w:rPr>
                <w:sz w:val="1"/>
                <w:szCs w:val="1"/>
                <w:color w:val="auto"/>
              </w:rPr>
            </w:pPr>
          </w:p>
        </w:tc>
        <w:tc>
          <w:tcPr>
            <w:tcW w:w="36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D6F3E8"/>
            </w:tcBorders>
            <w:shd w:val="clear" w:color="auto" w:fill="D6F3E8"/>
          </w:tcPr>
          <w:p>
            <w:pPr>
              <w:spacing w:after="0" w:line="20" w:lineRule="exact"/>
              <w:rPr>
                <w:sz w:val="1"/>
                <w:szCs w:val="1"/>
                <w:color w:val="auto"/>
              </w:rPr>
            </w:pPr>
          </w:p>
        </w:tc>
        <w:tc>
          <w:tcPr>
            <w:tcW w:w="72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31,761</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360" w:type="dxa"/>
            <w:vAlign w:val="bottom"/>
            <w:tcBorders>
              <w:right w:val="single" w:sz="8" w:color="D6F3E8"/>
            </w:tcBorders>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32,496</w:t>
            </w:r>
          </w:p>
        </w:tc>
        <w:tc>
          <w:tcPr>
            <w:tcW w:w="340" w:type="dxa"/>
            <w:vAlign w:val="bottom"/>
            <w:tcBorders>
              <w:right w:val="single" w:sz="8" w:color="D6F3E8"/>
            </w:tcBorders>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20" w:type="dxa"/>
            <w:vAlign w:val="bottom"/>
            <w:tcBorders>
              <w:right w:val="single" w:sz="8" w:color="D6F3E8"/>
            </w:tcBorders>
            <w:shd w:val="clear" w:color="auto" w:fill="D6F3E8"/>
          </w:tcPr>
          <w:p>
            <w:pPr>
              <w:spacing w:after="0"/>
              <w:rPr>
                <w:sz w:val="18"/>
                <w:szCs w:val="18"/>
                <w:color w:val="auto"/>
              </w:rPr>
            </w:pPr>
          </w:p>
        </w:tc>
        <w:tc>
          <w:tcPr>
            <w:tcW w:w="3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(735)</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780" w:type="dxa"/>
            <w:vAlign w:val="bottom"/>
            <w:tcBorders>
              <w:top w:val="single" w:sz="8" w:color="D6F3E8"/>
              <w:bottom w:val="single" w:sz="8" w:color="D6F3E8"/>
            </w:tcBorders>
            <w:gridSpan w:val="2"/>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72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0"/>
              </w:rPr>
              <w:t>Quarter Ended</w:t>
            </w: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96"/>
              <w:spacing w:after="0" w:line="129" w:lineRule="exact"/>
              <w:rPr>
                <w:sz w:val="20"/>
                <w:szCs w:val="20"/>
                <w:color w:val="auto"/>
              </w:rPr>
            </w:pPr>
            <w:r>
              <w:rPr>
                <w:rFonts w:ascii="Arial" w:cs="Arial" w:eastAsia="Arial" w:hAnsi="Arial"/>
                <w:sz w:val="14"/>
                <w:szCs w:val="14"/>
                <w:b w:val="1"/>
                <w:bCs w:val="1"/>
                <w:color w:val="auto"/>
                <w:w w:val="90"/>
              </w:rPr>
              <w:t>May 26,</w:t>
            </w:r>
          </w:p>
        </w:tc>
        <w:tc>
          <w:tcPr>
            <w:tcW w:w="36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Product</w:t>
            </w:r>
          </w:p>
        </w:tc>
        <w:tc>
          <w:tcPr>
            <w:tcW w:w="160" w:type="dxa"/>
            <w:vAlign w:val="bottom"/>
          </w:tcPr>
          <w:p>
            <w:pPr>
              <w:spacing w:after="0"/>
              <w:rPr>
                <w:sz w:val="11"/>
                <w:szCs w:val="11"/>
                <w:color w:val="auto"/>
              </w:rPr>
            </w:pPr>
          </w:p>
        </w:tc>
        <w:tc>
          <w:tcPr>
            <w:tcW w:w="138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90"/>
              </w:rPr>
              <w:t>May 27,</w:t>
            </w:r>
          </w:p>
        </w:tc>
        <w:tc>
          <w:tcPr>
            <w:tcW w:w="10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Product</w:t>
            </w:r>
          </w:p>
        </w:tc>
        <w:tc>
          <w:tcPr>
            <w:tcW w:w="140" w:type="dxa"/>
            <w:vAlign w:val="bottom"/>
          </w:tcPr>
          <w:p>
            <w:pPr>
              <w:spacing w:after="0"/>
              <w:rPr>
                <w:sz w:val="11"/>
                <w:szCs w:val="11"/>
                <w:color w:val="auto"/>
              </w:rPr>
            </w:pPr>
          </w:p>
        </w:tc>
        <w:tc>
          <w:tcPr>
            <w:tcW w:w="12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4"/>
              </w:rPr>
              <w:t>Increase</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Motor home unit deliveries:</w:t>
            </w:r>
          </w:p>
        </w:tc>
        <w:tc>
          <w:tcPr>
            <w:tcW w:w="200" w:type="dxa"/>
            <w:vAlign w:val="bottom"/>
          </w:tcPr>
          <w:p>
            <w:pPr>
              <w:spacing w:after="0"/>
              <w:rPr>
                <w:sz w:val="14"/>
                <w:szCs w:val="14"/>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Mix %</w:t>
            </w:r>
          </w:p>
        </w:tc>
        <w:tc>
          <w:tcPr>
            <w:tcW w:w="160" w:type="dxa"/>
            <w:vAlign w:val="bottom"/>
          </w:tcPr>
          <w:p>
            <w:pPr>
              <w:spacing w:after="0"/>
              <w:rPr>
                <w:sz w:val="14"/>
                <w:szCs w:val="14"/>
                <w:color w:val="auto"/>
              </w:rPr>
            </w:pPr>
          </w:p>
        </w:tc>
        <w:tc>
          <w:tcPr>
            <w:tcW w:w="860" w:type="dxa"/>
            <w:vAlign w:val="bottom"/>
          </w:tcPr>
          <w:p>
            <w:pPr>
              <w:jc w:val="center"/>
              <w:ind w:right="117"/>
              <w:spacing w:after="0"/>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Mix %</w:t>
            </w:r>
          </w:p>
        </w:tc>
        <w:tc>
          <w:tcPr>
            <w:tcW w:w="14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Class A gas</w:t>
            </w:r>
          </w:p>
        </w:tc>
        <w:tc>
          <w:tcPr>
            <w:tcW w:w="3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904</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35.2</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782</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30.5</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2"/>
        </w:trPr>
        <w:tc>
          <w:tcPr>
            <w:tcW w:w="3780" w:type="dxa"/>
            <w:vAlign w:val="bottom"/>
            <w:tcBorders>
              <w:top w:val="single" w:sz="8" w:color="D6F3E8"/>
            </w:tcBorders>
            <w:gridSpan w:val="2"/>
            <w:shd w:val="clear" w:color="auto" w:fill="D6F3E8"/>
          </w:tcPr>
          <w:p>
            <w:pPr>
              <w:spacing w:after="0" w:line="205" w:lineRule="exact"/>
              <w:rPr>
                <w:sz w:val="20"/>
                <w:szCs w:val="20"/>
                <w:color w:val="auto"/>
              </w:rPr>
            </w:pPr>
            <w:r>
              <w:rPr>
                <w:rFonts w:ascii="Arial" w:cs="Arial" w:eastAsia="Arial" w:hAnsi="Arial"/>
                <w:sz w:val="18"/>
                <w:szCs w:val="18"/>
                <w:color w:val="auto"/>
              </w:rPr>
              <w:t>Total Class A</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1,301</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50.6</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1,123</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80" w:type="dxa"/>
            <w:vAlign w:val="bottom"/>
            <w:gridSpan w:val="2"/>
          </w:tcPr>
          <w:p>
            <w:pPr>
              <w:spacing w:after="0"/>
              <w:rPr>
                <w:sz w:val="20"/>
                <w:szCs w:val="20"/>
                <w:color w:val="auto"/>
              </w:rPr>
            </w:pPr>
            <w:r>
              <w:rPr>
                <w:rFonts w:ascii="Arial" w:cs="Arial" w:eastAsia="Arial" w:hAnsi="Arial"/>
                <w:sz w:val="18"/>
                <w:szCs w:val="18"/>
                <w:color w:val="auto"/>
              </w:rPr>
              <w:t>Class C</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1,443</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1"/>
        </w:trPr>
        <w:tc>
          <w:tcPr>
            <w:tcW w:w="3780" w:type="dxa"/>
            <w:vAlign w:val="bottom"/>
            <w:tcBorders>
              <w:top w:val="single" w:sz="8" w:color="D6F3E8"/>
              <w:bottom w:val="single" w:sz="8" w:color="D6F3E8"/>
            </w:tcBorders>
            <w:gridSpan w:val="2"/>
            <w:shd w:val="clear" w:color="auto" w:fill="D6F3E8"/>
          </w:tcPr>
          <w:p>
            <w:pPr>
              <w:ind w:left="340"/>
              <w:spacing w:after="0"/>
              <w:rPr>
                <w:sz w:val="20"/>
                <w:szCs w:val="20"/>
                <w:color w:val="auto"/>
              </w:rPr>
            </w:pPr>
            <w:r>
              <w:rPr>
                <w:rFonts w:ascii="Arial" w:cs="Arial" w:eastAsia="Arial" w:hAnsi="Arial"/>
                <w:sz w:val="18"/>
                <w:szCs w:val="18"/>
                <w:color w:val="auto"/>
              </w:rPr>
              <w:t>Total deliveries</w:t>
            </w: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2,569</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2,566</w:t>
            </w:r>
          </w:p>
        </w:tc>
        <w:tc>
          <w:tcPr>
            <w:tcW w:w="34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72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-170815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-170815</wp:posOffset>
            </wp:positionV>
            <wp:extent cx="2146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2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Net revenues for the quarter ended May 26, 2007 increased $11.4 million, or 5.2 percent, as a result of a shift in mix from Class C to Class A motor homes. This increase can be further quantified by the 6.4 percent increase in our average selling price for all motor homes delivered when comparing the quarter ended May 26, 2007 to the quarter ended May 27, 2006.</w:t>
      </w:r>
    </w:p>
    <w:p>
      <w:pPr>
        <w:spacing w:after="0" w:line="12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Motor homes delivered during the quarter were essentially equally mixed between our Class A and Class C products. However, with the introduction of the new low-priced Class A gas motor homes, the mix of Class A gas was more heavily weighted to lower-priced units. This was evidenced by a 3.5 percent decrease in our average selling price for Class A gas units when comparing the quarter ended May 26, 2007 to the quarter ended May 27, 2006.</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margin decreased $1.8 million, from 12.7 percent for the quarter ended May 27, 2006 to 11.3 percent for the quarter ended May 26, 2007. Gross profit was negatively impacted by an increase in the mix of lower-margin motor homes, in both Class A and Class C categories, as well as increased materials and labor costs related to Model Year 2007 products.</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Selling expenses increased $975,000, or 21.5 percent, for the quarter ended May 26, 2007. As a percent of net revenues, selling expenses were 2.4 percent and 2.1 percent for the quarters ended May 26, 2007 and May 27, 2006, respectively. The increases were due primarily to the acceleration of our Dealer Days event from the fourth quarter to the third quarter.</w:t>
      </w:r>
    </w:p>
    <w:p>
      <w:pPr>
        <w:spacing w:after="0" w:line="12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General and administrative expenses increased $926,000, or 17.9 percent, for the quarter ended May 26, 2007 primarily as a result of increased bonus expense due to the Company achieving a portion of its compensation objectives. As a percent of net revenues, general and administrative expenses were 2.6 percent and 2.3 percent for the quarters ended May 26, 2007 and May 27, 2006, respectively.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Financial income increased $381,000, or 26.9 percent, for the quarter ended May 26, 2007. The increase in financial income was due to a higher average interest rate earned on investments and a higher average investment balance.</w:t>
      </w:r>
    </w:p>
    <w:p>
      <w:pPr>
        <w:spacing w:after="0" w:line="1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overall effective income tax rate decreased to 31.6 percent for the quarter ended May 26, 2007 from 33.5 percent for the quarter ended May 27, 2006. The decrease was a result of an increase in tax-free and dividend income and stock option tax benefits due to a larger deduction for tax purposes than book purposes related to the exercise of stock options.</w:t>
      </w:r>
    </w:p>
    <w:p>
      <w:pPr>
        <w:spacing w:after="0" w:line="19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Net income decreased by 14.5 percent and income per diluted share decreased by 12.5 percent when comparing the quarter ended May 26, 2007 to the quarter ended May 27, 2006. The reason for the difference in the decrease in net income compared to the decrease in income per diluted share was due primarily to a lower number of shares of common stock outstanding during the quarter ended May 26, 2007, as a result of more shares of common stock repurchased by the Company during Fiscal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May 26, 2007 Compared to the Nine Months Ended May 27, 2006</w:t>
      </w:r>
    </w:p>
    <w:p>
      <w:pPr>
        <w:sectPr>
          <w:pgSz w:w="11900" w:h="16838" w:orient="portrait"/>
          <w:cols w:equalWidth="0" w:num="1">
            <w:col w:w="11420"/>
          </w:cols>
          <w:pgMar w:left="240" w:top="125" w:right="239" w:bottom="0" w:gutter="0" w:footer="0" w:header="0"/>
        </w:sectPr>
      </w:pPr>
    </w:p>
    <w:bookmarkStart w:id="10" w:name="page11"/>
    <w:bookmarkEnd w:id="10"/>
    <w:p>
      <w:pPr>
        <w:spacing w:after="0" w:line="4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nine months ended May 26, 2007 compared to the nine months ended May 27, 2006.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4"/>
              </w:rPr>
              <w:t>(In thousands, except percent and per share data)</w:t>
            </w:r>
          </w:p>
        </w:tc>
        <w:tc>
          <w:tcPr>
            <w:tcW w:w="34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96"/>
              <w:spacing w:after="0" w:line="129" w:lineRule="exact"/>
              <w:rPr>
                <w:sz w:val="20"/>
                <w:szCs w:val="20"/>
                <w:color w:val="auto"/>
              </w:rPr>
            </w:pPr>
            <w:r>
              <w:rPr>
                <w:rFonts w:ascii="Arial" w:cs="Arial" w:eastAsia="Arial" w:hAnsi="Arial"/>
                <w:sz w:val="14"/>
                <w:szCs w:val="14"/>
                <w:b w:val="1"/>
                <w:bCs w:val="1"/>
                <w:color w:val="auto"/>
                <w:w w:val="90"/>
              </w:rPr>
              <w:t>May 26,</w:t>
            </w:r>
          </w:p>
        </w:tc>
        <w:tc>
          <w:tcPr>
            <w:tcW w:w="3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90"/>
              </w:rPr>
              <w:t>May 27,</w:t>
            </w:r>
          </w:p>
        </w:tc>
        <w:tc>
          <w:tcPr>
            <w:tcW w:w="34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12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3"/>
              </w:rPr>
              <w:t>(Decrease)</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D6F3E8"/>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Borders>
              <w:bottom w:val="single" w:sz="8" w:color="D6F3E8"/>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6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Borders>
              <w:bottom w:val="single" w:sz="8" w:color="D6F3E8"/>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4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4"/>
              </w:rPr>
              <w:t>Increase</w:t>
            </w:r>
          </w:p>
        </w:tc>
        <w:tc>
          <w:tcPr>
            <w:tcW w:w="340" w:type="dxa"/>
            <w:vAlign w:val="bottom"/>
            <w:tcBorders>
              <w:bottom w:val="single" w:sz="8" w:color="D6F3E8"/>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632,471</w:t>
            </w:r>
          </w:p>
        </w:tc>
        <w:tc>
          <w:tcPr>
            <w:tcW w:w="1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658,992</w:t>
            </w:r>
          </w:p>
        </w:tc>
        <w:tc>
          <w:tcPr>
            <w:tcW w:w="1580" w:type="dxa"/>
            <w:vAlign w:val="bottom"/>
            <w:tcBorders>
              <w:right w:val="single" w:sz="8" w:color="D6F3E8"/>
            </w:tcBorders>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(26,521)</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565,866</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579,432</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(13,566)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D6F3E8"/>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Borders>
              <w:right w:val="single" w:sz="8" w:color="D6F3E8"/>
            </w:tcBorders>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80" w:type="dxa"/>
            <w:vAlign w:val="bottom"/>
            <w:gridSpan w:val="2"/>
            <w:vMerge w:val="continue"/>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66,605</w:t>
            </w:r>
          </w:p>
        </w:tc>
        <w:tc>
          <w:tcPr>
            <w:tcW w:w="360" w:type="dxa"/>
            <w:vAlign w:val="bottom"/>
            <w:shd w:val="clear" w:color="auto" w:fill="D6F3E8"/>
          </w:tcPr>
          <w:p>
            <w:pPr>
              <w:spacing w:after="0"/>
              <w:rPr>
                <w:sz w:val="20"/>
                <w:szCs w:val="20"/>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w:t>
            </w:r>
          </w:p>
        </w:tc>
        <w:tc>
          <w:tcPr>
            <w:tcW w:w="360" w:type="dxa"/>
            <w:vAlign w:val="bottom"/>
            <w:tcBorders>
              <w:right w:val="single" w:sz="8" w:color="D6F3E8"/>
            </w:tcBorders>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79,560</w:t>
            </w:r>
          </w:p>
        </w:tc>
        <w:tc>
          <w:tcPr>
            <w:tcW w:w="340" w:type="dxa"/>
            <w:vAlign w:val="bottom"/>
            <w:tcBorders>
              <w:right w:val="single" w:sz="8" w:color="D6F3E8"/>
            </w:tcBorders>
            <w:shd w:val="clear" w:color="auto" w:fill="D6F3E8"/>
          </w:tcPr>
          <w:p>
            <w:pPr>
              <w:spacing w:after="0"/>
              <w:rPr>
                <w:sz w:val="20"/>
                <w:szCs w:val="20"/>
                <w:color w:val="auto"/>
              </w:rPr>
            </w:pPr>
          </w:p>
        </w:tc>
        <w:tc>
          <w:tcPr>
            <w:tcW w:w="9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(12,955)</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Selling</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14,553</w:t>
            </w:r>
          </w:p>
        </w:tc>
        <w:tc>
          <w:tcPr>
            <w:tcW w:w="3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3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340" w:type="dxa"/>
            <w:vAlign w:val="bottom"/>
            <w:tcBorders>
              <w:top w:val="single" w:sz="8" w:color="D6F3E8"/>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D6F3E8"/>
          </w:tcPr>
          <w:p>
            <w:pPr>
              <w:spacing w:after="0"/>
              <w:rPr>
                <w:sz w:val="21"/>
                <w:szCs w:val="21"/>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17,893</w:t>
            </w:r>
          </w:p>
        </w:tc>
        <w:tc>
          <w:tcPr>
            <w:tcW w:w="360" w:type="dxa"/>
            <w:vAlign w:val="bottom"/>
            <w:shd w:val="clear" w:color="auto" w:fill="D6F3E8"/>
          </w:tcPr>
          <w:p>
            <w:pPr>
              <w:spacing w:after="0"/>
              <w:rPr>
                <w:sz w:val="21"/>
                <w:szCs w:val="21"/>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right w:val="single" w:sz="8" w:color="D6F3E8"/>
            </w:tcBorders>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86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15,493</w:t>
            </w:r>
          </w:p>
        </w:tc>
        <w:tc>
          <w:tcPr>
            <w:tcW w:w="340" w:type="dxa"/>
            <w:vAlign w:val="bottom"/>
            <w:tcBorders>
              <w:right w:val="single" w:sz="8" w:color="D6F3E8"/>
            </w:tcBorders>
            <w:shd w:val="clear" w:color="auto" w:fill="D6F3E8"/>
          </w:tcPr>
          <w:p>
            <w:pPr>
              <w:spacing w:after="0"/>
              <w:rPr>
                <w:sz w:val="21"/>
                <w:szCs w:val="21"/>
                <w:color w:val="auto"/>
              </w:rPr>
            </w:pPr>
          </w:p>
        </w:tc>
        <w:tc>
          <w:tcPr>
            <w:tcW w:w="90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right w:val="single" w:sz="8" w:color="D6F3E8"/>
            </w:tcBorders>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2,400</w:t>
            </w:r>
          </w:p>
        </w:tc>
        <w:tc>
          <w:tcPr>
            <w:tcW w:w="340" w:type="dxa"/>
            <w:vAlign w:val="bottom"/>
            <w:shd w:val="clear" w:color="auto" w:fill="D6F3E8"/>
          </w:tcPr>
          <w:p>
            <w:pPr>
              <w:spacing w:after="0"/>
              <w:rPr>
                <w:sz w:val="21"/>
                <w:szCs w:val="21"/>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780" w:type="dxa"/>
            <w:vAlign w:val="bottom"/>
            <w:tcBorders>
              <w:bottom w:val="single" w:sz="8" w:color="D6F3E8"/>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32,446</w:t>
            </w:r>
          </w:p>
        </w:tc>
        <w:tc>
          <w:tcPr>
            <w:tcW w:w="360" w:type="dxa"/>
            <w:vAlign w:val="bottom"/>
            <w:tcBorders>
              <w:bottom w:val="single" w:sz="8" w:color="D6F3E8"/>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D6F3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29,207</w:t>
            </w:r>
          </w:p>
        </w:tc>
        <w:tc>
          <w:tcPr>
            <w:tcW w:w="340" w:type="dxa"/>
            <w:vAlign w:val="bottom"/>
            <w:tcBorders>
              <w:bottom w:val="single" w:sz="8" w:color="D6F3E8"/>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340" w:type="dxa"/>
            <w:vAlign w:val="bottom"/>
            <w:tcBorders>
              <w:bottom w:val="single" w:sz="8" w:color="D6F3E8"/>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6F3E8"/>
          </w:tcPr>
          <w:p>
            <w:pPr>
              <w:spacing w:after="0"/>
              <w:rPr>
                <w:sz w:val="20"/>
                <w:szCs w:val="20"/>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34,159</w:t>
            </w:r>
          </w:p>
        </w:tc>
        <w:tc>
          <w:tcPr>
            <w:tcW w:w="1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5.4</w:t>
            </w:r>
          </w:p>
        </w:tc>
        <w:tc>
          <w:tcPr>
            <w:tcW w:w="360" w:type="dxa"/>
            <w:vAlign w:val="bottom"/>
            <w:tcBorders>
              <w:right w:val="single" w:sz="8" w:color="D6F3E8"/>
            </w:tcBorders>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50,353</w:t>
            </w:r>
          </w:p>
        </w:tc>
        <w:tc>
          <w:tcPr>
            <w:tcW w:w="1580" w:type="dxa"/>
            <w:vAlign w:val="bottom"/>
            <w:tcBorders>
              <w:right w:val="single" w:sz="8" w:color="D6F3E8"/>
            </w:tcBorders>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(16,194)</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2"/>
        </w:trPr>
        <w:tc>
          <w:tcPr>
            <w:tcW w:w="3780" w:type="dxa"/>
            <w:vAlign w:val="bottom"/>
            <w:tcBorders>
              <w:bottom w:val="single" w:sz="8" w:color="D6F3E8"/>
            </w:tcBorders>
            <w:gridSpan w:val="2"/>
          </w:tcPr>
          <w:p>
            <w:pPr>
              <w:ind w:left="20"/>
              <w:spacing w:after="0"/>
              <w:rPr>
                <w:sz w:val="20"/>
                <w:szCs w:val="20"/>
                <w:color w:val="auto"/>
              </w:rPr>
            </w:pPr>
            <w:r>
              <w:rPr>
                <w:rFonts w:ascii="Arial" w:cs="Arial" w:eastAsia="Arial" w:hAnsi="Arial"/>
                <w:sz w:val="18"/>
                <w:szCs w:val="18"/>
                <w:color w:val="auto"/>
              </w:rPr>
              <w:t>Financial income</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360" w:type="dxa"/>
            <w:vAlign w:val="bottom"/>
            <w:tcBorders>
              <w:bottom w:val="single" w:sz="8" w:color="D6F3E8"/>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D6F3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340" w:type="dxa"/>
            <w:vAlign w:val="bottom"/>
            <w:tcBorders>
              <w:bottom w:val="single" w:sz="8" w:color="D6F3E8"/>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D6F3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340" w:type="dxa"/>
            <w:vAlign w:val="bottom"/>
            <w:tcBorders>
              <w:bottom w:val="single" w:sz="8" w:color="D6F3E8"/>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D6F3E8"/>
          </w:tcPr>
          <w:p>
            <w:pPr>
              <w:spacing w:after="0"/>
              <w:rPr>
                <w:sz w:val="20"/>
                <w:szCs w:val="20"/>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39,123</w:t>
            </w:r>
          </w:p>
        </w:tc>
        <w:tc>
          <w:tcPr>
            <w:tcW w:w="1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6.2</w:t>
            </w:r>
          </w:p>
        </w:tc>
        <w:tc>
          <w:tcPr>
            <w:tcW w:w="360" w:type="dxa"/>
            <w:vAlign w:val="bottom"/>
            <w:tcBorders>
              <w:right w:val="single" w:sz="8" w:color="D6F3E8"/>
            </w:tcBorders>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54,007</w:t>
            </w:r>
          </w:p>
        </w:tc>
        <w:tc>
          <w:tcPr>
            <w:tcW w:w="1580" w:type="dxa"/>
            <w:vAlign w:val="bottom"/>
            <w:tcBorders>
              <w:right w:val="single" w:sz="8" w:color="D6F3E8"/>
            </w:tcBorders>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(14,884)</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Provision for taxes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12,402</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18,580</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(6,178)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3440" w:type="dxa"/>
            <w:vAlign w:val="bottom"/>
            <w:shd w:val="clear" w:color="auto" w:fill="D6F3E8"/>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Borders>
              <w:right w:val="single" w:sz="8" w:color="D6F3E8"/>
            </w:tcBorders>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26,721</w:t>
            </w:r>
          </w:p>
        </w:tc>
        <w:tc>
          <w:tcPr>
            <w:tcW w:w="360" w:type="dxa"/>
            <w:vAlign w:val="bottom"/>
            <w:shd w:val="clear" w:color="auto" w:fill="D6F3E8"/>
          </w:tcPr>
          <w:p>
            <w:pPr>
              <w:spacing w:after="0"/>
              <w:rPr>
                <w:sz w:val="20"/>
                <w:szCs w:val="20"/>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w:t>
            </w:r>
          </w:p>
        </w:tc>
        <w:tc>
          <w:tcPr>
            <w:tcW w:w="5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35,427</w:t>
            </w:r>
          </w:p>
        </w:tc>
        <w:tc>
          <w:tcPr>
            <w:tcW w:w="1580" w:type="dxa"/>
            <w:vAlign w:val="bottom"/>
            <w:tcBorders>
              <w:right w:val="single" w:sz="8" w:color="D6F3E8"/>
            </w:tcBorders>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(8,706)</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3780" w:type="dxa"/>
            <w:vAlign w:val="bottom"/>
            <w:tcBorders>
              <w:top w:val="single" w:sz="8" w:color="D6F3E8"/>
              <w:bottom w:val="single" w:sz="8" w:color="D6F3E8"/>
            </w:tcBorders>
            <w:gridSpan w:val="2"/>
            <w:vMerge w:val="restart"/>
          </w:tcPr>
          <w:p>
            <w:pPr>
              <w:ind w:left="20"/>
              <w:spacing w:after="0"/>
              <w:rPr>
                <w:sz w:val="20"/>
                <w:szCs w:val="20"/>
                <w:color w:val="auto"/>
              </w:rPr>
            </w:pPr>
            <w:r>
              <w:rPr>
                <w:rFonts w:ascii="Arial" w:cs="Arial" w:eastAsia="Arial" w:hAnsi="Arial"/>
                <w:sz w:val="18"/>
                <w:szCs w:val="18"/>
                <w:color w:val="auto"/>
              </w:rPr>
              <w:t>Diluted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80" w:type="dxa"/>
            <w:vAlign w:val="bottom"/>
            <w:gridSpan w:val="2"/>
            <w:vMerge w:val="continue"/>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0.84</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344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D6F3E8"/>
            </w:tcBorders>
            <w:shd w:val="clear" w:color="auto" w:fill="D6F3E8"/>
          </w:tcPr>
          <w:p>
            <w:pPr>
              <w:spacing w:after="0" w:line="20" w:lineRule="exact"/>
              <w:rPr>
                <w:sz w:val="1"/>
                <w:szCs w:val="1"/>
                <w:color w:val="auto"/>
              </w:rPr>
            </w:pPr>
          </w:p>
        </w:tc>
        <w:tc>
          <w:tcPr>
            <w:tcW w:w="920" w:type="dxa"/>
            <w:vAlign w:val="bottom"/>
            <w:tcBorders>
              <w:top w:val="single" w:sz="8" w:color="D6F3E8"/>
            </w:tcBorders>
            <w:shd w:val="clear" w:color="auto" w:fill="D6F3E8"/>
          </w:tcPr>
          <w:p>
            <w:pPr>
              <w:spacing w:after="0" w:line="20" w:lineRule="exact"/>
              <w:rPr>
                <w:sz w:val="1"/>
                <w:szCs w:val="1"/>
                <w:color w:val="auto"/>
              </w:rPr>
            </w:pPr>
          </w:p>
        </w:tc>
        <w:tc>
          <w:tcPr>
            <w:tcW w:w="36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90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Fully diluted average shares outstanding</w:t>
            </w:r>
          </w:p>
        </w:tc>
        <w:tc>
          <w:tcPr>
            <w:tcW w:w="200" w:type="dxa"/>
            <w:vAlign w:val="bottom"/>
            <w:shd w:val="clear" w:color="auto" w:fill="D6F3E8"/>
          </w:tcPr>
          <w:p>
            <w:pPr>
              <w:spacing w:after="0"/>
              <w:rPr>
                <w:sz w:val="19"/>
                <w:szCs w:val="19"/>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31,697</w:t>
            </w:r>
          </w:p>
        </w:tc>
        <w:tc>
          <w:tcPr>
            <w:tcW w:w="360" w:type="dxa"/>
            <w:vAlign w:val="bottom"/>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360" w:type="dxa"/>
            <w:vAlign w:val="bottom"/>
            <w:tcBorders>
              <w:right w:val="single" w:sz="8" w:color="D6F3E8"/>
            </w:tcBorders>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32,937</w:t>
            </w:r>
          </w:p>
        </w:tc>
        <w:tc>
          <w:tcPr>
            <w:tcW w:w="340" w:type="dxa"/>
            <w:vAlign w:val="bottom"/>
            <w:tcBorders>
              <w:right w:val="single" w:sz="8" w:color="D6F3E8"/>
            </w:tcBorders>
            <w:shd w:val="clear" w:color="auto" w:fill="D6F3E8"/>
          </w:tcPr>
          <w:p>
            <w:pPr>
              <w:spacing w:after="0"/>
              <w:rPr>
                <w:sz w:val="19"/>
                <w:szCs w:val="19"/>
                <w:color w:val="auto"/>
              </w:rPr>
            </w:pPr>
          </w:p>
        </w:tc>
        <w:tc>
          <w:tcPr>
            <w:tcW w:w="900" w:type="dxa"/>
            <w:vAlign w:val="bottom"/>
            <w:tcBorders>
              <w:right w:val="single" w:sz="8" w:color="D6F3E8"/>
            </w:tcBorders>
            <w:shd w:val="clear" w:color="auto" w:fill="D6F3E8"/>
          </w:tcPr>
          <w:p>
            <w:pPr>
              <w:spacing w:after="0"/>
              <w:rPr>
                <w:sz w:val="19"/>
                <w:szCs w:val="19"/>
                <w:color w:val="auto"/>
              </w:rPr>
            </w:pPr>
          </w:p>
        </w:tc>
        <w:tc>
          <w:tcPr>
            <w:tcW w:w="340" w:type="dxa"/>
            <w:vAlign w:val="bottom"/>
            <w:tcBorders>
              <w:right w:val="single" w:sz="8" w:color="D6F3E8"/>
            </w:tcBorders>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(1,240)</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780" w:type="dxa"/>
            <w:vAlign w:val="bottom"/>
            <w:tcBorders>
              <w:top w:val="single" w:sz="8" w:color="D6F3E8"/>
              <w:bottom w:val="single" w:sz="8" w:color="D6F3E8"/>
            </w:tcBorders>
            <w:gridSpan w:val="2"/>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96"/>
              <w:spacing w:after="0" w:line="129" w:lineRule="exact"/>
              <w:rPr>
                <w:sz w:val="20"/>
                <w:szCs w:val="20"/>
                <w:color w:val="auto"/>
              </w:rPr>
            </w:pPr>
            <w:r>
              <w:rPr>
                <w:rFonts w:ascii="Arial" w:cs="Arial" w:eastAsia="Arial" w:hAnsi="Arial"/>
                <w:sz w:val="14"/>
                <w:szCs w:val="14"/>
                <w:b w:val="1"/>
                <w:bCs w:val="1"/>
                <w:color w:val="auto"/>
                <w:w w:val="90"/>
              </w:rPr>
              <w:t>May 26,</w:t>
            </w:r>
          </w:p>
        </w:tc>
        <w:tc>
          <w:tcPr>
            <w:tcW w:w="3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Product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17"/>
              <w:spacing w:after="0" w:line="129" w:lineRule="exact"/>
              <w:rPr>
                <w:sz w:val="20"/>
                <w:szCs w:val="20"/>
                <w:color w:val="auto"/>
              </w:rPr>
            </w:pPr>
            <w:r>
              <w:rPr>
                <w:rFonts w:ascii="Arial" w:cs="Arial" w:eastAsia="Arial" w:hAnsi="Arial"/>
                <w:sz w:val="14"/>
                <w:szCs w:val="14"/>
                <w:b w:val="1"/>
                <w:bCs w:val="1"/>
                <w:color w:val="auto"/>
                <w:w w:val="90"/>
              </w:rPr>
              <w:t>May 27,</w:t>
            </w:r>
          </w:p>
        </w:tc>
        <w:tc>
          <w:tcPr>
            <w:tcW w:w="340" w:type="dxa"/>
            <w:vAlign w:val="bottom"/>
          </w:tcPr>
          <w:p>
            <w:pPr>
              <w:spacing w:after="0"/>
              <w:rPr>
                <w:sz w:val="11"/>
                <w:szCs w:val="11"/>
                <w:color w:val="auto"/>
              </w:rPr>
            </w:pPr>
          </w:p>
        </w:tc>
        <w:tc>
          <w:tcPr>
            <w:tcW w:w="12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Product</w:t>
            </w:r>
          </w:p>
        </w:tc>
        <w:tc>
          <w:tcPr>
            <w:tcW w:w="140" w:type="dxa"/>
            <w:vAlign w:val="bottom"/>
          </w:tcPr>
          <w:p>
            <w:pPr>
              <w:spacing w:after="0"/>
              <w:rPr>
                <w:sz w:val="11"/>
                <w:szCs w:val="11"/>
                <w:color w:val="auto"/>
              </w:rPr>
            </w:pPr>
          </w:p>
        </w:tc>
        <w:tc>
          <w:tcPr>
            <w:tcW w:w="12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4"/>
              </w:rPr>
              <w:t>Increase</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Motor home unit deliveries:</w:t>
            </w:r>
          </w:p>
        </w:tc>
        <w:tc>
          <w:tcPr>
            <w:tcW w:w="200" w:type="dxa"/>
            <w:vAlign w:val="bottom"/>
          </w:tcPr>
          <w:p>
            <w:pPr>
              <w:spacing w:after="0"/>
              <w:rPr>
                <w:sz w:val="14"/>
                <w:szCs w:val="14"/>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Mix %</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17"/>
              <w:spacing w:after="0"/>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Mix %</w:t>
            </w:r>
          </w:p>
        </w:tc>
        <w:tc>
          <w:tcPr>
            <w:tcW w:w="14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Class A gas</w:t>
            </w:r>
          </w:p>
        </w:tc>
        <w:tc>
          <w:tcPr>
            <w:tcW w:w="3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2,562</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37.2</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2,341</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90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32.0</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8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2"/>
        </w:trPr>
        <w:tc>
          <w:tcPr>
            <w:tcW w:w="3780" w:type="dxa"/>
            <w:vAlign w:val="bottom"/>
            <w:tcBorders>
              <w:top w:val="single" w:sz="8" w:color="D6F3E8"/>
            </w:tcBorders>
            <w:gridSpan w:val="2"/>
            <w:shd w:val="clear" w:color="auto" w:fill="D6F3E8"/>
          </w:tcPr>
          <w:p>
            <w:pPr>
              <w:spacing w:after="0" w:line="205" w:lineRule="exact"/>
              <w:rPr>
                <w:sz w:val="20"/>
                <w:szCs w:val="20"/>
                <w:color w:val="auto"/>
              </w:rPr>
            </w:pPr>
            <w:r>
              <w:rPr>
                <w:rFonts w:ascii="Arial" w:cs="Arial" w:eastAsia="Arial" w:hAnsi="Arial"/>
                <w:sz w:val="18"/>
                <w:szCs w:val="18"/>
                <w:color w:val="auto"/>
              </w:rPr>
              <w:t>Total Class A</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3,730</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54.2</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3,575</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90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80" w:type="dxa"/>
            <w:vAlign w:val="bottom"/>
            <w:gridSpan w:val="2"/>
          </w:tcPr>
          <w:p>
            <w:pPr>
              <w:spacing w:after="0"/>
              <w:rPr>
                <w:sz w:val="20"/>
                <w:szCs w:val="20"/>
                <w:color w:val="auto"/>
              </w:rPr>
            </w:pPr>
            <w:r>
              <w:rPr>
                <w:rFonts w:ascii="Arial" w:cs="Arial" w:eastAsia="Arial" w:hAnsi="Arial"/>
                <w:sz w:val="18"/>
                <w:szCs w:val="18"/>
                <w:color w:val="auto"/>
              </w:rPr>
              <w:t>Class C</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3,151</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
        </w:trPr>
        <w:tc>
          <w:tcPr>
            <w:tcW w:w="3780" w:type="dxa"/>
            <w:vAlign w:val="bottom"/>
            <w:gridSpan w:val="2"/>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D6F3E8"/>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D6F3E8"/>
          </w:tcPr>
          <w:p>
            <w:pPr>
              <w:spacing w:after="0" w:line="20" w:lineRule="exact"/>
              <w:rPr>
                <w:sz w:val="1"/>
                <w:szCs w:val="1"/>
                <w:color w:val="auto"/>
              </w:rPr>
            </w:pPr>
          </w:p>
        </w:tc>
        <w:tc>
          <w:tcPr>
            <w:tcW w:w="900" w:type="dxa"/>
            <w:vAlign w:val="bottom"/>
            <w:tcBorders>
              <w:right w:val="single" w:sz="8" w:color="D6F3E8"/>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78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Total deliveries</w:t>
            </w:r>
          </w:p>
        </w:tc>
        <w:tc>
          <w:tcPr>
            <w:tcW w:w="200" w:type="dxa"/>
            <w:vAlign w:val="bottom"/>
            <w:shd w:val="clear" w:color="auto" w:fill="D6F3E8"/>
          </w:tcPr>
          <w:p>
            <w:pPr>
              <w:spacing w:after="0"/>
              <w:rPr>
                <w:sz w:val="21"/>
                <w:szCs w:val="21"/>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6,881</w:t>
            </w:r>
          </w:p>
        </w:tc>
        <w:tc>
          <w:tcPr>
            <w:tcW w:w="360" w:type="dxa"/>
            <w:vAlign w:val="bottom"/>
            <w:shd w:val="clear" w:color="auto" w:fill="D6F3E8"/>
          </w:tcPr>
          <w:p>
            <w:pPr>
              <w:spacing w:after="0"/>
              <w:rPr>
                <w:sz w:val="21"/>
                <w:szCs w:val="21"/>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right w:val="single" w:sz="8" w:color="D6F3E8"/>
            </w:tcBorders>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7,328</w:t>
            </w:r>
          </w:p>
        </w:tc>
        <w:tc>
          <w:tcPr>
            <w:tcW w:w="1240" w:type="dxa"/>
            <w:vAlign w:val="bottom"/>
            <w:tcBorders>
              <w:right w:val="single" w:sz="8" w:color="D6F3E8"/>
            </w:tcBorders>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right w:val="single" w:sz="8" w:color="D6F3E8"/>
            </w:tcBorders>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(447)</w:t>
            </w: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44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-488315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-488315</wp:posOffset>
            </wp:positionV>
            <wp:extent cx="2146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2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Net revenues for the nine months ended May 26, 2007 decreased $26.5 million, or 4.0 percent, primarily as a result of a 6.1 percent decrease in unit deliveries. Average selling prices of our units increased 2.3 percent when comparing the two nine-month periods. The selling price increase was due primarily to a shift in mix from Class C to Class A motor homes.</w:t>
      </w:r>
    </w:p>
    <w:p>
      <w:pPr>
        <w:spacing w:after="0" w:line="12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Gross profit margin decreased $13.0 million, from 12.1 percent for the nine months ended May 27, 2006 to 10.5 percent for the nine months ended May 26, 2007. The deterioration of margin was primarily due to lower volume resulting in increased fixed costs per unit of production. Also contributing to the reduced margins were an increase in the mix of lower-margin motor homes in the Class A and Class C categories, higher health care costs and higher material costs.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expenses increased $839,000, or 6.1 percent, for the nine months ended May 26, 2007. As a percent of net revenues, selling expenses were 2.3 percent and 2.1 percent for the nine months ended May 26, 2007 and May 27, 2006, respectively. The increases were due primarily to the acceleration of our Dealer Days event from the fourth quarter to the third quarter.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General and administrative expenses increased $2.4 million, or 15.5 percent, for the nine months ended May 26, 2007. As a percent of net revenues, general and administrative expenses were 2.8 percent and 2.4 percent for the nine months ended May 26, 2007 and May 27, 2006, respectively. The increase in dollars was due primarily to increased bonus expense of $1.0 million due to the Company achieving a portion of its compensation objectives and to stock-based compensation expense of $636,000 as a result of accelerated vesting due to an increase in retirement eligible employees.</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Financial income increased $1.3 million, or 35.9 percent, for the nine months ended May 26, 2007. The increase in financial income was due to a higher average interest rate earned on investments.</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overall effective income tax rate decreased to 31.7 percent for the nine months ended May 26, 2007 from 34.4 percent for the nine months ended May 27, 2006. The decrease was a result of an increase in tax-free and dividend income and stock option tax benefits due to a larger deduction for tax purposes than book purposes related to the exercise of stock options.</w:t>
      </w:r>
    </w:p>
    <w:p>
      <w:pPr>
        <w:spacing w:after="0" w:line="12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Net income decreased by 24.6 percent and income per diluted share decreased by 22.2 percent when comparing the nine months ended May 26, 2007 to the nine months ended May 27, 2006. The smaller percentage decrease in income per diluted share was due primarily to a lower number of shares of common stock outstanding during the nine months ended May 26, 2007, as a result of more shares of common stock repurchased by the Company during Fiscal 2006.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recent fiscal periods, we have generated substantial cash from operations, which has enabled us to meet our working capital needs and make appropriate investments in manufacturing equipment and facilities, as well as pay increased cash dividends and repurchase stock. Cash and cash equivalents totaled $11.9 million and $24.9 million as of May 26, 2007 and August 26, 2006, respectively. Short-term investments, consisting primarily of highly liquid investments, were $145.0 million and $130.0 million as of May 26, 2007 and August 26, 2006, respectively. Working capital at May 26, 2007 and August 26, 2006 was $201.4 million and $187.0 million, respectively, an increase of $14.4 million. We have no long-term debt. We currently expect our cash on hand and funds generated from operations to be sufficient to cover both short- and long-term operating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6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Cash provided by operating activities was $25.1 million and $89.6 million for the nine months ended May 26, 2007 and May 27, 2006, respectively. Significant reductions in inventory and receivables of $48.5 million for the nine months ended May 27, 2006 were the primary reasons for the $89.6 million of cash provided</w:t>
      </w:r>
    </w:p>
    <w:p>
      <w:pPr>
        <w:sectPr>
          <w:pgSz w:w="11900" w:h="16885" w:orient="portrait"/>
          <w:cols w:equalWidth="0" w:num="1">
            <w:col w:w="11420"/>
          </w:cols>
          <w:pgMar w:left="240" w:top="131" w:right="239" w:bottom="0" w:gutter="0" w:footer="0" w:header="0"/>
        </w:sectPr>
      </w:pPr>
    </w:p>
    <w:bookmarkStart w:id="11" w:name="page12"/>
    <w:bookmarkEnd w:id="11"/>
    <w:p>
      <w:pPr>
        <w:jc w:val="both"/>
        <w:ind w:right="540"/>
        <w:spacing w:after="0" w:line="259" w:lineRule="auto"/>
        <w:rPr>
          <w:sz w:val="20"/>
          <w:szCs w:val="20"/>
          <w:color w:val="auto"/>
        </w:rPr>
      </w:pPr>
      <w:r>
        <w:rPr>
          <w:rFonts w:ascii="Arial" w:cs="Arial" w:eastAsia="Arial" w:hAnsi="Arial"/>
          <w:sz w:val="18"/>
          <w:szCs w:val="18"/>
          <w:color w:val="auto"/>
        </w:rPr>
        <w:t>by operating activities. Conversely, for the nine months ended May 26, 2007, inventory and accounts receivables levels increased $15.2 million. This was partially offset by an increase in accounts payable and accrued expenses of $8.4 million in the nine months ended May 26, 2007 versus a decrease of $11.7 million during the comparable period of Fiscal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primary uses of cash for investing activities were for manufacturing equipment and facilities purchases of $3.7 million during the nine months ended May 26, 2007 compared to $3.2 million for the nine months ended May 27, 2006. We purchased $238.6 million of short-term investments and received proceeds of $223.6 million from the sale or maturity of short-term investments during the nine months ended May 26, 2007. During the nine months ended May 27, 2006, we purchased $150.5 million of short-term investments and received proceeds of $118.6 million from the sale or maturity of short-term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Cash used in financing activities for the nine months ended May 26, 2007 was $20.4 million compared to $58.9 million for the nine months ended May 27, 2006. The Company used cash of $20.5 million during the nine months ended May 26, 2007 and $51.6 million during the nine months ended May 27, 2006 for the repurchase of our common stock. Payments of cash dividends of $9.4 million for the nine months ended May 26, 2007 and $8.9 million for the nine months ended May 27, 2006 were made. We received proceeds from the exercise of stock options of $7.6 million and $1.2 million for the nine months ended May 26, 2007 and May 27, 2006, respectively. (See Unaudited Condensed Consolidated Statements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April 12, 2006, the Board of Directors authorized the repurchase of outstanding shares of the Company’s common stock, depending on market conditions, for an aggregate consideration of up to $50 million. During the third quarter of Fiscal 2007, approximately 628,000 shares were repurchased under this authorization for $20.5 million. (See Part II, Item 2 on page 17.) Repurchases of up to $1.7 million of our outstanding shares of common stock remain available under this authorization.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third quarter and first nine months of Fiscal 2006, we repurchased approximately 1.5 million and approximately 1.8 million shares, respectively, of our common stock for $43.3 million and $51.6 million, respectively.</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Estimated uses, at May 26, 2007, of our liquid assets for the remainder of Fiscal 2007 include $3.2 million for payments of cash dividends and approximately $1 to $2 million for capital expenditures.</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May 26, 2007, we have cash and cash equivalents of $11.9 million and an investment portfolio of available-for-sale securities of $145.0 million. Taking into account the credit risk criteria of our investment policy, the primary market risk associated with these investments is interest rate risk and a decline in value if market interest rates increase. However, we have the ability to hold our fixed income investments until maturity or for the typical Dutch auction period (an average of 64 days) and based upon historical experience, we do not believe there are significant risks of a failed Dutch auction. Therefore, we do not expect to recognize a material adverse impact on income or cash flows in the event of a decline in value due to an increase in market interest rates.</w:t>
      </w:r>
    </w:p>
    <w:p>
      <w:pPr>
        <w:spacing w:after="0" w:line="151"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Securities and Exchange Commission’s (SEC) rules and forms.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 over financial reporting was effective as of May 26, 2007. During our assessment, we did not identify any material weaknesses in our internal control over financial reporting.</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connection with the evaluation of internal control over financial reporting described above, no changes in our internal control over financing reporting were identified that have materially affected, or are reasonably likely to materially affect, our internal control over financial reporting.</w:t>
      </w:r>
    </w:p>
    <w:p>
      <w:pPr>
        <w:sectPr>
          <w:pgSz w:w="11900" w:h="16838" w:orient="portrait"/>
          <w:cols w:equalWidth="0" w:num="1">
            <w:col w:w="11420"/>
          </w:cols>
          <w:pgMar w:left="240" w:top="131" w:right="239" w:bottom="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 w:right="239" w:bottom="0" w:gutter="0" w:footer="0" w:header="0"/>
          <w:type w:val="continuous"/>
        </w:sectPr>
      </w:pPr>
    </w:p>
    <w:bookmarkStart w:id="12" w:name="page13"/>
    <w:bookmarkEnd w:id="1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Winnebago Industries, Inc. and subsidiaries (the “Corporation”) as of May 26, 2007, and the related condensed consolidated statements of income for the three months ended and nine months ended May 26, 2007 and May 27, 2006, and of cash flows for the nine-month periods ended May 26, 2007, and May 27, 2006. These interim financial statements are the responsibility of the Corporation’s management.</w:t>
      </w:r>
    </w:p>
    <w:p>
      <w:pPr>
        <w:spacing w:after="0" w:line="19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Winnebago Industries, Inc. and subsidiaries as of August 26, 2006, and the related consolidated statements of income, stockholders’ equity, and cash flows for the year then ended (not presented herein); and in our report dated November 9, 2006, we expressed an unqualified opinion on those consolidated financial statements. In our opinion, the information set forth in the accompanying condensed consolidated balance sheet as of August 26, 2006,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PART II</w:t>
        <w:tab/>
        <w:t>OTHER INFORMATION</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left="980" w:right="20"/>
        <w:spacing w:after="0" w:line="291" w:lineRule="auto"/>
        <w:rPr>
          <w:sz w:val="20"/>
          <w:szCs w:val="20"/>
          <w:color w:val="auto"/>
        </w:rPr>
      </w:pPr>
      <w:r>
        <w:rPr>
          <w:rFonts w:ascii="Arial" w:cs="Arial" w:eastAsia="Arial" w:hAnsi="Arial"/>
          <w:sz w:val="16"/>
          <w:szCs w:val="16"/>
          <w:color w:val="auto"/>
        </w:rPr>
        <w:t>We are regularly involved in legal proceedings in the ordinary course of business, some of which are covered in part by insurance. We prepare cost estimates of pending litigation based on historical experience, the professional judgment of our legal counsel, and other assumptions that we believe to be reasonable. Due to the uncertainties related to the outcome of the litigation and range of loss on certain cases, we occasionally are unable to make a reasonable estimate of the liability that could result from an unfavorable outcome. As additional information becomes available, we reassess the potential liability related to pending litigation and revise the related estimates. Such revisions and any actual liability that greatly exceed our estimates could materially adversely impact our results of operations and financial condition.</w:t>
      </w:r>
    </w:p>
    <w:p>
      <w:pPr>
        <w:spacing w:after="0" w:line="155"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25" w:lineRule="exact"/>
        <w:rPr>
          <w:sz w:val="20"/>
          <w:szCs w:val="20"/>
          <w:color w:val="auto"/>
        </w:rPr>
      </w:pPr>
    </w:p>
    <w:p>
      <w:pPr>
        <w:ind w:left="980" w:right="80"/>
        <w:spacing w:after="0" w:line="255" w:lineRule="auto"/>
        <w:rPr>
          <w:sz w:val="20"/>
          <w:szCs w:val="20"/>
          <w:color w:val="auto"/>
        </w:rPr>
      </w:pPr>
      <w:r>
        <w:rPr>
          <w:rFonts w:ascii="Arial" w:cs="Arial" w:eastAsia="Arial" w:hAnsi="Arial"/>
          <w:sz w:val="18"/>
          <w:szCs w:val="18"/>
          <w:color w:val="auto"/>
        </w:rPr>
        <w:t>On April 12, 2006, the Board of Directors authorized the repurchase of outstanding shares of our common stock, depending on market conditions, for an aggregate consideration of up to $50 million. There is no time restriction on this authorization. As of May 26, 2007, 1.6 million shares had been repurchased for an aggregate consideration of approximately $48.3 million. On June 20, 2007, the Board of Directors authorized the repurchase of outstanding shares of our common stock, depending on market conditions, for an aggregate consideration of up to $60 million. There is no time restriction on this authorization.</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third quarter of</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Fiscal 2007:</w:t>
      </w:r>
    </w:p>
    <w:p>
      <w:pPr>
        <w:sectPr>
          <w:pgSz w:w="11900" w:h="16897" w:orient="portrait"/>
          <w:cols w:equalWidth="0" w:num="1">
            <w:col w:w="11400"/>
          </w:cols>
          <w:pgMar w:left="240" w:top="739"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Period</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02/25/07 – 03/31/07</w:t>
      </w:r>
    </w:p>
    <w:p>
      <w:pPr>
        <w:spacing w:after="0" w:line="4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04/01/07 – 04/28/07</w:t>
      </w:r>
    </w:p>
    <w:p>
      <w:pPr>
        <w:spacing w:after="0" w:line="7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04/29/07 – 05/26/07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jc w:val="center"/>
              <w:ind w:right="65"/>
              <w:spacing w:after="0"/>
              <w:rPr>
                <w:sz w:val="20"/>
                <w:szCs w:val="20"/>
                <w:color w:val="auto"/>
              </w:rPr>
            </w:pPr>
            <w:r>
              <w:rPr>
                <w:rFonts w:ascii="Arial" w:cs="Arial" w:eastAsia="Arial" w:hAnsi="Arial"/>
                <w:sz w:val="14"/>
                <w:szCs w:val="14"/>
                <w:b w:val="1"/>
                <w:bCs w:val="1"/>
                <w:color w:val="auto"/>
                <w:w w:val="91"/>
              </w:rPr>
              <w:t>Maximum Number (or</w:t>
            </w: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Number of Share</w:t>
            </w:r>
            <w:r>
              <w:rPr>
                <w:rFonts w:ascii="Arial" w:cs="Arial" w:eastAsia="Arial" w:hAnsi="Arial"/>
                <w:sz w:val="14"/>
                <w:szCs w:val="14"/>
                <w:color w:val="auto"/>
                <w:w w:val="86"/>
              </w:rPr>
              <w:t>s</w:t>
            </w:r>
          </w:p>
        </w:tc>
        <w:tc>
          <w:tcPr>
            <w:tcW w:w="160" w:type="dxa"/>
            <w:vAlign w:val="bottom"/>
          </w:tcPr>
          <w:p>
            <w:pPr>
              <w:spacing w:after="0"/>
              <w:rPr>
                <w:sz w:val="12"/>
                <w:szCs w:val="12"/>
                <w:color w:val="auto"/>
              </w:rPr>
            </w:pPr>
          </w:p>
        </w:tc>
        <w:tc>
          <w:tcPr>
            <w:tcW w:w="18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0"/>
              </w:rPr>
              <w:t>Approximate Dollar Value)</w:t>
            </w:r>
          </w:p>
        </w:tc>
      </w:tr>
      <w:tr>
        <w:trPr>
          <w:trHeight w:val="149"/>
        </w:trPr>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4"/>
              </w:rPr>
              <w:t>Purchased as Part of</w:t>
            </w:r>
          </w:p>
        </w:tc>
        <w:tc>
          <w:tcPr>
            <w:tcW w:w="160" w:type="dxa"/>
            <w:vAlign w:val="bottom"/>
          </w:tcPr>
          <w:p>
            <w:pPr>
              <w:spacing w:after="0"/>
              <w:rPr>
                <w:sz w:val="12"/>
                <w:szCs w:val="12"/>
                <w:color w:val="auto"/>
              </w:rPr>
            </w:pPr>
          </w:p>
        </w:tc>
        <w:tc>
          <w:tcPr>
            <w:tcW w:w="18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87"/>
              </w:rPr>
              <w:t>of Shares That May Yet Be</w:t>
            </w:r>
          </w:p>
        </w:tc>
      </w:tr>
      <w:tr>
        <w:trPr>
          <w:trHeight w:val="149"/>
        </w:trPr>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Average Price</w:t>
            </w:r>
          </w:p>
        </w:tc>
        <w:tc>
          <w:tcPr>
            <w:tcW w:w="1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Publicly Announced Plans</w:t>
            </w:r>
          </w:p>
        </w:tc>
        <w:tc>
          <w:tcPr>
            <w:tcW w:w="160" w:type="dxa"/>
            <w:vAlign w:val="bottom"/>
          </w:tcPr>
          <w:p>
            <w:pPr>
              <w:spacing w:after="0"/>
              <w:rPr>
                <w:sz w:val="12"/>
                <w:szCs w:val="12"/>
                <w:color w:val="auto"/>
              </w:rPr>
            </w:pPr>
          </w:p>
        </w:tc>
        <w:tc>
          <w:tcPr>
            <w:tcW w:w="18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86"/>
              </w:rPr>
              <w:t>Purchased Under the Plans</w:t>
            </w:r>
          </w:p>
        </w:tc>
      </w:tr>
      <w:tr>
        <w:trPr>
          <w:trHeight w:val="161"/>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Paid per Share</w:t>
            </w:r>
          </w:p>
        </w:tc>
        <w:tc>
          <w:tcPr>
            <w:tcW w:w="3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8"/>
              </w:rPr>
              <w:t>or Programs</w:t>
            </w:r>
          </w:p>
        </w:tc>
      </w:tr>
      <w:tr>
        <w:trPr>
          <w:trHeight w:val="221"/>
        </w:trPr>
        <w:tc>
          <w:tcPr>
            <w:tcW w:w="1620" w:type="dxa"/>
            <w:vAlign w:val="bottom"/>
          </w:tcPr>
          <w:p>
            <w:pPr>
              <w:jc w:val="right"/>
              <w:spacing w:after="0"/>
              <w:rPr>
                <w:sz w:val="20"/>
                <w:szCs w:val="20"/>
                <w:color w:val="auto"/>
              </w:rPr>
            </w:pPr>
            <w:r>
              <w:rPr>
                <w:rFonts w:ascii="Arial" w:cs="Arial" w:eastAsia="Arial" w:hAnsi="Arial"/>
                <w:sz w:val="18"/>
                <w:szCs w:val="18"/>
                <w:color w:val="auto"/>
              </w:rPr>
              <w:t>— —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 — —</w:t>
            </w: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 —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22,197,500</w:t>
            </w:r>
          </w:p>
        </w:tc>
      </w:tr>
      <w:tr>
        <w:trPr>
          <w:trHeight w:val="230"/>
        </w:trPr>
        <w:tc>
          <w:tcPr>
            <w:tcW w:w="1620" w:type="dxa"/>
            <w:vAlign w:val="bottom"/>
          </w:tcPr>
          <w:p>
            <w:pPr>
              <w:jc w:val="right"/>
              <w:spacing w:after="0"/>
              <w:rPr>
                <w:sz w:val="20"/>
                <w:szCs w:val="20"/>
                <w:color w:val="auto"/>
              </w:rPr>
            </w:pPr>
            <w:r>
              <w:rPr>
                <w:rFonts w:ascii="Arial" w:cs="Arial" w:eastAsia="Arial" w:hAnsi="Arial"/>
                <w:sz w:val="18"/>
                <w:szCs w:val="18"/>
                <w:color w:val="auto"/>
              </w:rPr>
              <w:t>— —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 — —</w:t>
            </w: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 —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22,197,500</w:t>
            </w:r>
          </w:p>
        </w:tc>
      </w:tr>
      <w:tr>
        <w:trPr>
          <w:trHeight w:val="244"/>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627,900</w:t>
            </w:r>
          </w:p>
        </w:tc>
        <w:tc>
          <w:tcPr>
            <w:tcW w:w="340" w:type="dxa"/>
            <w:vAlign w:val="bottom"/>
          </w:tcPr>
          <w:p>
            <w:pPr>
              <w:spacing w:after="0"/>
              <w:rPr>
                <w:sz w:val="21"/>
                <w:szCs w:val="21"/>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3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627,900</w:t>
            </w:r>
          </w:p>
        </w:tc>
        <w:tc>
          <w:tcPr>
            <w:tcW w:w="3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-162560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-462280</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97" w:orient="portrait"/>
          <w:cols w:equalWidth="0" w:num="2">
            <w:col w:w="2620" w:space="720"/>
            <w:col w:w="8060"/>
          </w:cols>
          <w:pgMar w:left="240" w:top="739" w:right="259" w:bottom="0" w:gutter="0" w:footer="0" w:header="0"/>
          <w:type w:val="continuous"/>
        </w:sectPr>
      </w:pPr>
    </w:p>
    <w:bookmarkStart w:id="13" w:name="page14"/>
    <w:bookmarkEnd w:id="13"/>
    <w:p>
      <w:pPr>
        <w:jc w:val="both"/>
        <w:ind w:left="1320"/>
        <w:spacing w:after="0"/>
        <w:tabs>
          <w:tab w:leader="none" w:pos="4380" w:val="left"/>
          <w:tab w:leader="none" w:pos="5280" w:val="left"/>
          <w:tab w:leader="none" w:pos="6620" w:val="left"/>
          <w:tab w:leader="none" w:pos="8400" w:val="left"/>
          <w:tab w:leader="none" w:pos="9300" w:val="left"/>
          <w:tab w:leader="none" w:pos="105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627,900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32.71</w:t>
      </w:r>
      <w:r>
        <w:rPr>
          <w:sz w:val="20"/>
          <w:szCs w:val="20"/>
          <w:color w:val="auto"/>
        </w:rPr>
        <w:tab/>
      </w:r>
      <w:r>
        <w:rPr>
          <w:rFonts w:ascii="Arial" w:cs="Arial" w:eastAsia="Arial" w:hAnsi="Arial"/>
          <w:sz w:val="18"/>
          <w:szCs w:val="18"/>
          <w:color w:val="auto"/>
        </w:rPr>
        <w:t>627,900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1,657,300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-125730</wp:posOffset>
            </wp:positionV>
            <wp:extent cx="505142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51425" cy="171450"/>
                    </a:xfrm>
                    <a:prstGeom prst="rect">
                      <a:avLst/>
                    </a:prstGeom>
                    <a:noFill/>
                  </pic:spPr>
                </pic:pic>
              </a:graphicData>
            </a:graphic>
          </wp:anchor>
        </w:drawing>
      </w:r>
    </w:p>
    <w:p>
      <w:pPr>
        <w:spacing w:after="0" w:line="24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(a)Exhibits - See Exhibit Index on page 19.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WINNEBAGO INDUSTRIES, INC.</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ind w:left="208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667"/>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gridSpan w:val="2"/>
            <w:vMerge w:val="restart"/>
          </w:tcPr>
          <w:p>
            <w:pPr>
              <w:ind w:left="780"/>
              <w:spacing w:after="0"/>
              <w:rPr>
                <w:sz w:val="20"/>
                <w:szCs w:val="20"/>
                <w:color w:val="auto"/>
              </w:rPr>
            </w:pPr>
            <w:r>
              <w:rPr>
                <w:rFonts w:ascii="Arial" w:cs="Arial" w:eastAsia="Arial" w:hAnsi="Arial"/>
                <w:sz w:val="18"/>
                <w:szCs w:val="18"/>
                <w:color w:val="auto"/>
              </w:rPr>
              <w:t>June 29, 2007</w:t>
            </w:r>
          </w:p>
        </w:tc>
        <w:tc>
          <w:tcPr>
            <w:tcW w:w="5020" w:type="dxa"/>
            <w:vAlign w:val="bottom"/>
          </w:tcPr>
          <w:p>
            <w:pPr>
              <w:ind w:left="100"/>
              <w:spacing w:after="0"/>
              <w:rPr>
                <w:sz w:val="20"/>
                <w:szCs w:val="20"/>
                <w:color w:val="auto"/>
              </w:rPr>
            </w:pPr>
            <w:r>
              <w:rPr>
                <w:rFonts w:ascii="Arial" w:cs="Arial" w:eastAsia="Arial" w:hAnsi="Arial"/>
                <w:sz w:val="18"/>
                <w:szCs w:val="18"/>
                <w:color w:val="auto"/>
              </w:rPr>
              <w:t>/s/ Bruce D. Hertzke</w:t>
            </w:r>
          </w:p>
        </w:tc>
        <w:tc>
          <w:tcPr>
            <w:tcW w:w="0" w:type="dxa"/>
            <w:vAlign w:val="bottom"/>
          </w:tcPr>
          <w:p>
            <w:pPr>
              <w:spacing w:after="0"/>
              <w:rPr>
                <w:sz w:val="1"/>
                <w:szCs w:val="1"/>
                <w:color w:val="auto"/>
              </w:rPr>
            </w:pPr>
          </w:p>
        </w:tc>
      </w:tr>
      <w:tr>
        <w:trPr>
          <w:trHeight w:val="82"/>
        </w:trPr>
        <w:tc>
          <w:tcPr>
            <w:tcW w:w="780" w:type="dxa"/>
            <w:vAlign w:val="bottom"/>
          </w:tcPr>
          <w:p>
            <w:pPr>
              <w:spacing w:after="0"/>
              <w:rPr>
                <w:sz w:val="7"/>
                <w:szCs w:val="7"/>
                <w:color w:val="auto"/>
              </w:rPr>
            </w:pPr>
          </w:p>
        </w:tc>
        <w:tc>
          <w:tcPr>
            <w:tcW w:w="4940" w:type="dxa"/>
            <w:vAlign w:val="bottom"/>
            <w:gridSpan w:val="2"/>
            <w:vMerge w:val="continue"/>
          </w:tcPr>
          <w:p>
            <w:pPr>
              <w:spacing w:after="0"/>
              <w:rPr>
                <w:sz w:val="7"/>
                <w:szCs w:val="7"/>
                <w:color w:val="auto"/>
              </w:rPr>
            </w:pPr>
          </w:p>
        </w:tc>
        <w:tc>
          <w:tcPr>
            <w:tcW w:w="5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Bruce D. Hertzke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675"/>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gridSpan w:val="2"/>
            <w:vMerge w:val="restart"/>
          </w:tcPr>
          <w:p>
            <w:pPr>
              <w:ind w:left="780"/>
              <w:spacing w:after="0"/>
              <w:rPr>
                <w:sz w:val="20"/>
                <w:szCs w:val="20"/>
                <w:color w:val="auto"/>
              </w:rPr>
            </w:pPr>
            <w:r>
              <w:rPr>
                <w:rFonts w:ascii="Arial" w:cs="Arial" w:eastAsia="Arial" w:hAnsi="Arial"/>
                <w:sz w:val="18"/>
                <w:szCs w:val="18"/>
                <w:color w:val="auto"/>
              </w:rPr>
              <w:t>June 29, 2007</w:t>
            </w:r>
          </w:p>
        </w:tc>
        <w:tc>
          <w:tcPr>
            <w:tcW w:w="5020" w:type="dxa"/>
            <w:vAlign w:val="bottom"/>
            <w:vMerge w:val="restart"/>
          </w:tcPr>
          <w:p>
            <w:pPr>
              <w:ind w:left="100"/>
              <w:spacing w:after="0"/>
              <w:rPr>
                <w:sz w:val="20"/>
                <w:szCs w:val="20"/>
                <w:color w:val="auto"/>
              </w:rPr>
            </w:pPr>
            <w:r>
              <w:rPr>
                <w:rFonts w:ascii="Arial" w:cs="Arial" w:eastAsia="Arial" w:hAnsi="Arial"/>
                <w:sz w:val="18"/>
                <w:szCs w:val="18"/>
                <w:color w:val="auto"/>
              </w:rPr>
              <w:t>/s/ Sarah N. Nielsen</w:t>
            </w:r>
          </w:p>
        </w:tc>
        <w:tc>
          <w:tcPr>
            <w:tcW w:w="0" w:type="dxa"/>
            <w:vAlign w:val="bottom"/>
          </w:tcPr>
          <w:p>
            <w:pPr>
              <w:spacing w:after="0"/>
              <w:rPr>
                <w:sz w:val="1"/>
                <w:szCs w:val="1"/>
                <w:color w:val="auto"/>
              </w:rPr>
            </w:pPr>
          </w:p>
        </w:tc>
      </w:tr>
      <w:tr>
        <w:trPr>
          <w:trHeight w:val="82"/>
        </w:trPr>
        <w:tc>
          <w:tcPr>
            <w:tcW w:w="780" w:type="dxa"/>
            <w:vAlign w:val="bottom"/>
          </w:tcPr>
          <w:p>
            <w:pPr>
              <w:spacing w:after="0"/>
              <w:rPr>
                <w:sz w:val="7"/>
                <w:szCs w:val="7"/>
                <w:color w:val="auto"/>
              </w:rPr>
            </w:pPr>
          </w:p>
        </w:tc>
        <w:tc>
          <w:tcPr>
            <w:tcW w:w="4940" w:type="dxa"/>
            <w:vAlign w:val="bottom"/>
            <w:gridSpan w:val="2"/>
            <w:vMerge w:val="continue"/>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Exhibit Index</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10z.</w:t>
      </w:r>
      <w:r>
        <w:rPr>
          <w:sz w:val="20"/>
          <w:szCs w:val="20"/>
          <w:color w:val="auto"/>
        </w:rPr>
        <w:tab/>
      </w:r>
      <w:r>
        <w:rPr>
          <w:rFonts w:ascii="Arial" w:cs="Arial" w:eastAsia="Arial" w:hAnsi="Arial"/>
          <w:sz w:val="18"/>
          <w:szCs w:val="18"/>
          <w:color w:val="auto"/>
        </w:rPr>
        <w:t>Executive Change of Control Agreement dated March 21, 2007 between Winnebago Industries, Inc. and Randy J. Potts.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ind w:left="660" w:right="2920" w:hanging="647"/>
        <w:spacing w:after="0" w:line="268"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by the Chief Executive Officer pursuant to Section 302 of the Sarbanes-Oxley Act of 2002 dated June 29, 2007.</w:t>
      </w:r>
    </w:p>
    <w:p>
      <w:pPr>
        <w:spacing w:after="0" w:line="186" w:lineRule="exact"/>
        <w:rPr>
          <w:sz w:val="20"/>
          <w:szCs w:val="20"/>
          <w:color w:val="auto"/>
        </w:rPr>
      </w:pPr>
    </w:p>
    <w:p>
      <w:pPr>
        <w:ind w:left="660" w:right="2980" w:hanging="647"/>
        <w:spacing w:after="0" w:line="268"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by the Chief Financial Officer pursuant to Section 302 of the Sarbanes-Oxley Act of 2002 dated June 29, 2007.</w:t>
      </w:r>
    </w:p>
    <w:p>
      <w:pPr>
        <w:spacing w:after="0" w:line="186" w:lineRule="exact"/>
        <w:rPr>
          <w:sz w:val="20"/>
          <w:szCs w:val="20"/>
          <w:color w:val="auto"/>
        </w:rPr>
      </w:pPr>
    </w:p>
    <w:p>
      <w:pPr>
        <w:ind w:left="660" w:right="300" w:hanging="647"/>
        <w:spacing w:after="0" w:line="268" w:lineRule="auto"/>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June 29, 2007.</w:t>
      </w:r>
    </w:p>
    <w:p>
      <w:pPr>
        <w:spacing w:after="0" w:line="186" w:lineRule="exact"/>
        <w:rPr>
          <w:sz w:val="20"/>
          <w:szCs w:val="20"/>
          <w:color w:val="auto"/>
        </w:rPr>
      </w:pPr>
    </w:p>
    <w:p>
      <w:pPr>
        <w:ind w:left="660" w:right="340" w:hanging="647"/>
        <w:spacing w:after="0" w:line="268" w:lineRule="auto"/>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Section 1350, as adopted pursuant to Section 906 of the Sarbanes-Oxley Act of 2002 dated June 29, 2007.</w:t>
      </w:r>
    </w:p>
    <w:p>
      <w:pPr>
        <w:sectPr>
          <w:pgSz w:w="11900" w:h="16838" w:orient="portrait"/>
          <w:cols w:equalWidth="0" w:num="1">
            <w:col w:w="11300"/>
          </w:cols>
          <w:pgMar w:left="240" w:top="131" w:right="359" w:bottom="4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131" w:right="359" w:bottom="441"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EXHIBIT 10z.</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CHANGE OF CONTROL AGREEMENT</w:t>
      </w:r>
    </w:p>
    <w:p>
      <w:pPr>
        <w:spacing w:after="0" w:line="225" w:lineRule="exact"/>
        <w:rPr>
          <w:sz w:val="20"/>
          <w:szCs w:val="20"/>
          <w:color w:val="auto"/>
        </w:rPr>
      </w:pPr>
    </w:p>
    <w:p>
      <w:pPr>
        <w:ind w:right="20" w:firstLine="815"/>
        <w:spacing w:after="0" w:line="275" w:lineRule="auto"/>
        <w:rPr>
          <w:sz w:val="20"/>
          <w:szCs w:val="20"/>
          <w:color w:val="auto"/>
        </w:rPr>
      </w:pPr>
      <w:r>
        <w:rPr>
          <w:rFonts w:ascii="Arial" w:cs="Arial" w:eastAsia="Arial" w:hAnsi="Arial"/>
          <w:sz w:val="18"/>
          <w:szCs w:val="18"/>
          <w:color w:val="auto"/>
        </w:rPr>
        <w:t xml:space="preserve">This EXECUTIVE CHANGE OF CONTROL AGREEMENT is made as of March 21, 2007, by and between </w:t>
      </w:r>
      <w:r>
        <w:rPr>
          <w:rFonts w:ascii="Arial" w:cs="Arial" w:eastAsia="Arial" w:hAnsi="Arial"/>
          <w:sz w:val="18"/>
          <w:szCs w:val="18"/>
          <w:b w:val="1"/>
          <w:bCs w:val="1"/>
          <w:color w:val="auto"/>
        </w:rPr>
        <w:t>WINNEBAGO INDUSTRIES, INC.</w:t>
      </w:r>
      <w:r>
        <w:rPr>
          <w:rFonts w:ascii="Arial" w:cs="Arial" w:eastAsia="Arial" w:hAnsi="Arial"/>
          <w:sz w:val="18"/>
          <w:szCs w:val="18"/>
          <w:color w:val="auto"/>
        </w:rPr>
        <w:t>, an Iowa corporation (the “Company”), and Randy J. Potts (the “Executive”).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 :</w:t>
      </w:r>
    </w:p>
    <w:p>
      <w:pPr>
        <w:spacing w:after="0" w:line="225" w:lineRule="exact"/>
        <w:rPr>
          <w:sz w:val="20"/>
          <w:szCs w:val="20"/>
          <w:color w:val="auto"/>
        </w:rPr>
      </w:pPr>
    </w:p>
    <w:p>
      <w:pPr>
        <w:ind w:firstLine="815"/>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profitability, growth and financial strength of the Company;</w:t>
      </w:r>
    </w:p>
    <w:p>
      <w:pPr>
        <w:spacing w:after="0" w:line="174" w:lineRule="exact"/>
        <w:rPr>
          <w:sz w:val="20"/>
          <w:szCs w:val="20"/>
          <w:color w:val="auto"/>
        </w:rPr>
      </w:pPr>
    </w:p>
    <w:p>
      <w:pPr>
        <w:ind w:firstLine="815"/>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as is the case for most publicly held companies, the possibility of a Change of Control (as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exists;</w:t>
      </w:r>
    </w:p>
    <w:p>
      <w:pPr>
        <w:spacing w:after="0" w:line="174" w:lineRule="exact"/>
        <w:rPr>
          <w:sz w:val="20"/>
          <w:szCs w:val="20"/>
          <w:color w:val="auto"/>
        </w:rPr>
      </w:pPr>
    </w:p>
    <w:p>
      <w:pPr>
        <w:ind w:firstLine="815"/>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interests of the Company, considering the past and future services of the Executive, to improve the security and climate</w:t>
      </w:r>
      <w:r>
        <w:rPr>
          <w:rFonts w:ascii="Arial" w:cs="Arial" w:eastAsia="Arial" w:hAnsi="Arial"/>
          <w:sz w:val="18"/>
          <w:szCs w:val="18"/>
          <w:b w:val="1"/>
          <w:bCs w:val="1"/>
          <w:color w:val="auto"/>
        </w:rPr>
        <w:t xml:space="preserve"> </w:t>
      </w:r>
      <w:r>
        <w:rPr>
          <w:rFonts w:ascii="Arial" w:cs="Arial" w:eastAsia="Arial" w:hAnsi="Arial"/>
          <w:sz w:val="18"/>
          <w:szCs w:val="18"/>
          <w:color w:val="auto"/>
        </w:rPr>
        <w:t>for objective decision making by providing for the personal security of the Executive upon a Change of Control.</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 R E E M E N T :</w:t>
      </w:r>
    </w:p>
    <w:p>
      <w:pPr>
        <w:spacing w:after="0" w:line="225" w:lineRule="exact"/>
        <w:rPr>
          <w:sz w:val="20"/>
          <w:szCs w:val="20"/>
          <w:color w:val="auto"/>
        </w:rPr>
      </w:pPr>
    </w:p>
    <w:p>
      <w:pPr>
        <w:jc w:val="both"/>
        <w:ind w:firstLine="823"/>
        <w:spacing w:after="0" w:line="258" w:lineRule="auto"/>
        <w:tabs>
          <w:tab w:leader="none" w:pos="109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color w:val="auto"/>
        </w:rPr>
      </w:pPr>
    </w:p>
    <w:p>
      <w:pPr>
        <w:jc w:val="both"/>
        <w:ind w:firstLine="823"/>
        <w:spacing w:after="0" w:line="290" w:lineRule="auto"/>
        <w:tabs>
          <w:tab w:leader="none" w:pos="1092"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25" w:lineRule="exact"/>
        <w:rPr>
          <w:sz w:val="20"/>
          <w:szCs w:val="20"/>
          <w:color w:val="auto"/>
        </w:rPr>
      </w:pPr>
    </w:p>
    <w:p>
      <w:pPr>
        <w:jc w:val="both"/>
        <w:ind w:left="1600" w:hanging="795"/>
        <w:spacing w:after="0" w:line="291" w:lineRule="auto"/>
        <w:tabs>
          <w:tab w:leader="none" w:pos="1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74" w:lineRule="exact"/>
        <w:rPr>
          <w:rFonts w:ascii="Arial" w:cs="Arial" w:eastAsia="Arial" w:hAnsi="Arial"/>
          <w:sz w:val="16"/>
          <w:szCs w:val="16"/>
          <w:color w:val="auto"/>
        </w:rPr>
      </w:pPr>
    </w:p>
    <w:p>
      <w:pPr>
        <w:jc w:val="both"/>
        <w:ind w:left="1600" w:hanging="795"/>
        <w:spacing w:after="0" w:line="256"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 that the term “Acquiring Person” shall not include a Hanson Family Member or an Affiliate or Associate of a Hanson Family Member.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ind w:left="1600" w:hanging="795"/>
        <w:spacing w:after="0" w:line="268"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85" w:lineRule="exact"/>
        <w:rPr>
          <w:rFonts w:ascii="Arial" w:cs="Arial" w:eastAsia="Arial" w:hAnsi="Arial"/>
          <w:sz w:val="18"/>
          <w:szCs w:val="18"/>
          <w:color w:val="auto"/>
        </w:rPr>
      </w:pPr>
    </w:p>
    <w:p>
      <w:pPr>
        <w:jc w:val="both"/>
        <w:ind w:left="1600" w:hanging="795"/>
        <w:spacing w:after="0" w:line="254"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98" w:lineRule="exact"/>
        <w:rPr>
          <w:rFonts w:ascii="Arial" w:cs="Arial" w:eastAsia="Arial" w:hAnsi="Arial"/>
          <w:sz w:val="18"/>
          <w:szCs w:val="18"/>
          <w:color w:val="auto"/>
        </w:rPr>
      </w:pPr>
    </w:p>
    <w:p>
      <w:pPr>
        <w:jc w:val="both"/>
        <w:ind w:left="1600" w:hanging="795"/>
        <w:spacing w:after="0" w:line="259"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94" w:lineRule="exact"/>
        <w:rPr>
          <w:rFonts w:ascii="Arial" w:cs="Arial" w:eastAsia="Arial" w:hAnsi="Arial"/>
          <w:sz w:val="18"/>
          <w:szCs w:val="18"/>
          <w:color w:val="auto"/>
        </w:rPr>
      </w:pPr>
    </w:p>
    <w:p>
      <w:pPr>
        <w:ind w:left="1600" w:hanging="795"/>
        <w:spacing w:after="0" w:line="268"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-2613660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60" w:right="239" w:bottom="14" w:gutter="0" w:footer="0" w:header="0"/>
        </w:sectPr>
      </w:pPr>
    </w:p>
    <w:bookmarkStart w:id="15" w:name="page16"/>
    <w:bookmarkEnd w:id="15"/>
    <w:p>
      <w:pPr>
        <w:spacing w:after="0" w:line="93" w:lineRule="exact"/>
        <w:rPr>
          <w:sz w:val="20"/>
          <w:szCs w:val="20"/>
          <w:color w:val="auto"/>
        </w:rPr>
      </w:pPr>
    </w:p>
    <w:p>
      <w:pPr>
        <w:ind w:firstLine="823"/>
        <w:spacing w:after="0" w:line="275" w:lineRule="auto"/>
        <w:tabs>
          <w:tab w:leader="none" w:pos="109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Benefits Effective Immediately Upon a Change of Control</w:t>
      </w:r>
      <w:r>
        <w:rPr>
          <w:rFonts w:ascii="Arial" w:cs="Arial" w:eastAsia="Arial" w:hAnsi="Arial"/>
          <w:sz w:val="18"/>
          <w:szCs w:val="18"/>
          <w:color w:val="auto"/>
        </w:rPr>
        <w:t>. If a Change of Control shall have occurred while the Executive is still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then the Executive shall immediately be entitled to the following benefits:</w:t>
      </w:r>
    </w:p>
    <w:p>
      <w:pPr>
        <w:spacing w:after="0" w:line="179" w:lineRule="exact"/>
        <w:rPr>
          <w:rFonts w:ascii="Arial" w:cs="Arial" w:eastAsia="Arial" w:hAnsi="Arial"/>
          <w:sz w:val="18"/>
          <w:szCs w:val="18"/>
          <w:color w:val="auto"/>
        </w:rPr>
      </w:pPr>
    </w:p>
    <w:p>
      <w:pPr>
        <w:jc w:val="both"/>
        <w:ind w:firstLine="1230"/>
        <w:spacing w:after="0" w:line="259" w:lineRule="auto"/>
        <w:tabs>
          <w:tab w:leader="none" w:pos="1559"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Immediate Vesting of All Stock Options and Rights</w:t>
      </w:r>
      <w:r>
        <w:rPr>
          <w:rFonts w:ascii="Arial" w:cs="Arial" w:eastAsia="Arial" w:hAnsi="Arial"/>
          <w:sz w:val="18"/>
          <w:szCs w:val="18"/>
          <w:color w:val="auto"/>
        </w:rPr>
        <w:t>. All options and rights granted to the Executive by the Company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Option Plan effective as of August 14, 1997, or any successor or supplemental stock plan shall become immediately exercisable upon a Change of Control.</w:t>
      </w:r>
    </w:p>
    <w:p>
      <w:pPr>
        <w:spacing w:after="0" w:line="194" w:lineRule="exact"/>
        <w:rPr>
          <w:rFonts w:ascii="Arial" w:cs="Arial" w:eastAsia="Arial" w:hAnsi="Arial"/>
          <w:sz w:val="18"/>
          <w:szCs w:val="18"/>
          <w:color w:val="auto"/>
        </w:rPr>
      </w:pPr>
    </w:p>
    <w:p>
      <w:pPr>
        <w:jc w:val="both"/>
        <w:ind w:firstLine="1230"/>
        <w:spacing w:after="0" w:line="256" w:lineRule="auto"/>
        <w:tabs>
          <w:tab w:leader="none" w:pos="1515"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Executive Split Dollar Life Insurance Program</w:t>
      </w:r>
      <w:r>
        <w:rPr>
          <w:rFonts w:ascii="Arial" w:cs="Arial" w:eastAsia="Arial" w:hAnsi="Arial"/>
          <w:sz w:val="18"/>
          <w:szCs w:val="18"/>
          <w:color w:val="auto"/>
        </w:rPr>
        <w:t>. If the Executive is a participant under the Company’s Executive Split Dollar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at the time of a Change of Control and the Company has paid any portion of the premium on the policy or policies issued in connection therewith during the twelve months preceding the occurrence of the Change of Control, then the Company shall continue to pay all premiums on such policies so long as the Executive remains in the employ of the Company.</w:t>
      </w:r>
    </w:p>
    <w:p>
      <w:pPr>
        <w:spacing w:after="0" w:line="197" w:lineRule="exact"/>
        <w:rPr>
          <w:rFonts w:ascii="Arial" w:cs="Arial" w:eastAsia="Arial" w:hAnsi="Arial"/>
          <w:sz w:val="18"/>
          <w:szCs w:val="18"/>
          <w:color w:val="auto"/>
        </w:rPr>
      </w:pPr>
    </w:p>
    <w:p>
      <w:pPr>
        <w:jc w:val="both"/>
        <w:ind w:firstLine="1230"/>
        <w:spacing w:after="0" w:line="259" w:lineRule="auto"/>
        <w:tabs>
          <w:tab w:leader="none" w:pos="1559"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Retiree Health Insurance</w:t>
      </w:r>
      <w:r>
        <w:rPr>
          <w:rFonts w:ascii="Arial" w:cs="Arial" w:eastAsia="Arial" w:hAnsi="Arial"/>
          <w:sz w:val="18"/>
          <w:szCs w:val="18"/>
          <w:color w:val="auto"/>
        </w:rPr>
        <w:t>. Any plans or policies of the Company providing for medical, dental, vision or similar benefits for retired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existing as of the time of a Change of Control shall, as to the Executive, not be rescinded or modified in any manner which is adverse to the Executive following a Change of Control.</w:t>
      </w:r>
    </w:p>
    <w:p>
      <w:pPr>
        <w:spacing w:after="0" w:line="194" w:lineRule="exact"/>
        <w:rPr>
          <w:rFonts w:ascii="Arial" w:cs="Arial" w:eastAsia="Arial" w:hAnsi="Arial"/>
          <w:sz w:val="18"/>
          <w:szCs w:val="18"/>
          <w:color w:val="auto"/>
        </w:rPr>
      </w:pPr>
    </w:p>
    <w:p>
      <w:pPr>
        <w:jc w:val="both"/>
        <w:ind w:firstLine="1230"/>
        <w:spacing w:after="0" w:line="294" w:lineRule="auto"/>
        <w:tabs>
          <w:tab w:leader="none" w:pos="1515"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All non-registered stock of the Company owned by the Executive, which is subject to restrictions on sale or other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shall, at the option of the Executive (exercisable at any time by the delivery of written notice to the Company) be purchased by the Company at its fair market value. The purchase shall be completed by the Company within thirty (30) 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63" w:lineRule="exact"/>
        <w:rPr>
          <w:rFonts w:ascii="Arial" w:cs="Arial" w:eastAsia="Arial" w:hAnsi="Arial"/>
          <w:sz w:val="16"/>
          <w:szCs w:val="16"/>
          <w:color w:val="auto"/>
        </w:rPr>
      </w:pPr>
    </w:p>
    <w:p>
      <w:pPr>
        <w:jc w:val="both"/>
        <w:ind w:firstLine="823"/>
        <w:spacing w:after="0" w:line="254" w:lineRule="auto"/>
        <w:tabs>
          <w:tab w:leader="none" w:pos="1078"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Benefits Effective Immediately Upon a Change of Control Pursuant to Plan Documents</w:t>
      </w:r>
      <w:r>
        <w:rPr>
          <w:rFonts w:ascii="Arial" w:cs="Arial" w:eastAsia="Arial" w:hAnsi="Arial"/>
          <w:sz w:val="18"/>
          <w:szCs w:val="18"/>
          <w:color w:val="auto"/>
        </w:rPr>
        <w:t>. It is acknowledged that there presently exist</w:t>
      </w:r>
      <w:r>
        <w:rPr>
          <w:rFonts w:ascii="Arial" w:cs="Arial" w:eastAsia="Arial" w:hAnsi="Arial"/>
          <w:sz w:val="18"/>
          <w:szCs w:val="18"/>
          <w:b w:val="1"/>
          <w:bCs w:val="1"/>
          <w:color w:val="auto"/>
        </w:rPr>
        <w:t xml:space="preserve"> </w:t>
      </w:r>
      <w:r>
        <w:rPr>
          <w:rFonts w:ascii="Arial" w:cs="Arial" w:eastAsia="Arial" w:hAnsi="Arial"/>
          <w:sz w:val="18"/>
          <w:szCs w:val="18"/>
          <w:color w:val="auto"/>
        </w:rPr>
        <w:t>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195" w:lineRule="exact"/>
        <w:rPr>
          <w:rFonts w:ascii="Arial" w:cs="Arial" w:eastAsia="Arial" w:hAnsi="Arial"/>
          <w:sz w:val="18"/>
          <w:szCs w:val="18"/>
          <w:color w:val="auto"/>
        </w:rPr>
      </w:pPr>
    </w:p>
    <w:p>
      <w:pPr>
        <w:jc w:val="both"/>
        <w:ind w:firstLine="823"/>
        <w:spacing w:after="0" w:line="301" w:lineRule="auto"/>
        <w:tabs>
          <w:tab w:leader="none" w:pos="1146"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If a Change of Control shall have occurred while the Executive is still an employee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Company for Cause (as defined in Section 5(c) below); or (e) the Executive’s decision to terminate employment other than for Good Reason (as defined in Section 5(d) below).</w:t>
      </w:r>
    </w:p>
    <w:p>
      <w:pPr>
        <w:spacing w:after="0" w:line="186" w:lineRule="exact"/>
        <w:rPr>
          <w:sz w:val="20"/>
          <w:szCs w:val="20"/>
          <w:color w:val="auto"/>
        </w:rPr>
      </w:pPr>
    </w:p>
    <w:p>
      <w:pPr>
        <w:jc w:val="both"/>
        <w:ind w:firstLine="1230"/>
        <w:spacing w:after="0" w:line="306" w:lineRule="auto"/>
        <w:tabs>
          <w:tab w:leader="none" w:pos="1505"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0" w:lineRule="exact"/>
        <w:rPr>
          <w:rFonts w:ascii="Arial" w:cs="Arial" w:eastAsia="Arial" w:hAnsi="Arial"/>
          <w:sz w:val="16"/>
          <w:szCs w:val="16"/>
          <w:color w:val="auto"/>
        </w:rPr>
      </w:pPr>
    </w:p>
    <w:p>
      <w:pPr>
        <w:jc w:val="both"/>
        <w:ind w:firstLine="1230"/>
        <w:spacing w:after="0" w:line="259" w:lineRule="auto"/>
        <w:tabs>
          <w:tab w:leader="none" w:pos="1528"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194" w:lineRule="exact"/>
        <w:rPr>
          <w:rFonts w:ascii="Arial" w:cs="Arial" w:eastAsia="Arial" w:hAnsi="Arial"/>
          <w:sz w:val="18"/>
          <w:szCs w:val="18"/>
          <w:color w:val="auto"/>
        </w:rPr>
      </w:pPr>
    </w:p>
    <w:p>
      <w:pPr>
        <w:jc w:val="both"/>
        <w:ind w:firstLine="1230"/>
        <w:spacing w:after="0" w:line="288" w:lineRule="auto"/>
        <w:tabs>
          <w:tab w:leader="none" w:pos="1505"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firstLine="1230"/>
        <w:spacing w:after="0" w:line="332" w:lineRule="auto"/>
        <w:tabs>
          <w:tab w:leader="none" w:pos="1515"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For purposes of this Agreement “Good Reason” shall mean any of the following (without the Executive’s express written consent):</w:t>
      </w:r>
    </w:p>
    <w:p>
      <w:pPr>
        <w:spacing w:after="0" w:line="139" w:lineRule="exact"/>
        <w:rPr>
          <w:rFonts w:ascii="Arial" w:cs="Arial" w:eastAsia="Arial" w:hAnsi="Arial"/>
          <w:sz w:val="16"/>
          <w:szCs w:val="16"/>
          <w:color w:val="auto"/>
        </w:rPr>
      </w:pPr>
    </w:p>
    <w:p>
      <w:pPr>
        <w:jc w:val="both"/>
        <w:ind w:left="820" w:firstLine="381"/>
        <w:spacing w:after="0" w:line="255" w:lineRule="auto"/>
        <w:tabs>
          <w:tab w:leader="none" w:pos="14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96" w:lineRule="exact"/>
        <w:rPr>
          <w:rFonts w:ascii="Arial" w:cs="Arial" w:eastAsia="Arial" w:hAnsi="Arial"/>
          <w:sz w:val="18"/>
          <w:szCs w:val="18"/>
          <w:color w:val="auto"/>
        </w:rPr>
      </w:pPr>
    </w:p>
    <w:p>
      <w:pPr>
        <w:jc w:val="both"/>
        <w:ind w:left="820" w:firstLine="381"/>
        <w:spacing w:after="0" w:line="298" w:lineRule="auto"/>
        <w:tabs>
          <w:tab w:leader="none" w:pos="15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66" w:lineRule="exact"/>
        <w:rPr>
          <w:rFonts w:ascii="Arial" w:cs="Arial" w:eastAsia="Arial" w:hAnsi="Arial"/>
          <w:sz w:val="16"/>
          <w:szCs w:val="16"/>
          <w:color w:val="auto"/>
        </w:rPr>
      </w:pPr>
    </w:p>
    <w:p>
      <w:pPr>
        <w:jc w:val="both"/>
        <w:ind w:left="820" w:firstLine="381"/>
        <w:spacing w:after="0" w:line="306" w:lineRule="auto"/>
        <w:tabs>
          <w:tab w:leader="none" w:pos="15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w:t>
      </w:r>
    </w:p>
    <w:p>
      <w:pPr>
        <w:sectPr>
          <w:pgSz w:w="11900" w:h="16931" w:orient="portrait"/>
          <w:cols w:equalWidth="0" w:num="1">
            <w:col w:w="11420"/>
          </w:cols>
          <w:pgMar w:left="240" w:top="125" w:right="239" w:bottom="0" w:gutter="0" w:footer="0" w:header="0"/>
        </w:sectPr>
      </w:pPr>
    </w:p>
    <w:bookmarkStart w:id="16" w:name="page17"/>
    <w:bookmarkEnd w:id="16"/>
    <w:p>
      <w:pPr>
        <w:jc w:val="both"/>
        <w:ind w:left="820"/>
        <w:spacing w:after="0" w:line="259" w:lineRule="auto"/>
        <w:rPr>
          <w:sz w:val="20"/>
          <w:szCs w:val="20"/>
          <w:color w:val="auto"/>
        </w:rPr>
      </w:pPr>
      <w:r>
        <w:rPr>
          <w:rFonts w:ascii="Arial" w:cs="Arial" w:eastAsia="Arial" w:hAnsi="Arial"/>
          <w:sz w:val="18"/>
          <w:szCs w:val="18"/>
          <w:color w:val="auto"/>
        </w:rPr>
        <w:t>(hereinafter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94" w:lineRule="exact"/>
        <w:rPr>
          <w:sz w:val="20"/>
          <w:szCs w:val="20"/>
          <w:color w:val="auto"/>
        </w:rPr>
      </w:pPr>
    </w:p>
    <w:p>
      <w:pPr>
        <w:jc w:val="both"/>
        <w:ind w:left="820" w:firstLine="381"/>
        <w:spacing w:after="0" w:line="253" w:lineRule="auto"/>
        <w:tabs>
          <w:tab w:leader="none" w:pos="15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7" w:lineRule="exact"/>
        <w:rPr>
          <w:rFonts w:ascii="Arial" w:cs="Arial" w:eastAsia="Arial" w:hAnsi="Arial"/>
          <w:sz w:val="18"/>
          <w:szCs w:val="18"/>
          <w:color w:val="auto"/>
        </w:rPr>
      </w:pPr>
    </w:p>
    <w:p>
      <w:pPr>
        <w:jc w:val="both"/>
        <w:ind w:left="820" w:firstLine="381"/>
        <w:spacing w:after="0" w:line="256" w:lineRule="auto"/>
        <w:tabs>
          <w:tab w:leader="none" w:pos="151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97" w:lineRule="exact"/>
        <w:rPr>
          <w:rFonts w:ascii="Arial" w:cs="Arial" w:eastAsia="Arial" w:hAnsi="Arial"/>
          <w:sz w:val="18"/>
          <w:szCs w:val="18"/>
          <w:color w:val="auto"/>
        </w:rPr>
      </w:pPr>
    </w:p>
    <w:p>
      <w:pPr>
        <w:jc w:val="both"/>
        <w:ind w:left="820" w:firstLine="381"/>
        <w:spacing w:after="0" w:line="256" w:lineRule="auto"/>
        <w:tabs>
          <w:tab w:leader="none" w:pos="15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97" w:lineRule="exact"/>
        <w:rPr>
          <w:rFonts w:ascii="Arial" w:cs="Arial" w:eastAsia="Arial" w:hAnsi="Arial"/>
          <w:sz w:val="18"/>
          <w:szCs w:val="18"/>
          <w:color w:val="auto"/>
        </w:rPr>
      </w:pPr>
    </w:p>
    <w:p>
      <w:pPr>
        <w:ind w:left="820" w:firstLine="381"/>
        <w:spacing w:after="0" w:line="268" w:lineRule="auto"/>
        <w:tabs>
          <w:tab w:leader="none" w:pos="15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185" w:lineRule="exact"/>
        <w:rPr>
          <w:rFonts w:ascii="Arial" w:cs="Arial" w:eastAsia="Arial" w:hAnsi="Arial"/>
          <w:sz w:val="18"/>
          <w:szCs w:val="18"/>
          <w:color w:val="auto"/>
        </w:rPr>
      </w:pPr>
    </w:p>
    <w:p>
      <w:pPr>
        <w:ind w:left="1640" w:hanging="439"/>
        <w:spacing w:after="0"/>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225" w:lineRule="exact"/>
        <w:rPr>
          <w:rFonts w:ascii="Arial" w:cs="Arial" w:eastAsia="Arial" w:hAnsi="Arial"/>
          <w:sz w:val="18"/>
          <w:szCs w:val="18"/>
          <w:color w:val="auto"/>
        </w:rPr>
      </w:pPr>
    </w:p>
    <w:p>
      <w:pPr>
        <w:ind w:left="1540" w:hanging="3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225" w:lineRule="exact"/>
        <w:rPr>
          <w:rFonts w:ascii="Arial" w:cs="Arial" w:eastAsia="Arial" w:hAnsi="Arial"/>
          <w:sz w:val="18"/>
          <w:szCs w:val="18"/>
          <w:color w:val="auto"/>
        </w:rPr>
      </w:pPr>
    </w:p>
    <w:p>
      <w:pPr>
        <w:ind w:left="820" w:firstLine="381"/>
        <w:spacing w:after="0" w:line="268" w:lineRule="auto"/>
        <w:tabs>
          <w:tab w:leader="none" w:pos="15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85" w:lineRule="exact"/>
        <w:rPr>
          <w:rFonts w:ascii="Arial" w:cs="Arial" w:eastAsia="Arial" w:hAnsi="Arial"/>
          <w:sz w:val="18"/>
          <w:szCs w:val="18"/>
          <w:color w:val="auto"/>
        </w:rPr>
      </w:pPr>
    </w:p>
    <w:p>
      <w:pPr>
        <w:jc w:val="both"/>
        <w:ind w:firstLine="1230"/>
        <w:spacing w:after="0" w:line="255" w:lineRule="auto"/>
        <w:tabs>
          <w:tab w:leader="none" w:pos="1559" w:val="left"/>
        </w:tabs>
        <w:numPr>
          <w:ilvl w:val="2"/>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5(a), (b) or (c) shall be communicated by a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6" w:lineRule="exact"/>
        <w:rPr>
          <w:rFonts w:ascii="Arial" w:cs="Arial" w:eastAsia="Arial" w:hAnsi="Arial"/>
          <w:sz w:val="18"/>
          <w:szCs w:val="18"/>
          <w:color w:val="auto"/>
        </w:rPr>
      </w:pPr>
    </w:p>
    <w:p>
      <w:pPr>
        <w:jc w:val="both"/>
        <w:ind w:firstLine="1230"/>
        <w:spacing w:after="0" w:line="253" w:lineRule="auto"/>
        <w:tabs>
          <w:tab w:leader="none" w:pos="1512" w:val="left"/>
        </w:tabs>
        <w:numPr>
          <w:ilvl w:val="2"/>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Date of Termination. </w:t>
      </w:r>
      <w:r>
        <w:rPr>
          <w:rFonts w:ascii="Arial" w:cs="Arial" w:eastAsia="Arial" w:hAnsi="Arial"/>
          <w:sz w:val="18"/>
          <w:szCs w:val="18"/>
          <w:color w:val="auto"/>
        </w:rPr>
        <w:t>”Date of Termination” shall mean (a) if this Agreement is terminated by the Company for Disability, 30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95" w:lineRule="exact"/>
        <w:rPr>
          <w:rFonts w:ascii="Arial" w:cs="Arial" w:eastAsia="Arial" w:hAnsi="Arial"/>
          <w:sz w:val="18"/>
          <w:szCs w:val="18"/>
          <w:color w:val="auto"/>
        </w:rPr>
      </w:pPr>
    </w:p>
    <w:p>
      <w:pPr>
        <w:jc w:val="both"/>
        <w:ind w:firstLine="823"/>
        <w:spacing w:after="0" w:line="296" w:lineRule="auto"/>
        <w:tabs>
          <w:tab w:leader="none" w:pos="1092"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Severance Compensation upon Termination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shall terminate the Executive’s employment other than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61" w:lineRule="exact"/>
        <w:rPr>
          <w:rFonts w:ascii="Arial" w:cs="Arial" w:eastAsia="Arial" w:hAnsi="Arial"/>
          <w:sz w:val="16"/>
          <w:szCs w:val="16"/>
          <w:color w:val="auto"/>
        </w:rPr>
      </w:pPr>
    </w:p>
    <w:p>
      <w:pPr>
        <w:jc w:val="both"/>
        <w:ind w:firstLine="823"/>
        <w:spacing w:after="0" w:line="262"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Benefits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within three years following a Change of Control, the Company shall terminate the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other than pursuant to Section 5(a), 5(b) or 5(c) or if the Executive shall terminate his employment for Good Reason, then the Company shall further provide to the Executive the following benefits:</w:t>
      </w:r>
    </w:p>
    <w:p>
      <w:pPr>
        <w:spacing w:after="0" w:line="192" w:lineRule="exact"/>
        <w:rPr>
          <w:rFonts w:ascii="Arial" w:cs="Arial" w:eastAsia="Arial" w:hAnsi="Arial"/>
          <w:sz w:val="18"/>
          <w:szCs w:val="18"/>
          <w:color w:val="auto"/>
        </w:rPr>
      </w:pPr>
    </w:p>
    <w:p>
      <w:pPr>
        <w:jc w:val="both"/>
        <w:ind w:firstLine="1230"/>
        <w:spacing w:after="0" w:line="294" w:lineRule="auto"/>
        <w:tabs>
          <w:tab w:leader="none" w:pos="1518" w:val="left"/>
        </w:tabs>
        <w:numPr>
          <w:ilvl w:val="2"/>
          <w:numId w:val="13"/>
        </w:numPr>
        <w:rPr>
          <w:rFonts w:ascii="Arial" w:cs="Arial" w:eastAsia="Arial" w:hAnsi="Arial"/>
          <w:sz w:val="16"/>
          <w:szCs w:val="16"/>
          <w:color w:val="auto"/>
        </w:rPr>
      </w:pPr>
      <w:r>
        <w:rPr>
          <w:rFonts w:ascii="Arial" w:cs="Arial" w:eastAsia="Arial" w:hAnsi="Arial"/>
          <w:sz w:val="16"/>
          <w:szCs w:val="16"/>
          <w:i w:val="1"/>
          <w:iCs w:val="1"/>
          <w:color w:val="auto"/>
        </w:rPr>
        <w:t>Life, Dental, Vision, Health and Long Term Disability Coverage</w:t>
      </w:r>
      <w:r>
        <w:rPr>
          <w:rFonts w:ascii="Arial" w:cs="Arial" w:eastAsia="Arial" w:hAnsi="Arial"/>
          <w:sz w:val="16"/>
          <w:szCs w:val="16"/>
          <w:color w:val="auto"/>
        </w:rPr>
        <w:t>. The Executive’s participation in, and entitlement to, benefits under: (i) all</w:t>
      </w:r>
      <w:r>
        <w:rPr>
          <w:rFonts w:ascii="Arial" w:cs="Arial" w:eastAsia="Arial" w:hAnsi="Arial"/>
          <w:sz w:val="16"/>
          <w:szCs w:val="16"/>
          <w:i w:val="1"/>
          <w:iCs w:val="1"/>
          <w:color w:val="auto"/>
        </w:rPr>
        <w:t xml:space="preserve"> </w:t>
      </w:r>
      <w:r>
        <w:rPr>
          <w:rFonts w:ascii="Arial" w:cs="Arial" w:eastAsia="Arial" w:hAnsi="Arial"/>
          <w:sz w:val="16"/>
          <w:szCs w:val="16"/>
          <w:color w:val="auto"/>
        </w:rPr>
        <w:t>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 (3) years or until the obtainment of such coverages by the Executive through another employer, whichever is earlier;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-7152005</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334010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however, that in the case of all health insurance plans of the Company (including but not limited to those providing major medical and hospitalization benefits, dental benefits and vision benefits), such three (3) year period shall be extended to the time that the Executive’s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ectPr>
          <w:pgSz w:w="11900" w:h="16838" w:orient="portrait"/>
          <w:cols w:equalWidth="0" w:num="1">
            <w:col w:w="11420"/>
          </w:cols>
          <w:pgMar w:left="240" w:top="131" w:right="239" w:bottom="0" w:gutter="0" w:footer="0" w:header="0"/>
        </w:sectPr>
      </w:pPr>
    </w:p>
    <w:bookmarkStart w:id="17" w:name="page18"/>
    <w:bookmarkEnd w:id="17"/>
    <w:p>
      <w:pPr>
        <w:spacing w:after="0" w:line="114" w:lineRule="exact"/>
        <w:rPr>
          <w:sz w:val="20"/>
          <w:szCs w:val="20"/>
          <w:color w:val="auto"/>
        </w:rPr>
      </w:pPr>
    </w:p>
    <w:p>
      <w:pPr>
        <w:jc w:val="both"/>
        <w:ind w:firstLine="1230"/>
        <w:spacing w:after="0" w:line="256" w:lineRule="auto"/>
        <w:tabs>
          <w:tab w:leader="none" w:pos="151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Automobile Benefit</w:t>
      </w:r>
      <w:r>
        <w:rPr>
          <w:rFonts w:ascii="Arial" w:cs="Arial" w:eastAsia="Arial" w:hAnsi="Arial"/>
          <w:sz w:val="18"/>
          <w:szCs w:val="18"/>
          <w:color w:val="auto"/>
        </w:rPr>
        <w:t>. If the Executive is entitled to the use of a Company-owned automobile at the time of a Change of Control, then title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97" w:lineRule="exact"/>
        <w:rPr>
          <w:rFonts w:ascii="Arial" w:cs="Arial" w:eastAsia="Arial" w:hAnsi="Arial"/>
          <w:sz w:val="18"/>
          <w:szCs w:val="18"/>
          <w:color w:val="auto"/>
        </w:rPr>
      </w:pPr>
    </w:p>
    <w:p>
      <w:pPr>
        <w:jc w:val="both"/>
        <w:ind w:firstLine="1230"/>
        <w:spacing w:after="0" w:line="298" w:lineRule="auto"/>
        <w:tabs>
          <w:tab w:leader="none" w:pos="1518"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Executive Split Dollar Life Insurance Program</w:t>
      </w:r>
      <w:r>
        <w:rPr>
          <w:rFonts w:ascii="Arial" w:cs="Arial" w:eastAsia="Arial" w:hAnsi="Arial"/>
          <w:sz w:val="16"/>
          <w:szCs w:val="16"/>
          <w:color w:val="auto"/>
        </w:rPr>
        <w:t>. Provided that the Company is obligated, pursuant to Section 3(b) hereof, to pay premiums</w:t>
      </w:r>
      <w:r>
        <w:rPr>
          <w:rFonts w:ascii="Arial" w:cs="Arial" w:eastAsia="Arial" w:hAnsi="Arial"/>
          <w:sz w:val="16"/>
          <w:szCs w:val="16"/>
          <w:i w:val="1"/>
          <w:iCs w:val="1"/>
          <w:color w:val="auto"/>
        </w:rPr>
        <w:t xml:space="preserve"> </w:t>
      </w:r>
      <w:r>
        <w:rPr>
          <w:rFonts w:ascii="Arial" w:cs="Arial" w:eastAsia="Arial" w:hAnsi="Arial"/>
          <w:sz w:val="16"/>
          <w:szCs w:val="16"/>
          <w:color w:val="auto"/>
        </w:rPr>
        <w:t>on a policy or policies issued in favor of the Executive following a Change of Control, then the Company shall, in the same manner, continue making such premium payments until the later of (i) the Executive attains the age of 55; or (ii) three (3) years following the Executive’s termination of employment (provided, however, that the Company shall not be obligated to make any such payments after the Executive attains age 65).</w:t>
      </w:r>
    </w:p>
    <w:p>
      <w:pPr>
        <w:spacing w:after="0" w:line="166" w:lineRule="exact"/>
        <w:rPr>
          <w:rFonts w:ascii="Arial" w:cs="Arial" w:eastAsia="Arial" w:hAnsi="Arial"/>
          <w:sz w:val="16"/>
          <w:szCs w:val="16"/>
          <w:color w:val="auto"/>
        </w:rPr>
      </w:pPr>
    </w:p>
    <w:p>
      <w:pPr>
        <w:jc w:val="both"/>
        <w:ind w:firstLine="1230"/>
        <w:spacing w:after="0" w:line="306" w:lineRule="auto"/>
        <w:tabs>
          <w:tab w:leader="none" w:pos="1555"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Plans. </w:t>
      </w:r>
      <w:r>
        <w:rPr>
          <w:rFonts w:ascii="Arial" w:cs="Arial" w:eastAsia="Arial" w:hAnsi="Arial"/>
          <w:sz w:val="16"/>
          <w:szCs w:val="16"/>
          <w:color w:val="auto"/>
        </w:rPr>
        <w:t>Any vesting requirement imposed under the provisions of, or rules relating to, the Company’s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54" w:lineRule="exact"/>
        <w:rPr>
          <w:rFonts w:ascii="Arial" w:cs="Arial" w:eastAsia="Arial" w:hAnsi="Arial"/>
          <w:sz w:val="16"/>
          <w:szCs w:val="16"/>
          <w:color w:val="auto"/>
        </w:rPr>
      </w:pPr>
    </w:p>
    <w:p>
      <w:pPr>
        <w:ind w:left="1080" w:hanging="257"/>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Excise Tax-Additional Payment</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firstLine="1230"/>
        <w:spacing w:after="0" w:line="289" w:lineRule="auto"/>
        <w:tabs>
          <w:tab w:leader="none" w:pos="1518" w:val="left"/>
        </w:tabs>
        <w:numPr>
          <w:ilvl w:val="1"/>
          <w:numId w:val="15"/>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2" w:lineRule="exact"/>
        <w:rPr>
          <w:rFonts w:ascii="Arial" w:cs="Arial" w:eastAsia="Arial" w:hAnsi="Arial"/>
          <w:sz w:val="16"/>
          <w:szCs w:val="16"/>
          <w:color w:val="auto"/>
        </w:rPr>
      </w:pPr>
    </w:p>
    <w:p>
      <w:pPr>
        <w:jc w:val="both"/>
        <w:ind w:firstLine="1230"/>
        <w:spacing w:after="0" w:line="286" w:lineRule="auto"/>
        <w:tabs>
          <w:tab w:leader="none" w:pos="1534"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174" w:lineRule="exact"/>
        <w:rPr>
          <w:rFonts w:ascii="Arial" w:cs="Arial" w:eastAsia="Arial" w:hAnsi="Arial"/>
          <w:sz w:val="16"/>
          <w:szCs w:val="16"/>
          <w:color w:val="auto"/>
        </w:rPr>
      </w:pPr>
    </w:p>
    <w:p>
      <w:pPr>
        <w:jc w:val="both"/>
        <w:ind w:firstLine="1230"/>
        <w:spacing w:after="0" w:line="259" w:lineRule="auto"/>
        <w:tabs>
          <w:tab w:leader="none" w:pos="154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1" w:lineRule="exact"/>
        <w:rPr>
          <w:sz w:val="20"/>
          <w:szCs w:val="20"/>
          <w:color w:val="auto"/>
        </w:rPr>
      </w:pPr>
    </w:p>
    <w:p>
      <w:pPr>
        <w:ind w:left="1460" w:hanging="259"/>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225" w:lineRule="exact"/>
        <w:rPr>
          <w:rFonts w:ascii="Arial" w:cs="Arial" w:eastAsia="Arial" w:hAnsi="Arial"/>
          <w:sz w:val="18"/>
          <w:szCs w:val="18"/>
          <w:color w:val="auto"/>
        </w:rPr>
      </w:pPr>
    </w:p>
    <w:p>
      <w:pPr>
        <w:ind w:left="820" w:right="20" w:firstLine="381"/>
        <w:spacing w:after="0" w:line="332" w:lineRule="auto"/>
        <w:tabs>
          <w:tab w:leader="none" w:pos="151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39" w:lineRule="exact"/>
        <w:rPr>
          <w:rFonts w:ascii="Arial" w:cs="Arial" w:eastAsia="Arial" w:hAnsi="Arial"/>
          <w:sz w:val="16"/>
          <w:szCs w:val="16"/>
          <w:color w:val="auto"/>
        </w:rPr>
      </w:pPr>
    </w:p>
    <w:p>
      <w:pPr>
        <w:ind w:left="1560" w:hanging="359"/>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225" w:lineRule="exact"/>
        <w:rPr>
          <w:rFonts w:ascii="Arial" w:cs="Arial" w:eastAsia="Arial" w:hAnsi="Arial"/>
          <w:sz w:val="18"/>
          <w:szCs w:val="18"/>
          <w:color w:val="auto"/>
        </w:rPr>
      </w:pPr>
    </w:p>
    <w:p>
      <w:pPr>
        <w:ind w:left="1540" w:hanging="3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jc w:val="both"/>
        <w:ind w:firstLine="815"/>
        <w:spacing w:after="0" w:line="285"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bear and pay directly all costs and expenses (including additional interest and penalties)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jc w:val="both"/>
        <w:ind w:right="20" w:firstLine="1230"/>
        <w:spacing w:after="0" w:line="332"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w:t>
      </w:r>
    </w:p>
    <w:p>
      <w:pPr>
        <w:sectPr>
          <w:pgSz w:w="11900" w:h="16952" w:orient="portrait"/>
          <w:cols w:equalWidth="0" w:num="1">
            <w:col w:w="11420"/>
          </w:cols>
          <w:pgMar w:left="240" w:top="131" w:right="239" w:bottom="0" w:gutter="0" w:footer="0" w:header="0"/>
        </w:sectPr>
      </w:pPr>
    </w:p>
    <w:bookmarkStart w:id="18" w:name="page19"/>
    <w:bookmarkEnd w:id="18"/>
    <w:p>
      <w:pPr>
        <w:jc w:val="both"/>
        <w:spacing w:after="0" w:line="294" w:lineRule="auto"/>
        <w:rPr>
          <w:sz w:val="20"/>
          <w:szCs w:val="20"/>
          <w:color w:val="auto"/>
        </w:rPr>
      </w:pPr>
      <w:r>
        <w:rPr>
          <w:rFonts w:ascii="Arial" w:cs="Arial" w:eastAsia="Arial" w:hAnsi="Arial"/>
          <w:sz w:val="16"/>
          <w:szCs w:val="16"/>
          <w:color w:val="auto"/>
        </w:rPr>
        <w:t>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64" w:lineRule="exact"/>
        <w:rPr>
          <w:sz w:val="20"/>
          <w:szCs w:val="20"/>
          <w:color w:val="auto"/>
        </w:rPr>
      </w:pPr>
    </w:p>
    <w:p>
      <w:pPr>
        <w:ind w:left="1080" w:hanging="257"/>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No Obligation To Mitigate Damages; No Effect on Other Contractual Rights</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firstLine="1230"/>
        <w:spacing w:after="0" w:line="259" w:lineRule="auto"/>
        <w:tabs>
          <w:tab w:leader="none" w:pos="151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rFonts w:ascii="Arial" w:cs="Arial" w:eastAsia="Arial" w:hAnsi="Arial"/>
          <w:sz w:val="18"/>
          <w:szCs w:val="18"/>
          <w:color w:val="auto"/>
        </w:rPr>
      </w:pPr>
    </w:p>
    <w:p>
      <w:pPr>
        <w:jc w:val="both"/>
        <w:ind w:firstLine="1230"/>
        <w:spacing w:after="0" w:line="259" w:lineRule="auto"/>
        <w:tabs>
          <w:tab w:leader="none" w:pos="15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left="1140" w:hanging="317"/>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 to the Company</w:t>
      </w:r>
      <w:r>
        <w:rPr>
          <w:rFonts w:ascii="Arial" w:cs="Arial" w:eastAsia="Arial" w:hAnsi="Arial"/>
          <w:sz w:val="18"/>
          <w:szCs w:val="18"/>
          <w:b w:val="1"/>
          <w:bCs w:val="1"/>
          <w:i w:val="1"/>
          <w:iCs w:val="1"/>
          <w:color w:val="auto"/>
        </w:rPr>
        <w:t>.</w:t>
      </w:r>
    </w:p>
    <w:p>
      <w:pPr>
        <w:spacing w:after="0" w:line="231" w:lineRule="exact"/>
        <w:rPr>
          <w:rFonts w:ascii="Arial" w:cs="Arial" w:eastAsia="Arial" w:hAnsi="Arial"/>
          <w:sz w:val="18"/>
          <w:szCs w:val="18"/>
          <w:color w:val="auto"/>
        </w:rPr>
      </w:pPr>
    </w:p>
    <w:p>
      <w:pPr>
        <w:jc w:val="both"/>
        <w:ind w:firstLine="1230"/>
        <w:spacing w:after="0" w:line="289" w:lineRule="auto"/>
        <w:tabs>
          <w:tab w:leader="none" w:pos="1535"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72" w:lineRule="exact"/>
        <w:rPr>
          <w:rFonts w:ascii="Arial" w:cs="Arial" w:eastAsia="Arial" w:hAnsi="Arial"/>
          <w:sz w:val="16"/>
          <w:szCs w:val="16"/>
          <w:color w:val="auto"/>
        </w:rPr>
      </w:pPr>
    </w:p>
    <w:p>
      <w:pPr>
        <w:jc w:val="both"/>
        <w:ind w:firstLine="1230"/>
        <w:spacing w:after="0" w:line="256" w:lineRule="auto"/>
        <w:tabs>
          <w:tab w:leader="none" w:pos="16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1" w:lineRule="exact"/>
        <w:rPr>
          <w:rFonts w:ascii="Arial" w:cs="Arial" w:eastAsia="Arial" w:hAnsi="Arial"/>
          <w:sz w:val="18"/>
          <w:szCs w:val="18"/>
          <w:color w:val="auto"/>
        </w:rPr>
      </w:pPr>
    </w:p>
    <w:p>
      <w:pPr>
        <w:jc w:val="both"/>
        <w:ind w:firstLine="823"/>
        <w:spacing w:after="0" w:line="262" w:lineRule="auto"/>
        <w:tabs>
          <w:tab w:leader="none" w:pos="1115"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No Guaranty of Employment</w:t>
      </w:r>
      <w:r>
        <w:rPr>
          <w:rFonts w:ascii="Arial" w:cs="Arial" w:eastAsia="Arial" w:hAnsi="Arial"/>
          <w:sz w:val="18"/>
          <w:szCs w:val="18"/>
          <w:color w:val="auto"/>
        </w:rPr>
        <w:t>. Nothing in this Agreement shall be deemed to entitle the Executive to continued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a Change of Control, and the rights of the Company to terminate the employment of the Executive, prior to a Change of Control, shall continue as fully as if this Agreement were not in effect.</w:t>
      </w:r>
    </w:p>
    <w:p>
      <w:pPr>
        <w:spacing w:after="0" w:line="186" w:lineRule="exact"/>
        <w:rPr>
          <w:rFonts w:ascii="Arial" w:cs="Arial" w:eastAsia="Arial" w:hAnsi="Arial"/>
          <w:sz w:val="18"/>
          <w:szCs w:val="18"/>
          <w:color w:val="auto"/>
        </w:rPr>
      </w:pPr>
    </w:p>
    <w:p>
      <w:pPr>
        <w:ind w:firstLine="823"/>
        <w:spacing w:after="0" w:line="339" w:lineRule="auto"/>
        <w:tabs>
          <w:tab w:leader="none" w:pos="1149" w:val="left"/>
        </w:tabs>
        <w:numPr>
          <w:ilvl w:val="0"/>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For purposes of this Agreement, notices and all other communications provided for in the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have been duly given when delivered or mailed by United States registered mail, return receipt registered, postage prepaid,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-3469640</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Forest City, Iowa 50436</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Raymond M. Beebe</w:t>
      </w:r>
    </w:p>
    <w:p>
      <w:pPr>
        <w:ind w:left="1240"/>
        <w:spacing w:after="0" w:line="201" w:lineRule="auto"/>
        <w:rPr>
          <w:sz w:val="20"/>
          <w:szCs w:val="20"/>
          <w:color w:val="auto"/>
        </w:rPr>
      </w:pPr>
      <w:r>
        <w:rPr>
          <w:rFonts w:ascii="Arial" w:cs="Arial" w:eastAsia="Arial" w:hAnsi="Arial"/>
          <w:sz w:val="18"/>
          <w:szCs w:val="18"/>
          <w:color w:val="auto"/>
        </w:rPr>
        <w:t>17121 – 350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ind w:left="1240"/>
        <w:spacing w:after="0"/>
        <w:rPr>
          <w:sz w:val="20"/>
          <w:szCs w:val="20"/>
          <w:color w:val="auto"/>
        </w:rPr>
      </w:pPr>
      <w:r>
        <w:rPr>
          <w:rFonts w:ascii="Arial" w:cs="Arial" w:eastAsia="Arial" w:hAnsi="Arial"/>
          <w:sz w:val="18"/>
          <w:szCs w:val="18"/>
          <w:color w:val="auto"/>
        </w:rPr>
        <w:t>Forest City, IA 50436</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jc w:val="both"/>
        <w:ind w:firstLine="823"/>
        <w:spacing w:after="0" w:line="255" w:lineRule="auto"/>
        <w:tabs>
          <w:tab w:leader="none" w:pos="1078"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No provisions of this Agreement may be modified, waived or discharged unless such waiver, modification or discharge is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93" w:lineRule="exact"/>
        <w:rPr>
          <w:rFonts w:ascii="Arial" w:cs="Arial" w:eastAsia="Arial" w:hAnsi="Arial"/>
          <w:sz w:val="18"/>
          <w:szCs w:val="18"/>
          <w:color w:val="auto"/>
        </w:rPr>
      </w:pPr>
    </w:p>
    <w:p>
      <w:pPr>
        <w:ind w:firstLine="823"/>
        <w:spacing w:after="0" w:line="275" w:lineRule="auto"/>
        <w:tabs>
          <w:tab w:leader="none" w:pos="1163"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color w:val="auto"/>
        </w:rPr>
        <w:t>. The invalidity or unenforceability of any provisions of this Agreement shall not affect the validity or enforceability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which shall remain in full force and effect.</w:t>
      </w:r>
    </w:p>
    <w:p>
      <w:pPr>
        <w:spacing w:after="0" w:line="173" w:lineRule="exact"/>
        <w:rPr>
          <w:rFonts w:ascii="Arial" w:cs="Arial" w:eastAsia="Arial" w:hAnsi="Arial"/>
          <w:sz w:val="18"/>
          <w:szCs w:val="18"/>
          <w:color w:val="auto"/>
        </w:rPr>
      </w:pPr>
    </w:p>
    <w:p>
      <w:pPr>
        <w:ind w:firstLine="823"/>
        <w:spacing w:after="0" w:line="275" w:lineRule="auto"/>
        <w:tabs>
          <w:tab w:leader="none" w:pos="1136"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386" w:gutter="0" w:footer="0" w:header="0"/>
        </w:sectPr>
      </w:pPr>
    </w:p>
    <w:bookmarkStart w:id="19" w:name="page20"/>
    <w:bookmarkEnd w:id="19"/>
    <w:p>
      <w:pPr>
        <w:ind w:left="-820" w:right="20" w:firstLine="823"/>
        <w:spacing w:after="0" w:line="275" w:lineRule="auto"/>
        <w:tabs>
          <w:tab w:leader="none" w:pos="329"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color w:val="auto"/>
        </w:rPr>
        <w:t>. The Company shall pay all legal fees and expenses which the Executive may incur as a result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contesting the validity, enforceability or the Executive’s interpretation of, or determinations under, this Agreement.</w:t>
      </w:r>
    </w:p>
    <w:p>
      <w:pPr>
        <w:spacing w:after="0" w:line="173" w:lineRule="exact"/>
        <w:rPr>
          <w:rFonts w:ascii="Arial" w:cs="Arial" w:eastAsia="Arial" w:hAnsi="Arial"/>
          <w:sz w:val="18"/>
          <w:szCs w:val="18"/>
          <w:color w:val="auto"/>
        </w:rPr>
      </w:pPr>
    </w:p>
    <w:p>
      <w:pPr>
        <w:ind w:left="-820" w:firstLine="823"/>
        <w:spacing w:after="0" w:line="275" w:lineRule="auto"/>
        <w:tabs>
          <w:tab w:leader="none" w:pos="302"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The Executive shall retain in confidence any and all confidential information known to the Executive concerning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business so long as such information is not otherwise publicly disclosed.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set out above.</w:t>
      </w:r>
    </w:p>
    <w:p>
      <w:pPr>
        <w:spacing w:after="0" w:line="200" w:lineRule="exact"/>
        <w:rPr>
          <w:sz w:val="20"/>
          <w:szCs w:val="20"/>
          <w:color w:val="auto"/>
        </w:rPr>
      </w:pP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10795</wp:posOffset>
            </wp:positionV>
            <wp:extent cx="29330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President</w:t>
      </w:r>
    </w:p>
    <w:p>
      <w:pPr>
        <w:spacing w:after="0" w:line="30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302895</wp:posOffset>
            </wp:positionV>
            <wp:extent cx="31470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506730</wp:posOffset>
            </wp:positionV>
            <wp:extent cx="725043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1060" w:top="61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EXHIBIT 15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June 29,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have reviewed, in accordance with the standards of the Public Company Accounting Oversight Board (United States), of the unaudited interim financial information of Winnebago Industries, Inc. and subsidiaries for the quarters and nine months ended May 26, 2007, and May 27, 2006, as indicated in our report dated June 29, 2007; because we did not perform an audit, we expressed no opinion on that information.</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aware that our reports referred to above, which are included in your Quarterly Report on Form 10-Q for the quarter ended May 26, 2007, is incorporated by reference in Registration Statements No. 2-40316, No. 2-82109, No. 33-21757, No. 33-59930, No. 333-31595, No. 333-47123, and No. 333-113246 on Form S-8.</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also are aware that the aforementioned reports,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097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1428750</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380" w:hanging="575"/>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380" w:right="140" w:hanging="575"/>
        <w:spacing w:after="0" w:line="259"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380" w:right="400" w:hanging="575"/>
        <w:spacing w:after="0" w:line="259"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380" w:right="20" w:hanging="575"/>
        <w:spacing w:after="0" w:line="286" w:lineRule="auto"/>
        <w:tabs>
          <w:tab w:leader="none" w:pos="1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3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8" w:lineRule="exact"/>
        <w:rPr>
          <w:rFonts w:ascii="Arial" w:cs="Arial" w:eastAsia="Arial" w:hAnsi="Arial"/>
          <w:sz w:val="16"/>
          <w:szCs w:val="16"/>
          <w:color w:val="auto"/>
        </w:rPr>
      </w:pPr>
    </w:p>
    <w:p>
      <w:pPr>
        <w:ind w:left="1940" w:right="100" w:hanging="568"/>
        <w:spacing w:after="0" w:line="306" w:lineRule="auto"/>
        <w:tabs>
          <w:tab w:leader="none" w:pos="19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940" w:right="220" w:hanging="568"/>
        <w:spacing w:after="0" w:line="306" w:lineRule="auto"/>
        <w:tabs>
          <w:tab w:leader="none" w:pos="19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ind w:left="1940" w:right="80" w:hanging="568"/>
        <w:spacing w:after="0" w:line="259" w:lineRule="auto"/>
        <w:tabs>
          <w:tab w:leader="none" w:pos="1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194" w:lineRule="exact"/>
        <w:rPr>
          <w:rFonts w:ascii="Arial" w:cs="Arial" w:eastAsia="Arial" w:hAnsi="Arial"/>
          <w:sz w:val="18"/>
          <w:szCs w:val="18"/>
          <w:color w:val="auto"/>
        </w:rPr>
      </w:pPr>
    </w:p>
    <w:p>
      <w:pPr>
        <w:ind w:left="1940" w:right="80" w:hanging="568"/>
        <w:spacing w:after="0" w:line="259" w:lineRule="auto"/>
        <w:tabs>
          <w:tab w:leader="none" w:pos="1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380" w:right="100" w:hanging="575"/>
        <w:spacing w:after="0" w:line="332" w:lineRule="auto"/>
        <w:tabs>
          <w:tab w:leader="none" w:pos="1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940" w:right="280" w:hanging="568"/>
        <w:spacing w:after="0" w:line="332" w:lineRule="auto"/>
        <w:tabs>
          <w:tab w:leader="none" w:pos="19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940" w:right="500" w:hanging="568"/>
        <w:spacing w:after="0" w:line="268" w:lineRule="auto"/>
        <w:tabs>
          <w:tab w:leader="none" w:pos="1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Pr>
          <w:p>
            <w:pPr>
              <w:ind w:left="860"/>
              <w:spacing w:after="0"/>
              <w:rPr>
                <w:sz w:val="20"/>
                <w:szCs w:val="20"/>
                <w:color w:val="auto"/>
              </w:rPr>
            </w:pPr>
            <w:r>
              <w:rPr>
                <w:rFonts w:ascii="Arial" w:cs="Arial" w:eastAsia="Arial" w:hAnsi="Arial"/>
                <w:sz w:val="18"/>
                <w:szCs w:val="18"/>
                <w:color w:val="auto"/>
              </w:rPr>
              <w:t>Date:</w:t>
            </w:r>
          </w:p>
        </w:tc>
        <w:tc>
          <w:tcPr>
            <w:tcW w:w="23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June 29, 2007</w:t>
            </w:r>
          </w:p>
        </w:tc>
        <w:tc>
          <w:tcPr>
            <w:tcW w:w="3240" w:type="dxa"/>
            <w:vAlign w:val="bottom"/>
          </w:tcPr>
          <w:p>
            <w:pPr>
              <w:ind w:left="272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Bruce D. Hertzke</w:t>
            </w:r>
          </w:p>
        </w:tc>
        <w:tc>
          <w:tcPr>
            <w:tcW w:w="400" w:type="dxa"/>
            <w:vAlign w:val="bottom"/>
          </w:tcPr>
          <w:p>
            <w:pPr>
              <w:spacing w:after="0"/>
              <w:rPr>
                <w:sz w:val="19"/>
                <w:szCs w:val="19"/>
                <w:color w:val="auto"/>
              </w:rPr>
            </w:pPr>
          </w:p>
        </w:tc>
      </w:tr>
      <w:tr>
        <w:trPr>
          <w:trHeight w:val="202"/>
        </w:trPr>
        <w:tc>
          <w:tcPr>
            <w:tcW w:w="1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Bruce D. Hertzke</w:t>
            </w:r>
          </w:p>
        </w:tc>
        <w:tc>
          <w:tcPr>
            <w:tcW w:w="40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9"/>
                <w:szCs w:val="19"/>
                <w:color w:val="auto"/>
              </w:rPr>
            </w:pPr>
          </w:p>
        </w:tc>
      </w:tr>
      <w:tr>
        <w:trPr>
          <w:trHeight w:val="377"/>
        </w:trPr>
        <w:tc>
          <w:tcPr>
            <w:tcW w:w="1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380" w:hanging="575"/>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380" w:right="140" w:hanging="575"/>
        <w:spacing w:after="0" w:line="259"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380" w:right="360" w:hanging="575"/>
        <w:spacing w:after="0" w:line="259"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380" w:right="20" w:hanging="575"/>
        <w:spacing w:after="0" w:line="286" w:lineRule="auto"/>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3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8" w:lineRule="exact"/>
        <w:rPr>
          <w:rFonts w:ascii="Arial" w:cs="Arial" w:eastAsia="Arial" w:hAnsi="Arial"/>
          <w:sz w:val="16"/>
          <w:szCs w:val="16"/>
          <w:color w:val="auto"/>
        </w:rPr>
      </w:pPr>
    </w:p>
    <w:p>
      <w:pPr>
        <w:ind w:left="1940" w:right="100" w:hanging="568"/>
        <w:spacing w:after="0" w:line="306" w:lineRule="auto"/>
        <w:tabs>
          <w:tab w:leader="none" w:pos="19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940" w:right="220" w:hanging="568"/>
        <w:spacing w:after="0" w:line="306" w:lineRule="auto"/>
        <w:tabs>
          <w:tab w:leader="none" w:pos="19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ind w:left="1940" w:right="80" w:hanging="568"/>
        <w:spacing w:after="0" w:line="259" w:lineRule="auto"/>
        <w:tabs>
          <w:tab w:leader="none" w:pos="1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194" w:lineRule="exact"/>
        <w:rPr>
          <w:rFonts w:ascii="Arial" w:cs="Arial" w:eastAsia="Arial" w:hAnsi="Arial"/>
          <w:sz w:val="18"/>
          <w:szCs w:val="18"/>
          <w:color w:val="auto"/>
        </w:rPr>
      </w:pPr>
    </w:p>
    <w:p>
      <w:pPr>
        <w:ind w:left="1940" w:right="80" w:hanging="568"/>
        <w:spacing w:after="0" w:line="259" w:lineRule="auto"/>
        <w:tabs>
          <w:tab w:leader="none" w:pos="1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380" w:right="100" w:hanging="575"/>
        <w:spacing w:after="0" w:line="332" w:lineRule="auto"/>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940" w:right="280" w:hanging="568"/>
        <w:spacing w:after="0" w:line="332" w:lineRule="auto"/>
        <w:tabs>
          <w:tab w:leader="none" w:pos="19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940" w:right="500" w:hanging="568"/>
        <w:spacing w:after="0" w:line="268" w:lineRule="auto"/>
        <w:tabs>
          <w:tab w:leader="none" w:pos="1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Pr>
          <w:p>
            <w:pPr>
              <w:ind w:left="860"/>
              <w:spacing w:after="0"/>
              <w:rPr>
                <w:sz w:val="20"/>
                <w:szCs w:val="20"/>
                <w:color w:val="auto"/>
              </w:rPr>
            </w:pPr>
            <w:r>
              <w:rPr>
                <w:rFonts w:ascii="Arial" w:cs="Arial" w:eastAsia="Arial" w:hAnsi="Arial"/>
                <w:sz w:val="18"/>
                <w:szCs w:val="18"/>
                <w:color w:val="auto"/>
              </w:rPr>
              <w:t>Date:</w:t>
            </w:r>
          </w:p>
        </w:tc>
        <w:tc>
          <w:tcPr>
            <w:tcW w:w="23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June 29, 2007</w:t>
            </w:r>
          </w:p>
        </w:tc>
        <w:tc>
          <w:tcPr>
            <w:tcW w:w="3240" w:type="dxa"/>
            <w:vAlign w:val="bottom"/>
          </w:tcPr>
          <w:p>
            <w:pPr>
              <w:ind w:left="272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Sarah N. Nielsen</w:t>
            </w:r>
          </w:p>
        </w:tc>
        <w:tc>
          <w:tcPr>
            <w:tcW w:w="400" w:type="dxa"/>
            <w:vAlign w:val="bottom"/>
          </w:tcPr>
          <w:p>
            <w:pPr>
              <w:spacing w:after="0"/>
              <w:rPr>
                <w:sz w:val="19"/>
                <w:szCs w:val="19"/>
                <w:color w:val="auto"/>
              </w:rPr>
            </w:pPr>
          </w:p>
        </w:tc>
      </w:tr>
      <w:tr>
        <w:trPr>
          <w:trHeight w:val="202"/>
        </w:trPr>
        <w:tc>
          <w:tcPr>
            <w:tcW w:w="1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40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spacing w:after="0"/>
              <w:rPr>
                <w:sz w:val="19"/>
                <w:szCs w:val="19"/>
                <w:color w:val="auto"/>
              </w:rPr>
            </w:pPr>
          </w:p>
        </w:tc>
      </w:tr>
      <w:tr>
        <w:trPr>
          <w:trHeight w:val="377"/>
        </w:trPr>
        <w:tc>
          <w:tcPr>
            <w:tcW w:w="1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left="420" w:right="2800"/>
        <w:spacing w:after="0" w:line="332" w:lineRule="auto"/>
        <w:rPr>
          <w:sz w:val="20"/>
          <w:szCs w:val="20"/>
          <w:color w:val="auto"/>
        </w:rPr>
      </w:pPr>
      <w:r>
        <w:rPr>
          <w:rFonts w:ascii="Arial" w:cs="Arial" w:eastAsia="Arial" w:hAnsi="Arial"/>
          <w:sz w:val="16"/>
          <w:szCs w:val="16"/>
          <w:color w:val="auto"/>
        </w:rPr>
        <w:t>I, Bruce D. Hertzke, Chairman of the Board and Chief Executive Officer of Winnebago Industries, Inc., certifies that pursuant to 18 U.S.C. §1350 as adopted pursuant to §906 of the Sarbanes-Oxley Act of 2002, that:</w:t>
      </w:r>
    </w:p>
    <w:p>
      <w:pPr>
        <w:spacing w:after="0" w:line="139" w:lineRule="exact"/>
        <w:rPr>
          <w:sz w:val="20"/>
          <w:szCs w:val="20"/>
          <w:color w:val="auto"/>
        </w:rPr>
      </w:pPr>
    </w:p>
    <w:p>
      <w:pPr>
        <w:jc w:val="both"/>
        <w:ind w:left="1380" w:right="160" w:hanging="575"/>
        <w:spacing w:after="0" w:line="259"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26, 2007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380" w:right="200" w:hanging="575"/>
        <w:spacing w:after="0" w:line="268"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Pr>
          <w:p>
            <w:pPr>
              <w:ind w:left="860"/>
              <w:spacing w:after="0"/>
              <w:rPr>
                <w:sz w:val="20"/>
                <w:szCs w:val="20"/>
                <w:color w:val="auto"/>
              </w:rPr>
            </w:pPr>
            <w:r>
              <w:rPr>
                <w:rFonts w:ascii="Arial" w:cs="Arial" w:eastAsia="Arial" w:hAnsi="Arial"/>
                <w:sz w:val="18"/>
                <w:szCs w:val="18"/>
                <w:color w:val="auto"/>
              </w:rPr>
              <w:t>Date:</w:t>
            </w:r>
          </w:p>
        </w:tc>
        <w:tc>
          <w:tcPr>
            <w:tcW w:w="23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June 29, 2007</w:t>
            </w:r>
          </w:p>
        </w:tc>
        <w:tc>
          <w:tcPr>
            <w:tcW w:w="3240" w:type="dxa"/>
            <w:vAlign w:val="bottom"/>
          </w:tcPr>
          <w:p>
            <w:pPr>
              <w:ind w:left="272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Bruce D. Hertzke</w:t>
            </w:r>
          </w:p>
        </w:tc>
        <w:tc>
          <w:tcPr>
            <w:tcW w:w="400" w:type="dxa"/>
            <w:vAlign w:val="bottom"/>
          </w:tcPr>
          <w:p>
            <w:pPr>
              <w:spacing w:after="0"/>
              <w:rPr>
                <w:sz w:val="19"/>
                <w:szCs w:val="19"/>
                <w:color w:val="auto"/>
              </w:rPr>
            </w:pPr>
          </w:p>
        </w:tc>
      </w:tr>
      <w:tr>
        <w:trPr>
          <w:trHeight w:val="202"/>
        </w:trPr>
        <w:tc>
          <w:tcPr>
            <w:tcW w:w="1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Bruce D. Hertzke</w:t>
            </w:r>
          </w:p>
        </w:tc>
        <w:tc>
          <w:tcPr>
            <w:tcW w:w="40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9"/>
                <w:szCs w:val="19"/>
                <w:color w:val="auto"/>
              </w:rPr>
            </w:pPr>
          </w:p>
        </w:tc>
      </w:tr>
      <w:tr>
        <w:trPr>
          <w:trHeight w:val="1835"/>
        </w:trPr>
        <w:tc>
          <w:tcPr>
            <w:tcW w:w="1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 Sarah N. Nielsen, Chief Financial Officer of Winnebago Industries, Inc., certifies that pursuant to 18 U.S.C. §1350 as adopted pursuant to §906 of the</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Sarbanes-Oxley Act of 2002, that:</w:t>
      </w:r>
    </w:p>
    <w:p>
      <w:pPr>
        <w:spacing w:after="0" w:line="219" w:lineRule="exact"/>
        <w:rPr>
          <w:sz w:val="20"/>
          <w:szCs w:val="20"/>
          <w:color w:val="auto"/>
        </w:rPr>
      </w:pPr>
    </w:p>
    <w:p>
      <w:pPr>
        <w:jc w:val="both"/>
        <w:ind w:left="1380" w:right="160" w:hanging="575"/>
        <w:spacing w:after="0" w:line="259"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26, 2007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380" w:right="200" w:hanging="575"/>
        <w:spacing w:after="0" w:line="268"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Pr>
          <w:p>
            <w:pPr>
              <w:ind w:left="860"/>
              <w:spacing w:after="0"/>
              <w:rPr>
                <w:sz w:val="20"/>
                <w:szCs w:val="20"/>
                <w:color w:val="auto"/>
              </w:rPr>
            </w:pPr>
            <w:r>
              <w:rPr>
                <w:rFonts w:ascii="Arial" w:cs="Arial" w:eastAsia="Arial" w:hAnsi="Arial"/>
                <w:sz w:val="18"/>
                <w:szCs w:val="18"/>
                <w:color w:val="auto"/>
              </w:rPr>
              <w:t>Date:</w:t>
            </w:r>
          </w:p>
        </w:tc>
        <w:tc>
          <w:tcPr>
            <w:tcW w:w="23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June 29, 2007</w:t>
            </w:r>
          </w:p>
        </w:tc>
        <w:tc>
          <w:tcPr>
            <w:tcW w:w="3240" w:type="dxa"/>
            <w:vAlign w:val="bottom"/>
          </w:tcPr>
          <w:p>
            <w:pPr>
              <w:ind w:left="272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Sarah N. Nielsen</w:t>
            </w:r>
          </w:p>
        </w:tc>
        <w:tc>
          <w:tcPr>
            <w:tcW w:w="400" w:type="dxa"/>
            <w:vAlign w:val="bottom"/>
          </w:tcPr>
          <w:p>
            <w:pPr>
              <w:spacing w:after="0"/>
              <w:rPr>
                <w:sz w:val="19"/>
                <w:szCs w:val="19"/>
                <w:color w:val="auto"/>
              </w:rPr>
            </w:pPr>
          </w:p>
        </w:tc>
      </w:tr>
      <w:tr>
        <w:trPr>
          <w:trHeight w:val="202"/>
        </w:trPr>
        <w:tc>
          <w:tcPr>
            <w:tcW w:w="1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40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spacing w:after="0"/>
              <w:rPr>
                <w:sz w:val="19"/>
                <w:szCs w:val="19"/>
                <w:color w:val="auto"/>
              </w:rPr>
            </w:pPr>
          </w:p>
        </w:tc>
      </w:tr>
      <w:tr>
        <w:trPr>
          <w:trHeight w:val="1835"/>
        </w:trPr>
        <w:tc>
          <w:tcPr>
            <w:tcW w:w="1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0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5"/>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decimal"/>
      <w:start w:val="3"/>
    </w:lvl>
    <w:lvl w:ilvl="1">
      <w:lvlJc w:val="left"/>
      <w:lvlText w:val="(%2)"/>
      <w:numFmt w:val="lowerLetter"/>
      <w:start w:val="1"/>
    </w:lvl>
  </w:abstractNum>
  <w:abstractNum w:abstractNumId="9">
    <w:nsid w:val="25E45D32"/>
    <w:multiLevelType w:val="hybridMultilevel"/>
    <w:lvl w:ilvl="0">
      <w:lvlJc w:val="left"/>
      <w:lvlText w:val="%1"/>
      <w:numFmt w:val="lowerRoman"/>
      <w:start w:val="1"/>
    </w:lvl>
    <w:lvl w:ilvl="1">
      <w:lvlJc w:val="left"/>
      <w:lvlText w:val="(%2)"/>
      <w:numFmt w:val="lowerLetter"/>
      <w:start w:val="1"/>
    </w:lvl>
  </w:abstractNum>
  <w:abstractNum w:abstractNumId="10">
    <w:nsid w:val="519B500D"/>
    <w:multiLevelType w:val="hybridMultilevel"/>
    <w:lvl w:ilvl="0">
      <w:lvlJc w:val="left"/>
      <w:lvlText w:val="(%1)"/>
      <w:numFmt w:val="lowerRoman"/>
      <w:start w:val="1"/>
    </w:lvl>
    <w:lvl w:ilvl="1">
      <w:lvlJc w:val="left"/>
      <w:lvlText w:val="%2"/>
      <w:numFmt w:val="lowerLetter"/>
      <w:start w:val="1"/>
    </w:lvl>
  </w:abstractNum>
  <w:abstractNum w:abstractNumId="11">
    <w:nsid w:val="431BD7B7"/>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5"/>
    </w:lvl>
  </w:abstractNum>
  <w:abstractNum w:abstractNumId="12">
    <w:nsid w:val="3F2DBA31"/>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13">
    <w:nsid w:val="7C83E458"/>
    <w:multiLevelType w:val="hybridMultilevel"/>
    <w:lvl w:ilvl="0">
      <w:lvlJc w:val="left"/>
      <w:lvlText w:val="%1"/>
      <w:numFmt w:val="decimal"/>
      <w:start w:val="1"/>
    </w:lvl>
    <w:lvl w:ilvl="1">
      <w:lvlJc w:val="left"/>
      <w:lvlText w:val="(%2)"/>
      <w:numFmt w:val="lowerLetter"/>
      <w:start w:val="2"/>
    </w:lvl>
  </w:abstractNum>
  <w:abstractNum w:abstractNumId="14">
    <w:nsid w:val="257130A3"/>
    <w:multiLevelType w:val="hybridMultilevel"/>
    <w:lvl w:ilvl="0">
      <w:lvlJc w:val="left"/>
      <w:lvlText w:val="%1."/>
      <w:numFmt w:val="decimal"/>
      <w:start w:val="8"/>
    </w:lvl>
    <w:lvl w:ilvl="1">
      <w:lvlJc w:val="left"/>
      <w:lvlText w:val="(%2)"/>
      <w:numFmt w:val="lowerLetter"/>
      <w:start w:val="1"/>
    </w:lvl>
  </w:abstractNum>
  <w:abstractNum w:abstractNumId="15">
    <w:nsid w:val="62BBD95A"/>
    <w:multiLevelType w:val="hybridMultilevel"/>
    <w:lvl w:ilvl="0">
      <w:lvlJc w:val="left"/>
      <w:lvlText w:val="(%1)"/>
      <w:numFmt w:val="lowerRoman"/>
      <w:start w:val="1"/>
    </w:lvl>
  </w:abstractNum>
  <w:abstractNum w:abstractNumId="16">
    <w:nsid w:val="436C6125"/>
    <w:multiLevelType w:val="hybridMultilevel"/>
    <w:lvl w:ilvl="0">
      <w:lvlJc w:val="left"/>
      <w:lvlText w:val="(%1)"/>
      <w:numFmt w:val="lowerLetter"/>
      <w:start w:val="4"/>
    </w:lvl>
  </w:abstractNum>
  <w:abstractNum w:abstractNumId="17">
    <w:nsid w:val="628C895D"/>
    <w:multiLevelType w:val="hybridMultilevel"/>
    <w:lvl w:ilvl="0">
      <w:lvlJc w:val="left"/>
      <w:lvlText w:val="%1."/>
      <w:numFmt w:val="decimal"/>
      <w:start w:val="9"/>
    </w:lvl>
    <w:lvl w:ilvl="1">
      <w:lvlJc w:val="left"/>
      <w:lvlText w:val="(%2)"/>
      <w:numFmt w:val="lowerLetter"/>
      <w:start w:val="1"/>
    </w:lvl>
  </w:abstractNum>
  <w:abstractNum w:abstractNumId="18">
    <w:nsid w:val="333AB105"/>
    <w:multiLevelType w:val="hybridMultilevel"/>
    <w:lvl w:ilvl="0">
      <w:lvlJc w:val="left"/>
      <w:lvlText w:val="%1."/>
      <w:numFmt w:val="decimal"/>
      <w:start w:val="13"/>
    </w:lvl>
  </w:abstractNum>
  <w:abstractNum w:abstractNumId="19">
    <w:nsid w:val="721DA317"/>
    <w:multiLevelType w:val="hybridMultilevel"/>
    <w:lvl w:ilvl="0">
      <w:lvlJc w:val="left"/>
      <w:lvlText w:val="%1."/>
      <w:numFmt w:val="decimal"/>
      <w:start w:val="16"/>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2019-12-13T08:13:43Z</dcterms:created>
  <dcterms:modified xsi:type="dcterms:W3CDTF">2019-12-13T08:13:43Z</dcterms:modified>
</cp:coreProperties>
</file>