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27)*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MARCH 18, 2004</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1"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Hanson Capital Partners, L.L.C.  I.R.S. Identification No. 52-2286575</w:t>
      </w:r>
    </w:p>
    <w:tbl>
      <w:tblPr>
        <w:tblLayout w:type="fixed"/>
        <w:tblInd w:w="640" w:type="dxa"/>
        <w:tblCellMar>
          <w:top w:w="0" w:type="dxa"/>
          <w:left w:w="0" w:type="dxa"/>
          <w:bottom w:w="0" w:type="dxa"/>
          <w:right w:w="0" w:type="dxa"/>
        </w:tblCellMar>
      </w:tblPr>
      <w:tr>
        <w:trPr>
          <w:trHeight w:val="203"/>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John V. Hanson</w:t>
            </w:r>
          </w:p>
        </w:tc>
        <w:tc>
          <w:tcPr>
            <w:tcW w:w="2040" w:type="dxa"/>
            <w:vAlign w:val="bottom"/>
            <w:gridSpan w:val="2"/>
          </w:tcPr>
          <w:p>
            <w:pPr>
              <w:ind w:left="460"/>
              <w:spacing w:after="0"/>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620" w:val="left"/>
          <w:tab w:leader="none" w:pos="76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(a)[x]</w:t>
      </w:r>
    </w:p>
    <w:p>
      <w:pPr>
        <w:ind w:left="640"/>
        <w:spacing w:after="0"/>
        <w:tabs>
          <w:tab w:leader="none" w:pos="768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(b)[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ectPr>
          <w:pgSz w:w="11900" w:h="16838" w:orient="portrait"/>
          <w:cols w:equalWidth="0" w:num="1">
            <w:col w:w="10219"/>
          </w:cols>
          <w:pgMar w:left="240" w:top="447"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1579"/>
        <w:spacing w:after="0" w:line="236" w:lineRule="auto"/>
        <w:rPr>
          <w:sz w:val="20"/>
          <w:szCs w:val="20"/>
          <w:color w:val="auto"/>
        </w:rPr>
      </w:pPr>
      <w:r>
        <w:rPr>
          <w:rFonts w:ascii="Courier New" w:cs="Courier New" w:eastAsia="Courier New" w:hAnsi="Courier New"/>
          <w:sz w:val="18"/>
          <w:szCs w:val="18"/>
          <w:color w:val="auto"/>
        </w:rPr>
        <w:t>- -------------------------------------------------------------------------------- (5) Check if Disclosure of Legal Proceedings is Required Pursuant [ ] to Items 2(d) or 2(e)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6" w:lineRule="exact"/>
        <w:rPr>
          <w:rFonts w:ascii="Courier New" w:cs="Courier New" w:eastAsia="Courier New" w:hAnsi="Courier New"/>
          <w:sz w:val="18"/>
          <w:szCs w:val="18"/>
          <w:color w:val="auto"/>
        </w:rPr>
      </w:pPr>
    </w:p>
    <w:p>
      <w:pPr>
        <w:ind w:left="64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1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7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7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3,886,212+ shares (11.4%)</w:t>
            </w: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40,260+ (includes 200+ shares owned</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by wife and 40,000+ shares which</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 has a right to</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 shares</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 Boman,</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40,000+ shares which Gerald E.</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has the right to acquire)*</w:t>
            </w: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70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25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03"/>
        </w:trPr>
        <w:tc>
          <w:tcPr>
            <w:tcW w:w="4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2"/>
              </w:rPr>
              <w:t>SHARES</w:t>
            </w:r>
            <w:r>
              <w:rPr>
                <w:rFonts w:ascii="Courier New" w:cs="Courier New" w:eastAsia="Courier New" w:hAnsi="Courier New"/>
                <w:sz w:val="11"/>
                <w:szCs w:val="11"/>
                <w:color w:val="auto"/>
                <w:w w:val="72"/>
              </w:rPr>
              <w:t>------------------------------------------------------------------</w:t>
            </w:r>
          </w:p>
        </w:tc>
        <w:tc>
          <w:tcPr>
            <w:tcW w:w="37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70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w:t>
            </w:r>
          </w:p>
        </w:tc>
        <w:tc>
          <w:tcPr>
            <w:tcW w:w="25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03"/>
        </w:trPr>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EACH</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70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25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03"/>
        </w:trPr>
        <w:tc>
          <w:tcPr>
            <w:tcW w:w="4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2"/>
              </w:rPr>
              <w:t>PERSON</w:t>
            </w:r>
            <w:r>
              <w:rPr>
                <w:rFonts w:ascii="Courier New" w:cs="Courier New" w:eastAsia="Courier New" w:hAnsi="Courier New"/>
                <w:sz w:val="11"/>
                <w:szCs w:val="11"/>
                <w:color w:val="auto"/>
                <w:w w:val="72"/>
              </w:rPr>
              <w:t>------------------------------------------------------------------</w:t>
            </w:r>
          </w:p>
        </w:tc>
        <w:tc>
          <w:tcPr>
            <w:tcW w:w="3700" w:type="dxa"/>
            <w:vAlign w:val="bottom"/>
          </w:tcPr>
          <w:p>
            <w:pPr>
              <w:spacing w:after="0"/>
              <w:rPr>
                <w:sz w:val="17"/>
                <w:szCs w:val="17"/>
                <w:color w:val="auto"/>
              </w:rPr>
            </w:pPr>
          </w:p>
        </w:tc>
      </w:tr>
      <w:tr>
        <w:trPr>
          <w:trHeight w:val="203"/>
        </w:trPr>
        <w:tc>
          <w:tcPr>
            <w:tcW w:w="21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(9)</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7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7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3,886,212+ shares (11.4%)</w:t>
            </w: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40,260+ (includes 200+ shares owned</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by wife and 40,000+ shares which</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 has a right to</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 shares</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 Boman,</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40,000+ shares which Gerald E.</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has the right to acquire)*</w:t>
            </w: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700" w:type="dxa"/>
            <w:vAlign w:val="bottom"/>
          </w:tcPr>
          <w:p>
            <w:pPr>
              <w:spacing w:after="0"/>
              <w:rPr>
                <w:sz w:val="17"/>
                <w:szCs w:val="17"/>
                <w:color w:val="auto"/>
              </w:rPr>
            </w:pPr>
          </w:p>
        </w:tc>
      </w:tr>
      <w:tr>
        <w:trPr>
          <w:trHeight w:val="405"/>
        </w:trPr>
        <w:tc>
          <w:tcPr>
            <w:tcW w:w="4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2"/>
              </w:rPr>
              <w:t>WITH</w:t>
            </w:r>
            <w:r>
              <w:rPr>
                <w:rFonts w:ascii="Courier New" w:cs="Courier New" w:eastAsia="Courier New" w:hAnsi="Courier New"/>
                <w:sz w:val="11"/>
                <w:szCs w:val="11"/>
                <w:color w:val="auto"/>
                <w:w w:val="72"/>
              </w:rPr>
              <w:t>------------------------------------------------------------------</w:t>
            </w:r>
          </w:p>
        </w:tc>
        <w:tc>
          <w:tcPr>
            <w:tcW w:w="3700" w:type="dxa"/>
            <w:vAlign w:val="bottom"/>
          </w:tcPr>
          <w:p>
            <w:pPr>
              <w:spacing w:after="0"/>
              <w:rPr>
                <w:sz w:val="24"/>
                <w:szCs w:val="24"/>
                <w:color w:val="auto"/>
              </w:rPr>
            </w:pPr>
          </w:p>
        </w:tc>
      </w:tr>
      <w:tr>
        <w:trPr>
          <w:trHeight w:val="203"/>
        </w:trPr>
        <w:tc>
          <w:tcPr>
            <w:tcW w:w="21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37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7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320" w:right="2739" w:hanging="312"/>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3259" w:hanging="632"/>
        <w:spacing w:after="0" w:line="470"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ectPr>
          <w:pgSz w:w="11900" w:h="16838" w:orient="portrait"/>
          <w:cols w:equalWidth="0" w:num="1">
            <w:col w:w="10219"/>
          </w:cols>
          <w:pgMar w:left="240" w:top="717" w:right="1440" w:bottom="1440" w:gutter="0" w:footer="0" w:header="0"/>
        </w:sectPr>
      </w:pPr>
    </w:p>
    <w:p>
      <w:pPr>
        <w:spacing w:after="0" w:line="214" w:lineRule="exact"/>
        <w:rPr>
          <w:sz w:val="20"/>
          <w:szCs w:val="20"/>
          <w:color w:val="auto"/>
        </w:rPr>
      </w:pPr>
    </w:p>
    <w:p>
      <w:pPr>
        <w:ind w:left="640" w:hanging="639"/>
        <w:spacing w:after="0" w:line="235" w:lineRule="auto"/>
        <w:tabs>
          <w:tab w:leader="none" w:pos="620" w:val="left"/>
        </w:tabs>
        <w:rPr>
          <w:sz w:val="20"/>
          <w:szCs w:val="20"/>
          <w:color w:val="auto"/>
        </w:rPr>
      </w:pPr>
      <w:r>
        <w:rPr>
          <w:rFonts w:ascii="Courier New" w:cs="Courier New" w:eastAsia="Courier New" w:hAnsi="Courier New"/>
          <w:sz w:val="18"/>
          <w:szCs w:val="18"/>
          <w:color w:val="auto"/>
        </w:rPr>
        <w:t>(12)</w:t>
        <w:tab/>
        <w:t>Check if the Aggregate Amount in Row (11) Excludes Certain Shares (See Instructions)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18" w:lineRule="exact"/>
        <w:rPr>
          <w:sz w:val="20"/>
          <w:szCs w:val="20"/>
          <w:color w:val="auto"/>
        </w:rPr>
      </w:pPr>
    </w:p>
    <w:p>
      <w:pPr>
        <w:sectPr>
          <w:pgSz w:w="11900" w:h="16838" w:orient="portrait"/>
          <w:cols w:equalWidth="0" w:num="2">
            <w:col w:w="7480" w:space="640"/>
            <w:col w:w="2099"/>
          </w:cols>
          <w:pgMar w:left="240" w:top="717" w:right="1440" w:bottom="1440" w:gutter="0" w:footer="0" w:header="0"/>
          <w:type w:val="continuous"/>
        </w:sectPr>
      </w:pPr>
    </w:p>
    <w:p>
      <w:pPr>
        <w:spacing w:after="0" w:line="211" w:lineRule="exact"/>
        <w:rPr>
          <w:sz w:val="20"/>
          <w:szCs w:val="20"/>
          <w:color w:val="auto"/>
        </w:rPr>
      </w:pPr>
    </w:p>
    <w:p>
      <w:pPr>
        <w:ind w:left="640" w:right="4319" w:hanging="632"/>
        <w:spacing w:after="0" w:line="470"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5059" w:hanging="632"/>
        <w:spacing w:after="0" w:line="536"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717" w:right="1440" w:bottom="1440" w:gutter="0" w:footer="0" w:header="0"/>
          <w:type w:val="continuous"/>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240,000 shares of Common Stock as a result of the sale by HCP on March 18, 2004 of 100,000 shares of Common Stock through a broker pursuant to the Rule 10b5-1 Trading Plan (the "TRADING PLAN") with Bessemer Trust Company of Florida and the sale by HCP on March 19, 2004 of 140,000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March 18, 2004, HCP sold 100,000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$3,031,164 or an average price per share of $30.3116 and on March 19, 2004, HCP</w:t>
      </w:r>
    </w:p>
    <w:p>
      <w:pPr>
        <w:spacing w:after="0" w:line="237" w:lineRule="auto"/>
        <w:rPr>
          <w:sz w:val="20"/>
          <w:szCs w:val="20"/>
          <w:color w:val="auto"/>
        </w:rPr>
      </w:pPr>
      <w:r>
        <w:rPr>
          <w:rFonts w:ascii="Courier New" w:cs="Courier New" w:eastAsia="Courier New" w:hAnsi="Courier New"/>
          <w:sz w:val="18"/>
          <w:szCs w:val="18"/>
          <w:color w:val="auto"/>
        </w:rPr>
        <w:t>sold 140,000 shares of Common Stock through a broker pursuant to the Trading</w:t>
      </w:r>
    </w:p>
    <w:p>
      <w:pPr>
        <w:spacing w:after="0" w:line="238" w:lineRule="auto"/>
        <w:rPr>
          <w:sz w:val="20"/>
          <w:szCs w:val="20"/>
          <w:color w:val="auto"/>
        </w:rPr>
      </w:pPr>
      <w:r>
        <w:rPr>
          <w:rFonts w:ascii="Courier New" w:cs="Courier New" w:eastAsia="Courier New" w:hAnsi="Courier New"/>
          <w:sz w:val="18"/>
          <w:szCs w:val="18"/>
          <w:color w:val="auto"/>
        </w:rPr>
        <w:t>Plan for an approximate purchase price of $4,212,434 or an average price per</w:t>
      </w:r>
    </w:p>
    <w:p>
      <w:pPr>
        <w:spacing w:after="0"/>
        <w:rPr>
          <w:sz w:val="20"/>
          <w:szCs w:val="20"/>
          <w:color w:val="auto"/>
        </w:rPr>
      </w:pPr>
      <w:r>
        <w:rPr>
          <w:rFonts w:ascii="Courier New" w:cs="Courier New" w:eastAsia="Courier New" w:hAnsi="Courier New"/>
          <w:sz w:val="18"/>
          <w:szCs w:val="18"/>
          <w:color w:val="auto"/>
        </w:rPr>
        <w:t>share of $30.0888.</w:t>
      </w:r>
    </w:p>
    <w:p>
      <w:pPr>
        <w:spacing w:after="0" w:line="206"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3,886,212+ shares of Common Stock, which represent approximately 11.4%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960" w:right="1779" w:hanging="952"/>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 respect to 3,886,212+ shares of Common Stock of which HCP is the beneficial owner. A majority of the Individual Trustees together with the Corporate Trustee have sole dispositive power with respect to the 3,886,212+ shares of Common Stock of which HCP is the beneficial owner, except that disposition of all or substantially all of those shares requires the unanimous approval of all members of HCP.</w:t>
      </w:r>
    </w:p>
    <w:p>
      <w:pPr>
        <w:spacing w:after="0" w:line="213" w:lineRule="exact"/>
        <w:rPr>
          <w:rFonts w:ascii="Courier New" w:cs="Courier New" w:eastAsia="Courier New" w:hAnsi="Courier New"/>
          <w:sz w:val="18"/>
          <w:szCs w:val="18"/>
          <w:color w:val="auto"/>
        </w:rPr>
      </w:pPr>
    </w:p>
    <w:p>
      <w:pPr>
        <w:ind w:left="960" w:right="1779" w:hanging="952"/>
        <w:spacing w:after="0" w:line="268"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103,400 shares of Common Stock by HCP on March 11, 2004 and March 12, 2004, as reported on Schedule 13D (Amendment No. 26),</w:t>
      </w:r>
    </w:p>
    <w:p>
      <w:pPr>
        <w:ind w:left="960" w:right="1779" w:hanging="4"/>
        <w:spacing w:after="0" w:line="237" w:lineRule="auto"/>
        <w:tabs>
          <w:tab w:leader="none" w:pos="159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an aggregate of 152,200 shares of Common Stock by HCP on March 9, 2004 and March 10, 2004, as reported on Schedule 13D (Amendment No. 25), (iv) the sale of 25,000 shares of Common Stock by HCP on March 5, 2004, as reported on Schedule 13D (Amendment No. 24),</w:t>
      </w:r>
    </w:p>
    <w:p>
      <w:pPr>
        <w:spacing w:after="0" w:line="4" w:lineRule="exact"/>
        <w:rPr>
          <w:rFonts w:ascii="Courier New" w:cs="Courier New" w:eastAsia="Courier New" w:hAnsi="Courier New"/>
          <w:sz w:val="18"/>
          <w:szCs w:val="18"/>
          <w:color w:val="auto"/>
        </w:rPr>
      </w:pPr>
    </w:p>
    <w:p>
      <w:pPr>
        <w:ind w:left="960" w:right="1779" w:hanging="4"/>
        <w:spacing w:after="0" w:line="268" w:lineRule="auto"/>
        <w:tabs>
          <w:tab w:leader="none" w:pos="1381"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46,100 shares of Common Stock by HCP on March 4, 2004, as reported on Schedule 13D (Amendment No. 23), (vi) the sale of 24,000 shares of Common Stock by HCP on January 26, 2004, as reported on Schedule 13D (Amendment No. 21), (vii) the sale of an aggregate of 117,300 shares of Common Stock by HCP during the period from January 21, 2004 through January 23, 2004, as reported on Schedule 13D (Amendment No. 20), and (viii) the sale of an aggregate of 119,800 shares of Common Stock by HCP during the period from January 15, 2004 through January 20, 2004, as reported on Schedule 13D (Amendment No.</w:t>
      </w:r>
    </w:p>
    <w:p>
      <w:pPr>
        <w:spacing w:after="0" w:line="1" w:lineRule="exact"/>
        <w:rPr>
          <w:rFonts w:ascii="Courier New" w:cs="Courier New" w:eastAsia="Courier New" w:hAnsi="Courier New"/>
          <w:sz w:val="16"/>
          <w:szCs w:val="16"/>
          <w:color w:val="auto"/>
        </w:rPr>
      </w:pPr>
    </w:p>
    <w:p>
      <w:pPr>
        <w:ind w:left="960"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 none of HCP, John V. Hanson, Mary Joan Boman or Paul D. Hanson has had any transactions in Common Stock during the past 60 days.</w:t>
      </w:r>
    </w:p>
    <w:p>
      <w:pPr>
        <w:spacing w:after="0" w:line="202"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12, 2004, HCP entered into the Trading Plan with Bessemer Trust Company. HCP intends to sell up to 2,428,900 shares of Common Stock at a minimum price of $30.00 per share pursuant to the Trading Plan. The maximum number of shares of Common Stock that may be sold under the Trading Plan and the minimum price at which each share of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320" w:right="2739" w:hanging="312"/>
        <w:spacing w:after="0" w:line="235" w:lineRule="auto"/>
        <w:tabs>
          <w:tab w:leader="none" w:pos="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described in the preceding sentence were adjusted automatically on a proportionate basis to take into account a 2 for 1 dividend of Winnebago's Common Stock on March 5, 2004. The Trading Plan terminates on July 31, 2004,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HANSON CAPITAL PARTNERS, L.L.C.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March 22,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V. Hanson, as Managing Director</w:t>
      </w:r>
    </w:p>
    <w:p>
      <w:pPr>
        <w:spacing w:after="0" w:line="200" w:lineRule="exact"/>
        <w:rPr>
          <w:sz w:val="20"/>
          <w:szCs w:val="20"/>
          <w:color w:val="auto"/>
        </w:rPr>
      </w:pPr>
    </w:p>
    <w:p>
      <w:pPr>
        <w:sectPr>
          <w:pgSz w:w="11900" w:h="16838" w:orient="portrait"/>
          <w:cols w:equalWidth="0" w:num="2">
            <w:col w:w="3820" w:space="720"/>
            <w:col w:w="5679"/>
          </w:cols>
          <w:pgMar w:left="240" w:top="717" w:right="1440" w:bottom="1440" w:gutter="0" w:footer="0" w:header="0"/>
          <w:type w:val="continuous"/>
        </w:sect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March 22,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Joan Boman, as Managing Director</w:t>
      </w:r>
    </w:p>
    <w:p>
      <w:pPr>
        <w:spacing w:after="0" w:line="200" w:lineRule="exact"/>
        <w:rPr>
          <w:sz w:val="20"/>
          <w:szCs w:val="20"/>
          <w:color w:val="auto"/>
        </w:rPr>
      </w:pPr>
    </w:p>
    <w:p>
      <w:pPr>
        <w:sectPr>
          <w:pgSz w:w="11900" w:h="16838" w:orient="portrait"/>
          <w:cols w:equalWidth="0" w:num="2">
            <w:col w:w="3820" w:space="720"/>
            <w:col w:w="5679"/>
          </w:cols>
          <w:pgMar w:left="240" w:top="717" w:right="1440" w:bottom="1440" w:gutter="0" w:footer="0" w:header="0"/>
          <w:type w:val="continuous"/>
        </w:sect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March 22,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D. Hanson, as Managing Director</w:t>
      </w:r>
    </w:p>
    <w:p>
      <w:pPr>
        <w:sectPr>
          <w:pgSz w:w="11900" w:h="16838" w:orient="portrait"/>
          <w:cols w:equalWidth="0" w:num="2">
            <w:col w:w="3820" w:space="720"/>
            <w:col w:w="5679"/>
          </w:cols>
          <w:pgMar w:left="240" w:top="717"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March 22,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March 22,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717"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March 22,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4"/>
    </w:lvl>
  </w:abstractNum>
  <w:abstractNum w:abstractNumId="4">
    <w:nsid w:val="1F16E9E8"/>
    <w:multiLevelType w:val="hybridMultilevel"/>
    <w:lvl w:ilvl="0">
      <w:lvlJc w:val="left"/>
      <w:lvlText w:val="(%1)"/>
      <w:numFmt w:val="decimal"/>
      <w:start w:val="6"/>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1"/>
    </w:lvl>
  </w:abstractNum>
  <w:abstractNum w:abstractNumId="8">
    <w:nsid w:val="3352255A"/>
    <w:multiLevelType w:val="hybridMultilevel"/>
    <w:lvl w:ilvl="0">
      <w:lvlJc w:val="left"/>
      <w:lvlText w:val="(%1)"/>
      <w:numFmt w:val="decimal"/>
      <w:start w:val="13"/>
    </w:lvl>
  </w:abstractNum>
  <w:abstractNum w:abstractNumId="9">
    <w:nsid w:val="109CF92E"/>
    <w:multiLevelType w:val="hybridMultilevel"/>
    <w:lvl w:ilvl="0">
      <w:lvlJc w:val="left"/>
      <w:lvlText w:val="(%1)"/>
      <w:numFmt w:val="decimal"/>
      <w:start w:val="14"/>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lowerLetter"/>
      <w:start w:val="2"/>
    </w:lvl>
    <w:lvl w:ilvl="1">
      <w:lvlJc w:val="left"/>
      <w:lvlText w:val="(%2)"/>
      <w:numFmt w:val="lowerLetter"/>
      <w:start w:val="61"/>
    </w:lvl>
  </w:abstractNum>
  <w:abstractNum w:abstractNumId="14">
    <w:nsid w:val="6B68079A"/>
    <w:multiLevelType w:val="hybridMultilevel"/>
    <w:lvl w:ilvl="0">
      <w:lvlJc w:val="left"/>
      <w:lvlText w:val="%1"/>
      <w:numFmt w:val="lowerLetter"/>
      <w:start w:val="1"/>
    </w:lvl>
    <w:lvl w:ilvl="1">
      <w:lvlJc w:val="left"/>
      <w:lvlText w:val="(%2)"/>
      <w:numFmt w:val="lowerLetter"/>
      <w:start w:val="22"/>
    </w:lvl>
  </w:abstractNum>
  <w:abstractNum w:abstractNumId="15">
    <w:nsid w:val="4E6AFB66"/>
    <w:multiLevelType w:val="hybridMultilevel"/>
    <w:lvl w:ilvl="0">
      <w:lvlJc w:val="left"/>
      <w:lvlText w:val="(%1)"/>
      <w:numFmt w:val="lowerLetter"/>
      <w:start w:val="4"/>
    </w:lvl>
    <w:lvl w:ilvl="1">
      <w:lvlJc w:val="left"/>
      <w:lvlText w:val="%2"/>
      <w:numFmt w:val="lowerLetter"/>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2019-12-11T19:24:36Z</dcterms:created>
  <dcterms:modified xsi:type="dcterms:W3CDTF">2019-12-11T19:24:36Z</dcterms:modified>
</cp:coreProperties>
</file>