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right"/>
        <w:ind w:right="1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0E2A35"/>
        </w:rPr>
        <w:t>☒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 xml:space="preserve">Filed by party other than the Registrant </w:t>
      </w:r>
      <w:r>
        <w:rPr>
          <w:rFonts w:ascii="MS PGothic" w:cs="MS PGothic" w:eastAsia="MS PGothic" w:hAnsi="MS PGothic"/>
          <w:sz w:val="18"/>
          <w:szCs w:val="18"/>
          <w:color w:val="0E2A35"/>
        </w:rPr>
        <w:t>☐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>Check the appropriate box: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Preliminary Proxy Statement</w:t>
      </w:r>
    </w:p>
    <w:p>
      <w:pPr>
        <w:spacing w:after="0" w:line="180" w:lineRule="exact"/>
        <w:rPr>
          <w:rFonts w:ascii="MS PGothic" w:cs="MS PGothic" w:eastAsia="MS PGothic" w:hAnsi="MS PGothic"/>
          <w:sz w:val="18"/>
          <w:szCs w:val="18"/>
          <w:color w:val="0E2A35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E2A35"/>
        </w:rPr>
        <w:t>Confidential, For Use of the Commission Only (as permitted by Rule 14a-6(e)(2))</w:t>
      </w:r>
    </w:p>
    <w:p>
      <w:pPr>
        <w:spacing w:after="0" w:line="188" w:lineRule="exact"/>
        <w:rPr>
          <w:rFonts w:ascii="MS PGothic" w:cs="MS PGothic" w:eastAsia="MS PGothic" w:hAnsi="MS PGothic"/>
          <w:sz w:val="18"/>
          <w:szCs w:val="18"/>
          <w:color w:val="0E2A35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Definitive Proxy Statement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Definitive Additional Materials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1991360</wp:posOffset>
            </wp:positionH>
            <wp:positionV relativeFrom="paragraph">
              <wp:posOffset>168910</wp:posOffset>
            </wp:positionV>
            <wp:extent cx="2202815" cy="522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52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> 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> 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0E2A35"/>
        </w:rPr>
        <w:t>WINNEBAGO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58420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254635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E2A35"/>
        </w:rPr>
        <w:t>(Name of Person(s) Filing Proxy Statement, if Other than the Registrant)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E2A35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60" w:hanging="448"/>
        <w:spacing w:after="0"/>
        <w:tabs>
          <w:tab w:leader="none" w:pos="5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No fee required.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0E2A35"/>
        </w:rPr>
      </w:pPr>
    </w:p>
    <w:p>
      <w:pPr>
        <w:ind w:left="560" w:hanging="444"/>
        <w:spacing w:after="0"/>
        <w:tabs>
          <w:tab w:leader="none" w:pos="5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Fee previously paid with preliminary materials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0E2A35"/>
        </w:rPr>
      </w:pPr>
    </w:p>
    <w:p>
      <w:pPr>
        <w:ind w:left="560" w:hanging="444"/>
        <w:spacing w:after="0"/>
        <w:tabs>
          <w:tab w:leader="none" w:pos="5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0E2A35"/>
        </w:rPr>
      </w:pPr>
      <w:r>
        <w:rPr>
          <w:rFonts w:ascii="Arial" w:cs="Arial" w:eastAsia="Arial" w:hAnsi="Arial"/>
          <w:sz w:val="18"/>
          <w:szCs w:val="18"/>
          <w:color w:val="0E2A35"/>
        </w:rPr>
        <w:t>Fee computed on table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186055</wp:posOffset>
            </wp:positionV>
            <wp:extent cx="61722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306070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257925" cy="82207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822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257925" cy="81610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816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2023-11-03T05:23:43Z</dcterms:created>
  <dcterms:modified xsi:type="dcterms:W3CDTF">2023-11-03T05:23:43Z</dcterms:modified>
</cp:coreProperties>
</file>