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Winnebago Industries, Inc. ("the Company") today clarified prepared comments made during the Company’s fiscal 2024 second quarter earnings conference call. For its fiscal 2024 third quarter ending May 25, 2024, the Company expects Towable RV revenue to increase at a healthy double-digit rate sequentially as compared to the fiscal 2024 second quarter. The Company reiterates its expectation for the fiscal 2024 third quarter consolidated net revenues to be higher sequentially, and down mid-to-upper single digits on a year-over-year basis.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information set forth in this Item 7.01 shall be deemed "furnished"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40" w:type="dxa"/>
            <w:vAlign w:val="bottom"/>
            <w:gridSpan w:val="2"/>
          </w:tcPr>
          <w:p>
            <w:pPr>
              <w:ind w:left="9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200" w:type="dxa"/>
            <w:vAlign w:val="bottom"/>
          </w:tcPr>
          <w:p>
            <w:pPr>
              <w:ind w:left="160"/>
              <w:spacing w:after="0"/>
              <w:rPr>
                <w:sz w:val="20"/>
                <w:szCs w:val="20"/>
                <w:color w:val="auto"/>
              </w:rPr>
            </w:pPr>
            <w:r>
              <w:rPr>
                <w:rFonts w:ascii="Arial" w:cs="Arial" w:eastAsia="Arial" w:hAnsi="Arial"/>
                <w:sz w:val="16"/>
                <w:szCs w:val="16"/>
                <w:color w:val="auto"/>
              </w:rPr>
              <w:t>March 21, 2024</w:t>
            </w:r>
          </w:p>
        </w:tc>
        <w:tc>
          <w:tcPr>
            <w:tcW w:w="1720" w:type="dxa"/>
            <w:vAlign w:val="bottom"/>
          </w:tcPr>
          <w:p>
            <w:pPr>
              <w:ind w:left="90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10"/>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15"/>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ind w:left="90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1" w:lineRule="exact"/>
        <w:rPr>
          <w:sz w:val="20"/>
          <w:szCs w:val="20"/>
          <w:color w:val="auto"/>
        </w:rPr>
      </w:pPr>
    </w:p>
    <w:sectPr>
      <w:pgSz w:w="11900" w:h="16838" w:orient="portrait"/>
      <w:cols w:equalWidth="0" w:num="1">
        <w:col w:w="11220"/>
      </w:cols>
      <w:pgMar w:left="320" w:top="8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2024-03-21T16:30:26Z</dcterms:created>
  <dcterms:modified xsi:type="dcterms:W3CDTF">2024-03-21T16:30:26Z</dcterms:modified>
</cp:coreProperties>
</file>