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233680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19,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1249680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14605</wp:posOffset>
            </wp:positionV>
            <wp:extent cx="2400935" cy="1012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935" cy="1012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20"/>
          </w:cols>
          <w:pgMar w:left="240" w:top="676"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Winnebago Industries, Inc. is filing herewith a press release issued on December 19, 2013, as Exhibit 99.1 which is incorporated by reference herein. The press release was issued to report earnings for the first quarter of Fiscal 2014 ended November 30, 2013.</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December 19, 2013.</w:t>
      </w:r>
    </w:p>
    <w:p>
      <w:pPr>
        <w:sectPr>
          <w:pgSz w:w="11900" w:h="16838" w:orient="portrait"/>
          <w:cols w:equalWidth="0" w:num="1">
            <w:col w:w="11020"/>
          </w:cols>
          <w:pgMar w:left="240" w:top="571" w:right="6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70" w:lineRule="exact"/>
        <w:rPr>
          <w:sz w:val="20"/>
          <w:szCs w:val="20"/>
          <w:color w:val="auto"/>
        </w:rPr>
      </w:pPr>
    </w:p>
    <w:p>
      <w:pPr>
        <w:ind w:left="40"/>
        <w:spacing w:after="0"/>
        <w:tabs>
          <w:tab w:leader="none" w:pos="580" w:val="left"/>
          <w:tab w:leader="none" w:pos="3440" w:val="left"/>
          <w:tab w:leader="none" w:pos="4100" w:val="left"/>
        </w:tabs>
        <w:rPr>
          <w:sz w:val="20"/>
          <w:szCs w:val="20"/>
          <w:color w:val="auto"/>
        </w:rPr>
      </w:pPr>
      <w:r>
        <w:rPr>
          <w:rFonts w:ascii="Arial" w:cs="Arial" w:eastAsia="Arial" w:hAnsi="Arial"/>
          <w:sz w:val="16"/>
          <w:szCs w:val="16"/>
          <w:color w:val="auto"/>
        </w:rPr>
        <w:t>Date:</w:t>
        <w:tab/>
        <w:t>December 19,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19050</wp:posOffset>
            </wp:positionV>
            <wp:extent cx="3129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6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Name:</w:t>
        <w:tab/>
        <w:t>Randy J. Potts</w:t>
      </w:r>
    </w:p>
    <w:p>
      <w:pPr>
        <w:spacing w:after="0" w:line="8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p>
      <w:pPr>
        <w:sectPr>
          <w:pgSz w:w="11900" w:h="16838" w:orient="portrait"/>
          <w:cols w:equalWidth="0" w:num="1">
            <w:col w:w="11220"/>
          </w:cols>
          <w:pgMar w:left="240" w:top="571" w:right="439" w:bottom="1440" w:gutter="0" w:footer="0" w:header="0"/>
        </w:sectPr>
      </w:pPr>
    </w:p>
    <w:bookmarkStart w:id="3" w:name="page4"/>
    <w:bookmarkEnd w:id="3"/>
    <w:p>
      <w:pPr>
        <w:ind w:left="3120"/>
        <w:spacing w:after="0"/>
        <w:rPr>
          <w:sz w:val="20"/>
          <w:szCs w:val="20"/>
          <w:color w:val="auto"/>
        </w:rPr>
      </w:pPr>
      <w:r>
        <w:rPr>
          <w:rFonts w:ascii="Arial" w:cs="Arial" w:eastAsia="Arial" w:hAnsi="Arial"/>
          <w:sz w:val="86"/>
          <w:szCs w:val="86"/>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-575310</wp:posOffset>
            </wp:positionV>
            <wp:extent cx="1543685" cy="660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66040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Contact: Sheila Davis - PR/IR Mgr. - 641-585-6803 - sdavis@winnebagoind.com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REPORTS RESULTS FOR</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FIRST QUARTER OF FISCAL 2014</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First Quarter Revenues Increase of 15% and Net Income Increase of 51% --</w:t>
      </w:r>
    </w:p>
    <w:p>
      <w:pPr>
        <w:spacing w:after="0" w:line="19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FOREST CITY, IOWA, December 19, 2013 - Winnebago Industries, Inc. (NYSE:WGO), a leading United States (U.S.) recreation vehicle manufacturer, today reported financial results for the Company's first quarter of Fiscal 2014.</w:t>
      </w:r>
    </w:p>
    <w:p>
      <w:pPr>
        <w:spacing w:after="0" w:line="16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Revenues for the 13-week first quarter ended November 30, 2013 were $222.7 million, an increase of 15.0%, versus $193.6 million for the 14-week first quarter of Fiscal 2013. The Company reported operating income of $16.0 million for the quarter, an increase of 60.9% versus $9.9 million for the first quarter of Fiscal 2013. Net income for the first quarter of Fiscal 2014 was $11.1 million, an increase of 50.8%, versus $7.4 million for the first quarter of Fiscal 2013. Diluted earnings per share for the first quarter of Fiscal 2014 was $0.40, an increase of 53.8%, versus $0.26 for the first quarter of Fiscal 2013.</w:t>
      </w:r>
    </w:p>
    <w:p>
      <w:pPr>
        <w:spacing w:after="0" w:line="17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Earnings in the 13-week first quarter were positively impacted by increased motorhome volumes as a result of higher dealer and retail consumer demand, as compared to the 14-week first quarter of Fiscal 2013. Also in the quarter, shipping terms were revised to reflect delivery FOB Forest City to conform to standard industry practice which positively impacted shipments. The increased production and delivery volumes, along with firmer pricing and strong demand for new products, as well as lower operating expense, provided more leverage that resulted in higher operating margins, net income and earnings per share as compared to the same quarter last year.</w:t>
      </w:r>
    </w:p>
    <w:p>
      <w:pPr>
        <w:spacing w:after="0" w:line="176"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 xml:space="preserve">“Our strong first quarter results are a reflection of our dedicated team running the business well,” said Winnebago Industries' Chairman, CEO and President Randy Potts. "Everyone's hard work and creativity contributes to the success of our business. We are keeping our fixed costs low, while continuing to grow our business with new and innovative products. New product entries in both motorized and towable categories displayed at the recent National RV Show in Louisville, KY were very well received, with the Winnebago Trend named as a "2014 Top RV Debut" by </w:t>
      </w:r>
      <w:r>
        <w:rPr>
          <w:rFonts w:ascii="Arial" w:cs="Arial" w:eastAsia="Arial" w:hAnsi="Arial"/>
          <w:sz w:val="16"/>
          <w:szCs w:val="16"/>
          <w:i w:val="1"/>
          <w:iCs w:val="1"/>
          <w:color w:val="auto"/>
        </w:rPr>
        <w:t>RV Business</w:t>
      </w:r>
      <w:r>
        <w:rPr>
          <w:rFonts w:ascii="Arial" w:cs="Arial" w:eastAsia="Arial" w:hAnsi="Arial"/>
          <w:sz w:val="16"/>
          <w:szCs w:val="16"/>
          <w:color w:val="auto"/>
        </w:rPr>
        <w:t xml:space="preserve"> Magazine. We plan to continue to bring new and innovative products to market and believe we have tremendous growth opportunities ahead. In addition to our new products, the backlog reflects a large rental order to be delivered primarily in our third fiscal quarter, which is incremental to our normal rental business."</w:t>
      </w:r>
    </w:p>
    <w:p>
      <w:pPr>
        <w:spacing w:after="0" w:line="178"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"We will continue to make investments in working capital," said Winnebago VP, CFO Sarah Nielsen. "Production increased 27% in the first quarter of Fiscal 2014 compared to same period last year and 11% sequentially from the fourth quarter last year based on improved demand. A key component to our investment in working capital is the need for additional inventory to support the higher production rates."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w:t>
      </w:r>
    </w:p>
    <w:p>
      <w:pPr>
        <w:spacing w:after="0" w:line="25"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 xml:space="preserve">Winnebago Industries, Inc. will conduct a conference call in conjunction with this release at 9 a.m. Central Time today, Thursday, December 19, 2013.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20"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color w:val="auto"/>
        </w:rPr>
        <w:t>Winnebago Industries, Inc., "The Most Recognized Name in Motorhomes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and its subsidiary build quality motorhomes, travel trailers, fifth wheel products and transit buses under the Winnebago, Itasca, Winnebago Touring Coach, SunnyBrook and Metro brand names.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ectPr>
          <w:pgSz w:w="11900" w:h="16838" w:orient="portrait"/>
          <w:cols w:equalWidth="0" w:num="1">
            <w:col w:w="11400"/>
          </w:cols>
          <w:pgMar w:left="240" w:top="679" w:right="259" w:bottom="1440" w:gutter="0" w:footer="0" w:header="0"/>
        </w:sectPr>
      </w:pPr>
    </w:p>
    <w:bookmarkStart w:id="4" w:name="page5"/>
    <w:bookmarkEnd w:id="4"/>
    <w:p>
      <w:pPr>
        <w:spacing w:after="0" w:line="24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300"/>
          </w:cols>
          <w:pgMar w:left="240" w:top="601"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 xml:space="preserve">Quarter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Ended</w:t>
            </w: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November 30, 2013</w:t>
            </w:r>
          </w:p>
        </w:tc>
        <w:tc>
          <w:tcPr>
            <w:tcW w:w="820" w:type="dxa"/>
            <w:vAlign w:val="bottom"/>
            <w:tcBorders>
              <w:bottom w:val="single" w:sz="8" w:color="auto"/>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December 1, 2012</w:t>
            </w: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222,670</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5"/>
              </w:rPr>
              <w:t>100.0%</w:t>
            </w:r>
          </w:p>
        </w:tc>
        <w:tc>
          <w:tcPr>
            <w:tcW w:w="4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193,554</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9"/>
              </w:rPr>
              <w:t>100.0%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196,708</w:t>
            </w:r>
          </w:p>
        </w:tc>
        <w:tc>
          <w:tcPr>
            <w:tcW w:w="2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88.3%</w:t>
            </w:r>
          </w:p>
        </w:tc>
        <w:tc>
          <w:tcPr>
            <w:tcW w:w="44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172,807</w:t>
            </w:r>
          </w:p>
        </w:tc>
        <w:tc>
          <w:tcPr>
            <w:tcW w:w="2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25,962</w:t>
            </w:r>
          </w:p>
        </w:tc>
        <w:tc>
          <w:tcPr>
            <w:tcW w:w="22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11.7%</w:t>
            </w:r>
          </w:p>
        </w:tc>
        <w:tc>
          <w:tcPr>
            <w:tcW w:w="44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20,747</w:t>
            </w:r>
          </w:p>
        </w:tc>
        <w:tc>
          <w:tcPr>
            <w:tcW w:w="22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4,333</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w:t>
            </w:r>
          </w:p>
        </w:tc>
        <w:tc>
          <w:tcPr>
            <w:tcW w:w="4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4,961</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5,623</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jc w:val="right"/>
              <w:ind w:right="199"/>
              <w:spacing w:after="0"/>
              <w:rPr>
                <w:sz w:val="20"/>
                <w:szCs w:val="20"/>
                <w:color w:val="auto"/>
              </w:rPr>
            </w:pPr>
            <w:r>
              <w:rPr>
                <w:rFonts w:ascii="Arial" w:cs="Arial" w:eastAsia="Arial" w:hAnsi="Arial"/>
                <w:sz w:val="16"/>
                <w:szCs w:val="16"/>
                <w:color w:val="auto"/>
              </w:rPr>
              <w:t>2.5%</w:t>
            </w: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5,812</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3"/>
        </w:trPr>
        <w:tc>
          <w:tcPr>
            <w:tcW w:w="4700" w:type="dxa"/>
            <w:vAlign w:val="bottom"/>
            <w:shd w:val="clear" w:color="auto" w:fill="CCEEFF"/>
          </w:tcPr>
          <w:p>
            <w:pPr>
              <w:ind w:left="740"/>
              <w:spacing w:after="0"/>
              <w:rPr>
                <w:sz w:val="20"/>
                <w:szCs w:val="20"/>
                <w:color w:val="auto"/>
              </w:rPr>
            </w:pPr>
            <w:r>
              <w:rPr>
                <w:rFonts w:ascii="Arial" w:cs="Arial" w:eastAsia="Arial" w:hAnsi="Arial"/>
                <w:sz w:val="16"/>
                <w:szCs w:val="16"/>
                <w:color w:val="auto"/>
              </w:rPr>
              <w:t>Loss on sale of asset held for sale</w:t>
            </w:r>
          </w:p>
        </w:tc>
        <w:tc>
          <w:tcPr>
            <w:tcW w:w="360" w:type="dxa"/>
            <w:vAlign w:val="bottom"/>
            <w:shd w:val="clear" w:color="auto" w:fill="CCEEFF"/>
          </w:tcPr>
          <w:p>
            <w:pPr>
              <w:spacing w:after="0"/>
              <w:rPr>
                <w:sz w:val="23"/>
                <w:szCs w:val="23"/>
                <w:color w:val="auto"/>
              </w:rPr>
            </w:pPr>
          </w:p>
        </w:tc>
        <w:tc>
          <w:tcPr>
            <w:tcW w:w="1960" w:type="dxa"/>
            <w:vAlign w:val="bottom"/>
            <w:gridSpan w:val="3"/>
            <w:shd w:val="clear" w:color="auto" w:fill="CCEEFF"/>
          </w:tcPr>
          <w:p>
            <w:pPr>
              <w:jc w:val="right"/>
              <w:ind w:right="11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9,956</w:t>
            </w:r>
          </w:p>
        </w:tc>
        <w:tc>
          <w:tcPr>
            <w:tcW w:w="22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4.5%</w:t>
            </w:r>
          </w:p>
        </w:tc>
        <w:tc>
          <w:tcPr>
            <w:tcW w:w="44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10,801</w:t>
            </w:r>
          </w:p>
        </w:tc>
        <w:tc>
          <w:tcPr>
            <w:tcW w:w="22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16,006</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7.2%</w:t>
            </w: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9,946</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6"/>
                <w:szCs w:val="16"/>
                <w:color w:val="auto"/>
              </w:rPr>
              <w:t>Non-operating income</w:t>
            </w:r>
          </w:p>
        </w:tc>
        <w:tc>
          <w:tcPr>
            <w:tcW w:w="3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614</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jc w:val="right"/>
              <w:ind w:right="19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57"/>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16,097</w:t>
            </w:r>
          </w:p>
        </w:tc>
        <w:tc>
          <w:tcPr>
            <w:tcW w:w="2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7.2%</w:t>
            </w:r>
          </w:p>
        </w:tc>
        <w:tc>
          <w:tcPr>
            <w:tcW w:w="44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10,560</w:t>
            </w:r>
          </w:p>
        </w:tc>
        <w:tc>
          <w:tcPr>
            <w:tcW w:w="2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taxes</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4,951</w:t>
            </w:r>
          </w:p>
        </w:tc>
        <w:tc>
          <w:tcPr>
            <w:tcW w:w="2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2.2%</w:t>
            </w:r>
          </w:p>
        </w:tc>
        <w:tc>
          <w:tcPr>
            <w:tcW w:w="44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3,169</w:t>
            </w:r>
          </w:p>
        </w:tc>
        <w:tc>
          <w:tcPr>
            <w:tcW w:w="2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11,146</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5.0%</w:t>
            </w:r>
          </w:p>
        </w:tc>
        <w:tc>
          <w:tcPr>
            <w:tcW w:w="4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7,391</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Income per common share:</w:t>
            </w: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0.40</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0.26</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0.40</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0.26</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27,851</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28,301</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27,971</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28,361</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pacing w:after="0" w:line="185"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The fiscal quarters ended November 30, 2013 and December 1, 2012 contained 13 weeks and 14 weeks, respectively.</w:t>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w:t>
            </w:r>
          </w:p>
        </w:tc>
        <w:tc>
          <w:tcPr>
            <w:tcW w:w="24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7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49,737</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64,277</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Receivables, net</w:t>
            </w:r>
          </w:p>
        </w:tc>
        <w:tc>
          <w:tcPr>
            <w:tcW w:w="18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42,944</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29,145</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122,478</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112,541</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8,356</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8,277</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receivable and prepaid</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1,868</w:t>
            </w: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8,155</w:t>
            </w: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7,742</w:t>
            </w:r>
          </w:p>
        </w:tc>
      </w:tr>
      <w:tr>
        <w:trPr>
          <w:trHeight w:val="257"/>
        </w:trPr>
        <w:tc>
          <w:tcPr>
            <w:tcW w:w="7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231,802</w:t>
            </w:r>
          </w:p>
        </w:tc>
        <w:tc>
          <w:tcPr>
            <w:tcW w:w="3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223,850</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18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21,057</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20,266</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18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2,108</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Investment in life insurance</w:t>
            </w:r>
          </w:p>
        </w:tc>
        <w:tc>
          <w:tcPr>
            <w:tcW w:w="18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25,299</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25,051</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25,007</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25,649</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1,228</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1,228</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10,520</w:t>
            </w:r>
          </w:p>
        </w:tc>
        <w:tc>
          <w:tcPr>
            <w:tcW w:w="3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10,993</w:t>
            </w:r>
          </w:p>
        </w:tc>
      </w:tr>
      <w:tr>
        <w:trPr>
          <w:trHeight w:val="280"/>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314,913</w:t>
            </w:r>
          </w:p>
        </w:tc>
        <w:tc>
          <w:tcPr>
            <w:tcW w:w="3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309,145</w:t>
            </w:r>
          </w:p>
        </w:tc>
      </w:tr>
      <w:tr>
        <w:trPr>
          <w:trHeight w:val="267"/>
        </w:trPr>
        <w:tc>
          <w:tcPr>
            <w:tcW w:w="7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LIABILITIES AND STOCKHOLDERS' EQUITY</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27,316</w:t>
            </w:r>
          </w:p>
        </w:tc>
        <w:tc>
          <w:tcPr>
            <w:tcW w:w="34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28,142</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2,623</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Accrued expenses</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37,070</w:t>
            </w:r>
          </w:p>
        </w:tc>
        <w:tc>
          <w:tcPr>
            <w:tcW w:w="3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42,212</w:t>
            </w:r>
          </w:p>
        </w:tc>
      </w:tr>
      <w:tr>
        <w:trPr>
          <w:trHeight w:val="257"/>
        </w:trPr>
        <w:tc>
          <w:tcPr>
            <w:tcW w:w="7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67,009</w:t>
            </w:r>
          </w:p>
        </w:tc>
        <w:tc>
          <w:tcPr>
            <w:tcW w:w="3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70,354</w:t>
            </w:r>
          </w:p>
        </w:tc>
      </w:tr>
      <w:tr>
        <w:trPr>
          <w:trHeight w:val="254"/>
        </w:trPr>
        <w:tc>
          <w:tcPr>
            <w:tcW w:w="790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3,830</w:t>
            </w:r>
          </w:p>
        </w:tc>
        <w:tc>
          <w:tcPr>
            <w:tcW w:w="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3,988</w:t>
            </w: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health care and deferred compensation benefits</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63,485</w:t>
            </w: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64,074</w:t>
            </w:r>
          </w:p>
        </w:tc>
      </w:tr>
      <w:tr>
        <w:trPr>
          <w:trHeight w:val="257"/>
        </w:trPr>
        <w:tc>
          <w:tcPr>
            <w:tcW w:w="7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long-term liabilities</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67,315</w:t>
            </w:r>
          </w:p>
        </w:tc>
        <w:tc>
          <w:tcPr>
            <w:tcW w:w="3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68,062</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180,589</w:t>
            </w: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170,729</w:t>
            </w:r>
          </w:p>
        </w:tc>
      </w:tr>
      <w:tr>
        <w:trPr>
          <w:trHeight w:val="24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314,913</w:t>
            </w: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309,145</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6"/>
                <w:szCs w:val="16"/>
                <w:b w:val="1"/>
                <w:bCs w:val="1"/>
                <w:color w:val="auto"/>
              </w:rPr>
              <w:t xml:space="preserve">Quarter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Ended</w:t>
            </w:r>
          </w:p>
        </w:tc>
      </w:tr>
      <w:tr>
        <w:trPr>
          <w:trHeight w:val="191"/>
        </w:trPr>
        <w:tc>
          <w:tcPr>
            <w:tcW w:w="7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Arial" w:cs="Arial" w:eastAsia="Arial" w:hAnsi="Arial"/>
                <w:sz w:val="16"/>
                <w:szCs w:val="16"/>
                <w:b w:val="1"/>
                <w:bCs w:val="1"/>
                <w:color w:val="auto"/>
              </w:rPr>
              <w:t>November 30,</w:t>
            </w:r>
          </w:p>
        </w:tc>
        <w:tc>
          <w:tcPr>
            <w:tcW w:w="260" w:type="dxa"/>
            <w:vAlign w:val="bottom"/>
          </w:tcPr>
          <w:p>
            <w:pPr>
              <w:spacing w:after="0"/>
              <w:rPr>
                <w:sz w:val="16"/>
                <w:szCs w:val="16"/>
                <w:color w:val="auto"/>
              </w:rPr>
            </w:pPr>
          </w:p>
        </w:tc>
        <w:tc>
          <w:tcPr>
            <w:tcW w:w="154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1,</w:t>
            </w:r>
          </w:p>
        </w:tc>
      </w:tr>
      <w:tr>
        <w:trPr>
          <w:trHeight w:val="228"/>
        </w:trPr>
        <w:tc>
          <w:tcPr>
            <w:tcW w:w="7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2013</w:t>
            </w: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2012</w:t>
            </w: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762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11,146</w:t>
            </w:r>
          </w:p>
        </w:tc>
        <w:tc>
          <w:tcPr>
            <w:tcW w:w="2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7,391</w:t>
            </w:r>
          </w:p>
        </w:tc>
      </w:tr>
      <w:tr>
        <w:trPr>
          <w:trHeight w:val="280"/>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6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984</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1,147</w:t>
            </w:r>
          </w:p>
        </w:tc>
      </w:tr>
      <w:tr>
        <w:trPr>
          <w:trHeight w:val="280"/>
        </w:trPr>
        <w:tc>
          <w:tcPr>
            <w:tcW w:w="7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431</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352</w:t>
            </w:r>
          </w:p>
        </w:tc>
      </w:tr>
      <w:tr>
        <w:trPr>
          <w:trHeight w:val="260"/>
        </w:trPr>
        <w:tc>
          <w:tcPr>
            <w:tcW w:w="762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952</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687</w:t>
            </w:r>
          </w:p>
        </w:tc>
      </w:tr>
      <w:tr>
        <w:trPr>
          <w:trHeight w:val="280"/>
        </w:trPr>
        <w:tc>
          <w:tcPr>
            <w:tcW w:w="7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366</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w:t>
            </w:r>
          </w:p>
        </w:tc>
      </w:tr>
      <w:tr>
        <w:trPr>
          <w:trHeight w:val="260"/>
        </w:trPr>
        <w:tc>
          <w:tcPr>
            <w:tcW w:w="7620" w:type="dxa"/>
            <w:vAlign w:val="bottom"/>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220" w:type="dxa"/>
            <w:vAlign w:val="bottom"/>
          </w:tcPr>
          <w:p>
            <w:pPr>
              <w:spacing w:after="0"/>
              <w:rPr>
                <w:sz w:val="22"/>
                <w:szCs w:val="22"/>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(139)</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221</w:t>
            </w:r>
          </w:p>
        </w:tc>
      </w:tr>
      <w:tr>
        <w:trPr>
          <w:trHeight w:val="280"/>
        </w:trPr>
        <w:tc>
          <w:tcPr>
            <w:tcW w:w="7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Provision for doubtful accounts</w:t>
            </w:r>
          </w:p>
        </w:tc>
        <w:tc>
          <w:tcPr>
            <w:tcW w:w="22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w:t>
            </w:r>
          </w:p>
        </w:tc>
      </w:tr>
      <w:tr>
        <w:trPr>
          <w:trHeight w:val="260"/>
        </w:trPr>
        <w:tc>
          <w:tcPr>
            <w:tcW w:w="7620" w:type="dxa"/>
            <w:vAlign w:val="bottom"/>
          </w:tcPr>
          <w:p>
            <w:pPr>
              <w:ind w:left="280"/>
              <w:spacing w:after="0"/>
              <w:rPr>
                <w:sz w:val="20"/>
                <w:szCs w:val="20"/>
                <w:color w:val="auto"/>
              </w:rPr>
            </w:pPr>
            <w:r>
              <w:rPr>
                <w:rFonts w:ascii="Arial" w:cs="Arial" w:eastAsia="Arial" w:hAnsi="Arial"/>
                <w:sz w:val="16"/>
                <w:szCs w:val="16"/>
                <w:color w:val="auto"/>
              </w:rPr>
              <w:t>Loss (gain) on disposal of property</w:t>
            </w:r>
          </w:p>
        </w:tc>
        <w:tc>
          <w:tcPr>
            <w:tcW w:w="22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(3)</w:t>
            </w:r>
          </w:p>
        </w:tc>
      </w:tr>
      <w:tr>
        <w:trPr>
          <w:trHeight w:val="280"/>
        </w:trPr>
        <w:tc>
          <w:tcPr>
            <w:tcW w:w="7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life insurance</w:t>
            </w:r>
          </w:p>
        </w:tc>
        <w:tc>
          <w:tcPr>
            <w:tcW w:w="22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(509)</w:t>
            </w:r>
          </w:p>
        </w:tc>
      </w:tr>
      <w:tr>
        <w:trPr>
          <w:trHeight w:val="260"/>
        </w:trPr>
        <w:tc>
          <w:tcPr>
            <w:tcW w:w="7620" w:type="dxa"/>
            <w:vAlign w:val="bottom"/>
          </w:tcPr>
          <w:p>
            <w:pPr>
              <w:ind w:left="280"/>
              <w:spacing w:after="0"/>
              <w:rPr>
                <w:sz w:val="20"/>
                <w:szCs w:val="20"/>
                <w:color w:val="auto"/>
              </w:rPr>
            </w:pPr>
            <w:r>
              <w:rPr>
                <w:rFonts w:ascii="Arial" w:cs="Arial" w:eastAsia="Arial" w:hAnsi="Arial"/>
                <w:sz w:val="16"/>
                <w:szCs w:val="16"/>
                <w:color w:val="auto"/>
              </w:rPr>
              <w:t>Increase in cash surrender value of life insurance policies</w:t>
            </w:r>
          </w:p>
        </w:tc>
        <w:tc>
          <w:tcPr>
            <w:tcW w:w="220" w:type="dxa"/>
            <w:vAlign w:val="bottom"/>
          </w:tcPr>
          <w:p>
            <w:pPr>
              <w:spacing w:after="0"/>
              <w:rPr>
                <w:sz w:val="22"/>
                <w:szCs w:val="22"/>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(286)</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(383)</w:t>
            </w:r>
          </w:p>
        </w:tc>
      </w:tr>
      <w:tr>
        <w:trPr>
          <w:trHeight w:val="280"/>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62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22"/>
                <w:szCs w:val="22"/>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(10,368)</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(19,621)</w:t>
            </w:r>
          </w:p>
        </w:tc>
      </w:tr>
      <w:tr>
        <w:trPr>
          <w:trHeight w:val="280"/>
        </w:trPr>
        <w:tc>
          <w:tcPr>
            <w:tcW w:w="7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 prepaid and other assets</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(13,928)</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(4,107)</w:t>
            </w:r>
          </w:p>
        </w:tc>
      </w:tr>
      <w:tr>
        <w:trPr>
          <w:trHeight w:val="260"/>
        </w:trPr>
        <w:tc>
          <w:tcPr>
            <w:tcW w:w="7620" w:type="dxa"/>
            <w:vAlign w:val="bottom"/>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22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4,584</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3,195</w:t>
            </w:r>
          </w:p>
        </w:tc>
      </w:tr>
      <w:tr>
        <w:trPr>
          <w:trHeight w:val="280"/>
        </w:trPr>
        <w:tc>
          <w:tcPr>
            <w:tcW w:w="7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(4,675)</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2,521</w:t>
            </w:r>
          </w:p>
        </w:tc>
      </w:tr>
      <w:tr>
        <w:trPr>
          <w:trHeight w:val="264"/>
        </w:trPr>
        <w:tc>
          <w:tcPr>
            <w:tcW w:w="76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(970)</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(1,177)</w:t>
            </w:r>
          </w:p>
        </w:tc>
      </w:tr>
      <w:tr>
        <w:trPr>
          <w:trHeight w:val="250"/>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(11,895)</w:t>
            </w: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(10,323)</w:t>
            </w:r>
          </w:p>
        </w:tc>
      </w:tr>
      <w:tr>
        <w:trPr>
          <w:trHeight w:val="284"/>
        </w:trPr>
        <w:tc>
          <w:tcPr>
            <w:tcW w:w="7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7620" w:type="dxa"/>
            <w:vAlign w:val="bottom"/>
          </w:tcPr>
          <w:p>
            <w:pPr>
              <w:ind w:left="280"/>
              <w:spacing w:after="0"/>
              <w:rPr>
                <w:sz w:val="20"/>
                <w:szCs w:val="20"/>
                <w:color w:val="auto"/>
              </w:rPr>
            </w:pPr>
            <w:r>
              <w:rPr>
                <w:rFonts w:ascii="Arial" w:cs="Arial" w:eastAsia="Arial" w:hAnsi="Arial"/>
                <w:sz w:val="16"/>
                <w:szCs w:val="16"/>
                <w:color w:val="auto"/>
              </w:rPr>
              <w:t>Proceeds from the sale of investments, at par</w:t>
            </w:r>
          </w:p>
        </w:tc>
        <w:tc>
          <w:tcPr>
            <w:tcW w:w="22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2,350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life insurance</w:t>
            </w:r>
          </w:p>
        </w:tc>
        <w:tc>
          <w:tcPr>
            <w:tcW w:w="22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974</w:t>
            </w:r>
          </w:p>
        </w:tc>
      </w:tr>
      <w:tr>
        <w:trPr>
          <w:trHeight w:val="260"/>
        </w:trPr>
        <w:tc>
          <w:tcPr>
            <w:tcW w:w="7620" w:type="dxa"/>
            <w:vAlign w:val="bottom"/>
          </w:tcPr>
          <w:p>
            <w:pPr>
              <w:ind w:left="28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tcPr>
          <w:p>
            <w:pPr>
              <w:spacing w:after="0"/>
              <w:rPr>
                <w:sz w:val="22"/>
                <w:szCs w:val="22"/>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(1,693)</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(1,273)</w:t>
            </w:r>
          </w:p>
        </w:tc>
      </w:tr>
      <w:tr>
        <w:trPr>
          <w:trHeight w:val="280"/>
        </w:trPr>
        <w:tc>
          <w:tcPr>
            <w:tcW w:w="7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the sale of property</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566</w:t>
            </w:r>
          </w:p>
        </w:tc>
      </w:tr>
      <w:tr>
        <w:trPr>
          <w:trHeight w:val="260"/>
        </w:trPr>
        <w:tc>
          <w:tcPr>
            <w:tcW w:w="7620" w:type="dxa"/>
            <w:vAlign w:val="bottom"/>
          </w:tcPr>
          <w:p>
            <w:pPr>
              <w:ind w:left="280"/>
              <w:spacing w:after="0"/>
              <w:rPr>
                <w:sz w:val="20"/>
                <w:szCs w:val="20"/>
                <w:color w:val="auto"/>
              </w:rPr>
            </w:pPr>
            <w:r>
              <w:rPr>
                <w:rFonts w:ascii="Arial" w:cs="Arial" w:eastAsia="Arial" w:hAnsi="Arial"/>
                <w:sz w:val="16"/>
                <w:szCs w:val="16"/>
                <w:color w:val="auto"/>
              </w:rPr>
              <w:t>Payments of COLI borrowings</w:t>
            </w:r>
          </w:p>
        </w:tc>
        <w:tc>
          <w:tcPr>
            <w:tcW w:w="220" w:type="dxa"/>
            <w:vAlign w:val="bottom"/>
          </w:tcPr>
          <w:p>
            <w:pPr>
              <w:spacing w:after="0"/>
              <w:rPr>
                <w:sz w:val="22"/>
                <w:szCs w:val="22"/>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(1,371)</w:t>
            </w:r>
          </w:p>
        </w:tc>
      </w:tr>
      <w:tr>
        <w:trPr>
          <w:trHeight w:val="273"/>
        </w:trPr>
        <w:tc>
          <w:tcPr>
            <w:tcW w:w="7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153</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129</w:t>
            </w:r>
          </w:p>
        </w:tc>
      </w:tr>
      <w:tr>
        <w:trPr>
          <w:trHeight w:val="250"/>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811</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(975)</w:t>
            </w:r>
          </w:p>
        </w:tc>
      </w:tr>
      <w:tr>
        <w:trPr>
          <w:trHeight w:val="284"/>
        </w:trPr>
        <w:tc>
          <w:tcPr>
            <w:tcW w:w="7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62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7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for purchase of common stock</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(5,561)</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(7,177)</w:t>
            </w:r>
          </w:p>
        </w:tc>
      </w:tr>
      <w:tr>
        <w:trPr>
          <w:trHeight w:val="260"/>
        </w:trPr>
        <w:tc>
          <w:tcPr>
            <w:tcW w:w="7620" w:type="dxa"/>
            <w:vAlign w:val="bottom"/>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2,080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7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(133)</w:t>
            </w:r>
          </w:p>
        </w:tc>
      </w:tr>
      <w:tr>
        <w:trPr>
          <w:trHeight w:val="250"/>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(3,456)</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(7,310)</w:t>
            </w:r>
          </w:p>
        </w:tc>
      </w:tr>
      <w:tr>
        <w:trPr>
          <w:trHeight w:val="284"/>
        </w:trPr>
        <w:tc>
          <w:tcPr>
            <w:tcW w:w="7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60"/>
        </w:trPr>
        <w:tc>
          <w:tcPr>
            <w:tcW w:w="762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20" w:type="dxa"/>
            <w:vAlign w:val="bottom"/>
          </w:tcPr>
          <w:p>
            <w:pPr>
              <w:spacing w:after="0"/>
              <w:rPr>
                <w:sz w:val="22"/>
                <w:szCs w:val="22"/>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(14,540)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(18,608)</w:t>
            </w:r>
          </w:p>
        </w:tc>
      </w:tr>
      <w:tr>
        <w:trPr>
          <w:trHeight w:val="273"/>
        </w:trPr>
        <w:tc>
          <w:tcPr>
            <w:tcW w:w="7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64,277</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62,683</w:t>
            </w:r>
          </w:p>
        </w:tc>
      </w:tr>
      <w:tr>
        <w:trPr>
          <w:trHeight w:val="280"/>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49,737</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44,075</w:t>
            </w:r>
          </w:p>
        </w:tc>
      </w:tr>
      <w:tr>
        <w:trPr>
          <w:trHeight w:val="267"/>
        </w:trPr>
        <w:tc>
          <w:tcPr>
            <w:tcW w:w="7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0"/>
        </w:trPr>
        <w:tc>
          <w:tcPr>
            <w:tcW w:w="7620" w:type="dxa"/>
            <w:vAlign w:val="bottom"/>
          </w:tcPr>
          <w:p>
            <w:pPr>
              <w:ind w:left="40"/>
              <w:spacing w:after="0"/>
              <w:rPr>
                <w:sz w:val="20"/>
                <w:szCs w:val="20"/>
                <w:color w:val="auto"/>
              </w:rPr>
            </w:pPr>
            <w:r>
              <w:rPr>
                <w:rFonts w:ascii="Arial" w:cs="Arial" w:eastAsia="Arial" w:hAnsi="Arial"/>
                <w:sz w:val="16"/>
                <w:szCs w:val="16"/>
                <w:color w:val="auto"/>
              </w:rPr>
              <w:t>Supplemental cash flow disclosure:</w:t>
            </w: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80"/>
        </w:trPr>
        <w:tc>
          <w:tcPr>
            <w:tcW w:w="7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paid, net of refunds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w:t>
            </w:r>
          </w:p>
        </w:tc>
      </w:tr>
    </w:tbl>
    <w:p>
      <w:pPr>
        <w:spacing w:after="0" w:line="165" w:lineRule="exact"/>
        <w:rPr>
          <w:sz w:val="20"/>
          <w:szCs w:val="20"/>
          <w:color w:val="auto"/>
        </w:rPr>
      </w:pPr>
    </w:p>
    <w:p>
      <w:pPr>
        <w:sectPr>
          <w:pgSz w:w="11900" w:h="16838" w:orient="portrait"/>
          <w:cols w:equalWidth="0" w:num="1">
            <w:col w:w="11420"/>
          </w:cols>
          <w:pgMar w:left="240" w:top="576" w:right="239" w:bottom="1440" w:gutter="0" w:footer="0" w:header="0"/>
        </w:sect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The fiscal quarters ended November 30, 2013 and December 1, 2012 contained 13 weeks and 14 weeks, respectively.</w:t>
      </w:r>
    </w:p>
    <w:p>
      <w:pPr>
        <w:sectPr>
          <w:pgSz w:w="11900" w:h="16838" w:orient="portrait"/>
          <w:cols w:equalWidth="0" w:num="1">
            <w:col w:w="11420"/>
          </w:cols>
          <w:pgMar w:left="240" w:top="576"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Deliveries</w:t>
      </w:r>
    </w:p>
    <w:p>
      <w:pPr>
        <w:spacing w:after="0" w:line="74" w:lineRule="exact"/>
        <w:rPr>
          <w:sz w:val="20"/>
          <w:szCs w:val="20"/>
          <w:color w:val="auto"/>
        </w:rPr>
      </w:pPr>
    </w:p>
    <w:tbl>
      <w:tblPr>
        <w:tblLayout w:type="fixed"/>
        <w:tblInd w:w="140" w:type="dxa"/>
        <w:tblCellMar>
          <w:top w:w="0" w:type="dxa"/>
          <w:left w:w="0" w:type="dxa"/>
          <w:bottom w:w="0" w:type="dxa"/>
          <w:right w:w="0" w:type="dxa"/>
        </w:tblCellMar>
      </w:tblPr>
      <w:tr>
        <w:trPr>
          <w:trHeight w:val="241"/>
        </w:trPr>
        <w:tc>
          <w:tcPr>
            <w:tcW w:w="248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6"/>
                <w:szCs w:val="16"/>
                <w:b w:val="1"/>
                <w:bCs w:val="1"/>
                <w:color w:val="auto"/>
              </w:rPr>
              <w:t xml:space="preserve">Quarter </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Ended</w:t>
            </w:r>
          </w:p>
        </w:tc>
        <w:tc>
          <w:tcPr>
            <w:tcW w:w="12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Change</w:t>
            </w:r>
          </w:p>
        </w:tc>
      </w:tr>
      <w:tr>
        <w:trPr>
          <w:trHeight w:val="191"/>
        </w:trPr>
        <w:tc>
          <w:tcPr>
            <w:tcW w:w="2480" w:type="dxa"/>
            <w:vAlign w:val="bottom"/>
          </w:tcPr>
          <w:p>
            <w:pPr>
              <w:spacing w:after="0"/>
              <w:rPr>
                <w:sz w:val="16"/>
                <w:szCs w:val="16"/>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30,</w:t>
            </w: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Product</w:t>
            </w:r>
          </w:p>
        </w:tc>
        <w:tc>
          <w:tcPr>
            <w:tcW w:w="1500" w:type="dxa"/>
            <w:vAlign w:val="bottom"/>
          </w:tcPr>
          <w:p>
            <w:pPr>
              <w:jc w:val="right"/>
              <w:ind w:right="279"/>
              <w:spacing w:after="0"/>
              <w:rPr>
                <w:sz w:val="20"/>
                <w:szCs w:val="20"/>
                <w:color w:val="auto"/>
              </w:rPr>
            </w:pPr>
            <w:r>
              <w:rPr>
                <w:rFonts w:ascii="Arial" w:cs="Arial" w:eastAsia="Arial" w:hAnsi="Arial"/>
                <w:sz w:val="16"/>
                <w:szCs w:val="16"/>
                <w:b w:val="1"/>
                <w:bCs w:val="1"/>
                <w:color w:val="auto"/>
              </w:rPr>
              <w:t>December 1,</w:t>
            </w: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Product</w:t>
            </w:r>
          </w:p>
        </w:tc>
        <w:tc>
          <w:tcPr>
            <w:tcW w:w="11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34"/>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(In units)</w:t>
            </w:r>
          </w:p>
        </w:tc>
        <w:tc>
          <w:tcPr>
            <w:tcW w:w="15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2013</w:t>
            </w:r>
          </w:p>
        </w:tc>
        <w:tc>
          <w:tcPr>
            <w:tcW w:w="1420" w:type="dxa"/>
            <w:vAlign w:val="bottom"/>
            <w:gridSpan w:val="2"/>
          </w:tcPr>
          <w:p>
            <w:pPr>
              <w:ind w:left="22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5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1400" w:type="dxa"/>
            <w:vAlign w:val="bottom"/>
            <w:gridSpan w:val="2"/>
          </w:tcPr>
          <w:p>
            <w:pPr>
              <w:ind w:left="22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Units</w:t>
            </w:r>
          </w:p>
        </w:tc>
        <w:tc>
          <w:tcPr>
            <w:tcW w:w="174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0"/>
        </w:trPr>
        <w:tc>
          <w:tcPr>
            <w:tcW w:w="24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Class A gas</w:t>
            </w:r>
          </w:p>
        </w:tc>
        <w:tc>
          <w:tcPr>
            <w:tcW w:w="15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710</w:t>
            </w: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35.4%</w:t>
            </w:r>
          </w:p>
        </w:tc>
        <w:tc>
          <w:tcPr>
            <w:tcW w:w="220" w:type="dxa"/>
            <w:vAlign w:val="bottom"/>
          </w:tcPr>
          <w:p>
            <w:pPr>
              <w:spacing w:after="0"/>
              <w:rPr>
                <w:sz w:val="20"/>
                <w:szCs w:val="20"/>
                <w:color w:val="auto"/>
              </w:rPr>
            </w:pPr>
          </w:p>
        </w:tc>
        <w:tc>
          <w:tcPr>
            <w:tcW w:w="15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620</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40.4%</w:t>
            </w:r>
          </w:p>
        </w:tc>
        <w:tc>
          <w:tcPr>
            <w:tcW w:w="2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7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14.5 %</w:t>
            </w:r>
          </w:p>
        </w:tc>
      </w:tr>
      <w:tr>
        <w:trPr>
          <w:trHeight w:val="273"/>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diesel</w:t>
            </w: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397</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19.8%</w:t>
            </w:r>
          </w:p>
        </w:tc>
        <w:tc>
          <w:tcPr>
            <w:tcW w:w="22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345</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22.5%</w:t>
            </w:r>
          </w:p>
        </w:tc>
        <w:tc>
          <w:tcPr>
            <w:tcW w:w="2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15.1 %</w:t>
            </w:r>
          </w:p>
        </w:tc>
      </w:tr>
      <w:tr>
        <w:trPr>
          <w:trHeight w:val="247"/>
        </w:trPr>
        <w:tc>
          <w:tcPr>
            <w:tcW w:w="2480" w:type="dxa"/>
            <w:vAlign w:val="bottom"/>
          </w:tcPr>
          <w:p>
            <w:pPr>
              <w:ind w:left="260"/>
              <w:spacing w:after="0"/>
              <w:rPr>
                <w:sz w:val="20"/>
                <w:szCs w:val="20"/>
                <w:color w:val="auto"/>
              </w:rPr>
            </w:pPr>
            <w:r>
              <w:rPr>
                <w:rFonts w:ascii="Arial" w:cs="Arial" w:eastAsia="Arial" w:hAnsi="Arial"/>
                <w:sz w:val="16"/>
                <w:szCs w:val="16"/>
                <w:color w:val="auto"/>
              </w:rPr>
              <w:t>Total Class A</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1,107</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55.2%</w:t>
            </w:r>
          </w:p>
        </w:tc>
        <w:tc>
          <w:tcPr>
            <w:tcW w:w="220" w:type="dxa"/>
            <w:vAlign w:val="bottom"/>
          </w:tcPr>
          <w:p>
            <w:pPr>
              <w:spacing w:after="0"/>
              <w:rPr>
                <w:sz w:val="21"/>
                <w:szCs w:val="21"/>
                <w:color w:val="auto"/>
              </w:rPr>
            </w:pP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965</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62.9%</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142</w:t>
            </w:r>
          </w:p>
        </w:tc>
        <w:tc>
          <w:tcPr>
            <w:tcW w:w="1740" w:type="dxa"/>
            <w:vAlign w:val="bottom"/>
          </w:tcPr>
          <w:p>
            <w:pPr>
              <w:jc w:val="right"/>
              <w:ind w:right="99"/>
              <w:spacing w:after="0"/>
              <w:rPr>
                <w:sz w:val="20"/>
                <w:szCs w:val="20"/>
                <w:color w:val="auto"/>
              </w:rPr>
            </w:pPr>
            <w:r>
              <w:rPr>
                <w:rFonts w:ascii="Arial" w:cs="Arial" w:eastAsia="Arial" w:hAnsi="Arial"/>
                <w:sz w:val="16"/>
                <w:szCs w:val="16"/>
                <w:color w:val="auto"/>
              </w:rPr>
              <w:t>14.7 %</w:t>
            </w:r>
          </w:p>
        </w:tc>
      </w:tr>
      <w:tr>
        <w:trPr>
          <w:trHeight w:val="28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B</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102</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90</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5.9%</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13.3 %</w:t>
            </w:r>
          </w:p>
        </w:tc>
      </w:tr>
      <w:tr>
        <w:trPr>
          <w:trHeight w:val="264"/>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Class C</w:t>
            </w: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796</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39.7%</w:t>
            </w:r>
          </w:p>
        </w:tc>
        <w:tc>
          <w:tcPr>
            <w:tcW w:w="2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479</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31.2%</w:t>
            </w:r>
          </w:p>
        </w:tc>
        <w:tc>
          <w:tcPr>
            <w:tcW w:w="2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66.2 %</w:t>
            </w:r>
          </w:p>
        </w:tc>
      </w:tr>
      <w:tr>
        <w:trPr>
          <w:trHeight w:val="240"/>
        </w:trPr>
        <w:tc>
          <w:tcPr>
            <w:tcW w:w="2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motorhomes</w:t>
            </w: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2,005</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1,534</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30.7 %</w:t>
            </w:r>
          </w:p>
        </w:tc>
      </w:tr>
      <w:tr>
        <w:trPr>
          <w:trHeight w:val="20"/>
        </w:trPr>
        <w:tc>
          <w:tcPr>
            <w:tcW w:w="24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46"/>
        </w:trPr>
        <w:tc>
          <w:tcPr>
            <w:tcW w:w="2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7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407</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84.1%</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408</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73.2%</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(0.2)%</w:t>
            </w:r>
          </w:p>
        </w:tc>
      </w:tr>
      <w:tr>
        <w:trPr>
          <w:trHeight w:val="264"/>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77</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15.9%</w:t>
            </w:r>
          </w:p>
        </w:tc>
        <w:tc>
          <w:tcPr>
            <w:tcW w:w="2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149</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26.8%</w:t>
            </w:r>
          </w:p>
        </w:tc>
        <w:tc>
          <w:tcPr>
            <w:tcW w:w="2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(48.3)%</w:t>
            </w:r>
          </w:p>
        </w:tc>
      </w:tr>
      <w:tr>
        <w:trPr>
          <w:trHeight w:val="240"/>
        </w:trPr>
        <w:tc>
          <w:tcPr>
            <w:tcW w:w="2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towables</w:t>
            </w: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484</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557</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(13.1)%</w:t>
            </w:r>
          </w:p>
        </w:tc>
      </w:tr>
      <w:tr>
        <w:trPr>
          <w:trHeight w:val="20"/>
        </w:trPr>
        <w:tc>
          <w:tcPr>
            <w:tcW w:w="24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Percentages may not add due to rounding differences.</w:t>
      </w:r>
    </w:p>
    <w:p>
      <w:pPr>
        <w:spacing w:after="0" w:line="16" w:lineRule="exact"/>
        <w:rPr>
          <w:rFonts w:ascii="Arial" w:cs="Arial" w:eastAsia="Arial" w:hAnsi="Arial"/>
          <w:sz w:val="21"/>
          <w:szCs w:val="21"/>
          <w:color w:val="auto"/>
          <w:vertAlign w:val="superscript"/>
        </w:rPr>
      </w:pPr>
    </w:p>
    <w:p>
      <w:pPr>
        <w:ind w:left="140" w:hanging="132"/>
        <w:spacing w:after="0" w:line="224"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The fiscal quarters ended November 30, 2013 and December 1, 2012 contained 13 weeks and 14 weeks, respectively.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Backlog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As Of</w:t>
            </w:r>
          </w:p>
        </w:tc>
        <w:tc>
          <w:tcPr>
            <w:tcW w:w="1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64"/>
        </w:trPr>
        <w:tc>
          <w:tcPr>
            <w:tcW w:w="3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740" w:type="dxa"/>
            <w:vAlign w:val="bottom"/>
            <w:gridSpan w:val="4"/>
          </w:tcPr>
          <w:p>
            <w:pPr>
              <w:jc w:val="right"/>
              <w:ind w:right="940"/>
              <w:spacing w:after="0"/>
              <w:rPr>
                <w:sz w:val="20"/>
                <w:szCs w:val="20"/>
                <w:color w:val="auto"/>
              </w:rPr>
            </w:pPr>
            <w:r>
              <w:rPr>
                <w:rFonts w:ascii="Arial" w:cs="Arial" w:eastAsia="Arial" w:hAnsi="Arial"/>
                <w:sz w:val="16"/>
                <w:szCs w:val="16"/>
                <w:b w:val="1"/>
                <w:bCs w:val="1"/>
                <w:color w:val="auto"/>
              </w:rPr>
              <w:t>November 30, 2013</w:t>
            </w:r>
          </w:p>
        </w:tc>
        <w:tc>
          <w:tcPr>
            <w:tcW w:w="2420" w:type="dxa"/>
            <w:vAlign w:val="bottom"/>
            <w:gridSpan w:val="3"/>
          </w:tcPr>
          <w:p>
            <w:pPr>
              <w:ind w:left="340"/>
              <w:spacing w:after="0"/>
              <w:rPr>
                <w:sz w:val="20"/>
                <w:szCs w:val="20"/>
                <w:color w:val="auto"/>
              </w:rPr>
            </w:pPr>
            <w:r>
              <w:rPr>
                <w:rFonts w:ascii="Arial" w:cs="Arial" w:eastAsia="Arial" w:hAnsi="Arial"/>
                <w:sz w:val="16"/>
                <w:szCs w:val="16"/>
                <w:b w:val="1"/>
                <w:bCs w:val="1"/>
                <w:color w:val="auto"/>
              </w:rPr>
              <w:t>December 1, 2012</w:t>
            </w:r>
          </w:p>
        </w:tc>
        <w:tc>
          <w:tcPr>
            <w:tcW w:w="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7"/>
        </w:trPr>
        <w:tc>
          <w:tcPr>
            <w:tcW w:w="324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Units</w:t>
            </w:r>
          </w:p>
        </w:tc>
        <w:tc>
          <w:tcPr>
            <w:tcW w:w="1200" w:type="dxa"/>
            <w:vAlign w:val="bottom"/>
            <w:tcBorders>
              <w:top w:val="single" w:sz="8" w:color="auto"/>
              <w:bottom w:val="single" w:sz="8" w:color="auto"/>
            </w:tcBorders>
          </w:tcPr>
          <w:p>
            <w:pPr>
              <w:jc w:val="right"/>
              <w:ind w:right="461"/>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 xml:space="preserve"> (1)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Units</w:t>
            </w:r>
          </w:p>
        </w:tc>
        <w:tc>
          <w:tcPr>
            <w:tcW w:w="1200" w:type="dxa"/>
            <w:vAlign w:val="bottom"/>
            <w:tcBorders>
              <w:top w:val="single" w:sz="8" w:color="auto"/>
              <w:bottom w:val="single" w:sz="8" w:color="auto"/>
            </w:tcBorders>
          </w:tcPr>
          <w:p>
            <w:pPr>
              <w:jc w:val="right"/>
              <w:ind w:right="462"/>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 xml:space="preserve"> (1)</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Units</w:t>
            </w:r>
          </w:p>
        </w:tc>
        <w:tc>
          <w:tcPr>
            <w:tcW w:w="9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40"/>
        </w:trPr>
        <w:tc>
          <w:tcPr>
            <w:tcW w:w="3240" w:type="dxa"/>
            <w:vAlign w:val="bottom"/>
          </w:tcPr>
          <w:p>
            <w:pPr>
              <w:ind w:left="40"/>
              <w:spacing w:after="0"/>
              <w:rPr>
                <w:sz w:val="20"/>
                <w:szCs w:val="20"/>
                <w:color w:val="auto"/>
              </w:rPr>
            </w:pPr>
            <w:r>
              <w:rPr>
                <w:rFonts w:ascii="Arial" w:cs="Arial" w:eastAsia="Arial" w:hAnsi="Arial"/>
                <w:sz w:val="16"/>
                <w:szCs w:val="16"/>
                <w:color w:val="auto"/>
              </w:rPr>
              <w:t>Class A gas</w:t>
            </w:r>
          </w:p>
        </w:tc>
        <w:tc>
          <w:tcPr>
            <w:tcW w:w="2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1,382</w:t>
            </w:r>
          </w:p>
        </w:tc>
        <w:tc>
          <w:tcPr>
            <w:tcW w:w="1200" w:type="dxa"/>
            <w:vAlign w:val="bottom"/>
          </w:tcPr>
          <w:p>
            <w:pPr>
              <w:jc w:val="right"/>
              <w:ind w:right="181"/>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884</w:t>
            </w:r>
          </w:p>
        </w:tc>
        <w:tc>
          <w:tcPr>
            <w:tcW w:w="1200" w:type="dxa"/>
            <w:vAlign w:val="bottom"/>
          </w:tcPr>
          <w:p>
            <w:pPr>
              <w:jc w:val="right"/>
              <w:ind w:right="182"/>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ind w:right="699"/>
              <w:spacing w:after="0"/>
              <w:rPr>
                <w:sz w:val="20"/>
                <w:szCs w:val="20"/>
                <w:color w:val="auto"/>
              </w:rPr>
            </w:pPr>
            <w:r>
              <w:rPr>
                <w:rFonts w:ascii="Arial" w:cs="Arial" w:eastAsia="Arial" w:hAnsi="Arial"/>
                <w:sz w:val="16"/>
                <w:szCs w:val="16"/>
                <w:color w:val="auto"/>
              </w:rPr>
              <w:t>498</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56.3 %</w:t>
            </w:r>
          </w:p>
        </w:tc>
      </w:tr>
      <w:tr>
        <w:trPr>
          <w:trHeight w:val="273"/>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diesel</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521</w:t>
            </w:r>
          </w:p>
        </w:tc>
        <w:tc>
          <w:tcPr>
            <w:tcW w:w="12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389</w:t>
            </w:r>
          </w:p>
        </w:tc>
        <w:tc>
          <w:tcPr>
            <w:tcW w:w="12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132</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33.9 %</w:t>
            </w:r>
          </w:p>
        </w:tc>
      </w:tr>
      <w:tr>
        <w:trPr>
          <w:trHeight w:val="247"/>
        </w:trPr>
        <w:tc>
          <w:tcPr>
            <w:tcW w:w="3240" w:type="dxa"/>
            <w:vAlign w:val="bottom"/>
          </w:tcPr>
          <w:p>
            <w:pPr>
              <w:ind w:left="280"/>
              <w:spacing w:after="0"/>
              <w:rPr>
                <w:sz w:val="20"/>
                <w:szCs w:val="20"/>
                <w:color w:val="auto"/>
              </w:rPr>
            </w:pPr>
            <w:r>
              <w:rPr>
                <w:rFonts w:ascii="Arial" w:cs="Arial" w:eastAsia="Arial" w:hAnsi="Arial"/>
                <w:sz w:val="16"/>
                <w:szCs w:val="16"/>
                <w:color w:val="auto"/>
              </w:rPr>
              <w:t>Total Class A</w:t>
            </w:r>
          </w:p>
        </w:tc>
        <w:tc>
          <w:tcPr>
            <w:tcW w:w="240" w:type="dxa"/>
            <w:vAlign w:val="bottom"/>
          </w:tcPr>
          <w:p>
            <w:pPr>
              <w:spacing w:after="0"/>
              <w:rPr>
                <w:sz w:val="21"/>
                <w:szCs w:val="21"/>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1,903</w:t>
            </w:r>
          </w:p>
        </w:tc>
        <w:tc>
          <w:tcPr>
            <w:tcW w:w="1200" w:type="dxa"/>
            <w:vAlign w:val="bottom"/>
          </w:tcPr>
          <w:p>
            <w:pPr>
              <w:jc w:val="right"/>
              <w:ind w:right="181"/>
              <w:spacing w:after="0"/>
              <w:rPr>
                <w:sz w:val="20"/>
                <w:szCs w:val="20"/>
                <w:color w:val="auto"/>
              </w:rPr>
            </w:pPr>
            <w:r>
              <w:rPr>
                <w:rFonts w:ascii="Arial" w:cs="Arial" w:eastAsia="Arial" w:hAnsi="Arial"/>
                <w:sz w:val="16"/>
                <w:szCs w:val="16"/>
                <w:color w:val="auto"/>
              </w:rPr>
              <w:t>53.8%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1,273</w:t>
            </w:r>
          </w:p>
        </w:tc>
        <w:tc>
          <w:tcPr>
            <w:tcW w:w="1200" w:type="dxa"/>
            <w:vAlign w:val="bottom"/>
          </w:tcPr>
          <w:p>
            <w:pPr>
              <w:jc w:val="right"/>
              <w:ind w:right="182"/>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ind w:right="699"/>
              <w:spacing w:after="0"/>
              <w:rPr>
                <w:sz w:val="20"/>
                <w:szCs w:val="20"/>
                <w:color w:val="auto"/>
              </w:rPr>
            </w:pPr>
            <w:r>
              <w:rPr>
                <w:rFonts w:ascii="Arial" w:cs="Arial" w:eastAsia="Arial" w:hAnsi="Arial"/>
                <w:sz w:val="16"/>
                <w:szCs w:val="16"/>
                <w:color w:val="auto"/>
              </w:rPr>
              <w:t>630</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49.5 %</w:t>
            </w:r>
          </w:p>
        </w:tc>
      </w:tr>
      <w:tr>
        <w:trPr>
          <w:trHeight w:val="280"/>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317</w:t>
            </w:r>
          </w:p>
        </w:tc>
        <w:tc>
          <w:tcPr>
            <w:tcW w:w="12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111</w:t>
            </w: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206</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185.6 %</w:t>
            </w:r>
          </w:p>
        </w:tc>
      </w:tr>
      <w:tr>
        <w:trPr>
          <w:trHeight w:val="264"/>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C</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1,314</w:t>
            </w: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734</w:t>
            </w: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580</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79.0 %</w:t>
            </w:r>
          </w:p>
        </w:tc>
      </w:tr>
      <w:tr>
        <w:trPr>
          <w:trHeight w:val="243"/>
        </w:trPr>
        <w:tc>
          <w:tcPr>
            <w:tcW w:w="32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(2)</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3,534</w:t>
            </w:r>
          </w:p>
        </w:tc>
        <w:tc>
          <w:tcPr>
            <w:tcW w:w="12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2,118</w:t>
            </w:r>
          </w:p>
        </w:tc>
        <w:tc>
          <w:tcPr>
            <w:tcW w:w="12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1,416</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66.9 %</w:t>
            </w: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3"/>
        </w:trPr>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70"/>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117</w:t>
            </w:r>
          </w:p>
        </w:tc>
        <w:tc>
          <w:tcPr>
            <w:tcW w:w="12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77.5%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557</w:t>
            </w: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81.1%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(440)</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(79.0)%</w:t>
            </w:r>
          </w:p>
        </w:tc>
      </w:tr>
      <w:tr>
        <w:trPr>
          <w:trHeight w:val="264"/>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34</w:t>
            </w: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130</w:t>
            </w: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(96)</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(73.8)%</w:t>
            </w:r>
          </w:p>
        </w:tc>
      </w:tr>
      <w:tr>
        <w:trPr>
          <w:trHeight w:val="243"/>
        </w:trPr>
        <w:tc>
          <w:tcPr>
            <w:tcW w:w="3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 xml:space="preserve">Total towable backlog </w:t>
            </w:r>
            <w:r>
              <w:rPr>
                <w:rFonts w:ascii="Arial" w:cs="Arial" w:eastAsia="Arial" w:hAnsi="Arial"/>
                <w:sz w:val="21"/>
                <w:szCs w:val="21"/>
                <w:color w:val="auto"/>
                <w:vertAlign w:val="superscript"/>
              </w:rPr>
              <w:t>(2)</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151</w:t>
            </w:r>
          </w:p>
        </w:tc>
        <w:tc>
          <w:tcPr>
            <w:tcW w:w="12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687</w:t>
            </w:r>
          </w:p>
        </w:tc>
        <w:tc>
          <w:tcPr>
            <w:tcW w:w="12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(536)</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(78.0)%</w:t>
            </w:r>
          </w:p>
        </w:tc>
      </w:tr>
      <w:tr>
        <w:trPr>
          <w:trHeight w:val="20"/>
        </w:trPr>
        <w:tc>
          <w:tcPr>
            <w:tcW w:w="462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43"/>
        </w:trPr>
        <w:tc>
          <w:tcPr>
            <w:tcW w:w="3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r>
      <w:tr>
        <w:trPr>
          <w:trHeight w:val="270"/>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approximate backlog revenue dollars (in 000's):</w:t>
            </w: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0"/>
        </w:trPr>
        <w:tc>
          <w:tcPr>
            <w:tcW w:w="3240" w:type="dxa"/>
            <w:vAlign w:val="bottom"/>
          </w:tcPr>
          <w:p>
            <w:pPr>
              <w:ind w:left="40"/>
              <w:spacing w:after="0"/>
              <w:rPr>
                <w:sz w:val="20"/>
                <w:szCs w:val="20"/>
                <w:color w:val="auto"/>
              </w:rPr>
            </w:pPr>
            <w:r>
              <w:rPr>
                <w:rFonts w:ascii="Arial" w:cs="Arial" w:eastAsia="Arial" w:hAnsi="Arial"/>
                <w:sz w:val="16"/>
                <w:szCs w:val="16"/>
                <w:color w:val="auto"/>
              </w:rPr>
              <w:t>Motorhome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340,703</w:t>
            </w:r>
          </w:p>
        </w:tc>
        <w:tc>
          <w:tcPr>
            <w:tcW w:w="16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226,457</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699"/>
              <w:spacing w:after="0"/>
              <w:rPr>
                <w:sz w:val="20"/>
                <w:szCs w:val="20"/>
                <w:color w:val="auto"/>
              </w:rPr>
            </w:pPr>
            <w:r>
              <w:rPr>
                <w:rFonts w:ascii="Arial" w:cs="Arial" w:eastAsia="Arial" w:hAnsi="Arial"/>
                <w:sz w:val="16"/>
                <w:szCs w:val="16"/>
                <w:color w:val="auto"/>
              </w:rPr>
              <w:t>114,246</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50.4 %</w:t>
            </w:r>
          </w:p>
        </w:tc>
      </w:tr>
      <w:tr>
        <w:trPr>
          <w:trHeight w:val="280"/>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3,401</w:t>
            </w: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14,049</w:t>
            </w: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(10,648)</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(75.8)%</w:t>
            </w:r>
          </w:p>
        </w:tc>
      </w:tr>
    </w:tbl>
    <w:p>
      <w:pPr>
        <w:spacing w:after="0" w:line="8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ind w:left="340" w:right="640" w:hanging="332"/>
        <w:spacing w:after="0" w:line="218"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Our backlog includes all accepted orders from dealers to be shipped within the next six months. Orders in backlog can be canceled or postponed at the option of the purchaser and, therefore, backlog may not necessarily be an accurate measure of future sales.</w:t>
      </w:r>
    </w:p>
    <w:p>
      <w:pPr>
        <w:spacing w:after="0" w:line="12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Dealer Inventory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0" w:type="dxa"/>
            <w:vAlign w:val="bottom"/>
          </w:tcPr>
          <w:p>
            <w:pPr>
              <w:spacing w:after="0"/>
              <w:rPr>
                <w:sz w:val="19"/>
                <w:szCs w:val="19"/>
                <w:color w:val="auto"/>
              </w:rPr>
            </w:pPr>
          </w:p>
        </w:tc>
        <w:tc>
          <w:tcPr>
            <w:tcW w:w="306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6"/>
                <w:szCs w:val="16"/>
                <w:b w:val="1"/>
                <w:bCs w:val="1"/>
                <w:color w:val="auto"/>
              </w:rPr>
              <w:t>Units As Of</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820" w:type="dxa"/>
            <w:vAlign w:val="bottom"/>
            <w:tcBorders>
              <w:bottom w:val="single" w:sz="8" w:color="auto"/>
            </w:tcBorders>
          </w:tcPr>
          <w:p>
            <w:pPr>
              <w:spacing w:after="0"/>
              <w:rPr>
                <w:sz w:val="19"/>
                <w:szCs w:val="19"/>
                <w:color w:val="auto"/>
              </w:rPr>
            </w:pPr>
          </w:p>
        </w:tc>
      </w:tr>
      <w:tr>
        <w:trPr>
          <w:trHeight w:val="198"/>
        </w:trPr>
        <w:tc>
          <w:tcPr>
            <w:tcW w:w="5800" w:type="dxa"/>
            <w:vAlign w:val="bottom"/>
          </w:tcPr>
          <w:p>
            <w:pPr>
              <w:spacing w:after="0"/>
              <w:rPr>
                <w:sz w:val="17"/>
                <w:szCs w:val="17"/>
                <w:color w:val="auto"/>
              </w:rPr>
            </w:pPr>
          </w:p>
        </w:tc>
        <w:tc>
          <w:tcPr>
            <w:tcW w:w="1580" w:type="dxa"/>
            <w:vAlign w:val="bottom"/>
            <w:gridSpan w:val="2"/>
          </w:tcPr>
          <w:p>
            <w:pPr>
              <w:ind w:left="180"/>
              <w:spacing w:after="0"/>
              <w:rPr>
                <w:sz w:val="20"/>
                <w:szCs w:val="20"/>
                <w:color w:val="auto"/>
              </w:rPr>
            </w:pPr>
            <w:r>
              <w:rPr>
                <w:rFonts w:ascii="Arial" w:cs="Arial" w:eastAsia="Arial" w:hAnsi="Arial"/>
                <w:sz w:val="16"/>
                <w:szCs w:val="16"/>
                <w:b w:val="1"/>
                <w:bCs w:val="1"/>
                <w:color w:val="auto"/>
              </w:rPr>
              <w:t>November 30,</w:t>
            </w: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December 1,</w:t>
            </w:r>
          </w:p>
        </w:tc>
        <w:tc>
          <w:tcPr>
            <w:tcW w:w="16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8"/>
        </w:trPr>
        <w:tc>
          <w:tcPr>
            <w:tcW w:w="58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Units</w:t>
            </w:r>
          </w:p>
        </w:tc>
        <w:tc>
          <w:tcPr>
            <w:tcW w:w="8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57"/>
        </w:trPr>
        <w:tc>
          <w:tcPr>
            <w:tcW w:w="5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3,135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2,045</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1,090</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53.3%</w:t>
            </w:r>
          </w:p>
        </w:tc>
      </w:tr>
      <w:tr>
        <w:trPr>
          <w:trHeight w:val="251"/>
        </w:trPr>
        <w:tc>
          <w:tcPr>
            <w:tcW w:w="5800" w:type="dxa"/>
            <w:vAlign w:val="bottom"/>
          </w:tcPr>
          <w:p>
            <w:pPr>
              <w:ind w:left="40"/>
              <w:spacing w:after="0"/>
              <w:rPr>
                <w:sz w:val="20"/>
                <w:szCs w:val="20"/>
                <w:color w:val="auto"/>
              </w:rPr>
            </w:pPr>
            <w:r>
              <w:rPr>
                <w:rFonts w:ascii="Arial" w:cs="Arial" w:eastAsia="Arial" w:hAnsi="Arial"/>
                <w:sz w:val="16"/>
                <w:szCs w:val="16"/>
                <w:color w:val="auto"/>
              </w:rPr>
              <w:t>Towables</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1,591</w:t>
            </w:r>
          </w:p>
        </w:tc>
        <w:tc>
          <w:tcPr>
            <w:tcW w:w="10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1,555</w:t>
            </w:r>
          </w:p>
        </w:tc>
        <w:tc>
          <w:tcPr>
            <w:tcW w:w="100" w:type="dxa"/>
            <w:vAlign w:val="bottom"/>
          </w:tcPr>
          <w:p>
            <w:pPr>
              <w:spacing w:after="0"/>
              <w:rPr>
                <w:sz w:val="21"/>
                <w:szCs w:val="21"/>
                <w:color w:val="auto"/>
              </w:rPr>
            </w:pPr>
          </w:p>
        </w:tc>
        <w:tc>
          <w:tcPr>
            <w:tcW w:w="1640" w:type="dxa"/>
            <w:vAlign w:val="bottom"/>
          </w:tcPr>
          <w:p>
            <w:pPr>
              <w:jc w:val="right"/>
              <w:ind w:right="539"/>
              <w:spacing w:after="0"/>
              <w:rPr>
                <w:sz w:val="20"/>
                <w:szCs w:val="20"/>
                <w:color w:val="auto"/>
              </w:rPr>
            </w:pPr>
            <w:r>
              <w:rPr>
                <w:rFonts w:ascii="Arial" w:cs="Arial" w:eastAsia="Arial" w:hAnsi="Arial"/>
                <w:sz w:val="16"/>
                <w:szCs w:val="16"/>
                <w:color w:val="auto"/>
              </w:rPr>
              <w:t>36</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2.3%</w:t>
            </w: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2019-12-05T16:50:48Z</dcterms:created>
  <dcterms:modified xsi:type="dcterms:W3CDTF">2019-12-05T16:50:48Z</dcterms:modified>
</cp:coreProperties>
</file>