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22"/>
          <w:szCs w:val="22"/>
          <w:b w:val="1"/>
          <w:bCs w:val="1"/>
          <w:color w:val="auto"/>
        </w:rPr>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25"/>
          <w:szCs w:val="25"/>
          <w:b w:val="1"/>
          <w:bCs w:val="1"/>
          <w:color w:val="auto"/>
        </w:rPr>
        <w:t>FORM 8-K</w:t>
      </w:r>
    </w:p>
    <w:p>
      <w:pPr>
        <w:spacing w:after="0" w:line="290"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CURRENT REPORT</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Date of report (Date of earliest event reported): March 25,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1864995</wp:posOffset>
            </wp:positionH>
            <wp:positionV relativeFrom="paragraph">
              <wp:posOffset>175260</wp:posOffset>
            </wp:positionV>
            <wp:extent cx="3420110" cy="9861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20110" cy="9861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6"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Winnebago Industries, Inc.</w:t>
      </w:r>
    </w:p>
    <w:p>
      <w:pPr>
        <w:spacing w:after="0" w:line="56"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(Exact Name of Registrant as Specified in its Charter)</w:t>
      </w:r>
    </w:p>
    <w:p>
      <w:pPr>
        <w:spacing w:after="0" w:line="138" w:lineRule="exact"/>
        <w:rPr>
          <w:sz w:val="24"/>
          <w:szCs w:val="24"/>
          <w:color w:val="auto"/>
        </w:rPr>
      </w:pPr>
    </w:p>
    <w:tbl>
      <w:tblPr>
        <w:tblLayout w:type="fixed"/>
        <w:tblInd w:w="0" w:type="dxa"/>
        <w:tblCellMar>
          <w:top w:w="0" w:type="dxa"/>
          <w:left w:w="0" w:type="dxa"/>
          <w:bottom w:w="0" w:type="dxa"/>
          <w:right w:w="0" w:type="dxa"/>
        </w:tblCellMar>
      </w:tblPr>
      <w:tr>
        <w:trPr>
          <w:trHeight w:val="217"/>
        </w:trPr>
        <w:tc>
          <w:tcPr>
            <w:tcW w:w="206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tcPr>
          <w:p>
            <w:pPr>
              <w:jc w:val="center"/>
              <w:ind w:right="699"/>
              <w:spacing w:after="0"/>
              <w:rPr>
                <w:sz w:val="20"/>
                <w:szCs w:val="20"/>
                <w:color w:val="auto"/>
              </w:rPr>
            </w:pPr>
            <w:r>
              <w:rPr>
                <w:rFonts w:ascii="Arial" w:cs="Arial" w:eastAsia="Arial" w:hAnsi="Arial"/>
                <w:sz w:val="16"/>
                <w:szCs w:val="16"/>
                <w:b w:val="1"/>
                <w:bCs w:val="1"/>
                <w:color w:val="auto"/>
              </w:rPr>
              <w:t>Minnesota</w:t>
            </w:r>
          </w:p>
        </w:tc>
        <w:tc>
          <w:tcPr>
            <w:tcW w:w="12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001-06403</w:t>
            </w:r>
          </w:p>
        </w:tc>
        <w:tc>
          <w:tcPr>
            <w:tcW w:w="3760" w:type="dxa"/>
            <w:vAlign w:val="bottom"/>
            <w:tcBorders>
              <w:bottom w:val="single" w:sz="8" w:color="auto"/>
            </w:tcBorders>
          </w:tcPr>
          <w:p>
            <w:pPr>
              <w:jc w:val="right"/>
              <w:ind w:right="1379"/>
              <w:spacing w:after="0"/>
              <w:rPr>
                <w:sz w:val="20"/>
                <w:szCs w:val="20"/>
                <w:color w:val="auto"/>
              </w:rPr>
            </w:pPr>
            <w:r>
              <w:rPr>
                <w:rFonts w:ascii="Arial" w:cs="Arial" w:eastAsia="Arial" w:hAnsi="Arial"/>
                <w:sz w:val="16"/>
                <w:szCs w:val="16"/>
                <w:b w:val="1"/>
                <w:bCs w:val="1"/>
                <w:color w:val="auto"/>
              </w:rPr>
              <w:t>42-0802678</w:t>
            </w:r>
          </w:p>
        </w:tc>
      </w:tr>
      <w:tr>
        <w:trPr>
          <w:trHeight w:val="208"/>
        </w:trPr>
        <w:tc>
          <w:tcPr>
            <w:tcW w:w="5420" w:type="dxa"/>
            <w:vAlign w:val="bottom"/>
            <w:gridSpan w:val="3"/>
          </w:tcPr>
          <w:p>
            <w:pPr>
              <w:jc w:val="center"/>
              <w:spacing w:after="0"/>
              <w:rPr>
                <w:sz w:val="20"/>
                <w:szCs w:val="20"/>
                <w:color w:val="auto"/>
              </w:rPr>
            </w:pPr>
            <w:r>
              <w:rPr>
                <w:rFonts w:ascii="Arial" w:cs="Arial" w:eastAsia="Arial" w:hAnsi="Arial"/>
                <w:sz w:val="16"/>
                <w:szCs w:val="16"/>
                <w:color w:val="auto"/>
              </w:rPr>
              <w:t>(State or Other Jurisdiction of Incorporation)</w:t>
            </w:r>
          </w:p>
        </w:tc>
        <w:tc>
          <w:tcPr>
            <w:tcW w:w="2060" w:type="dxa"/>
            <w:vAlign w:val="bottom"/>
          </w:tcPr>
          <w:p>
            <w:pPr>
              <w:jc w:val="center"/>
              <w:spacing w:after="0"/>
              <w:rPr>
                <w:sz w:val="20"/>
                <w:szCs w:val="20"/>
                <w:color w:val="auto"/>
              </w:rPr>
            </w:pPr>
            <w:r>
              <w:rPr>
                <w:rFonts w:ascii="Arial" w:cs="Arial" w:eastAsia="Arial" w:hAnsi="Arial"/>
                <w:sz w:val="16"/>
                <w:szCs w:val="16"/>
                <w:color w:val="auto"/>
              </w:rPr>
              <w:t>(Commission File Number)</w:t>
            </w:r>
          </w:p>
        </w:tc>
        <w:tc>
          <w:tcPr>
            <w:tcW w:w="376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433"/>
        </w:trPr>
        <w:tc>
          <w:tcPr>
            <w:tcW w:w="2060" w:type="dxa"/>
            <w:vAlign w:val="bottom"/>
            <w:tcBorders>
              <w:bottom w:val="single" w:sz="8" w:color="auto"/>
            </w:tcBorders>
          </w:tcPr>
          <w:p>
            <w:pPr>
              <w:ind w:left="340"/>
              <w:spacing w:after="0"/>
              <w:rPr>
                <w:sz w:val="20"/>
                <w:szCs w:val="20"/>
                <w:color w:val="auto"/>
              </w:rPr>
            </w:pPr>
            <w:r>
              <w:rPr>
                <w:rFonts w:ascii="Arial" w:cs="Arial" w:eastAsia="Arial" w:hAnsi="Arial"/>
                <w:sz w:val="16"/>
                <w:szCs w:val="16"/>
                <w:b w:val="1"/>
                <w:bCs w:val="1"/>
                <w:color w:val="auto"/>
              </w:rPr>
              <w:t>13200 Pioneer Trail</w:t>
            </w:r>
          </w:p>
        </w:tc>
        <w:tc>
          <w:tcPr>
            <w:tcW w:w="2100" w:type="dxa"/>
            <w:vAlign w:val="bottom"/>
            <w:tcBorders>
              <w:bottom w:val="single" w:sz="8" w:color="auto"/>
            </w:tcBorders>
          </w:tcPr>
          <w:p>
            <w:pPr>
              <w:ind w:left="420"/>
              <w:spacing w:after="0"/>
              <w:rPr>
                <w:sz w:val="20"/>
                <w:szCs w:val="20"/>
                <w:color w:val="auto"/>
              </w:rPr>
            </w:pPr>
            <w:r>
              <w:rPr>
                <w:rFonts w:ascii="Arial" w:cs="Arial" w:eastAsia="Arial" w:hAnsi="Arial"/>
                <w:sz w:val="16"/>
                <w:szCs w:val="16"/>
                <w:b w:val="1"/>
                <w:bCs w:val="1"/>
                <w:color w:val="auto"/>
              </w:rPr>
              <w:t>Eden Prairie</w:t>
            </w:r>
          </w:p>
        </w:tc>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Minnesota</w:t>
            </w:r>
          </w:p>
        </w:tc>
        <w:tc>
          <w:tcPr>
            <w:tcW w:w="2060" w:type="dxa"/>
            <w:vAlign w:val="bottom"/>
          </w:tcPr>
          <w:p>
            <w:pPr>
              <w:spacing w:after="0"/>
              <w:rPr>
                <w:sz w:val="24"/>
                <w:szCs w:val="24"/>
                <w:color w:val="auto"/>
              </w:rPr>
            </w:pPr>
          </w:p>
        </w:tc>
        <w:tc>
          <w:tcPr>
            <w:tcW w:w="3760" w:type="dxa"/>
            <w:vAlign w:val="bottom"/>
            <w:tcBorders>
              <w:bottom w:val="single" w:sz="8" w:color="auto"/>
            </w:tcBorders>
          </w:tcPr>
          <w:p>
            <w:pPr>
              <w:jc w:val="right"/>
              <w:ind w:right="1579"/>
              <w:spacing w:after="0"/>
              <w:rPr>
                <w:sz w:val="20"/>
                <w:szCs w:val="20"/>
                <w:color w:val="auto"/>
              </w:rPr>
            </w:pPr>
            <w:r>
              <w:rPr>
                <w:rFonts w:ascii="Arial" w:cs="Arial" w:eastAsia="Arial" w:hAnsi="Arial"/>
                <w:sz w:val="16"/>
                <w:szCs w:val="16"/>
                <w:b w:val="1"/>
                <w:bCs w:val="1"/>
                <w:color w:val="auto"/>
              </w:rPr>
              <w:t>55347</w:t>
            </w:r>
          </w:p>
        </w:tc>
      </w:tr>
      <w:tr>
        <w:trPr>
          <w:trHeight w:val="208"/>
        </w:trPr>
        <w:tc>
          <w:tcPr>
            <w:tcW w:w="4160" w:type="dxa"/>
            <w:vAlign w:val="bottom"/>
            <w:gridSpan w:val="2"/>
          </w:tcPr>
          <w:p>
            <w:pPr>
              <w:jc w:val="center"/>
              <w:ind w:left="1199"/>
              <w:spacing w:after="0"/>
              <w:rPr>
                <w:sz w:val="20"/>
                <w:szCs w:val="20"/>
                <w:color w:val="auto"/>
              </w:rPr>
            </w:pPr>
            <w:r>
              <w:rPr>
                <w:rFonts w:ascii="Arial" w:cs="Arial" w:eastAsia="Arial" w:hAnsi="Arial"/>
                <w:sz w:val="16"/>
                <w:szCs w:val="16"/>
                <w:color w:val="auto"/>
              </w:rPr>
              <w:t>(Address of Principal Executive Offices)</w:t>
            </w:r>
          </w:p>
        </w:tc>
        <w:tc>
          <w:tcPr>
            <w:tcW w:w="12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376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38" w:lineRule="exact"/>
        <w:rPr>
          <w:sz w:val="24"/>
          <w:szCs w:val="24"/>
          <w:color w:val="auto"/>
        </w:rPr>
      </w:pPr>
    </w:p>
    <w:p>
      <w:pPr>
        <w:jc w:val="center"/>
        <w:spacing w:after="0"/>
        <w:tabs>
          <w:tab w:leader="none" w:pos="120" w:val="left"/>
        </w:tabs>
        <w:rPr>
          <w:sz w:val="20"/>
          <w:szCs w:val="20"/>
          <w:color w:val="auto"/>
        </w:rPr>
      </w:pPr>
      <w:r>
        <w:rPr>
          <w:rFonts w:ascii="Arial" w:cs="Arial" w:eastAsia="Arial" w:hAnsi="Arial"/>
          <w:sz w:val="16"/>
          <w:szCs w:val="16"/>
          <w:color w:val="auto"/>
        </w:rPr>
        <w:t>Registrant's telephone number, including area code:</w:t>
      </w:r>
      <w:r>
        <w:rPr>
          <w:sz w:val="20"/>
          <w:szCs w:val="20"/>
          <w:color w:val="auto"/>
        </w:rPr>
        <w:tab/>
      </w:r>
      <w:r>
        <w:rPr>
          <w:rFonts w:ascii="Arial" w:cs="Arial" w:eastAsia="Arial" w:hAnsi="Arial"/>
          <w:sz w:val="16"/>
          <w:szCs w:val="16"/>
          <w:b w:val="1"/>
          <w:bCs w:val="1"/>
          <w:color w:val="auto"/>
        </w:rPr>
        <w:t>(952) 829-8600</w:t>
      </w:r>
    </w:p>
    <w:p>
      <w:pPr>
        <w:spacing w:after="0" w:line="21" w:lineRule="exact"/>
        <w:rPr>
          <w:sz w:val="24"/>
          <w:szCs w:val="24"/>
          <w:color w:val="auto"/>
        </w:rPr>
      </w:pPr>
    </w:p>
    <w:p>
      <w:pPr>
        <w:ind w:left="2480"/>
        <w:spacing w:after="0"/>
        <w:rPr>
          <w:sz w:val="20"/>
          <w:szCs w:val="20"/>
          <w:color w:val="auto"/>
        </w:rPr>
      </w:pPr>
      <w:r>
        <w:rPr>
          <w:rFonts w:ascii="Arial" w:cs="Arial" w:eastAsia="Arial" w:hAnsi="Arial"/>
          <w:sz w:val="16"/>
          <w:szCs w:val="16"/>
          <w:color w:val="auto"/>
        </w:rPr>
        <w:t>______________________________________________________________________</w:t>
      </w:r>
    </w:p>
    <w:p>
      <w:pPr>
        <w:spacing w:after="0" w:line="5" w:lineRule="exact"/>
        <w:rPr>
          <w:sz w:val="24"/>
          <w:szCs w:val="24"/>
          <w:color w:val="auto"/>
        </w:rPr>
      </w:pPr>
    </w:p>
    <w:p>
      <w:pPr>
        <w:jc w:val="center"/>
        <w:ind w:right="60"/>
        <w:spacing w:after="0"/>
        <w:rPr>
          <w:sz w:val="20"/>
          <w:szCs w:val="20"/>
          <w:color w:val="auto"/>
        </w:rPr>
      </w:pPr>
      <w:r>
        <w:rPr>
          <w:rFonts w:ascii="Arial" w:cs="Arial" w:eastAsia="Arial" w:hAnsi="Arial"/>
          <w:sz w:val="16"/>
          <w:szCs w:val="16"/>
          <w:color w:val="auto"/>
        </w:rPr>
        <w:t>(Former Name or Former Address, if Changed Since Last Report.)</w:t>
      </w:r>
    </w:p>
    <w:p>
      <w:pPr>
        <w:spacing w:after="0" w:line="246" w:lineRule="exact"/>
        <w:rPr>
          <w:sz w:val="24"/>
          <w:szCs w:val="24"/>
          <w:color w:val="auto"/>
        </w:rPr>
      </w:pPr>
    </w:p>
    <w:p>
      <w:pPr>
        <w:jc w:val="both"/>
        <w:ind w:right="20"/>
        <w:spacing w:after="0" w:line="286" w:lineRule="auto"/>
        <w:rPr>
          <w:sz w:val="20"/>
          <w:szCs w:val="20"/>
          <w:color w:val="auto"/>
        </w:rPr>
      </w:pPr>
      <w:r>
        <w:rPr>
          <w:rFonts w:ascii="Arial" w:cs="Arial" w:eastAsia="Arial" w:hAnsi="Arial"/>
          <w:sz w:val="16"/>
          <w:szCs w:val="16"/>
          <w:color w:val="auto"/>
        </w:rPr>
        <w:t>Check the appropriate box below if the Form 8-K filing is intended to simultaneously satisfy the filing obligation of the registrant under any of the following provisions (see General Instruction A.2. below):</w:t>
      </w:r>
    </w:p>
    <w:p>
      <w:pPr>
        <w:spacing w:after="0" w:line="142"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207"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194" w:lineRule="exact"/>
        <w:rPr>
          <w:rFonts w:ascii="MS PGothic" w:cs="MS PGothic" w:eastAsia="MS PGothic" w:hAnsi="MS PGothic"/>
          <w:sz w:val="16"/>
          <w:szCs w:val="16"/>
          <w:color w:val="auto"/>
        </w:rPr>
      </w:pPr>
    </w:p>
    <w:p>
      <w:pPr>
        <w:ind w:left="380" w:hanging="372"/>
        <w:spacing w:after="0"/>
        <w:tabs>
          <w:tab w:leader="none" w:pos="38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31" w:lineRule="exact"/>
        <w:rPr>
          <w:sz w:val="24"/>
          <w:szCs w:val="24"/>
          <w:color w:val="auto"/>
        </w:rPr>
      </w:pPr>
    </w:p>
    <w:tbl>
      <w:tblPr>
        <w:tblLayout w:type="fixed"/>
        <w:tblInd w:w="10" w:type="dxa"/>
        <w:tblCellMar>
          <w:top w:w="0" w:type="dxa"/>
          <w:left w:w="0" w:type="dxa"/>
          <w:bottom w:w="0" w:type="dxa"/>
          <w:right w:w="0" w:type="dxa"/>
        </w:tblCellMar>
      </w:tblPr>
      <w:tr>
        <w:trPr>
          <w:trHeight w:val="224"/>
        </w:trPr>
        <w:tc>
          <w:tcPr>
            <w:tcW w:w="47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Title of each class</w:t>
            </w:r>
          </w:p>
        </w:tc>
        <w:tc>
          <w:tcPr>
            <w:tcW w:w="1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9"/>
              </w:rPr>
              <w:t>Trading Symbol(s)</w:t>
            </w:r>
          </w:p>
        </w:tc>
        <w:tc>
          <w:tcPr>
            <w:tcW w:w="47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Name of each exchange on which registered</w:t>
            </w:r>
          </w:p>
        </w:tc>
      </w:tr>
      <w:tr>
        <w:trPr>
          <w:trHeight w:val="209"/>
        </w:trPr>
        <w:tc>
          <w:tcPr>
            <w:tcW w:w="47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Common Stock, $0.50 par value per share</w:t>
            </w:r>
          </w:p>
        </w:tc>
        <w:tc>
          <w:tcPr>
            <w:tcW w:w="1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WGO</w:t>
            </w:r>
          </w:p>
        </w:tc>
        <w:tc>
          <w:tcPr>
            <w:tcW w:w="4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rPr>
              <w:t>New York Stock Exchange</w:t>
            </w:r>
          </w:p>
        </w:tc>
      </w:tr>
    </w:tbl>
    <w:p>
      <w:pPr>
        <w:spacing w:after="0" w:line="323" w:lineRule="exact"/>
        <w:rPr>
          <w:sz w:val="24"/>
          <w:szCs w:val="24"/>
          <w:color w:val="auto"/>
        </w:rPr>
      </w:pPr>
    </w:p>
    <w:p>
      <w:pPr>
        <w:jc w:val="both"/>
        <w:ind w:right="20"/>
        <w:spacing w:after="0" w:line="263" w:lineRule="auto"/>
        <w:rPr>
          <w:sz w:val="20"/>
          <w:szCs w:val="20"/>
          <w:color w:val="auto"/>
        </w:rPr>
      </w:pPr>
      <w:r>
        <w:rPr>
          <w:rFonts w:ascii="Arial" w:cs="Arial" w:eastAsia="Arial" w:hAnsi="Arial"/>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36" w:lineRule="exact"/>
        <w:rPr>
          <w:sz w:val="24"/>
          <w:szCs w:val="24"/>
          <w:color w:val="auto"/>
        </w:rPr>
      </w:pPr>
    </w:p>
    <w:p>
      <w:pPr>
        <w:ind w:right="160"/>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532130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002" w:right="319" w:bottom="1440" w:gutter="0" w:footer="0" w:header="0"/>
        </w:sectPr>
      </w:pPr>
    </w:p>
    <w:bookmarkStart w:id="1" w:name="page2"/>
    <w:bookmarkEnd w:id="1"/>
    <w:p>
      <w:pPr>
        <w:spacing w:after="0"/>
        <w:rPr>
          <w:sz w:val="20"/>
          <w:szCs w:val="20"/>
          <w:color w:val="auto"/>
        </w:rPr>
      </w:pPr>
      <w:r>
        <w:rPr>
          <w:rFonts w:ascii="Arial" w:cs="Arial" w:eastAsia="Arial" w:hAnsi="Arial"/>
          <w:sz w:val="16"/>
          <w:szCs w:val="16"/>
          <w:b w:val="1"/>
          <w:bCs w:val="1"/>
          <w:color w:val="auto"/>
        </w:rPr>
        <w:t>Item 2.02 Results of Operations and Financial Condition.</w:t>
      </w:r>
    </w:p>
    <w:p>
      <w:pPr>
        <w:spacing w:after="0" w:line="154" w:lineRule="exact"/>
        <w:rPr>
          <w:sz w:val="20"/>
          <w:szCs w:val="20"/>
          <w:color w:val="auto"/>
        </w:rPr>
      </w:pPr>
    </w:p>
    <w:p>
      <w:pPr>
        <w:ind w:right="440"/>
        <w:spacing w:after="0" w:line="286" w:lineRule="auto"/>
        <w:rPr>
          <w:sz w:val="20"/>
          <w:szCs w:val="20"/>
          <w:color w:val="auto"/>
        </w:rPr>
      </w:pPr>
      <w:r>
        <w:rPr>
          <w:rFonts w:ascii="Arial" w:cs="Arial" w:eastAsia="Arial" w:hAnsi="Arial"/>
          <w:sz w:val="16"/>
          <w:szCs w:val="16"/>
          <w:color w:val="auto"/>
        </w:rPr>
        <w:t>On March 25, 2026, Winnebago Industries, Inc. (the "Company") issued a press release to report financial results for the second quarter of Fiscal 2026 ended February 28, 2026. A copy of the press release is attached as Exhibit 99.1 and is incorporated by reference herein.</w:t>
      </w:r>
    </w:p>
    <w:p>
      <w:pPr>
        <w:spacing w:after="0" w:line="196"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Exhibit 99.1 includes non-GAAP financial measures related to our operations. Certain of these non-GAAP measures may be discussed in our earnings conference call for the second quarter of Fiscal 2026. In addition, Exhibit 99.1 includes reconciliations of these GAAP to non-GAAP measures as well as an explanation of why these non-GAAP measures provide useful information to investors and how management uses these non-GAAP measures. These non-GAAP measures should not be considered a substitute for, or superior to, financial measures calculated in accordance with GAAP, and the financial results calculated in accordance with GAAP and reconciliations from our results should be carefully evaluated.</w:t>
      </w:r>
    </w:p>
    <w:p>
      <w:pPr>
        <w:spacing w:after="0" w:line="218"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The information set forth in this Item 2.02, including Exhibit 99.1, of this Form 8-K shall be deemed "furnished" pursuant to Item 2.02 and not "filed" for purposes of Section 18 of the Securities and Exchange Act of 1934, or otherwise subject to the liabilities of that section, and shall not be deemed incorporated by reference in any filing under the Securities Act of 1933 or the Securities Exchange Act of 1934, except as shall be expressly set forth by specific reference in such filing.</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60" w:type="dxa"/>
            <w:vAlign w:val="bottom"/>
            <w:gridSpan w:val="4"/>
          </w:tcPr>
          <w:p>
            <w:pPr>
              <w:spacing w:after="0"/>
              <w:rPr>
                <w:sz w:val="20"/>
                <w:szCs w:val="20"/>
                <w:color w:val="auto"/>
              </w:rPr>
            </w:pPr>
            <w:r>
              <w:rPr>
                <w:rFonts w:ascii="Arial" w:cs="Arial" w:eastAsia="Arial" w:hAnsi="Arial"/>
                <w:sz w:val="16"/>
                <w:szCs w:val="16"/>
                <w:color w:val="auto"/>
              </w:rPr>
              <w:t>(d) Exhibits</w:t>
            </w:r>
          </w:p>
        </w:tc>
        <w:tc>
          <w:tcPr>
            <w:tcW w:w="482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34"/>
        </w:trPr>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40" w:type="dxa"/>
            <w:vAlign w:val="bottom"/>
            <w:gridSpan w:val="2"/>
          </w:tcPr>
          <w:p>
            <w:pPr>
              <w:spacing w:after="0"/>
              <w:rPr>
                <w:sz w:val="20"/>
                <w:szCs w:val="20"/>
                <w:color w:val="auto"/>
              </w:rPr>
            </w:pPr>
            <w:r>
              <w:rPr>
                <w:rFonts w:ascii="Arial" w:cs="Arial" w:eastAsia="Arial" w:hAnsi="Arial"/>
                <w:sz w:val="16"/>
                <w:szCs w:val="16"/>
                <w:b w:val="1"/>
                <w:bCs w:val="1"/>
                <w:color w:val="auto"/>
              </w:rPr>
              <w:t>Exhibit Number</w:t>
            </w:r>
          </w:p>
        </w:tc>
        <w:tc>
          <w:tcPr>
            <w:tcW w:w="9480" w:type="dxa"/>
            <w:vAlign w:val="bottom"/>
            <w:gridSpan w:val="3"/>
          </w:tcPr>
          <w:p>
            <w:pPr>
              <w:spacing w:after="0"/>
              <w:rPr>
                <w:sz w:val="20"/>
                <w:szCs w:val="20"/>
                <w:color w:val="auto"/>
              </w:rPr>
            </w:pPr>
            <w:r>
              <w:rPr>
                <w:rFonts w:ascii="Arial" w:cs="Arial" w:eastAsia="Arial" w:hAnsi="Arial"/>
                <w:sz w:val="16"/>
                <w:szCs w:val="16"/>
                <w:b w:val="1"/>
                <w:bCs w:val="1"/>
                <w:color w:val="auto"/>
              </w:rPr>
              <w:t>Description</w:t>
            </w:r>
          </w:p>
        </w:tc>
      </w:tr>
      <w:tr>
        <w:trPr>
          <w:trHeight w:val="169"/>
        </w:trPr>
        <w:tc>
          <w:tcPr>
            <w:tcW w:w="400" w:type="dxa"/>
            <w:vAlign w:val="bottom"/>
          </w:tcPr>
          <w:p>
            <w:pPr>
              <w:spacing w:after="0"/>
              <w:rPr>
                <w:sz w:val="14"/>
                <w:szCs w:val="14"/>
                <w:color w:val="auto"/>
              </w:rPr>
            </w:pPr>
          </w:p>
        </w:tc>
        <w:tc>
          <w:tcPr>
            <w:tcW w:w="1360" w:type="dxa"/>
            <w:vAlign w:val="bottom"/>
            <w:tcBorders>
              <w:top w:val="single" w:sz="8" w:color="auto"/>
            </w:tcBorders>
            <w:gridSpan w:val="3"/>
          </w:tcPr>
          <w:p>
            <w:pPr>
              <w:ind w:left="20"/>
              <w:spacing w:after="0" w:line="169" w:lineRule="exact"/>
              <w:rPr>
                <w:sz w:val="20"/>
                <w:szCs w:val="20"/>
                <w:color w:val="auto"/>
              </w:rPr>
            </w:pPr>
            <w:r>
              <w:rPr>
                <w:rFonts w:ascii="Arial" w:cs="Arial" w:eastAsia="Arial" w:hAnsi="Arial"/>
                <w:sz w:val="16"/>
                <w:szCs w:val="16"/>
                <w:color w:val="0000FF"/>
              </w:rPr>
              <w:t>99.</w:t>
            </w:r>
            <w:r>
              <w:rPr>
                <w:rFonts w:ascii="Arial" w:cs="Arial" w:eastAsia="Arial" w:hAnsi="Arial"/>
                <w:sz w:val="16"/>
                <w:szCs w:val="16"/>
                <w:u w:val="single" w:color="auto"/>
                <w:color w:val="0000FF"/>
              </w:rPr>
              <w:t>1</w:t>
            </w:r>
          </w:p>
        </w:tc>
        <w:tc>
          <w:tcPr>
            <w:tcW w:w="93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6"/>
                <w:szCs w:val="16"/>
                <w:color w:val="0000FF"/>
              </w:rPr>
              <w:t>Press Release of Winnebago Industries, Inc. dated March 25, 2026</w:t>
            </w:r>
          </w:p>
        </w:tc>
        <w:tc>
          <w:tcPr>
            <w:tcW w:w="100" w:type="dxa"/>
            <w:vAlign w:val="bottom"/>
          </w:tcPr>
          <w:p>
            <w:pPr>
              <w:spacing w:after="0"/>
              <w:rPr>
                <w:sz w:val="14"/>
                <w:szCs w:val="14"/>
                <w:color w:val="auto"/>
              </w:rPr>
            </w:pPr>
          </w:p>
        </w:tc>
      </w:tr>
      <w:tr>
        <w:trPr>
          <w:trHeight w:val="20"/>
        </w:trPr>
        <w:tc>
          <w:tcPr>
            <w:tcW w:w="420" w:type="dxa"/>
            <w:vAlign w:val="bottom"/>
            <w:gridSpan w:val="2"/>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20" w:type="dxa"/>
            <w:vAlign w:val="bottom"/>
            <w:shd w:val="clear" w:color="auto" w:fill="0000FF"/>
          </w:tcPr>
          <w:p>
            <w:pPr>
              <w:spacing w:after="0" w:line="20" w:lineRule="exact"/>
              <w:rPr>
                <w:sz w:val="1"/>
                <w:szCs w:val="1"/>
                <w:color w:val="auto"/>
              </w:rPr>
            </w:pPr>
          </w:p>
        </w:tc>
        <w:tc>
          <w:tcPr>
            <w:tcW w:w="4660" w:type="dxa"/>
            <w:vAlign w:val="bottom"/>
            <w:gridSpan w:val="2"/>
          </w:tcPr>
          <w:p>
            <w:pPr>
              <w:spacing w:after="0" w:line="20" w:lineRule="exact"/>
              <w:rPr>
                <w:sz w:val="1"/>
                <w:szCs w:val="1"/>
                <w:color w:val="auto"/>
              </w:rPr>
            </w:pPr>
          </w:p>
        </w:tc>
      </w:tr>
      <w:tr>
        <w:trPr>
          <w:trHeight w:val="234"/>
        </w:trPr>
        <w:tc>
          <w:tcPr>
            <w:tcW w:w="740" w:type="dxa"/>
            <w:vAlign w:val="bottom"/>
            <w:gridSpan w:val="3"/>
          </w:tcPr>
          <w:p>
            <w:pPr>
              <w:ind w:left="420"/>
              <w:spacing w:after="0"/>
              <w:rPr>
                <w:sz w:val="20"/>
                <w:szCs w:val="20"/>
                <w:color w:val="auto"/>
              </w:rPr>
            </w:pPr>
            <w:r>
              <w:rPr>
                <w:rFonts w:ascii="Arial" w:cs="Arial" w:eastAsia="Arial" w:hAnsi="Arial"/>
                <w:sz w:val="16"/>
                <w:szCs w:val="16"/>
                <w:color w:val="auto"/>
              </w:rPr>
              <w:t>104</w:t>
            </w:r>
          </w:p>
        </w:tc>
        <w:tc>
          <w:tcPr>
            <w:tcW w:w="1020" w:type="dxa"/>
            <w:vAlign w:val="bottom"/>
          </w:tcPr>
          <w:p>
            <w:pPr>
              <w:spacing w:after="0"/>
              <w:rPr>
                <w:sz w:val="20"/>
                <w:szCs w:val="20"/>
                <w:color w:val="auto"/>
              </w:rPr>
            </w:pPr>
          </w:p>
        </w:tc>
        <w:tc>
          <w:tcPr>
            <w:tcW w:w="9480" w:type="dxa"/>
            <w:vAlign w:val="bottom"/>
            <w:gridSpan w:val="3"/>
          </w:tcPr>
          <w:p>
            <w:pPr>
              <w:spacing w:after="0"/>
              <w:rPr>
                <w:sz w:val="20"/>
                <w:szCs w:val="20"/>
                <w:color w:val="auto"/>
              </w:rPr>
            </w:pPr>
            <w:r>
              <w:rPr>
                <w:rFonts w:ascii="Arial" w:cs="Arial" w:eastAsia="Arial" w:hAnsi="Arial"/>
                <w:sz w:val="16"/>
                <w:szCs w:val="16"/>
                <w:color w:val="auto"/>
              </w:rPr>
              <w:t>Cover Page Interactive Data File (formatted as Inline XBRL)</w:t>
            </w:r>
          </w:p>
        </w:tc>
      </w:tr>
      <w:tr>
        <w:trPr>
          <w:trHeight w:val="1211"/>
        </w:trPr>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SIGNATURES</w:t>
      </w:r>
    </w:p>
    <w:p>
      <w:pPr>
        <w:spacing w:after="0" w:line="17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tbl>
      <w:tblPr>
        <w:tblLayout w:type="fixed"/>
        <w:tblInd w:w="20" w:type="dxa"/>
        <w:tblCellMar>
          <w:top w:w="0" w:type="dxa"/>
          <w:left w:w="0" w:type="dxa"/>
          <w:bottom w:w="0" w:type="dxa"/>
          <w:right w:w="0" w:type="dxa"/>
        </w:tblCellMar>
      </w:tblPr>
      <w:tr>
        <w:trPr>
          <w:trHeight w:val="283"/>
        </w:trPr>
        <w:tc>
          <w:tcPr>
            <w:tcW w:w="5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7420" w:type="dxa"/>
            <w:vAlign w:val="bottom"/>
            <w:gridSpan w:val="2"/>
          </w:tcPr>
          <w:p>
            <w:pPr>
              <w:ind w:left="1940"/>
              <w:spacing w:after="0"/>
              <w:rPr>
                <w:sz w:val="20"/>
                <w:szCs w:val="20"/>
                <w:color w:val="auto"/>
              </w:rPr>
            </w:pPr>
            <w:r>
              <w:rPr>
                <w:rFonts w:ascii="Arial" w:cs="Arial" w:eastAsia="Arial" w:hAnsi="Arial"/>
                <w:sz w:val="22"/>
                <w:szCs w:val="22"/>
                <w:color w:val="auto"/>
              </w:rPr>
              <w:t>W</w:t>
            </w:r>
            <w:r>
              <w:rPr>
                <w:rFonts w:ascii="Arial" w:cs="Arial" w:eastAsia="Arial" w:hAnsi="Arial"/>
                <w:sz w:val="16"/>
                <w:szCs w:val="16"/>
                <w:color w:val="auto"/>
              </w:rPr>
              <w:t>INNEBAGO</w:t>
            </w:r>
            <w:r>
              <w:rPr>
                <w:rFonts w:ascii="Arial" w:cs="Arial" w:eastAsia="Arial" w:hAnsi="Arial"/>
                <w:sz w:val="22"/>
                <w:szCs w:val="22"/>
                <w:color w:val="auto"/>
              </w:rPr>
              <w:t xml:space="preserve"> I</w:t>
            </w:r>
            <w:r>
              <w:rPr>
                <w:rFonts w:ascii="Arial" w:cs="Arial" w:eastAsia="Arial" w:hAnsi="Arial"/>
                <w:sz w:val="16"/>
                <w:szCs w:val="16"/>
                <w:color w:val="auto"/>
              </w:rPr>
              <w:t>NDUSTRIES,</w:t>
            </w:r>
            <w:r>
              <w:rPr>
                <w:rFonts w:ascii="Arial" w:cs="Arial" w:eastAsia="Arial" w:hAnsi="Arial"/>
                <w:sz w:val="22"/>
                <w:szCs w:val="22"/>
                <w:color w:val="auto"/>
              </w:rPr>
              <w:t xml:space="preserve"> I</w:t>
            </w:r>
            <w:r>
              <w:rPr>
                <w:rFonts w:ascii="Arial" w:cs="Arial" w:eastAsia="Arial" w:hAnsi="Arial"/>
                <w:sz w:val="16"/>
                <w:szCs w:val="16"/>
                <w:color w:val="auto"/>
              </w:rPr>
              <w:t>NC.</w:t>
            </w:r>
          </w:p>
        </w:tc>
        <w:tc>
          <w:tcPr>
            <w:tcW w:w="0" w:type="dxa"/>
            <w:vAlign w:val="bottom"/>
          </w:tcPr>
          <w:p>
            <w:pPr>
              <w:spacing w:after="0"/>
              <w:rPr>
                <w:sz w:val="1"/>
                <w:szCs w:val="1"/>
                <w:color w:val="auto"/>
              </w:rPr>
            </w:pPr>
          </w:p>
        </w:tc>
      </w:tr>
      <w:tr>
        <w:trPr>
          <w:trHeight w:val="429"/>
        </w:trPr>
        <w:tc>
          <w:tcPr>
            <w:tcW w:w="560" w:type="dxa"/>
            <w:vAlign w:val="bottom"/>
          </w:tcPr>
          <w:p>
            <w:pPr>
              <w:spacing w:after="0"/>
              <w:rPr>
                <w:sz w:val="20"/>
                <w:szCs w:val="20"/>
                <w:color w:val="auto"/>
              </w:rPr>
            </w:pPr>
            <w:r>
              <w:rPr>
                <w:rFonts w:ascii="Arial" w:cs="Arial" w:eastAsia="Arial" w:hAnsi="Arial"/>
                <w:sz w:val="16"/>
                <w:szCs w:val="16"/>
                <w:color w:val="auto"/>
              </w:rPr>
              <w:t>Date:</w:t>
            </w:r>
          </w:p>
        </w:tc>
        <w:tc>
          <w:tcPr>
            <w:tcW w:w="3240" w:type="dxa"/>
            <w:vAlign w:val="bottom"/>
          </w:tcPr>
          <w:p>
            <w:pPr>
              <w:ind w:left="160"/>
              <w:spacing w:after="0"/>
              <w:rPr>
                <w:sz w:val="20"/>
                <w:szCs w:val="20"/>
                <w:color w:val="auto"/>
              </w:rPr>
            </w:pPr>
            <w:r>
              <w:rPr>
                <w:rFonts w:ascii="Arial" w:cs="Arial" w:eastAsia="Arial" w:hAnsi="Arial"/>
                <w:sz w:val="16"/>
                <w:szCs w:val="16"/>
                <w:color w:val="auto"/>
              </w:rPr>
              <w:t>March 25, 2026</w:t>
            </w:r>
          </w:p>
        </w:tc>
        <w:tc>
          <w:tcPr>
            <w:tcW w:w="2760" w:type="dxa"/>
            <w:vAlign w:val="bottom"/>
          </w:tcPr>
          <w:p>
            <w:pPr>
              <w:ind w:left="1940"/>
              <w:spacing w:after="0"/>
              <w:rPr>
                <w:sz w:val="20"/>
                <w:szCs w:val="20"/>
                <w:color w:val="auto"/>
              </w:rPr>
            </w:pPr>
            <w:r>
              <w:rPr>
                <w:rFonts w:ascii="Arial" w:cs="Arial" w:eastAsia="Arial" w:hAnsi="Arial"/>
                <w:sz w:val="16"/>
                <w:szCs w:val="16"/>
                <w:color w:val="auto"/>
              </w:rPr>
              <w:t>By:</w:t>
            </w:r>
          </w:p>
        </w:tc>
        <w:tc>
          <w:tcPr>
            <w:tcW w:w="4660" w:type="dxa"/>
            <w:vAlign w:val="bottom"/>
            <w:tcBorders>
              <w:bottom w:val="single" w:sz="8" w:color="auto"/>
            </w:tcBorders>
          </w:tcPr>
          <w:p>
            <w:pPr>
              <w:ind w:left="20"/>
              <w:spacing w:after="0"/>
              <w:rPr>
                <w:sz w:val="20"/>
                <w:szCs w:val="20"/>
                <w:color w:val="auto"/>
              </w:rPr>
            </w:pPr>
            <w:r>
              <w:rPr>
                <w:rFonts w:ascii="Arial" w:cs="Arial" w:eastAsia="Arial" w:hAnsi="Arial"/>
                <w:sz w:val="16"/>
                <w:szCs w:val="16"/>
                <w:i w:val="1"/>
                <w:iCs w:val="1"/>
                <w:color w:val="auto"/>
              </w:rPr>
              <w:t>/s/ Bryan L. Hughes</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760" w:type="dxa"/>
            <w:vAlign w:val="bottom"/>
          </w:tcPr>
          <w:p>
            <w:pPr>
              <w:ind w:left="1940"/>
              <w:spacing w:after="0"/>
              <w:rPr>
                <w:sz w:val="20"/>
                <w:szCs w:val="20"/>
                <w:color w:val="auto"/>
              </w:rPr>
            </w:pPr>
            <w:r>
              <w:rPr>
                <w:rFonts w:ascii="Arial" w:cs="Arial" w:eastAsia="Arial" w:hAnsi="Arial"/>
                <w:sz w:val="16"/>
                <w:szCs w:val="16"/>
                <w:color w:val="auto"/>
              </w:rPr>
              <w:t>Name:</w:t>
            </w:r>
          </w:p>
        </w:tc>
        <w:tc>
          <w:tcPr>
            <w:tcW w:w="4660" w:type="dxa"/>
            <w:vAlign w:val="bottom"/>
          </w:tcPr>
          <w:p>
            <w:pPr>
              <w:ind w:left="20"/>
              <w:spacing w:after="0"/>
              <w:rPr>
                <w:sz w:val="20"/>
                <w:szCs w:val="20"/>
                <w:color w:val="auto"/>
              </w:rPr>
            </w:pPr>
            <w:r>
              <w:rPr>
                <w:rFonts w:ascii="Arial" w:cs="Arial" w:eastAsia="Arial" w:hAnsi="Arial"/>
                <w:sz w:val="16"/>
                <w:szCs w:val="16"/>
                <w:color w:val="auto"/>
              </w:rPr>
              <w:t>Bryan L. Hughes</w:t>
            </w:r>
          </w:p>
        </w:tc>
        <w:tc>
          <w:tcPr>
            <w:tcW w:w="0" w:type="dxa"/>
            <w:vAlign w:val="bottom"/>
          </w:tcPr>
          <w:p>
            <w:pPr>
              <w:spacing w:after="0"/>
              <w:rPr>
                <w:sz w:val="1"/>
                <w:szCs w:val="1"/>
                <w:color w:val="auto"/>
              </w:rPr>
            </w:pPr>
          </w:p>
        </w:tc>
      </w:tr>
      <w:tr>
        <w:trPr>
          <w:trHeight w:val="163"/>
        </w:trPr>
        <w:tc>
          <w:tcPr>
            <w:tcW w:w="56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2760" w:type="dxa"/>
            <w:vAlign w:val="bottom"/>
            <w:vMerge w:val="restart"/>
          </w:tcPr>
          <w:p>
            <w:pPr>
              <w:ind w:left="1940"/>
              <w:spacing w:after="0"/>
              <w:rPr>
                <w:sz w:val="20"/>
                <w:szCs w:val="20"/>
                <w:color w:val="auto"/>
              </w:rPr>
            </w:pPr>
            <w:r>
              <w:rPr>
                <w:rFonts w:ascii="Arial" w:cs="Arial" w:eastAsia="Arial" w:hAnsi="Arial"/>
                <w:sz w:val="16"/>
                <w:szCs w:val="16"/>
                <w:color w:val="auto"/>
              </w:rPr>
              <w:t>Title:</w:t>
            </w:r>
          </w:p>
        </w:tc>
        <w:tc>
          <w:tcPr>
            <w:tcW w:w="4660" w:type="dxa"/>
            <w:vAlign w:val="bottom"/>
          </w:tcPr>
          <w:p>
            <w:pPr>
              <w:ind w:left="20"/>
              <w:spacing w:after="0" w:line="164" w:lineRule="exact"/>
              <w:rPr>
                <w:sz w:val="20"/>
                <w:szCs w:val="20"/>
                <w:color w:val="auto"/>
              </w:rPr>
            </w:pPr>
            <w:r>
              <w:rPr>
                <w:rFonts w:ascii="Arial" w:cs="Arial" w:eastAsia="Arial" w:hAnsi="Arial"/>
                <w:sz w:val="16"/>
                <w:szCs w:val="16"/>
                <w:color w:val="auto"/>
              </w:rPr>
              <w:t>Chief Financial Officer and Senior Vice President</w:t>
            </w:r>
          </w:p>
        </w:tc>
        <w:tc>
          <w:tcPr>
            <w:tcW w:w="0" w:type="dxa"/>
            <w:vAlign w:val="bottom"/>
          </w:tcPr>
          <w:p>
            <w:pPr>
              <w:spacing w:after="0"/>
              <w:rPr>
                <w:sz w:val="1"/>
                <w:szCs w:val="1"/>
                <w:color w:val="auto"/>
              </w:rPr>
            </w:pPr>
          </w:p>
        </w:tc>
      </w:tr>
      <w:tr>
        <w:trPr>
          <w:trHeight w:val="215"/>
        </w:trPr>
        <w:tc>
          <w:tcPr>
            <w:tcW w:w="5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760" w:type="dxa"/>
            <w:vAlign w:val="bottom"/>
            <w:vMerge w:val="continue"/>
          </w:tcPr>
          <w:p>
            <w:pPr>
              <w:spacing w:after="0"/>
              <w:rPr>
                <w:sz w:val="18"/>
                <w:szCs w:val="18"/>
                <w:color w:val="auto"/>
              </w:rPr>
            </w:pPr>
          </w:p>
        </w:tc>
        <w:tc>
          <w:tcPr>
            <w:tcW w:w="466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885"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29210</wp:posOffset>
            </wp:positionV>
            <wp:extent cx="2957195" cy="814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957195" cy="814705"/>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p>
      <w:pPr>
        <w:ind w:left="7040"/>
        <w:spacing w:after="0"/>
        <w:rPr>
          <w:sz w:val="20"/>
          <w:szCs w:val="20"/>
          <w:color w:val="auto"/>
        </w:rPr>
      </w:pPr>
      <w:r>
        <w:rPr>
          <w:rFonts w:ascii="Arial" w:cs="Arial" w:eastAsia="Arial" w:hAnsi="Arial"/>
          <w:sz w:val="43"/>
          <w:szCs w:val="43"/>
          <w:b w:val="1"/>
          <w:b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WINNEBAGO INDUSTRIES REPORTS SECOND QUARTER FISCAL 2026 RESULTS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New Products and Grand Design Expansion Drive Strong Motorhome RV Performance --</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Top- and Bottom-Line Growth Reflect Diversified Portfolio and Operational Discipline --</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$100 Million Debt Redemption Further Strengthens Balance Sheet --</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 Company Maintains Fiscal 2026 Guidance for Revenue and Adjusted EPS --</w:t>
      </w:r>
    </w:p>
    <w:p>
      <w:pPr>
        <w:spacing w:after="0" w:line="200" w:lineRule="exact"/>
        <w:rPr>
          <w:sz w:val="20"/>
          <w:szCs w:val="20"/>
          <w:color w:val="auto"/>
        </w:rPr>
      </w:pPr>
    </w:p>
    <w:p>
      <w:pPr>
        <w:spacing w:after="0" w:line="291" w:lineRule="exact"/>
        <w:rPr>
          <w:sz w:val="20"/>
          <w:szCs w:val="20"/>
          <w:color w:val="auto"/>
        </w:rPr>
      </w:pPr>
    </w:p>
    <w:p>
      <w:pPr>
        <w:ind w:right="640"/>
        <w:spacing w:after="0" w:line="409" w:lineRule="auto"/>
        <w:rPr>
          <w:sz w:val="20"/>
          <w:szCs w:val="20"/>
          <w:color w:val="auto"/>
        </w:rPr>
      </w:pPr>
      <w:r>
        <w:rPr>
          <w:rFonts w:ascii="Arial" w:cs="Arial" w:eastAsia="Arial" w:hAnsi="Arial"/>
          <w:sz w:val="16"/>
          <w:szCs w:val="16"/>
          <w:b w:val="1"/>
          <w:bCs w:val="1"/>
          <w:color w:val="auto"/>
        </w:rPr>
        <w:t xml:space="preserve">EDEN PRAIRIE, MINN., March 25, 2026 </w:t>
      </w:r>
      <w:r>
        <w:rPr>
          <w:rFonts w:ascii="Arial" w:cs="Arial" w:eastAsia="Arial" w:hAnsi="Arial"/>
          <w:sz w:val="16"/>
          <w:szCs w:val="16"/>
          <w:color w:val="auto"/>
        </w:rPr>
        <w:t>-- Winnebago Industries, Inc. (NYSE: WGO), a leading manufacturer of outdoor recreation products, today</w:t>
      </w:r>
      <w:r>
        <w:rPr>
          <w:rFonts w:ascii="Arial" w:cs="Arial" w:eastAsia="Arial" w:hAnsi="Arial"/>
          <w:sz w:val="16"/>
          <w:szCs w:val="16"/>
          <w:b w:val="1"/>
          <w:bCs w:val="1"/>
          <w:color w:val="auto"/>
        </w:rPr>
        <w:t xml:space="preserve"> </w:t>
      </w:r>
      <w:r>
        <w:rPr>
          <w:rFonts w:ascii="Arial" w:cs="Arial" w:eastAsia="Arial" w:hAnsi="Arial"/>
          <w:sz w:val="16"/>
          <w:szCs w:val="16"/>
          <w:color w:val="auto"/>
        </w:rPr>
        <w:t>reported financial results for the Fiscal 2026 second quarter ended February 28, 2026.</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Quarter Fiscal 2026 Financial Summary</w:t>
      </w:r>
    </w:p>
    <w:p>
      <w:pPr>
        <w:spacing w:after="0" w:line="100" w:lineRule="exact"/>
        <w:rPr>
          <w:sz w:val="20"/>
          <w:szCs w:val="20"/>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revenues of $657.4 million compared to $620.2 million in the second quarter of Fiscal 2025</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Gross profit of $85.6 million, representing 13.0% gross margin, compared to $83.1 million in the second quarter of Fiscal 2025</w:t>
      </w:r>
    </w:p>
    <w:p>
      <w:pPr>
        <w:spacing w:after="0" w:line="99" w:lineRule="exact"/>
        <w:rPr>
          <w:rFonts w:ascii="Arial" w:cs="Arial" w:eastAsia="Arial" w:hAnsi="Arial"/>
          <w:sz w:val="16"/>
          <w:szCs w:val="16"/>
          <w:color w:val="auto"/>
        </w:rPr>
      </w:pPr>
    </w:p>
    <w:p>
      <w:pPr>
        <w:ind w:left="660" w:right="20" w:hanging="328"/>
        <w:spacing w:after="0" w:line="369" w:lineRule="auto"/>
        <w:tabs>
          <w:tab w:leader="none" w:pos="649" w:val="left"/>
        </w:tabs>
        <w:numPr>
          <w:ilvl w:val="0"/>
          <w:numId w:val="2"/>
        </w:numPr>
        <w:rPr>
          <w:rFonts w:ascii="Arial" w:cs="Arial" w:eastAsia="Arial" w:hAnsi="Arial"/>
          <w:sz w:val="16"/>
          <w:szCs w:val="16"/>
          <w:color w:val="auto"/>
        </w:rPr>
      </w:pPr>
      <w:r>
        <w:rPr>
          <w:rFonts w:ascii="Arial" w:cs="Arial" w:eastAsia="Arial" w:hAnsi="Arial"/>
          <w:sz w:val="16"/>
          <w:szCs w:val="16"/>
          <w:color w:val="auto"/>
        </w:rPr>
        <w:t>Net income of $4.8 million, or $0.17 per diluted share; adjusted earnings per diluted share of $0.27 compared to adjusted earnings per diluted share of $0.19 in the second quarter of Fiscal 2025</w:t>
      </w:r>
    </w:p>
    <w:p>
      <w:pPr>
        <w:spacing w:after="0" w:line="1" w:lineRule="exact"/>
        <w:rPr>
          <w:rFonts w:ascii="Arial" w:cs="Arial" w:eastAsia="Arial" w:hAnsi="Arial"/>
          <w:sz w:val="16"/>
          <w:szCs w:val="16"/>
          <w:color w:val="auto"/>
        </w:rPr>
      </w:pPr>
    </w:p>
    <w:p>
      <w:pPr>
        <w:ind w:left="640" w:hanging="308"/>
        <w:spacing w:after="0"/>
        <w:tabs>
          <w:tab w:leader="none" w:pos="640" w:val="left"/>
        </w:tabs>
        <w:numPr>
          <w:ilvl w:val="0"/>
          <w:numId w:val="2"/>
        </w:numPr>
        <w:rPr>
          <w:rFonts w:ascii="Arial" w:cs="Arial" w:eastAsia="Arial" w:hAnsi="Arial"/>
          <w:sz w:val="16"/>
          <w:szCs w:val="16"/>
          <w:color w:val="auto"/>
        </w:rPr>
      </w:pPr>
      <w:r>
        <w:rPr>
          <w:rFonts w:ascii="Arial" w:cs="Arial" w:eastAsia="Arial" w:hAnsi="Arial"/>
          <w:sz w:val="16"/>
          <w:szCs w:val="16"/>
          <w:color w:val="auto"/>
        </w:rPr>
        <w:t>Adjusted EBITDA of $24.4 million, up 7.0% year-over-year</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CEO Commentary</w:t>
      </w:r>
    </w:p>
    <w:p>
      <w:pPr>
        <w:spacing w:after="0" w:line="100" w:lineRule="exact"/>
        <w:rPr>
          <w:sz w:val="20"/>
          <w:szCs w:val="20"/>
          <w:color w:val="auto"/>
        </w:rPr>
      </w:pPr>
    </w:p>
    <w:p>
      <w:pPr>
        <w:ind w:right="160"/>
        <w:spacing w:after="0" w:line="374" w:lineRule="auto"/>
        <w:rPr>
          <w:sz w:val="20"/>
          <w:szCs w:val="20"/>
          <w:color w:val="auto"/>
        </w:rPr>
      </w:pPr>
      <w:r>
        <w:rPr>
          <w:rFonts w:ascii="Arial" w:cs="Arial" w:eastAsia="Arial" w:hAnsi="Arial"/>
          <w:sz w:val="16"/>
          <w:szCs w:val="16"/>
          <w:color w:val="auto"/>
        </w:rPr>
        <w:t>“Our team delivered a solid quarter and executed with diligence in a challenging market,” said President and Chief Executive Officer Michael Happe. “Dealers remain focused on profitable cash flow and disciplined inventory, and we are managing the business with that sentiment in mind. While seasonal factors and unfavorable winter weather tempered retail activity during the quarter, several segments still showed signs of resilience. As we move through Fiscal 2026, we continue to prioritize operational execution and strengthening the fundamentals of the business. Our premium branded diversified portfolio continues to help navigate variability across categories, and we are executing each business with a clear focus on prudent inventory management, product innovation, profitability and cash flow.</w:t>
      </w:r>
    </w:p>
    <w:p>
      <w:pPr>
        <w:spacing w:after="0" w:line="210" w:lineRule="exact"/>
        <w:rPr>
          <w:sz w:val="20"/>
          <w:szCs w:val="20"/>
          <w:color w:val="auto"/>
        </w:rPr>
      </w:pPr>
    </w:p>
    <w:p>
      <w:pPr>
        <w:ind w:right="160"/>
        <w:spacing w:after="0" w:line="409" w:lineRule="auto"/>
        <w:rPr>
          <w:sz w:val="20"/>
          <w:szCs w:val="20"/>
          <w:color w:val="auto"/>
        </w:rPr>
      </w:pPr>
      <w:r>
        <w:rPr>
          <w:rFonts w:ascii="Arial" w:cs="Arial" w:eastAsia="Arial" w:hAnsi="Arial"/>
          <w:sz w:val="16"/>
          <w:szCs w:val="16"/>
          <w:color w:val="auto"/>
        </w:rPr>
        <w:t>“Consistent with our capital allocation framework, we took proactive steps during the quarter to improve our capital structure, redeeming $100 million of our outstanding Senior Secured Notes, demonstrating our commitment to further strengthening our balance sheet.</w:t>
      </w:r>
    </w:p>
    <w:p>
      <w:pPr>
        <w:spacing w:after="0" w:line="183" w:lineRule="exact"/>
        <w:rPr>
          <w:sz w:val="20"/>
          <w:szCs w:val="20"/>
          <w:color w:val="auto"/>
        </w:rPr>
      </w:pPr>
    </w:p>
    <w:p>
      <w:pPr>
        <w:ind w:right="40"/>
        <w:spacing w:after="0" w:line="384" w:lineRule="auto"/>
        <w:rPr>
          <w:sz w:val="20"/>
          <w:szCs w:val="20"/>
          <w:color w:val="auto"/>
        </w:rPr>
      </w:pPr>
      <w:r>
        <w:rPr>
          <w:rFonts w:ascii="Arial" w:cs="Arial" w:eastAsia="Arial" w:hAnsi="Arial"/>
          <w:sz w:val="16"/>
          <w:szCs w:val="16"/>
          <w:color w:val="auto"/>
        </w:rPr>
        <w:t>“As we move beyond the winter selling season into the seasonally stronger spring and summer months, new products and cost management actions implemented this year are expected to support our performance anticipated in the second half. We believe this approach positions the business for healthier, more resilient growth in the future. Our outlook reflects that measured view. However, it remains subject to recent macro events and the duration and severity of their potential effects, including impacts on commodity prices and other factors that could influence consumer sentiment and demand,” Happe said.</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40"/>
          </w:cols>
          <w:pgMar w:left="320" w:top="895"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b w:val="1"/>
          <w:bCs w:val="1"/>
          <w:color w:val="auto"/>
        </w:rPr>
        <w:t>Second Quarter Fiscal 2026 Results</w:t>
      </w:r>
    </w:p>
    <w:p>
      <w:pPr>
        <w:spacing w:after="0" w:line="235" w:lineRule="exact"/>
        <w:rPr>
          <w:sz w:val="20"/>
          <w:szCs w:val="20"/>
          <w:color w:val="auto"/>
        </w:rPr>
      </w:pPr>
    </w:p>
    <w:p>
      <w:pPr>
        <w:ind w:right="220"/>
        <w:spacing w:after="0" w:line="409" w:lineRule="auto"/>
        <w:rPr>
          <w:sz w:val="20"/>
          <w:szCs w:val="20"/>
          <w:color w:val="auto"/>
        </w:rPr>
      </w:pPr>
      <w:r>
        <w:rPr>
          <w:rFonts w:ascii="Arial" w:cs="Arial" w:eastAsia="Arial" w:hAnsi="Arial"/>
          <w:sz w:val="16"/>
          <w:szCs w:val="16"/>
          <w:color w:val="auto"/>
        </w:rPr>
        <w:t>Net revenues were $657.4 million, an increase of 6.0% compared to $620.2 million in the second quarter of Fiscal 2025, driven primarily by selective price adjustments and product mix, partially offset by lower unit volume.</w:t>
      </w:r>
    </w:p>
    <w:p>
      <w:pPr>
        <w:spacing w:after="0" w:line="88" w:lineRule="exact"/>
        <w:rPr>
          <w:sz w:val="20"/>
          <w:szCs w:val="20"/>
          <w:color w:val="auto"/>
        </w:rPr>
      </w:pPr>
    </w:p>
    <w:p>
      <w:pPr>
        <w:ind w:right="140"/>
        <w:spacing w:after="0" w:line="392" w:lineRule="auto"/>
        <w:rPr>
          <w:sz w:val="20"/>
          <w:szCs w:val="20"/>
          <w:color w:val="auto"/>
        </w:rPr>
      </w:pPr>
      <w:r>
        <w:rPr>
          <w:rFonts w:ascii="Arial" w:cs="Arial" w:eastAsia="Arial" w:hAnsi="Arial"/>
          <w:sz w:val="16"/>
          <w:szCs w:val="16"/>
          <w:color w:val="auto"/>
        </w:rPr>
        <w:t>Gross profit was $85.6 million, an increase of 2.9% compared to $83.1 million in the second quarter of Fiscal 2025. Gross profit margin decreased 40 basis points in the quarter to 13.0%, primarily as a result of product mix, partially offset by selective price adjustments.</w:t>
      </w:r>
    </w:p>
    <w:p>
      <w:pPr>
        <w:spacing w:after="0" w:line="101" w:lineRule="exact"/>
        <w:rPr>
          <w:sz w:val="20"/>
          <w:szCs w:val="20"/>
          <w:color w:val="auto"/>
        </w:rPr>
      </w:pPr>
    </w:p>
    <w:p>
      <w:pPr>
        <w:ind w:right="320"/>
        <w:spacing w:after="0" w:line="409" w:lineRule="auto"/>
        <w:rPr>
          <w:sz w:val="20"/>
          <w:szCs w:val="20"/>
          <w:color w:val="auto"/>
        </w:rPr>
      </w:pPr>
      <w:r>
        <w:rPr>
          <w:rFonts w:ascii="Arial" w:cs="Arial" w:eastAsia="Arial" w:hAnsi="Arial"/>
          <w:sz w:val="16"/>
          <w:szCs w:val="16"/>
          <w:color w:val="auto"/>
        </w:rPr>
        <w:t>Selling, general and administrative expenses decreased 1.9% to $68.4 million from $69.7 million in the second quarter of Fiscal 2025, primarily driven by cost reduction initiatives.</w:t>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improved 50.7% to $11.8 million from $7.8 million in the second quarter of Fiscal 2025.</w:t>
      </w:r>
    </w:p>
    <w:p>
      <w:pPr>
        <w:spacing w:after="0" w:line="248" w:lineRule="exact"/>
        <w:rPr>
          <w:sz w:val="20"/>
          <w:szCs w:val="20"/>
          <w:color w:val="auto"/>
        </w:rPr>
      </w:pPr>
    </w:p>
    <w:p>
      <w:pPr>
        <w:ind w:right="40"/>
        <w:spacing w:after="0" w:line="389" w:lineRule="auto"/>
        <w:rPr>
          <w:sz w:val="20"/>
          <w:szCs w:val="20"/>
          <w:color w:val="auto"/>
        </w:rPr>
      </w:pPr>
      <w:r>
        <w:rPr>
          <w:rFonts w:ascii="Arial" w:cs="Arial" w:eastAsia="Arial" w:hAnsi="Arial"/>
          <w:sz w:val="16"/>
          <w:szCs w:val="16"/>
          <w:color w:val="auto"/>
        </w:rPr>
        <w:t>Net income was $4.8 million, or $0.17 per diluted share, compared to net loss of $0.4 million, or $0.02 per diluted share in the second quarter of Fiscal 2025. Adjusted earnings per diluted share was $0.27, an increase of 42.1%, compared to adjusted earnings per diluted share of $0.19 in the second quarter of Fiscal 2025.</w:t>
      </w:r>
    </w:p>
    <w:p>
      <w:pPr>
        <w:spacing w:after="0" w:line="91" w:lineRule="exact"/>
        <w:rPr>
          <w:sz w:val="20"/>
          <w:szCs w:val="20"/>
          <w:color w:val="auto"/>
        </w:rPr>
      </w:pPr>
    </w:p>
    <w:p>
      <w:pPr>
        <w:spacing w:after="0"/>
        <w:rPr>
          <w:sz w:val="20"/>
          <w:szCs w:val="20"/>
          <w:color w:val="auto"/>
        </w:rPr>
      </w:pPr>
      <w:r>
        <w:rPr>
          <w:rFonts w:ascii="Arial" w:cs="Arial" w:eastAsia="Arial" w:hAnsi="Arial"/>
          <w:sz w:val="16"/>
          <w:szCs w:val="16"/>
          <w:color w:val="auto"/>
        </w:rPr>
        <w:t>Consolidated Adjusted EBITDA was $24.4 million, an increase of 7.0%, compared to $22.8 million in the second quarter of Fiscal 2025.</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0" w:type="dxa"/>
            <w:vAlign w:val="bottom"/>
            <w:gridSpan w:val="2"/>
          </w:tcPr>
          <w:p>
            <w:pPr>
              <w:spacing w:after="0"/>
              <w:rPr>
                <w:sz w:val="20"/>
                <w:szCs w:val="20"/>
                <w:color w:val="auto"/>
              </w:rPr>
            </w:pPr>
            <w:r>
              <w:rPr>
                <w:rFonts w:ascii="Arial" w:cs="Arial" w:eastAsia="Arial" w:hAnsi="Arial"/>
                <w:sz w:val="16"/>
                <w:szCs w:val="16"/>
                <w:b w:val="1"/>
                <w:bCs w:val="1"/>
                <w:color w:val="auto"/>
              </w:rPr>
              <w:t>Second Quarter Fiscal 2026 Segments Summary</w:t>
            </w:r>
          </w:p>
        </w:tc>
        <w:tc>
          <w:tcPr>
            <w:tcW w:w="2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45"/>
        </w:trPr>
        <w:tc>
          <w:tcPr>
            <w:tcW w:w="4600" w:type="dxa"/>
            <w:vAlign w:val="bottom"/>
            <w:gridSpan w:val="2"/>
          </w:tcPr>
          <w:p>
            <w:pPr>
              <w:spacing w:after="0"/>
              <w:rPr>
                <w:sz w:val="20"/>
                <w:szCs w:val="20"/>
                <w:color w:val="auto"/>
              </w:rPr>
            </w:pPr>
            <w:r>
              <w:rPr>
                <w:rFonts w:ascii="Arial" w:cs="Arial" w:eastAsia="Arial" w:hAnsi="Arial"/>
                <w:sz w:val="16"/>
                <w:szCs w:val="16"/>
                <w:color w:val="auto"/>
              </w:rPr>
              <w:t>Towable RV</w:t>
            </w:r>
          </w:p>
        </w:tc>
        <w:tc>
          <w:tcPr>
            <w:tcW w:w="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04"/>
        </w:trPr>
        <w:tc>
          <w:tcPr>
            <w:tcW w:w="860" w:type="dxa"/>
            <w:vAlign w:val="bottom"/>
            <w:tcBorders>
              <w:top w:val="single" w:sz="8" w:color="auto"/>
            </w:tcBorders>
          </w:tcPr>
          <w:p>
            <w:pPr>
              <w:spacing w:after="0"/>
              <w:rPr>
                <w:sz w:val="24"/>
                <w:szCs w:val="24"/>
                <w:color w:val="auto"/>
              </w:rPr>
            </w:pPr>
          </w:p>
        </w:tc>
        <w:tc>
          <w:tcPr>
            <w:tcW w:w="37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210"/>
        </w:trPr>
        <w:tc>
          <w:tcPr>
            <w:tcW w:w="460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18"/>
                <w:szCs w:val="18"/>
                <w:color w:val="auto"/>
              </w:rPr>
            </w:pPr>
          </w:p>
        </w:tc>
        <w:tc>
          <w:tcPr>
            <w:tcW w:w="196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28, 2026</w:t>
            </w:r>
          </w:p>
        </w:tc>
        <w:tc>
          <w:tcPr>
            <w:tcW w:w="220" w:type="dxa"/>
            <w:vAlign w:val="bottom"/>
          </w:tcPr>
          <w:p>
            <w:pPr>
              <w:spacing w:after="0"/>
              <w:rPr>
                <w:sz w:val="18"/>
                <w:szCs w:val="18"/>
                <w:color w:val="auto"/>
              </w:rPr>
            </w:pPr>
          </w:p>
        </w:tc>
        <w:tc>
          <w:tcPr>
            <w:tcW w:w="1980" w:type="dxa"/>
            <w:vAlign w:val="bottom"/>
            <w:gridSpan w:val="2"/>
          </w:tcPr>
          <w:p>
            <w:pPr>
              <w:ind w:left="300"/>
              <w:spacing w:after="0"/>
              <w:rPr>
                <w:sz w:val="20"/>
                <w:szCs w:val="20"/>
                <w:color w:val="auto"/>
              </w:rPr>
            </w:pPr>
            <w:r>
              <w:rPr>
                <w:rFonts w:ascii="Arial" w:cs="Arial" w:eastAsia="Arial" w:hAnsi="Arial"/>
                <w:sz w:val="16"/>
                <w:szCs w:val="16"/>
                <w:b w:val="1"/>
                <w:bCs w:val="1"/>
                <w:color w:val="auto"/>
              </w:rPr>
              <w:t>March 1, 2025</w:t>
            </w:r>
          </w:p>
        </w:tc>
        <w:tc>
          <w:tcPr>
            <w:tcW w:w="2020" w:type="dxa"/>
            <w:vAlign w:val="bottom"/>
          </w:tcPr>
          <w:p>
            <w:pPr>
              <w:jc w:val="right"/>
              <w:ind w:right="43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40" w:type="dxa"/>
            <w:vAlign w:val="bottom"/>
          </w:tcPr>
          <w:p>
            <w:pPr>
              <w:spacing w:after="0"/>
              <w:rPr>
                <w:sz w:val="18"/>
                <w:szCs w:val="18"/>
                <w:color w:val="auto"/>
              </w:rPr>
            </w:pPr>
          </w:p>
        </w:tc>
      </w:tr>
      <w:tr>
        <w:trPr>
          <w:trHeight w:val="209"/>
        </w:trPr>
        <w:tc>
          <w:tcPr>
            <w:tcW w:w="460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262.4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288.2</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(9.0)</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60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11.1</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12.7</w:t>
            </w:r>
          </w:p>
        </w:tc>
        <w:tc>
          <w:tcPr>
            <w:tcW w:w="100" w:type="dxa"/>
            <w:vAlign w:val="bottom"/>
          </w:tcPr>
          <w:p>
            <w:pPr>
              <w:spacing w:after="0"/>
              <w:rPr>
                <w:sz w:val="18"/>
                <w:szCs w:val="18"/>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(12.2)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60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income margin</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4.2 %</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4.4 %</w:t>
            </w:r>
          </w:p>
        </w:tc>
        <w:tc>
          <w:tcPr>
            <w:tcW w:w="1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 bps</w:t>
            </w:r>
          </w:p>
        </w:tc>
      </w:tr>
    </w:tbl>
    <w:p>
      <w:pPr>
        <w:spacing w:after="0" w:line="34" w:lineRule="exact"/>
        <w:rPr>
          <w:sz w:val="20"/>
          <w:szCs w:val="20"/>
          <w:color w:val="auto"/>
        </w:rPr>
      </w:pPr>
    </w:p>
    <w:p>
      <w:pPr>
        <w:ind w:left="280" w:hanging="272"/>
        <w:spacing w:after="0"/>
        <w:tabs>
          <w:tab w:leader="none" w:pos="280" w:val="left"/>
        </w:tabs>
        <w:numPr>
          <w:ilvl w:val="0"/>
          <w:numId w:val="3"/>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250" w:lineRule="exact"/>
        <w:rPr>
          <w:rFonts w:ascii="Arial" w:cs="Arial" w:eastAsia="Arial" w:hAnsi="Arial"/>
          <w:sz w:val="21"/>
          <w:szCs w:val="21"/>
          <w:color w:val="auto"/>
          <w:vertAlign w:val="superscript"/>
        </w:rPr>
      </w:pPr>
    </w:p>
    <w:p>
      <w:pPr>
        <w:ind w:left="660" w:right="220" w:hanging="328"/>
        <w:spacing w:after="0" w:line="369" w:lineRule="auto"/>
        <w:tabs>
          <w:tab w:leader="none" w:pos="649" w:val="left"/>
        </w:tabs>
        <w:numPr>
          <w:ilvl w:val="1"/>
          <w:numId w:val="3"/>
        </w:numPr>
        <w:rPr>
          <w:rFonts w:ascii="Arial" w:cs="Arial" w:eastAsia="Arial" w:hAnsi="Arial"/>
          <w:sz w:val="16"/>
          <w:szCs w:val="16"/>
          <w:color w:val="auto"/>
        </w:rPr>
      </w:pPr>
      <w:r>
        <w:rPr>
          <w:rFonts w:ascii="Arial" w:cs="Arial" w:eastAsia="Arial" w:hAnsi="Arial"/>
          <w:sz w:val="16"/>
          <w:szCs w:val="16"/>
          <w:color w:val="auto"/>
        </w:rPr>
        <w:t>Net revenues decreased primarily due to a shift in product mix toward lower price-point models and lower unit volume, partially offset by selective price adjustments.</w:t>
      </w:r>
    </w:p>
    <w:p>
      <w:pPr>
        <w:spacing w:after="0" w:line="1" w:lineRule="exact"/>
        <w:rPr>
          <w:rFonts w:ascii="Arial" w:cs="Arial" w:eastAsia="Arial" w:hAnsi="Arial"/>
          <w:sz w:val="16"/>
          <w:szCs w:val="16"/>
          <w:color w:val="auto"/>
        </w:rPr>
      </w:pPr>
    </w:p>
    <w:p>
      <w:pPr>
        <w:ind w:left="660" w:right="340" w:hanging="328"/>
        <w:spacing w:after="0" w:line="409" w:lineRule="auto"/>
        <w:tabs>
          <w:tab w:leader="none" w:pos="649" w:val="left"/>
        </w:tabs>
        <w:numPr>
          <w:ilvl w:val="1"/>
          <w:numId w:val="3"/>
        </w:numPr>
        <w:rPr>
          <w:rFonts w:ascii="Arial" w:cs="Arial" w:eastAsia="Arial" w:hAnsi="Arial"/>
          <w:sz w:val="16"/>
          <w:szCs w:val="16"/>
          <w:color w:val="auto"/>
        </w:rPr>
      </w:pPr>
      <w:r>
        <w:rPr>
          <w:rFonts w:ascii="Arial" w:cs="Arial" w:eastAsia="Arial" w:hAnsi="Arial"/>
          <w:sz w:val="16"/>
          <w:szCs w:val="16"/>
          <w:color w:val="auto"/>
        </w:rPr>
        <w:t>Operating income margin decreased primarily due to volume deleverage and product mix, largely offset by selective price adjustments and cost containment initiatives.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620" w:type="dxa"/>
            <w:vAlign w:val="bottom"/>
            <w:gridSpan w:val="2"/>
          </w:tcPr>
          <w:p>
            <w:pPr>
              <w:spacing w:after="0"/>
              <w:rPr>
                <w:sz w:val="20"/>
                <w:szCs w:val="20"/>
                <w:color w:val="auto"/>
              </w:rPr>
            </w:pPr>
            <w:r>
              <w:rPr>
                <w:rFonts w:ascii="Arial" w:cs="Arial" w:eastAsia="Arial" w:hAnsi="Arial"/>
                <w:sz w:val="16"/>
                <w:szCs w:val="16"/>
                <w:color w:val="auto"/>
              </w:rPr>
              <w:t>Motorhome RV</w:t>
            </w:r>
          </w:p>
        </w:tc>
        <w:tc>
          <w:tcPr>
            <w:tcW w:w="2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r>
      <w:tr>
        <w:trPr>
          <w:trHeight w:val="304"/>
        </w:trPr>
        <w:tc>
          <w:tcPr>
            <w:tcW w:w="1100" w:type="dxa"/>
            <w:vAlign w:val="bottom"/>
            <w:tcBorders>
              <w:top w:val="single" w:sz="8" w:color="auto"/>
            </w:tcBorders>
          </w:tcPr>
          <w:p>
            <w:pPr>
              <w:spacing w:after="0"/>
              <w:rPr>
                <w:sz w:val="24"/>
                <w:szCs w:val="24"/>
                <w:color w:val="auto"/>
              </w:rPr>
            </w:pPr>
          </w:p>
        </w:tc>
        <w:tc>
          <w:tcPr>
            <w:tcW w:w="35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Three Months Ended</w:t>
            </w:r>
          </w:p>
        </w:tc>
        <w:tc>
          <w:tcPr>
            <w:tcW w:w="2220" w:type="dxa"/>
            <w:vAlign w:val="bottom"/>
            <w:tcBorders>
              <w:bottom w:val="single" w:sz="8" w:color="auto"/>
            </w:tcBorders>
          </w:tcPr>
          <w:p>
            <w:pPr>
              <w:spacing w:after="0"/>
              <w:rPr>
                <w:sz w:val="24"/>
                <w:szCs w:val="24"/>
                <w:color w:val="auto"/>
              </w:rPr>
            </w:pPr>
          </w:p>
        </w:tc>
      </w:tr>
      <w:tr>
        <w:trPr>
          <w:trHeight w:val="210"/>
        </w:trPr>
        <w:tc>
          <w:tcPr>
            <w:tcW w:w="462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22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28, 2026</w:t>
            </w:r>
          </w:p>
        </w:tc>
        <w:tc>
          <w:tcPr>
            <w:tcW w:w="200" w:type="dxa"/>
            <w:vAlign w:val="bottom"/>
          </w:tcPr>
          <w:p>
            <w:pPr>
              <w:spacing w:after="0"/>
              <w:rPr>
                <w:sz w:val="18"/>
                <w:szCs w:val="18"/>
                <w:color w:val="auto"/>
              </w:rPr>
            </w:pPr>
          </w:p>
        </w:tc>
        <w:tc>
          <w:tcPr>
            <w:tcW w:w="2000" w:type="dxa"/>
            <w:vAlign w:val="bottom"/>
            <w:gridSpan w:val="2"/>
          </w:tcPr>
          <w:p>
            <w:pPr>
              <w:ind w:left="300"/>
              <w:spacing w:after="0"/>
              <w:rPr>
                <w:sz w:val="20"/>
                <w:szCs w:val="20"/>
                <w:color w:val="auto"/>
              </w:rPr>
            </w:pPr>
            <w:r>
              <w:rPr>
                <w:rFonts w:ascii="Arial" w:cs="Arial" w:eastAsia="Arial" w:hAnsi="Arial"/>
                <w:sz w:val="16"/>
                <w:szCs w:val="16"/>
                <w:b w:val="1"/>
                <w:bCs w:val="1"/>
                <w:color w:val="auto"/>
              </w:rPr>
              <w:t>March 1, 2025</w:t>
            </w:r>
          </w:p>
        </w:tc>
        <w:tc>
          <w:tcPr>
            <w:tcW w:w="2220" w:type="dxa"/>
            <w:vAlign w:val="bottom"/>
          </w:tcPr>
          <w:p>
            <w:pPr>
              <w:jc w:val="right"/>
              <w:ind w:right="67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r>
      <w:tr>
        <w:trPr>
          <w:trHeight w:val="209"/>
        </w:trPr>
        <w:tc>
          <w:tcPr>
            <w:tcW w:w="462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304.7</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235.6</w:t>
            </w:r>
          </w:p>
        </w:tc>
        <w:tc>
          <w:tcPr>
            <w:tcW w:w="120" w:type="dxa"/>
            <w:vAlign w:val="bottom"/>
            <w:tcBorders>
              <w:top w:val="single" w:sz="8" w:color="CCEEFF"/>
            </w:tcBorders>
            <w:shd w:val="clear" w:color="auto" w:fill="CCEEFF"/>
          </w:tcPr>
          <w:p>
            <w:pPr>
              <w:spacing w:after="0"/>
              <w:rPr>
                <w:sz w:val="18"/>
                <w:szCs w:val="18"/>
                <w:color w:val="auto"/>
              </w:rPr>
            </w:pPr>
          </w:p>
        </w:tc>
        <w:tc>
          <w:tcPr>
            <w:tcW w:w="2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29.3  %</w:t>
            </w:r>
          </w:p>
        </w:tc>
      </w:tr>
      <w:tr>
        <w:trPr>
          <w:trHeight w:val="215"/>
        </w:trPr>
        <w:tc>
          <w:tcPr>
            <w:tcW w:w="462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860" w:type="dxa"/>
            <w:vAlign w:val="bottom"/>
          </w:tcPr>
          <w:p>
            <w:pPr>
              <w:jc w:val="right"/>
              <w:ind w:right="119"/>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Pr>
          <w:p>
            <w:pPr>
              <w:ind w:left="1380"/>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2220" w:type="dxa"/>
            <w:vAlign w:val="bottom"/>
          </w:tcPr>
          <w:p>
            <w:pPr>
              <w:jc w:val="right"/>
              <w:spacing w:after="0"/>
              <w:rPr>
                <w:sz w:val="20"/>
                <w:szCs w:val="20"/>
                <w:color w:val="auto"/>
              </w:rPr>
            </w:pPr>
            <w:r>
              <w:rPr>
                <w:rFonts w:ascii="Arial" w:cs="Arial" w:eastAsia="Arial" w:hAnsi="Arial"/>
                <w:sz w:val="16"/>
                <w:szCs w:val="16"/>
                <w:color w:val="auto"/>
              </w:rPr>
              <w:t>NM</w:t>
            </w:r>
          </w:p>
        </w:tc>
      </w:tr>
      <w:tr>
        <w:trPr>
          <w:trHeight w:val="217"/>
        </w:trPr>
        <w:tc>
          <w:tcPr>
            <w:tcW w:w="46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income margin</w:t>
            </w:r>
          </w:p>
        </w:tc>
        <w:tc>
          <w:tcPr>
            <w:tcW w:w="22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2.4 %</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ind w:left="1380"/>
              <w:spacing w:after="0"/>
              <w:rPr>
                <w:sz w:val="20"/>
                <w:szCs w:val="20"/>
                <w:color w:val="auto"/>
              </w:rPr>
            </w:pPr>
            <w:r>
              <w:rPr>
                <w:rFonts w:ascii="Arial" w:cs="Arial" w:eastAsia="Arial" w:hAnsi="Arial"/>
                <w:sz w:val="16"/>
                <w:szCs w:val="16"/>
                <w:color w:val="auto"/>
              </w:rPr>
              <w:t>(0.3)%</w:t>
            </w:r>
          </w:p>
        </w:tc>
        <w:tc>
          <w:tcPr>
            <w:tcW w:w="120" w:type="dxa"/>
            <w:vAlign w:val="bottom"/>
            <w:shd w:val="clear" w:color="auto" w:fill="CCEEFF"/>
          </w:tcPr>
          <w:p>
            <w:pPr>
              <w:spacing w:after="0"/>
              <w:rPr>
                <w:sz w:val="18"/>
                <w:szCs w:val="18"/>
                <w:color w:val="auto"/>
              </w:rPr>
            </w:pPr>
          </w:p>
        </w:tc>
        <w:tc>
          <w:tcPr>
            <w:tcW w:w="2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 bps</w:t>
            </w:r>
          </w:p>
        </w:tc>
      </w:tr>
    </w:tbl>
    <w:p>
      <w:pPr>
        <w:spacing w:after="0" w:line="72" w:lineRule="exact"/>
        <w:rPr>
          <w:sz w:val="20"/>
          <w:szCs w:val="20"/>
          <w:color w:val="auto"/>
        </w:rPr>
      </w:pPr>
    </w:p>
    <w:p>
      <w:pPr>
        <w:ind w:right="2880" w:firstLine="8"/>
        <w:spacing w:after="0" w:line="293" w:lineRule="auto"/>
        <w:tabs>
          <w:tab w:leader="none" w:pos="280" w:val="left"/>
        </w:tabs>
        <w:numPr>
          <w:ilvl w:val="0"/>
          <w:numId w:val="4"/>
        </w:numPr>
        <w:rPr>
          <w:rFonts w:ascii="Arial" w:cs="Arial" w:eastAsia="Arial" w:hAnsi="Arial"/>
          <w:sz w:val="21"/>
          <w:szCs w:val="21"/>
          <w:color w:val="auto"/>
          <w:vertAlign w:val="superscript"/>
        </w:rPr>
      </w:pPr>
      <w:r>
        <w:rPr>
          <w:rFonts w:ascii="Arial" w:cs="Arial" w:eastAsia="Arial" w:hAnsi="Arial"/>
          <w:sz w:val="14"/>
          <w:szCs w:val="14"/>
          <w:color w:val="auto"/>
        </w:rPr>
        <w:t xml:space="preserve">Amounts are calculated based on unrounded numbers and therefore may not recalculate using the rounded numbers provided. </w:t>
      </w:r>
      <w:r>
        <w:rPr>
          <w:rFonts w:ascii="Arial" w:cs="Arial" w:eastAsia="Arial" w:hAnsi="Arial"/>
          <w:sz w:val="21"/>
          <w:szCs w:val="21"/>
          <w:color w:val="auto"/>
          <w:vertAlign w:val="superscript"/>
        </w:rPr>
        <w:t>NM:</w:t>
      </w:r>
      <w:r>
        <w:rPr>
          <w:rFonts w:ascii="Arial" w:cs="Arial" w:eastAsia="Arial" w:hAnsi="Arial"/>
          <w:sz w:val="14"/>
          <w:szCs w:val="14"/>
          <w:color w:val="auto"/>
        </w:rPr>
        <w:t xml:space="preserve"> Not meaningful.</w:t>
      </w:r>
    </w:p>
    <w:p>
      <w:pPr>
        <w:spacing w:after="0" w:line="175" w:lineRule="exact"/>
        <w:rPr>
          <w:rFonts w:ascii="Arial" w:cs="Arial" w:eastAsia="Arial" w:hAnsi="Arial"/>
          <w:sz w:val="21"/>
          <w:szCs w:val="21"/>
          <w:color w:val="auto"/>
          <w:vertAlign w:val="superscript"/>
        </w:rPr>
      </w:pPr>
    </w:p>
    <w:p>
      <w:pPr>
        <w:ind w:left="640" w:hanging="308"/>
        <w:spacing w:after="0"/>
        <w:tabs>
          <w:tab w:leader="none" w:pos="640" w:val="left"/>
        </w:tabs>
        <w:numPr>
          <w:ilvl w:val="1"/>
          <w:numId w:val="4"/>
        </w:numPr>
        <w:rPr>
          <w:rFonts w:ascii="Arial" w:cs="Arial" w:eastAsia="Arial" w:hAnsi="Arial"/>
          <w:sz w:val="16"/>
          <w:szCs w:val="16"/>
          <w:color w:val="auto"/>
        </w:rPr>
      </w:pPr>
      <w:r>
        <w:rPr>
          <w:rFonts w:ascii="Arial" w:cs="Arial" w:eastAsia="Arial" w:hAnsi="Arial"/>
          <w:sz w:val="16"/>
          <w:szCs w:val="16"/>
          <w:color w:val="auto"/>
        </w:rPr>
        <w:t>Net revenues increased primarily due to higher unit volume driven by new products, partially offset by product mix.</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1"/>
          <w:numId w:val="4"/>
        </w:numPr>
        <w:rPr>
          <w:rFonts w:ascii="Arial" w:cs="Arial" w:eastAsia="Arial" w:hAnsi="Arial"/>
          <w:sz w:val="16"/>
          <w:szCs w:val="16"/>
          <w:color w:val="auto"/>
        </w:rPr>
      </w:pPr>
      <w:r>
        <w:rPr>
          <w:rFonts w:ascii="Arial" w:cs="Arial" w:eastAsia="Arial" w:hAnsi="Arial"/>
          <w:sz w:val="16"/>
          <w:szCs w:val="16"/>
          <w:color w:val="auto"/>
        </w:rPr>
        <w:t>Operating income margin increased primarily due to volume leverage.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240"/>
          </w:cols>
          <w:pgMar w:left="320" w:top="1084"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4580" w:type="dxa"/>
            <w:vAlign w:val="bottom"/>
            <w:gridSpan w:val="2"/>
          </w:tcPr>
          <w:p>
            <w:pPr>
              <w:spacing w:after="0"/>
              <w:rPr>
                <w:sz w:val="20"/>
                <w:szCs w:val="20"/>
                <w:color w:val="auto"/>
              </w:rPr>
            </w:pPr>
            <w:r>
              <w:rPr>
                <w:rFonts w:ascii="Arial" w:cs="Arial" w:eastAsia="Arial" w:hAnsi="Arial"/>
                <w:sz w:val="16"/>
                <w:szCs w:val="16"/>
                <w:color w:val="auto"/>
              </w:rPr>
              <w:t>Marine</w:t>
            </w:r>
          </w:p>
        </w:tc>
        <w:tc>
          <w:tcPr>
            <w:tcW w:w="2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04"/>
        </w:trPr>
        <w:tc>
          <w:tcPr>
            <w:tcW w:w="500" w:type="dxa"/>
            <w:vAlign w:val="bottom"/>
            <w:tcBorders>
              <w:top w:val="single" w:sz="8" w:color="auto"/>
            </w:tcBorders>
          </w:tcPr>
          <w:p>
            <w:pPr>
              <w:spacing w:after="0"/>
              <w:rPr>
                <w:sz w:val="24"/>
                <w:szCs w:val="24"/>
                <w:color w:val="auto"/>
              </w:rPr>
            </w:pPr>
          </w:p>
        </w:tc>
        <w:tc>
          <w:tcPr>
            <w:tcW w:w="40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2"/>
          </w:tcPr>
          <w:p>
            <w:pPr>
              <w:ind w:left="120"/>
              <w:spacing w:after="0"/>
              <w:rPr>
                <w:sz w:val="20"/>
                <w:szCs w:val="20"/>
                <w:color w:val="auto"/>
              </w:rPr>
            </w:pPr>
            <w:r>
              <w:rPr>
                <w:rFonts w:ascii="Arial" w:cs="Arial" w:eastAsia="Arial" w:hAnsi="Arial"/>
                <w:sz w:val="16"/>
                <w:szCs w:val="16"/>
                <w:b w:val="1"/>
                <w:bCs w:val="1"/>
                <w:color w:val="auto"/>
              </w:rPr>
              <w:t>Three Months Ended</w:t>
            </w:r>
          </w:p>
        </w:tc>
        <w:tc>
          <w:tcPr>
            <w:tcW w:w="20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r>
        <w:trPr>
          <w:trHeight w:val="209"/>
        </w:trPr>
        <w:tc>
          <w:tcPr>
            <w:tcW w:w="4580" w:type="dxa"/>
            <w:vAlign w:val="bottom"/>
            <w:gridSpan w:val="2"/>
          </w:tcPr>
          <w:p>
            <w:pPr>
              <w:ind w:left="20"/>
              <w:spacing w:after="0"/>
              <w:rPr>
                <w:sz w:val="20"/>
                <w:szCs w:val="20"/>
                <w:color w:val="auto"/>
              </w:rPr>
            </w:pPr>
            <w:r>
              <w:rPr>
                <w:rFonts w:ascii="Arial" w:cs="Arial" w:eastAsia="Arial" w:hAnsi="Arial"/>
                <w:sz w:val="14"/>
                <w:szCs w:val="14"/>
                <w:color w:val="auto"/>
              </w:rPr>
              <w:t>($, in millions)</w:t>
            </w:r>
          </w:p>
        </w:tc>
        <w:tc>
          <w:tcPr>
            <w:tcW w:w="240" w:type="dxa"/>
            <w:vAlign w:val="bottom"/>
          </w:tcPr>
          <w:p>
            <w:pPr>
              <w:spacing w:after="0"/>
              <w:rPr>
                <w:sz w:val="18"/>
                <w:szCs w:val="18"/>
                <w:color w:val="auto"/>
              </w:rPr>
            </w:pPr>
          </w:p>
        </w:tc>
        <w:tc>
          <w:tcPr>
            <w:tcW w:w="198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28, 2026</w:t>
            </w:r>
          </w:p>
        </w:tc>
        <w:tc>
          <w:tcPr>
            <w:tcW w:w="200" w:type="dxa"/>
            <w:vAlign w:val="bottom"/>
          </w:tcPr>
          <w:p>
            <w:pPr>
              <w:spacing w:after="0"/>
              <w:rPr>
                <w:sz w:val="18"/>
                <w:szCs w:val="18"/>
                <w:color w:val="auto"/>
              </w:rPr>
            </w:pPr>
          </w:p>
        </w:tc>
        <w:tc>
          <w:tcPr>
            <w:tcW w:w="1980" w:type="dxa"/>
            <w:vAlign w:val="bottom"/>
            <w:gridSpan w:val="2"/>
          </w:tcPr>
          <w:p>
            <w:pPr>
              <w:ind w:left="300"/>
              <w:spacing w:after="0"/>
              <w:rPr>
                <w:sz w:val="20"/>
                <w:szCs w:val="20"/>
                <w:color w:val="auto"/>
              </w:rPr>
            </w:pPr>
            <w:r>
              <w:rPr>
                <w:rFonts w:ascii="Arial" w:cs="Arial" w:eastAsia="Arial" w:hAnsi="Arial"/>
                <w:sz w:val="16"/>
                <w:szCs w:val="16"/>
                <w:b w:val="1"/>
                <w:bCs w:val="1"/>
                <w:color w:val="auto"/>
              </w:rPr>
              <w:t>March 1, 2025</w:t>
            </w:r>
          </w:p>
        </w:tc>
        <w:tc>
          <w:tcPr>
            <w:tcW w:w="2020" w:type="dxa"/>
            <w:vAlign w:val="bottom"/>
          </w:tcPr>
          <w:p>
            <w:pPr>
              <w:jc w:val="right"/>
              <w:ind w:right="439"/>
              <w:spacing w:after="0" w:line="210" w:lineRule="exact"/>
              <w:rPr>
                <w:sz w:val="20"/>
                <w:szCs w:val="20"/>
                <w:color w:val="auto"/>
              </w:rPr>
            </w:pPr>
            <w:r>
              <w:rPr>
                <w:rFonts w:ascii="Arial" w:cs="Arial" w:eastAsia="Arial" w:hAnsi="Arial"/>
                <w:sz w:val="16"/>
                <w:szCs w:val="16"/>
                <w:b w:val="1"/>
                <w:bCs w:val="1"/>
                <w:color w:val="auto"/>
              </w:rPr>
              <w:t>Change</w:t>
            </w:r>
            <w:r>
              <w:rPr>
                <w:rFonts w:ascii="Arial" w:cs="Arial" w:eastAsia="Arial" w:hAnsi="Arial"/>
                <w:sz w:val="21"/>
                <w:szCs w:val="21"/>
                <w:b w:val="1"/>
                <w:bCs w:val="1"/>
                <w:color w:val="auto"/>
                <w:vertAlign w:val="superscript"/>
              </w:rPr>
              <w:t>(1)</w:t>
            </w:r>
          </w:p>
        </w:tc>
        <w:tc>
          <w:tcPr>
            <w:tcW w:w="240" w:type="dxa"/>
            <w:vAlign w:val="bottom"/>
          </w:tcPr>
          <w:p>
            <w:pPr>
              <w:spacing w:after="0"/>
              <w:rPr>
                <w:sz w:val="18"/>
                <w:szCs w:val="18"/>
                <w:color w:val="auto"/>
              </w:rPr>
            </w:pPr>
          </w:p>
        </w:tc>
      </w:tr>
      <w:tr>
        <w:trPr>
          <w:trHeight w:val="209"/>
        </w:trPr>
        <w:tc>
          <w:tcPr>
            <w:tcW w:w="458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2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79.2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81.7</w:t>
            </w:r>
          </w:p>
        </w:tc>
        <w:tc>
          <w:tcPr>
            <w:tcW w:w="100" w:type="dxa"/>
            <w:vAlign w:val="bottom"/>
            <w:tcBorders>
              <w:top w:val="single" w:sz="8" w:color="CCEEFF"/>
            </w:tcBorders>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580" w:type="dxa"/>
            <w:vAlign w:val="bottom"/>
            <w:gridSpan w:val="2"/>
          </w:tcPr>
          <w:p>
            <w:pPr>
              <w:ind w:left="20"/>
              <w:spacing w:after="0"/>
              <w:rPr>
                <w:sz w:val="20"/>
                <w:szCs w:val="20"/>
                <w:color w:val="auto"/>
              </w:rPr>
            </w:pPr>
            <w:r>
              <w:rPr>
                <w:rFonts w:ascii="Arial" w:cs="Arial" w:eastAsia="Arial" w:hAnsi="Arial"/>
                <w:sz w:val="16"/>
                <w:szCs w:val="16"/>
                <w:color w:val="auto"/>
              </w:rPr>
              <w:t>Operating income</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880" w:type="dxa"/>
            <w:vAlign w:val="bottom"/>
          </w:tcPr>
          <w:p>
            <w:pPr>
              <w:jc w:val="right"/>
              <w:ind w:right="1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880" w:type="dxa"/>
            <w:vAlign w:val="bottom"/>
          </w:tcPr>
          <w:p>
            <w:pPr>
              <w:jc w:val="right"/>
              <w:ind w:right="119"/>
              <w:spacing w:after="0"/>
              <w:rPr>
                <w:sz w:val="20"/>
                <w:szCs w:val="20"/>
                <w:color w:val="auto"/>
              </w:rPr>
            </w:pPr>
            <w:r>
              <w:rPr>
                <w:rFonts w:ascii="Arial" w:cs="Arial" w:eastAsia="Arial" w:hAnsi="Arial"/>
                <w:sz w:val="16"/>
                <w:szCs w:val="16"/>
                <w:color w:val="auto"/>
              </w:rPr>
              <w:t>5.4</w:t>
            </w:r>
          </w:p>
        </w:tc>
        <w:tc>
          <w:tcPr>
            <w:tcW w:w="100" w:type="dxa"/>
            <w:vAlign w:val="bottom"/>
          </w:tcPr>
          <w:p>
            <w:pPr>
              <w:spacing w:after="0"/>
              <w:rPr>
                <w:sz w:val="18"/>
                <w:szCs w:val="18"/>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(46.2)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58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Operating income margin</w:t>
            </w:r>
          </w:p>
        </w:tc>
        <w:tc>
          <w:tcPr>
            <w:tcW w:w="24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3.7 %</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6.6 %</w:t>
            </w:r>
          </w:p>
        </w:tc>
        <w:tc>
          <w:tcPr>
            <w:tcW w:w="10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(300) bps</w:t>
            </w:r>
          </w:p>
        </w:tc>
      </w:tr>
    </w:tbl>
    <w:p>
      <w:pPr>
        <w:spacing w:after="0" w:line="75" w:lineRule="exact"/>
        <w:rPr>
          <w:sz w:val="20"/>
          <w:szCs w:val="20"/>
          <w:color w:val="auto"/>
        </w:rPr>
      </w:pPr>
    </w:p>
    <w:p>
      <w:pPr>
        <w:ind w:left="280" w:hanging="272"/>
        <w:spacing w:after="0"/>
        <w:tabs>
          <w:tab w:leader="none" w:pos="280" w:val="left"/>
        </w:tabs>
        <w:numPr>
          <w:ilvl w:val="0"/>
          <w:numId w:val="5"/>
        </w:numPr>
        <w:rPr>
          <w:rFonts w:ascii="Arial" w:cs="Arial" w:eastAsia="Arial" w:hAnsi="Arial"/>
          <w:sz w:val="21"/>
          <w:szCs w:val="21"/>
          <w:color w:val="auto"/>
          <w:vertAlign w:val="superscript"/>
        </w:rPr>
      </w:pPr>
      <w:r>
        <w:rPr>
          <w:rFonts w:ascii="Arial" w:cs="Arial" w:eastAsia="Arial" w:hAnsi="Arial"/>
          <w:sz w:val="14"/>
          <w:szCs w:val="14"/>
          <w:color w:val="auto"/>
        </w:rPr>
        <w:t>Amounts are calculated based on unrounded numbers and therefore may not recalculate using the rounded numbers provided.</w:t>
      </w:r>
    </w:p>
    <w:p>
      <w:pPr>
        <w:spacing w:after="0" w:line="290" w:lineRule="exact"/>
        <w:rPr>
          <w:rFonts w:ascii="Arial" w:cs="Arial" w:eastAsia="Arial" w:hAnsi="Arial"/>
          <w:sz w:val="21"/>
          <w:szCs w:val="21"/>
          <w:color w:val="auto"/>
          <w:vertAlign w:val="superscript"/>
        </w:rPr>
      </w:pPr>
    </w:p>
    <w:p>
      <w:pPr>
        <w:ind w:left="640" w:hanging="308"/>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Net revenues decreased primarily due to lower unit volume and product mix, partially offset by selective price adjustments.</w:t>
      </w:r>
    </w:p>
    <w:p>
      <w:pPr>
        <w:spacing w:after="0" w:line="99" w:lineRule="exact"/>
        <w:rPr>
          <w:rFonts w:ascii="Arial" w:cs="Arial" w:eastAsia="Arial" w:hAnsi="Arial"/>
          <w:sz w:val="16"/>
          <w:szCs w:val="16"/>
          <w:color w:val="auto"/>
        </w:rPr>
      </w:pPr>
    </w:p>
    <w:p>
      <w:pPr>
        <w:ind w:left="640" w:hanging="308"/>
        <w:spacing w:after="0"/>
        <w:tabs>
          <w:tab w:leader="none" w:pos="640" w:val="left"/>
        </w:tabs>
        <w:numPr>
          <w:ilvl w:val="1"/>
          <w:numId w:val="5"/>
        </w:numPr>
        <w:rPr>
          <w:rFonts w:ascii="Arial" w:cs="Arial" w:eastAsia="Arial" w:hAnsi="Arial"/>
          <w:sz w:val="16"/>
          <w:szCs w:val="16"/>
          <w:color w:val="auto"/>
        </w:rPr>
      </w:pPr>
      <w:r>
        <w:rPr>
          <w:rFonts w:ascii="Arial" w:cs="Arial" w:eastAsia="Arial" w:hAnsi="Arial"/>
          <w:sz w:val="16"/>
          <w:szCs w:val="16"/>
          <w:color w:val="auto"/>
        </w:rPr>
        <w:t>Operating income decreased primarily due to higher warranty expense and volume deleverage.</w:t>
      </w:r>
    </w:p>
    <w:p>
      <w:pPr>
        <w:spacing w:after="0" w:line="3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 and Cash Flow</w:t>
      </w:r>
    </w:p>
    <w:p>
      <w:pPr>
        <w:spacing w:after="0" w:line="100" w:lineRule="exact"/>
        <w:rPr>
          <w:sz w:val="20"/>
          <w:szCs w:val="20"/>
          <w:color w:val="auto"/>
        </w:rPr>
      </w:pPr>
    </w:p>
    <w:p>
      <w:pPr>
        <w:ind w:right="120"/>
        <w:spacing w:after="0" w:line="374" w:lineRule="auto"/>
        <w:rPr>
          <w:sz w:val="20"/>
          <w:szCs w:val="20"/>
          <w:color w:val="auto"/>
        </w:rPr>
      </w:pPr>
      <w:r>
        <w:rPr>
          <w:rFonts w:ascii="Arial" w:cs="Arial" w:eastAsia="Arial" w:hAnsi="Arial"/>
          <w:sz w:val="16"/>
          <w:szCs w:val="16"/>
          <w:color w:val="auto"/>
        </w:rPr>
        <w:t>At the end of the second quarter of Fiscal 2026, cash and cash equivalents totaled $47.4 million compared to $181.7 million at the end of the first quarter of Fiscal 2026 and $174.0 million at the end of Fiscal 2025. The decrease primarily reflects the $100.0 million Senior Secured Note redemption completed in the second quarter of Fiscal 2026. As of February 28, 2026, total outstanding debt was $442.3 million, which included $450.0 million of debt, net of debt issuance costs of $7.7 million. Working capital was $403.5 million as of February 28, 2026 compared to $465.1 million at the end of Fiscal 2025. Cash flow provided by operations was $0.6 million in the first half of Fiscal 2026, a significant improvement compared to the same period last year. The Company's gross leverage ratio improved to 3.2x as of February 28, 2026 from 4.0x as of November 29, 2025. Net leverage ratio as of February 28, 2026 was 2.9x.</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Quarterly Cash Dividend</w:t>
      </w:r>
    </w:p>
    <w:p>
      <w:pPr>
        <w:spacing w:after="0" w:line="100" w:lineRule="exact"/>
        <w:rPr>
          <w:sz w:val="20"/>
          <w:szCs w:val="20"/>
          <w:color w:val="auto"/>
        </w:rPr>
      </w:pPr>
    </w:p>
    <w:p>
      <w:pPr>
        <w:ind w:right="620"/>
        <w:spacing w:after="0" w:line="409" w:lineRule="auto"/>
        <w:rPr>
          <w:sz w:val="20"/>
          <w:szCs w:val="20"/>
          <w:color w:val="auto"/>
        </w:rPr>
      </w:pPr>
      <w:r>
        <w:rPr>
          <w:rFonts w:ascii="Arial" w:cs="Arial" w:eastAsia="Arial" w:hAnsi="Arial"/>
          <w:sz w:val="16"/>
          <w:szCs w:val="16"/>
          <w:color w:val="auto"/>
        </w:rPr>
        <w:t>On March 18, 2026, the Company’s Board of Directors approved a quarterly cash dividend of $0.35 per share payable on April 29, 2026, to common stockholders of record at the close of business on April 15, 2026.</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Outlook</w:t>
      </w:r>
    </w:p>
    <w:p>
      <w:pPr>
        <w:spacing w:after="0" w:line="86" w:lineRule="exact"/>
        <w:rPr>
          <w:sz w:val="20"/>
          <w:szCs w:val="20"/>
          <w:color w:val="auto"/>
        </w:rPr>
      </w:pPr>
    </w:p>
    <w:p>
      <w:pPr>
        <w:ind w:right="200"/>
        <w:spacing w:after="0" w:line="389" w:lineRule="auto"/>
        <w:rPr>
          <w:sz w:val="20"/>
          <w:szCs w:val="20"/>
          <w:color w:val="auto"/>
        </w:rPr>
      </w:pPr>
      <w:r>
        <w:rPr>
          <w:rFonts w:ascii="Arial" w:cs="Arial" w:eastAsia="Arial" w:hAnsi="Arial"/>
          <w:sz w:val="16"/>
          <w:szCs w:val="16"/>
          <w:color w:val="auto"/>
        </w:rPr>
        <w:t>For calendar year 2026, Winnebago Industries expects North American RV wholesale shipments in the range of 315,000 to 345,000 units. Based on this outlook, the current business environment, and results in the first half of the fiscal year, Winnebago Industries is maintaining its revenue and adjusted EPS guidance, while updating reported EPS as follows:</w:t>
      </w:r>
    </w:p>
    <w:p>
      <w:pPr>
        <w:spacing w:after="0" w:line="17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6"/>
          <w:szCs w:val="16"/>
          <w:color w:val="auto"/>
        </w:rPr>
        <w:t>Consolidated net revenues in the range of $2.8 billion to $3.0 billion;</w:t>
      </w:r>
    </w:p>
    <w:p>
      <w:pPr>
        <w:spacing w:after="0" w:line="41" w:lineRule="exact"/>
        <w:rPr>
          <w:rFonts w:ascii="Arial" w:cs="Arial" w:eastAsia="Arial" w:hAnsi="Arial"/>
          <w:sz w:val="22"/>
          <w:szCs w:val="22"/>
          <w:color w:val="auto"/>
        </w:rPr>
      </w:pPr>
    </w:p>
    <w:p>
      <w:pPr>
        <w:ind w:left="660" w:right="100" w:hanging="328"/>
        <w:spacing w:after="0" w:line="229" w:lineRule="auto"/>
        <w:tabs>
          <w:tab w:leader="none" w:pos="655" w:val="left"/>
        </w:tabs>
        <w:numPr>
          <w:ilvl w:val="0"/>
          <w:numId w:val="6"/>
        </w:numPr>
        <w:rPr>
          <w:rFonts w:ascii="Times New Roman" w:cs="Times New Roman" w:eastAsia="Times New Roman" w:hAnsi="Times New Roman"/>
          <w:sz w:val="22"/>
          <w:szCs w:val="22"/>
          <w:color w:val="auto"/>
        </w:rPr>
      </w:pPr>
      <w:r>
        <w:rPr>
          <w:rFonts w:ascii="Arial" w:cs="Arial" w:eastAsia="Arial" w:hAnsi="Arial"/>
          <w:sz w:val="16"/>
          <w:szCs w:val="16"/>
          <w:color w:val="auto"/>
        </w:rPr>
        <w:t>Reported earnings per diluted share in the range of $1.50 to $2.20 compared to the Company's prior expectations for reported earnings per diluted share in the range of $1.40 to $2.10; and</w:t>
      </w:r>
    </w:p>
    <w:p>
      <w:pPr>
        <w:spacing w:after="0" w:line="42"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6"/>
        </w:numPr>
        <w:rPr>
          <w:rFonts w:ascii="Times New Roman" w:cs="Times New Roman" w:eastAsia="Times New Roman" w:hAnsi="Times New Roman"/>
          <w:sz w:val="22"/>
          <w:szCs w:val="22"/>
          <w:color w:val="auto"/>
        </w:rPr>
      </w:pPr>
      <w:r>
        <w:rPr>
          <w:rFonts w:ascii="Arial" w:cs="Arial" w:eastAsia="Arial" w:hAnsi="Arial"/>
          <w:sz w:val="16"/>
          <w:szCs w:val="16"/>
          <w:color w:val="auto"/>
        </w:rPr>
        <w:t>Adjusted earnings per diluted share guidance to a range of $2.10 to $2.80</w:t>
      </w:r>
      <w:r>
        <w:rPr>
          <w:rFonts w:ascii="Arial" w:cs="Arial" w:eastAsia="Arial" w:hAnsi="Arial"/>
          <w:sz w:val="21"/>
          <w:szCs w:val="21"/>
          <w:color w:val="auto"/>
          <w:vertAlign w:val="superscript"/>
        </w:rPr>
        <w:t>(1)</w:t>
      </w:r>
      <w:r>
        <w:rPr>
          <w:rFonts w:ascii="Arial" w:cs="Arial" w:eastAsia="Arial" w:hAnsi="Arial"/>
          <w:sz w:val="16"/>
          <w:szCs w:val="16"/>
          <w:color w:val="auto"/>
        </w:rPr>
        <w:t>.</w:t>
      </w:r>
    </w:p>
    <w:p>
      <w:pPr>
        <w:spacing w:after="0" w:line="233" w:lineRule="exact"/>
        <w:rPr>
          <w:sz w:val="20"/>
          <w:szCs w:val="20"/>
          <w:color w:val="auto"/>
        </w:rPr>
      </w:pPr>
    </w:p>
    <w:p>
      <w:pPr>
        <w:ind w:right="400"/>
        <w:spacing w:after="0" w:line="409" w:lineRule="auto"/>
        <w:rPr>
          <w:sz w:val="20"/>
          <w:szCs w:val="20"/>
          <w:color w:val="auto"/>
        </w:rPr>
      </w:pPr>
      <w:r>
        <w:rPr>
          <w:rFonts w:ascii="Arial" w:cs="Arial" w:eastAsia="Arial" w:hAnsi="Arial"/>
          <w:sz w:val="16"/>
          <w:szCs w:val="16"/>
          <w:color w:val="auto"/>
        </w:rPr>
        <w:t>The Company’s outlook takes into account prevailing trends in the RV sector, including the current policy and trade environment, competitive dynamics, shifts in consumer preferences, and key macroeconomic factors that may influence overall demand.</w:t>
      </w:r>
    </w:p>
    <w:p>
      <w:pPr>
        <w:spacing w:after="0" w:line="183" w:lineRule="exact"/>
        <w:rPr>
          <w:sz w:val="20"/>
          <w:szCs w:val="20"/>
          <w:color w:val="auto"/>
        </w:rPr>
      </w:pPr>
    </w:p>
    <w:p>
      <w:pPr>
        <w:ind w:right="20"/>
        <w:spacing w:after="0" w:line="375" w:lineRule="auto"/>
        <w:rPr>
          <w:sz w:val="20"/>
          <w:szCs w:val="20"/>
          <w:color w:val="auto"/>
        </w:rPr>
      </w:pPr>
      <w:r>
        <w:rPr>
          <w:rFonts w:ascii="Arial" w:cs="Arial" w:eastAsia="Arial" w:hAnsi="Arial"/>
          <w:sz w:val="16"/>
          <w:szCs w:val="16"/>
          <w:color w:val="auto"/>
        </w:rPr>
        <w:t>“Our focus remains on disciplined execution in Fiscal 2026 and controlling what we can,” Happe said. “We are advancing our product roadmaps, driving continued progress in our Winnebago-branded RV businesses, and meaningfully improving the margin profile and retail share trends of our Motorhome RV segment. The value of our diversified platform, combined with the operational work already underway, positions us to navigate ongoing market volatility and build a more resilient earnings profile over time. While the external environment remains quite uncertain, we’re confident in the foundation we’ve built and the actions within our control."</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240"/>
          </w:cols>
          <w:pgMar w:left="320" w:top="928"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Q2 FY 2026 Conference Call</w:t>
      </w:r>
    </w:p>
    <w:p>
      <w:pPr>
        <w:spacing w:after="0" w:line="100" w:lineRule="exact"/>
        <w:rPr>
          <w:sz w:val="20"/>
          <w:szCs w:val="20"/>
          <w:color w:val="auto"/>
        </w:rPr>
      </w:pPr>
    </w:p>
    <w:p>
      <w:pPr>
        <w:ind w:right="120"/>
        <w:spacing w:after="0" w:line="383" w:lineRule="auto"/>
        <w:rPr>
          <w:sz w:val="20"/>
          <w:szCs w:val="20"/>
          <w:color w:val="auto"/>
        </w:rPr>
      </w:pPr>
      <w:r>
        <w:rPr>
          <w:rFonts w:ascii="Arial" w:cs="Arial" w:eastAsia="Arial" w:hAnsi="Arial"/>
          <w:sz w:val="16"/>
          <w:szCs w:val="16"/>
          <w:color w:val="auto"/>
        </w:rPr>
        <w:t>Winnebago Industries, Inc. will discuss second quarter of Fiscal 2026 earnings results during a conference call scheduled for 9:00 a.m. Central Time today. Members of the news media, investors and the general public are invited to access a live broadcast of the conference call and view the accompanying presentation slides via the Investor Relations page of the Company's website at http://investor.wgo.net. The event will be archived and available for replay for the next 90 days.</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About Winnebago Industries</w:t>
      </w:r>
    </w:p>
    <w:p>
      <w:pPr>
        <w:spacing w:after="0" w:line="100" w:lineRule="exact"/>
        <w:rPr>
          <w:sz w:val="20"/>
          <w:szCs w:val="20"/>
          <w:color w:val="auto"/>
        </w:rPr>
      </w:pPr>
    </w:p>
    <w:p>
      <w:pPr>
        <w:ind w:right="140"/>
        <w:spacing w:after="0" w:line="377" w:lineRule="auto"/>
        <w:rPr>
          <w:sz w:val="20"/>
          <w:szCs w:val="20"/>
          <w:color w:val="auto"/>
        </w:rPr>
      </w:pPr>
      <w:r>
        <w:rPr>
          <w:rFonts w:ascii="Arial" w:cs="Arial" w:eastAsia="Arial" w:hAnsi="Arial"/>
          <w:sz w:val="16"/>
          <w:szCs w:val="16"/>
          <w:color w:val="auto"/>
        </w:rPr>
        <w:t>Winnebago Industries, Inc. is a leading North American manufacturer of outdoor recreation products under the Winnebago, Grand Design, Chris-Craft, Newmar and Barletta brands, which are used primarily in leisure travel and outdoor recreation activities. The Company builds high-quality motorhomes, travel trailers, fifth-wheel products, outboard and sterndrive powerboats, pontoons, and commercial community outreach vehicles. Committed to advancing sustainable innovation and leveraging vertical integration in key component areas, Winnebago Industries has multiple facilities in Iowa, Indiana, Minnesota and Florida. The Company’s common stock is listed on the New York Stock Exchange and traded under the symbol WGO. For access to Winnebago Industries' investor relations material or to add your name to an automatic email list for Company news releases, visit http://investor.wgo.net.</w:t>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Forward-Looking Statements</w:t>
      </w:r>
    </w:p>
    <w:p>
      <w:pPr>
        <w:spacing w:after="0" w:line="86" w:lineRule="exact"/>
        <w:rPr>
          <w:sz w:val="20"/>
          <w:szCs w:val="20"/>
          <w:color w:val="auto"/>
        </w:rPr>
      </w:pPr>
    </w:p>
    <w:p>
      <w:pPr>
        <w:spacing w:after="0" w:line="370"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including the business outlook and financial guidance for Fiscal 2026. Investors are cautioned that forward-looking statements are inherently uncertain and involve potential risks and uncertainties. A number of factors could cause actual results to differ materially from these statements, including, but not limited to general economic uncertainty in key markets and a worsening of domestic and global economic conditions or low levels of economic growth; availability of financing for RV and marine dealers and retail purchasers; competition and new product introductions by competitors; ability to innovate and commercialize new products; ability to manage our inventory to meet demand; risk related to cyclicality and seasonality of our business; risk related to independent dealers; risk related to dealer consolidation or the loss of a significant dealer; significant increase in repurchase obligations; ability to retain relationships with our suppliers and obtain components; business or production disruptions; inadequate management of dealer inventory levels; increased material and component costs, including availability and price of fuel and other raw materials; ability to integrate mergers and acquisitions; ability to attract and retain qualified personnel and changes in market compensation rates; exposure to warranty claims and product recalls; ability to protect our information technology systems from data security, cyberattacks, and network disruption risks and the ability to successfully upgrade and evolve our information technology systems; ability to retain brand reputation and related exposure to product liability claims; governmental regulation, including for climate change; increased attention to environmental, social, and governance matters, and our ability to meet our commitments; impairment of goodwill and trade names; risks related to our 2030 Convertible Notes and Senior Secured Notes, including our ability to satisfy our obligations under these notes; and changes in recommendations or a withdrawal of coverage by third party securities analysts. Additional information concerning certain risks and uncertainties that could cause actual results to differ materially from that projected or suggested is contained in the Company's filings with the Securities and Exchange Commission ("SEC") over the last 12 months, copies of which are available from the SEC or from the Company upon request. We caution that the foregoing list of important factors is not complete. The Company disclaims any obligation or undertaking to disseminate any updates or revisions to any forward-looking statements contained in this release or to reflect any changes in the Company's expectations after the date of this release or any change in events, conditions or circumstances on which any statement is based, except as required by law.</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Contacts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Investors: Joan Ondala</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ir@winnebagoind.com</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Media: Dan Sullivan</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u w:val="single" w:color="auto"/>
          <w:color w:val="3051F2"/>
        </w:rPr>
        <w:t>media@winnebagoind.com</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220"/>
          </w:cols>
          <w:pgMar w:left="320" w:top="935" w:right="359" w:bottom="1440" w:gutter="0" w:footer="0" w:header="0"/>
        </w:sectPr>
      </w:pPr>
    </w:p>
    <w:bookmarkStart w:id="7" w:name="page8"/>
    <w:bookmarkEnd w:id="7"/>
    <w:p>
      <w:pPr>
        <w:ind w:left="4600"/>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ind w:left="4580"/>
        <w:spacing w:after="0"/>
        <w:rPr>
          <w:sz w:val="20"/>
          <w:szCs w:val="20"/>
          <w:color w:val="auto"/>
        </w:rPr>
      </w:pPr>
      <w:r>
        <w:rPr>
          <w:rFonts w:ascii="Arial" w:cs="Arial" w:eastAsia="Arial" w:hAnsi="Arial"/>
          <w:sz w:val="16"/>
          <w:szCs w:val="16"/>
          <w:b w:val="1"/>
          <w:bCs w:val="1"/>
          <w:color w:val="auto"/>
        </w:rPr>
        <w:t>Footnotes to News Release</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Footnotes:</w:t>
      </w:r>
    </w:p>
    <w:p>
      <w:pPr>
        <w:spacing w:after="0" w:line="343" w:lineRule="exact"/>
        <w:rPr>
          <w:sz w:val="20"/>
          <w:szCs w:val="20"/>
          <w:color w:val="auto"/>
        </w:rPr>
      </w:pPr>
    </w:p>
    <w:p>
      <w:pPr>
        <w:ind w:left="260" w:hanging="252"/>
        <w:spacing w:after="0"/>
        <w:tabs>
          <w:tab w:leader="none" w:pos="260" w:val="left"/>
        </w:tabs>
        <w:numPr>
          <w:ilvl w:val="0"/>
          <w:numId w:val="7"/>
        </w:numPr>
        <w:rPr>
          <w:rFonts w:ascii="Arial" w:cs="Arial" w:eastAsia="Arial" w:hAnsi="Arial"/>
          <w:sz w:val="9"/>
          <w:szCs w:val="9"/>
          <w:color w:val="auto"/>
        </w:rPr>
      </w:pPr>
      <w:r>
        <w:rPr>
          <w:rFonts w:ascii="Arial" w:cs="Arial" w:eastAsia="Arial" w:hAnsi="Arial"/>
          <w:sz w:val="16"/>
          <w:szCs w:val="16"/>
          <w:color w:val="auto"/>
        </w:rPr>
        <w:t>Fiscal 2026 adjusted EPS guidance primarily excludes the pretax impact of intangible amortization of approximately $22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580"/>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0139"/>
          </w:cols>
          <w:pgMar w:left="320" w:top="895"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89"/>
        </w:trPr>
        <w:tc>
          <w:tcPr>
            <w:tcW w:w="36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400" w:type="dxa"/>
            <w:vAlign w:val="bottom"/>
            <w:gridSpan w:val="4"/>
          </w:tcPr>
          <w:p>
            <w:pPr>
              <w:ind w:left="20"/>
              <w:spacing w:after="0"/>
              <w:rPr>
                <w:sz w:val="20"/>
                <w:szCs w:val="20"/>
                <w:color w:val="auto"/>
              </w:rPr>
            </w:pPr>
            <w:r>
              <w:rPr>
                <w:rFonts w:ascii="Arial" w:cs="Arial" w:eastAsia="Arial" w:hAnsi="Arial"/>
                <w:sz w:val="16"/>
                <w:szCs w:val="16"/>
                <w:b w:val="1"/>
                <w:bCs w:val="1"/>
                <w:color w:val="auto"/>
              </w:rPr>
              <w:t>Winnebago Industries, Inc.</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203"/>
        </w:trPr>
        <w:tc>
          <w:tcPr>
            <w:tcW w:w="3620" w:type="dxa"/>
            <w:vAlign w:val="bottom"/>
          </w:tcPr>
          <w:p>
            <w:pPr>
              <w:spacing w:after="0"/>
              <w:rPr>
                <w:sz w:val="17"/>
                <w:szCs w:val="17"/>
                <w:color w:val="auto"/>
              </w:rPr>
            </w:pPr>
          </w:p>
        </w:tc>
        <w:tc>
          <w:tcPr>
            <w:tcW w:w="4320" w:type="dxa"/>
            <w:vAlign w:val="bottom"/>
            <w:gridSpan w:val="7"/>
          </w:tcPr>
          <w:p>
            <w:pPr>
              <w:jc w:val="center"/>
              <w:ind w:right="320"/>
              <w:spacing w:after="0"/>
              <w:rPr>
                <w:sz w:val="20"/>
                <w:szCs w:val="20"/>
                <w:color w:val="auto"/>
              </w:rPr>
            </w:pPr>
            <w:r>
              <w:rPr>
                <w:rFonts w:ascii="Arial" w:cs="Arial" w:eastAsia="Arial" w:hAnsi="Arial"/>
                <w:sz w:val="16"/>
                <w:szCs w:val="16"/>
                <w:b w:val="1"/>
                <w:bCs w:val="1"/>
                <w:color w:val="auto"/>
              </w:rPr>
              <w:t>Condensed Consolidated Statements of Income</w:t>
            </w: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23"/>
        </w:trPr>
        <w:tc>
          <w:tcPr>
            <w:tcW w:w="3620" w:type="dxa"/>
            <w:vAlign w:val="bottom"/>
          </w:tcPr>
          <w:p>
            <w:pPr>
              <w:spacing w:after="0"/>
              <w:rPr>
                <w:sz w:val="19"/>
                <w:szCs w:val="19"/>
                <w:color w:val="auto"/>
              </w:rPr>
            </w:pPr>
          </w:p>
        </w:tc>
        <w:tc>
          <w:tcPr>
            <w:tcW w:w="4320" w:type="dxa"/>
            <w:vAlign w:val="bottom"/>
            <w:gridSpan w:val="7"/>
          </w:tcPr>
          <w:p>
            <w:pPr>
              <w:jc w:val="center"/>
              <w:ind w:right="300"/>
              <w:spacing w:after="0"/>
              <w:rPr>
                <w:sz w:val="20"/>
                <w:szCs w:val="20"/>
                <w:color w:val="auto"/>
              </w:rPr>
            </w:pPr>
            <w:r>
              <w:rPr>
                <w:rFonts w:ascii="Arial" w:cs="Arial" w:eastAsia="Arial" w:hAnsi="Arial"/>
                <w:sz w:val="16"/>
                <w:szCs w:val="16"/>
                <w:b w:val="1"/>
                <w:bCs w:val="1"/>
                <w:color w:val="auto"/>
              </w:rPr>
              <w:t>(Unaudited and subject to reclassification)</w:t>
            </w:r>
          </w:p>
        </w:tc>
        <w:tc>
          <w:tcPr>
            <w:tcW w:w="8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3"/>
        </w:trPr>
        <w:tc>
          <w:tcPr>
            <w:tcW w:w="36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Three Months Ended</w:t>
            </w:r>
          </w:p>
        </w:tc>
        <w:tc>
          <w:tcPr>
            <w:tcW w:w="6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r>
      <w:tr>
        <w:trPr>
          <w:trHeight w:val="209"/>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February 28, 2026</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March 1, 2025</w:t>
            </w:r>
          </w:p>
        </w:tc>
        <w:tc>
          <w:tcPr>
            <w:tcW w:w="860" w:type="dxa"/>
            <w:vAlign w:val="bottom"/>
            <w:tcBorders>
              <w:bottom w:val="single" w:sz="8" w:color="auto"/>
            </w:tcBorders>
          </w:tcPr>
          <w:p>
            <w:pPr>
              <w:spacing w:after="0"/>
              <w:rPr>
                <w:sz w:val="18"/>
                <w:szCs w:val="18"/>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657.4</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9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571.8</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87.0 %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537.1</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86.6 %</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9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13.0 %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83.1</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13.4 %</w:t>
            </w:r>
          </w:p>
        </w:tc>
      </w:tr>
      <w:tr>
        <w:trPr>
          <w:trHeight w:val="209"/>
        </w:trPr>
        <w:tc>
          <w:tcPr>
            <w:tcW w:w="36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68.4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10.4 %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11.2 %</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9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0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73.8</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12.1 %</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1.3 %</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0.9 %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1.1 %</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0.3 %</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Non-operating income</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(0.1)%</w:t>
            </w:r>
          </w:p>
        </w:tc>
      </w:tr>
      <w:tr>
        <w:trPr>
          <w:trHeight w:val="210"/>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9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Income tax provision</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560" w:type="dxa"/>
            <w:vAlign w:val="bottom"/>
            <w:gridSpan w:val="3"/>
          </w:tcPr>
          <w:p>
            <w:pPr>
              <w:jc w:val="right"/>
              <w:ind w:right="9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35"/>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50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auto"/>
            </w:tcBorders>
            <w:shd w:val="clear" w:color="auto" w:fill="CCEEFF"/>
          </w:tcPr>
          <w:p>
            <w:pPr>
              <w:spacing w:after="0"/>
              <w:rPr>
                <w:sz w:val="20"/>
                <w:szCs w:val="20"/>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auto"/>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3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common share: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3620" w:type="dxa"/>
            <w:vAlign w:val="bottom"/>
          </w:tcPr>
          <w:p>
            <w:pPr>
              <w:ind w:left="180"/>
              <w:spacing w:after="0"/>
              <w:rPr>
                <w:sz w:val="20"/>
                <w:szCs w:val="20"/>
                <w:color w:val="auto"/>
              </w:rPr>
            </w:pPr>
            <w:r>
              <w:rPr>
                <w:rFonts w:ascii="Arial" w:cs="Arial" w:eastAsia="Arial" w:hAnsi="Arial"/>
                <w:sz w:val="16"/>
                <w:szCs w:val="16"/>
                <w:color w:val="auto"/>
              </w:rPr>
              <w:t>Basic</w:t>
            </w:r>
          </w:p>
        </w:tc>
        <w:tc>
          <w:tcPr>
            <w:tcW w:w="146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0.17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(0.02)</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3620" w:type="dxa"/>
            <w:vAlign w:val="bottom"/>
          </w:tcPr>
          <w:p>
            <w:pPr>
              <w:ind w:left="180"/>
              <w:spacing w:after="0"/>
              <w:rPr>
                <w:sz w:val="20"/>
                <w:szCs w:val="20"/>
                <w:color w:val="auto"/>
              </w:rPr>
            </w:pPr>
            <w:r>
              <w:rPr>
                <w:rFonts w:ascii="Arial" w:cs="Arial" w:eastAsia="Arial" w:hAnsi="Arial"/>
                <w:sz w:val="16"/>
                <w:szCs w:val="16"/>
                <w:color w:val="auto"/>
              </w:rPr>
              <w:t>Diluted</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28.5</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33"/>
        </w:trPr>
        <w:tc>
          <w:tcPr>
            <w:tcW w:w="3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Six Months Ended</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210"/>
        </w:trPr>
        <w:tc>
          <w:tcPr>
            <w:tcW w:w="362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(in millions, except percent and per share data)</w:t>
            </w:r>
          </w:p>
        </w:tc>
        <w:tc>
          <w:tcPr>
            <w:tcW w:w="96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3"/>
          </w:tcPr>
          <w:p>
            <w:pPr>
              <w:ind w:left="440"/>
              <w:spacing w:after="0"/>
              <w:rPr>
                <w:sz w:val="20"/>
                <w:szCs w:val="20"/>
                <w:color w:val="auto"/>
              </w:rPr>
            </w:pPr>
            <w:r>
              <w:rPr>
                <w:rFonts w:ascii="Arial" w:cs="Arial" w:eastAsia="Arial" w:hAnsi="Arial"/>
                <w:sz w:val="16"/>
                <w:szCs w:val="16"/>
                <w:b w:val="1"/>
                <w:bCs w:val="1"/>
                <w:color w:val="auto"/>
              </w:rPr>
              <w:t>February 28, 2026</w:t>
            </w:r>
          </w:p>
        </w:tc>
        <w:tc>
          <w:tcPr>
            <w:tcW w:w="84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ind w:left="260"/>
              <w:spacing w:after="0"/>
              <w:rPr>
                <w:sz w:val="20"/>
                <w:szCs w:val="20"/>
                <w:color w:val="auto"/>
              </w:rPr>
            </w:pPr>
            <w:r>
              <w:rPr>
                <w:rFonts w:ascii="Arial" w:cs="Arial" w:eastAsia="Arial" w:hAnsi="Arial"/>
                <w:sz w:val="16"/>
                <w:szCs w:val="16"/>
                <w:b w:val="1"/>
                <w:bCs w:val="1"/>
                <w:color w:val="auto"/>
              </w:rPr>
              <w:t>March 1, 2025</w:t>
            </w:r>
          </w:p>
        </w:tc>
        <w:tc>
          <w:tcPr>
            <w:tcW w:w="860" w:type="dxa"/>
            <w:vAlign w:val="bottom"/>
            <w:tcBorders>
              <w:bottom w:val="single" w:sz="8" w:color="auto"/>
            </w:tcBorders>
          </w:tcPr>
          <w:p>
            <w:pPr>
              <w:spacing w:after="0"/>
              <w:rPr>
                <w:sz w:val="18"/>
                <w:szCs w:val="18"/>
                <w:color w:val="auto"/>
              </w:rPr>
            </w:pP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1,360.1</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1,245.8</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100.0 %</w:t>
            </w:r>
          </w:p>
        </w:tc>
      </w:tr>
      <w:tr>
        <w:trPr>
          <w:trHeight w:val="215"/>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goods sold</w:t>
            </w:r>
          </w:p>
        </w:tc>
        <w:tc>
          <w:tcPr>
            <w:tcW w:w="9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1,185.5</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1,085.9</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87.2 %</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12.8 %</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138.2</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141.8</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11.4 %</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9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12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0.9 %</w:t>
            </w:r>
          </w:p>
        </w:tc>
      </w:tr>
      <w:tr>
        <w:trPr>
          <w:trHeight w:val="209"/>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Total operating expenses</w:t>
            </w:r>
          </w:p>
        </w:tc>
        <w:tc>
          <w:tcPr>
            <w:tcW w:w="9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149.0</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153.0</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12.3 %</w:t>
            </w:r>
          </w:p>
        </w:tc>
      </w:tr>
      <w:tr>
        <w:trPr>
          <w:trHeight w:val="210"/>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income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0.6 %</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12.6</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1.0 %</w:t>
            </w:r>
          </w:p>
        </w:tc>
      </w:tr>
      <w:tr>
        <w:trPr>
          <w:trHeight w:val="217"/>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0.1 %</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0.2 %</w:t>
            </w: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Non-operating loss</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(0.6)</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0"/>
        </w:trPr>
        <w:tc>
          <w:tcPr>
            <w:tcW w:w="3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9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1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w:t>
            </w:r>
          </w:p>
        </w:tc>
      </w:tr>
      <w:tr>
        <w:trPr>
          <w:trHeight w:val="215"/>
        </w:trPr>
        <w:tc>
          <w:tcPr>
            <w:tcW w:w="36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provision (benefit)</w:t>
            </w:r>
          </w:p>
        </w:tc>
        <w:tc>
          <w:tcPr>
            <w:tcW w:w="96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r>
      <w:tr>
        <w:trPr>
          <w:trHeight w:val="235"/>
        </w:trPr>
        <w:tc>
          <w:tcPr>
            <w:tcW w:w="3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r>
      <w:tr>
        <w:trPr>
          <w:trHeight w:val="20"/>
        </w:trPr>
        <w:tc>
          <w:tcPr>
            <w:tcW w:w="3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36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Earnings (loss) per common share:</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3620" w:type="dxa"/>
            <w:vAlign w:val="bottom"/>
          </w:tcPr>
          <w:p>
            <w:pPr>
              <w:ind w:left="180"/>
              <w:spacing w:after="0"/>
              <w:rPr>
                <w:sz w:val="20"/>
                <w:szCs w:val="20"/>
                <w:color w:val="auto"/>
              </w:rPr>
            </w:pPr>
            <w:r>
              <w:rPr>
                <w:rFonts w:ascii="Arial" w:cs="Arial" w:eastAsia="Arial" w:hAnsi="Arial"/>
                <w:sz w:val="16"/>
                <w:szCs w:val="16"/>
                <w:color w:val="auto"/>
              </w:rPr>
              <w:t>Basic</w:t>
            </w:r>
          </w:p>
        </w:tc>
        <w:tc>
          <w:tcPr>
            <w:tcW w:w="1460" w:type="dxa"/>
            <w:vAlign w:val="bottom"/>
            <w:gridSpan w:val="2"/>
          </w:tcPr>
          <w:p>
            <w:pPr>
              <w:ind w:left="980"/>
              <w:spacing w:after="0"/>
              <w:rPr>
                <w:sz w:val="20"/>
                <w:szCs w:val="20"/>
                <w:color w:val="auto"/>
              </w:rPr>
            </w:pPr>
            <w:r>
              <w:rPr>
                <w:rFonts w:ascii="Arial" w:cs="Arial" w:eastAsia="Arial" w:hAnsi="Arial"/>
                <w:sz w:val="16"/>
                <w:szCs w:val="16"/>
                <w:color w:val="auto"/>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0.37</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(0.20)</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Diluted</w:t>
            </w:r>
          </w:p>
        </w:tc>
        <w:tc>
          <w:tcPr>
            <w:tcW w:w="1460" w:type="dxa"/>
            <w:vAlign w:val="bottom"/>
            <w:gridSpan w:val="2"/>
            <w:shd w:val="clear" w:color="auto" w:fill="CCEEFF"/>
          </w:tcPr>
          <w:p>
            <w:pPr>
              <w:ind w:left="980"/>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0.36</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63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3620" w:type="dxa"/>
            <w:vAlign w:val="bottom"/>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7"/>
        </w:trPr>
        <w:tc>
          <w:tcPr>
            <w:tcW w:w="3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Basic</w:t>
            </w:r>
          </w:p>
        </w:tc>
        <w:tc>
          <w:tcPr>
            <w:tcW w:w="9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w:t>
            </w: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15"/>
        </w:trPr>
        <w:tc>
          <w:tcPr>
            <w:tcW w:w="3620" w:type="dxa"/>
            <w:vAlign w:val="bottom"/>
          </w:tcPr>
          <w:p>
            <w:pPr>
              <w:ind w:left="180"/>
              <w:spacing w:after="0"/>
              <w:rPr>
                <w:sz w:val="20"/>
                <w:szCs w:val="20"/>
                <w:color w:val="auto"/>
              </w:rPr>
            </w:pPr>
            <w:r>
              <w:rPr>
                <w:rFonts w:ascii="Arial" w:cs="Arial" w:eastAsia="Arial" w:hAnsi="Arial"/>
                <w:sz w:val="16"/>
                <w:szCs w:val="16"/>
                <w:color w:val="auto"/>
              </w:rPr>
              <w:t>Diluted</w:t>
            </w:r>
          </w:p>
        </w:tc>
        <w:tc>
          <w:tcPr>
            <w:tcW w:w="9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28.4</w:t>
            </w: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28.4</w:t>
            </w: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60" w:type="dxa"/>
            <w:vAlign w:val="bottom"/>
          </w:tcPr>
          <w:p>
            <w:pPr>
              <w:spacing w:after="0"/>
              <w:rPr>
                <w:sz w:val="18"/>
                <w:szCs w:val="18"/>
                <w:color w:val="auto"/>
              </w:rPr>
            </w:pPr>
          </w:p>
        </w:tc>
      </w:tr>
    </w:tbl>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Amounts in tables are calculated based on unrounded numbers and therefore may not recalculate using the rounded numbers provided.</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In addition, percentages may not add in total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180"/>
          </w:cols>
          <w:pgMar w:left="320" w:top="895" w:right="3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9"/>
        </w:trPr>
        <w:tc>
          <w:tcPr>
            <w:tcW w:w="7340" w:type="dxa"/>
            <w:vAlign w:val="bottom"/>
          </w:tcPr>
          <w:p>
            <w:pPr>
              <w:jc w:val="center"/>
              <w:ind w:left="3839"/>
              <w:spacing w:after="0"/>
              <w:rPr>
                <w:sz w:val="20"/>
                <w:szCs w:val="20"/>
                <w:color w:val="auto"/>
              </w:rPr>
            </w:pPr>
            <w:r>
              <w:rPr>
                <w:rFonts w:ascii="Arial" w:cs="Arial" w:eastAsia="Arial" w:hAnsi="Arial"/>
                <w:sz w:val="16"/>
                <w:szCs w:val="16"/>
                <w:b w:val="1"/>
                <w:bCs w:val="1"/>
                <w:color w:val="auto"/>
              </w:rPr>
              <w:t>Winnebago Industries, Inc.</w:t>
            </w:r>
          </w:p>
        </w:tc>
        <w:tc>
          <w:tcPr>
            <w:tcW w:w="18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60" w:type="dxa"/>
            <w:vAlign w:val="bottom"/>
          </w:tcPr>
          <w:p>
            <w:pPr>
              <w:spacing w:after="0"/>
              <w:rPr>
                <w:sz w:val="16"/>
                <w:szCs w:val="16"/>
                <w:color w:val="auto"/>
              </w:rPr>
            </w:pPr>
          </w:p>
        </w:tc>
      </w:tr>
      <w:tr>
        <w:trPr>
          <w:trHeight w:val="203"/>
        </w:trPr>
        <w:tc>
          <w:tcPr>
            <w:tcW w:w="7340" w:type="dxa"/>
            <w:vAlign w:val="bottom"/>
          </w:tcPr>
          <w:p>
            <w:pPr>
              <w:jc w:val="center"/>
              <w:ind w:left="3819"/>
              <w:spacing w:after="0"/>
              <w:rPr>
                <w:sz w:val="20"/>
                <w:szCs w:val="20"/>
                <w:color w:val="auto"/>
              </w:rPr>
            </w:pPr>
            <w:r>
              <w:rPr>
                <w:rFonts w:ascii="Arial" w:cs="Arial" w:eastAsia="Arial" w:hAnsi="Arial"/>
                <w:sz w:val="16"/>
                <w:szCs w:val="16"/>
                <w:b w:val="1"/>
                <w:bCs w:val="1"/>
                <w:color w:val="auto"/>
              </w:rPr>
              <w:t>Condensed Consolidated Balance Sheets</w:t>
            </w: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23"/>
        </w:trPr>
        <w:tc>
          <w:tcPr>
            <w:tcW w:w="7340" w:type="dxa"/>
            <w:vAlign w:val="bottom"/>
          </w:tcPr>
          <w:p>
            <w:pPr>
              <w:jc w:val="center"/>
              <w:ind w:left="3839"/>
              <w:spacing w:after="0"/>
              <w:rPr>
                <w:sz w:val="20"/>
                <w:szCs w:val="20"/>
                <w:color w:val="auto"/>
              </w:rPr>
            </w:pPr>
            <w:r>
              <w:rPr>
                <w:rFonts w:ascii="Arial" w:cs="Arial" w:eastAsia="Arial" w:hAnsi="Arial"/>
                <w:sz w:val="16"/>
                <w:szCs w:val="16"/>
                <w:b w:val="1"/>
                <w:bCs w:val="1"/>
                <w:color w:val="auto"/>
              </w:rPr>
              <w:t>(Unaudited and subject to reclassification)</w:t>
            </w:r>
          </w:p>
        </w:tc>
        <w:tc>
          <w:tcPr>
            <w:tcW w:w="1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tcPr>
          <w:p>
            <w:pPr>
              <w:spacing w:after="0"/>
              <w:rPr>
                <w:sz w:val="19"/>
                <w:szCs w:val="19"/>
                <w:color w:val="auto"/>
              </w:rPr>
            </w:pPr>
          </w:p>
        </w:tc>
      </w:tr>
      <w:tr>
        <w:trPr>
          <w:trHeight w:val="223"/>
        </w:trPr>
        <w:tc>
          <w:tcPr>
            <w:tcW w:w="734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9"/>
                <w:szCs w:val="19"/>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2026</w:t>
            </w:r>
          </w:p>
        </w:tc>
        <w:tc>
          <w:tcPr>
            <w:tcW w:w="220" w:type="dxa"/>
            <w:vAlign w:val="bottom"/>
          </w:tcPr>
          <w:p>
            <w:pPr>
              <w:spacing w:after="0"/>
              <w:rPr>
                <w:sz w:val="19"/>
                <w:szCs w:val="19"/>
                <w:color w:val="auto"/>
              </w:rPr>
            </w:pPr>
          </w:p>
        </w:tc>
        <w:tc>
          <w:tcPr>
            <w:tcW w:w="1660" w:type="dxa"/>
            <w:vAlign w:val="bottom"/>
          </w:tcPr>
          <w:p>
            <w:pPr>
              <w:jc w:val="right"/>
              <w:ind w:right="239"/>
              <w:spacing w:after="0"/>
              <w:rPr>
                <w:sz w:val="20"/>
                <w:szCs w:val="20"/>
                <w:color w:val="auto"/>
              </w:rPr>
            </w:pPr>
            <w:r>
              <w:rPr>
                <w:rFonts w:ascii="Arial" w:cs="Arial" w:eastAsia="Arial" w:hAnsi="Arial"/>
                <w:sz w:val="16"/>
                <w:szCs w:val="16"/>
                <w:b w:val="1"/>
                <w:bCs w:val="1"/>
                <w:color w:val="auto"/>
              </w:rPr>
              <w:t>August 30, 2025</w:t>
            </w:r>
          </w:p>
        </w:tc>
      </w:tr>
      <w:tr>
        <w:trPr>
          <w:trHeight w:val="209"/>
        </w:trPr>
        <w:tc>
          <w:tcPr>
            <w:tcW w:w="7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18"/>
                <w:szCs w:val="18"/>
                <w:color w:val="auto"/>
              </w:rPr>
            </w:pP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7"/>
        </w:trPr>
        <w:tc>
          <w:tcPr>
            <w:tcW w:w="73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174.0</w:t>
            </w:r>
          </w:p>
        </w:tc>
      </w:tr>
      <w:tr>
        <w:trPr>
          <w:trHeight w:val="215"/>
        </w:trPr>
        <w:tc>
          <w:tcPr>
            <w:tcW w:w="7340" w:type="dxa"/>
            <w:vAlign w:val="bottom"/>
          </w:tcPr>
          <w:p>
            <w:pPr>
              <w:ind w:left="260"/>
              <w:spacing w:after="0"/>
              <w:rPr>
                <w:sz w:val="20"/>
                <w:szCs w:val="20"/>
                <w:color w:val="auto"/>
              </w:rPr>
            </w:pPr>
            <w:r>
              <w:rPr>
                <w:rFonts w:ascii="Arial" w:cs="Arial" w:eastAsia="Arial" w:hAnsi="Arial"/>
                <w:sz w:val="16"/>
                <w:szCs w:val="16"/>
                <w:color w:val="auto"/>
              </w:rPr>
              <w:t>Receivables, net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192.0</w:t>
            </w:r>
          </w:p>
        </w:tc>
      </w:tr>
      <w:tr>
        <w:trPr>
          <w:trHeight w:val="217"/>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Inventories, net</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396.4</w:t>
            </w:r>
          </w:p>
        </w:tc>
      </w:tr>
      <w:tr>
        <w:trPr>
          <w:trHeight w:val="215"/>
        </w:trPr>
        <w:tc>
          <w:tcPr>
            <w:tcW w:w="734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36.8</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29.8</w:t>
            </w:r>
          </w:p>
        </w:tc>
      </w:tr>
      <w:tr>
        <w:trPr>
          <w:trHeight w:val="210"/>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Total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792.2</w:t>
            </w:r>
          </w:p>
        </w:tc>
      </w:tr>
      <w:tr>
        <w:trPr>
          <w:trHeight w:val="209"/>
        </w:trPr>
        <w:tc>
          <w:tcPr>
            <w:tcW w:w="7340" w:type="dxa"/>
            <w:vAlign w:val="bottom"/>
          </w:tcPr>
          <w:p>
            <w:pPr>
              <w:ind w:left="140"/>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321.9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333.0</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Goodwill</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484.2</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Other intangible assets, net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446.1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456.9</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Investment in life insurance</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Operating lease assets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38.8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41.6</w:t>
            </w: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Other long-term assets</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19.4</w:t>
            </w:r>
          </w:p>
        </w:tc>
      </w:tr>
      <w:tr>
        <w:trPr>
          <w:trHeight w:val="210"/>
        </w:trPr>
        <w:tc>
          <w:tcPr>
            <w:tcW w:w="7340" w:type="dxa"/>
            <w:vAlign w:val="bottom"/>
          </w:tcPr>
          <w:p>
            <w:pPr>
              <w:ind w:left="1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2,051.5</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2,154.4</w:t>
            </w:r>
          </w:p>
        </w:tc>
      </w:tr>
      <w:tr>
        <w:trPr>
          <w:trHeight w:val="20"/>
        </w:trPr>
        <w:tc>
          <w:tcPr>
            <w:tcW w:w="73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224"/>
        </w:trPr>
        <w:tc>
          <w:tcPr>
            <w:tcW w:w="73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r>
      <w:tr>
        <w:trPr>
          <w:trHeight w:val="216"/>
        </w:trPr>
        <w:tc>
          <w:tcPr>
            <w:tcW w:w="7340" w:type="dxa"/>
            <w:vAlign w:val="bottom"/>
          </w:tcPr>
          <w:p>
            <w:pPr>
              <w:ind w:left="20"/>
              <w:spacing w:after="0"/>
              <w:rPr>
                <w:sz w:val="20"/>
                <w:szCs w:val="20"/>
                <w:color w:val="auto"/>
              </w:rPr>
            </w:pPr>
            <w:r>
              <w:rPr>
                <w:rFonts w:ascii="Arial" w:cs="Arial" w:eastAsia="Arial" w:hAnsi="Arial"/>
                <w:sz w:val="16"/>
                <w:szCs w:val="16"/>
                <w:b w:val="1"/>
                <w:bCs w:val="1"/>
                <w:color w:val="auto"/>
              </w:rPr>
              <w:t>Liabilities and Shareholders' Equity</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Current liabilities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r>
      <w:tr>
        <w:trPr>
          <w:trHeight w:val="215"/>
        </w:trPr>
        <w:tc>
          <w:tcPr>
            <w:tcW w:w="7340" w:type="dxa"/>
            <w:vAlign w:val="bottom"/>
          </w:tcPr>
          <w:p>
            <w:pPr>
              <w:ind w:left="260"/>
              <w:spacing w:after="0"/>
              <w:rPr>
                <w:sz w:val="20"/>
                <w:szCs w:val="20"/>
                <w:color w:val="auto"/>
              </w:rPr>
            </w:pPr>
            <w:r>
              <w:rPr>
                <w:rFonts w:ascii="Arial" w:cs="Arial" w:eastAsia="Arial" w:hAnsi="Arial"/>
                <w:sz w:val="16"/>
                <w:szCs w:val="16"/>
                <w:color w:val="auto"/>
              </w:rPr>
              <w:t>Accounts payable</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136.6</w:t>
            </w:r>
          </w:p>
        </w:tc>
        <w:tc>
          <w:tcPr>
            <w:tcW w:w="100" w:type="dxa"/>
            <w:vAlign w:val="bottom"/>
          </w:tcPr>
          <w:p>
            <w:pPr>
              <w:spacing w:after="0"/>
              <w:rPr>
                <w:sz w:val="18"/>
                <w:szCs w:val="18"/>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129.3</w:t>
            </w:r>
          </w:p>
        </w:tc>
      </w:tr>
      <w:tr>
        <w:trPr>
          <w:trHeight w:val="217"/>
        </w:trPr>
        <w:tc>
          <w:tcPr>
            <w:tcW w:w="7340" w:type="dxa"/>
            <w:vAlign w:val="bottom"/>
            <w:shd w:val="clear" w:color="auto" w:fill="CCEEFF"/>
          </w:tcPr>
          <w:p>
            <w:pPr>
              <w:ind w:left="260"/>
              <w:spacing w:after="0"/>
              <w:rPr>
                <w:sz w:val="20"/>
                <w:szCs w:val="20"/>
                <w:color w:val="auto"/>
              </w:rPr>
            </w:pPr>
            <w:r>
              <w:rPr>
                <w:rFonts w:ascii="Arial" w:cs="Arial" w:eastAsia="Arial" w:hAnsi="Arial"/>
                <w:sz w:val="16"/>
                <w:szCs w:val="16"/>
                <w:color w:val="auto"/>
              </w:rPr>
              <w:t>Accrued expenses</w:t>
            </w:r>
          </w:p>
        </w:tc>
        <w:tc>
          <w:tcPr>
            <w:tcW w:w="18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197.8</w:t>
            </w:r>
          </w:p>
        </w:tc>
      </w:tr>
      <w:tr>
        <w:trPr>
          <w:trHeight w:val="209"/>
        </w:trPr>
        <w:tc>
          <w:tcPr>
            <w:tcW w:w="734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327.1</w:t>
            </w:r>
          </w:p>
        </w:tc>
      </w:tr>
      <w:tr>
        <w:trPr>
          <w:trHeight w:val="210"/>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Long-term debt, net</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442.3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540.5</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Deferred income tax liabilities, net</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5.9</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Unrecognized tax benefits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r>
      <w:tr>
        <w:trPr>
          <w:trHeight w:val="215"/>
        </w:trPr>
        <w:tc>
          <w:tcPr>
            <w:tcW w:w="7340" w:type="dxa"/>
            <w:vAlign w:val="bottom"/>
          </w:tcPr>
          <w:p>
            <w:pPr>
              <w:ind w:left="140"/>
              <w:spacing w:after="0"/>
              <w:rPr>
                <w:sz w:val="20"/>
                <w:szCs w:val="20"/>
                <w:color w:val="auto"/>
              </w:rPr>
            </w:pPr>
            <w:r>
              <w:rPr>
                <w:rFonts w:ascii="Arial" w:cs="Arial" w:eastAsia="Arial" w:hAnsi="Arial"/>
                <w:sz w:val="16"/>
                <w:szCs w:val="16"/>
                <w:color w:val="auto"/>
              </w:rPr>
              <w:t>Long-term operating lease liabilities</w:t>
            </w: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35.9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39.3</w:t>
            </w:r>
          </w:p>
        </w:tc>
      </w:tr>
      <w:tr>
        <w:trPr>
          <w:trHeight w:val="217"/>
        </w:trPr>
        <w:tc>
          <w:tcPr>
            <w:tcW w:w="7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Deferred compensation benefits, net of current portion</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w:t>
            </w:r>
          </w:p>
        </w:tc>
      </w:tr>
      <w:tr>
        <w:trPr>
          <w:trHeight w:val="215"/>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r>
      <w:tr>
        <w:trPr>
          <w:trHeight w:val="210"/>
        </w:trPr>
        <w:tc>
          <w:tcPr>
            <w:tcW w:w="7340" w:type="dxa"/>
            <w:vAlign w:val="bottom"/>
            <w:shd w:val="clear" w:color="auto" w:fill="CCEEFF"/>
          </w:tcPr>
          <w:p>
            <w:pPr>
              <w:ind w:left="34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816.4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929.7</w:t>
            </w:r>
          </w:p>
        </w:tc>
      </w:tr>
      <w:tr>
        <w:trPr>
          <w:trHeight w:val="215"/>
        </w:trPr>
        <w:tc>
          <w:tcPr>
            <w:tcW w:w="7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Shareholders' equity</w:t>
            </w:r>
          </w:p>
        </w:tc>
        <w:tc>
          <w:tcPr>
            <w:tcW w:w="18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1,235.1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1,224.7</w:t>
            </w:r>
          </w:p>
        </w:tc>
      </w:tr>
      <w:tr>
        <w:trPr>
          <w:trHeight w:val="235"/>
        </w:trPr>
        <w:tc>
          <w:tcPr>
            <w:tcW w:w="7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liabilities and shareholders'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2,051.5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2,154.4</w:t>
            </w:r>
          </w:p>
        </w:tc>
      </w:tr>
      <w:tr>
        <w:trPr>
          <w:trHeight w:val="20"/>
        </w:trPr>
        <w:tc>
          <w:tcPr>
            <w:tcW w:w="7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240"/>
          </w:cols>
          <w:pgMar w:left="320" w:top="895"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9"/>
        </w:trPr>
        <w:tc>
          <w:tcPr>
            <w:tcW w:w="7280" w:type="dxa"/>
            <w:vAlign w:val="bottom"/>
          </w:tcPr>
          <w:p>
            <w:pPr>
              <w:jc w:val="center"/>
              <w:ind w:left="3827"/>
              <w:spacing w:after="0"/>
              <w:rPr>
                <w:sz w:val="20"/>
                <w:szCs w:val="20"/>
                <w:color w:val="auto"/>
              </w:rPr>
            </w:pPr>
            <w:r>
              <w:rPr>
                <w:rFonts w:ascii="Arial" w:cs="Arial" w:eastAsia="Arial" w:hAnsi="Arial"/>
                <w:sz w:val="16"/>
                <w:szCs w:val="16"/>
                <w:b w:val="1"/>
                <w:bCs w:val="1"/>
                <w:color w:val="auto"/>
              </w:rPr>
              <w:t>Winnebago Industries, Inc.</w:t>
            </w:r>
          </w:p>
        </w:tc>
        <w:tc>
          <w:tcPr>
            <w:tcW w:w="16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spacing w:after="0"/>
              <w:rPr>
                <w:sz w:val="16"/>
                <w:szCs w:val="16"/>
                <w:color w:val="auto"/>
              </w:rPr>
            </w:pPr>
          </w:p>
        </w:tc>
      </w:tr>
      <w:tr>
        <w:trPr>
          <w:trHeight w:val="203"/>
        </w:trPr>
        <w:tc>
          <w:tcPr>
            <w:tcW w:w="9280" w:type="dxa"/>
            <w:vAlign w:val="bottom"/>
            <w:gridSpan w:val="4"/>
          </w:tcPr>
          <w:p>
            <w:pPr>
              <w:jc w:val="center"/>
              <w:ind w:left="1827"/>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23"/>
        </w:trPr>
        <w:tc>
          <w:tcPr>
            <w:tcW w:w="7280" w:type="dxa"/>
            <w:vAlign w:val="bottom"/>
          </w:tcPr>
          <w:p>
            <w:pPr>
              <w:jc w:val="center"/>
              <w:ind w:left="3827"/>
              <w:spacing w:after="0"/>
              <w:rPr>
                <w:sz w:val="20"/>
                <w:szCs w:val="20"/>
                <w:color w:val="auto"/>
              </w:rPr>
            </w:pPr>
            <w:r>
              <w:rPr>
                <w:rFonts w:ascii="Arial" w:cs="Arial" w:eastAsia="Arial" w:hAnsi="Arial"/>
                <w:sz w:val="16"/>
                <w:szCs w:val="16"/>
                <w:b w:val="1"/>
                <w:bCs w:val="1"/>
                <w:color w:val="auto"/>
              </w:rPr>
              <w:t>(Unaudited and subject to reclassification)</w:t>
            </w: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3"/>
        </w:trPr>
        <w:tc>
          <w:tcPr>
            <w:tcW w:w="7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3740" w:type="dxa"/>
            <w:vAlign w:val="bottom"/>
            <w:tcBorders>
              <w:bottom w:val="single" w:sz="8" w:color="auto"/>
            </w:tcBorders>
            <w:gridSpan w:val="4"/>
          </w:tcPr>
          <w:p>
            <w:pPr>
              <w:jc w:val="right"/>
              <w:ind w:right="1188"/>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7280" w:type="dxa"/>
            <w:vAlign w:val="bottom"/>
          </w:tcPr>
          <w:p>
            <w:pPr>
              <w:spacing w:after="0"/>
              <w:rPr>
                <w:sz w:val="20"/>
                <w:szCs w:val="20"/>
                <w:color w:val="auto"/>
              </w:rPr>
            </w:pPr>
            <w:r>
              <w:rPr>
                <w:rFonts w:ascii="Arial" w:cs="Arial" w:eastAsia="Arial" w:hAnsi="Arial"/>
                <w:sz w:val="16"/>
                <w:szCs w:val="16"/>
                <w:color w:val="auto"/>
              </w:rPr>
              <w:t>(in millions)</w:t>
            </w:r>
          </w:p>
        </w:tc>
        <w:tc>
          <w:tcPr>
            <w:tcW w:w="160" w:type="dxa"/>
            <w:vAlign w:val="bottom"/>
          </w:tcPr>
          <w:p>
            <w:pPr>
              <w:spacing w:after="0"/>
              <w:rPr>
                <w:sz w:val="18"/>
                <w:szCs w:val="18"/>
                <w:color w:val="auto"/>
              </w:rPr>
            </w:pPr>
          </w:p>
        </w:tc>
        <w:tc>
          <w:tcPr>
            <w:tcW w:w="184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2026</w:t>
            </w:r>
          </w:p>
        </w:tc>
        <w:tc>
          <w:tcPr>
            <w:tcW w:w="260" w:type="dxa"/>
            <w:vAlign w:val="bottom"/>
          </w:tcPr>
          <w:p>
            <w:pPr>
              <w:spacing w:after="0"/>
              <w:rPr>
                <w:sz w:val="18"/>
                <w:szCs w:val="18"/>
                <w:color w:val="auto"/>
              </w:rPr>
            </w:pPr>
          </w:p>
        </w:tc>
        <w:tc>
          <w:tcPr>
            <w:tcW w:w="1640" w:type="dxa"/>
            <w:vAlign w:val="bottom"/>
          </w:tcPr>
          <w:p>
            <w:pPr>
              <w:jc w:val="right"/>
              <w:ind w:right="348"/>
              <w:spacing w:after="0"/>
              <w:rPr>
                <w:sz w:val="20"/>
                <w:szCs w:val="20"/>
                <w:color w:val="auto"/>
              </w:rPr>
            </w:pPr>
            <w:r>
              <w:rPr>
                <w:rFonts w:ascii="Arial" w:cs="Arial" w:eastAsia="Arial" w:hAnsi="Arial"/>
                <w:sz w:val="16"/>
                <w:szCs w:val="16"/>
                <w:b w:val="1"/>
                <w:bCs w:val="1"/>
                <w:color w:val="auto"/>
              </w:rPr>
              <w:t>March 1, 2025</w:t>
            </w:r>
          </w:p>
        </w:tc>
      </w:tr>
      <w:tr>
        <w:trPr>
          <w:trHeight w:val="196"/>
        </w:trPr>
        <w:tc>
          <w:tcPr>
            <w:tcW w:w="7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Operating activities</w:t>
            </w:r>
          </w:p>
        </w:tc>
        <w:tc>
          <w:tcPr>
            <w:tcW w:w="16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640" w:type="dxa"/>
            <w:vAlign w:val="bottom"/>
            <w:tcBorders>
              <w:top w:val="single" w:sz="8" w:color="auto"/>
            </w:tcBorders>
            <w:shd w:val="clear" w:color="auto" w:fill="CCEEFF"/>
          </w:tcPr>
          <w:p>
            <w:pPr>
              <w:spacing w:after="0"/>
              <w:rPr>
                <w:sz w:val="17"/>
                <w:szCs w:val="17"/>
                <w:color w:val="auto"/>
              </w:rPr>
            </w:pP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Net income (loss)</w:t>
            </w: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(5.6)</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Adjustments to reconcile net income (loss) to net cash provided by (used in) operating activities</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Depreciation</w:t>
            </w:r>
          </w:p>
        </w:tc>
        <w:tc>
          <w:tcPr>
            <w:tcW w:w="160" w:type="dxa"/>
            <w:vAlign w:val="bottom"/>
          </w:tcPr>
          <w:p>
            <w:pPr>
              <w:spacing w:after="0"/>
              <w:rPr>
                <w:sz w:val="17"/>
                <w:szCs w:val="17"/>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19.4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19.1</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Amortization</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Amortization of debt issuance costs</w:t>
            </w:r>
          </w:p>
        </w:tc>
        <w:tc>
          <w:tcPr>
            <w:tcW w:w="160" w:type="dxa"/>
            <w:vAlign w:val="bottom"/>
          </w:tcPr>
          <w:p>
            <w:pPr>
              <w:spacing w:after="0"/>
              <w:rPr>
                <w:sz w:val="17"/>
                <w:szCs w:val="17"/>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1.6</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Last in, first-out ("LIFO") expense</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160" w:type="dxa"/>
            <w:vAlign w:val="bottom"/>
          </w:tcPr>
          <w:p>
            <w:pPr>
              <w:spacing w:after="0"/>
              <w:rPr>
                <w:sz w:val="17"/>
                <w:szCs w:val="17"/>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10.8</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Deferred income taxes</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Loss on note repurchase</w:t>
            </w:r>
          </w:p>
        </w:tc>
        <w:tc>
          <w:tcPr>
            <w:tcW w:w="160" w:type="dxa"/>
            <w:vAlign w:val="bottom"/>
          </w:tcPr>
          <w:p>
            <w:pPr>
              <w:spacing w:after="0"/>
              <w:rPr>
                <w:sz w:val="17"/>
                <w:szCs w:val="17"/>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0.8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2.0</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Restructuring and related costs</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Other, net</w:t>
            </w: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(0.7)</w:t>
            </w:r>
          </w:p>
        </w:tc>
      </w:tr>
      <w:tr>
        <w:trPr>
          <w:trHeight w:val="207"/>
        </w:trPr>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Change in operating assets and liabilities, net of assets and liabilities acquired</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Receivables, net</w:t>
            </w: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(18.1)</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Inventories, net</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Prepaid expenses and other assets</w:t>
            </w:r>
          </w:p>
        </w:tc>
        <w:tc>
          <w:tcPr>
            <w:tcW w:w="160" w:type="dxa"/>
            <w:vAlign w:val="bottom"/>
          </w:tcPr>
          <w:p>
            <w:pPr>
              <w:spacing w:after="0"/>
              <w:rPr>
                <w:sz w:val="17"/>
                <w:szCs w:val="17"/>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5.1</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Accounts payable</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w:t>
            </w:r>
          </w:p>
        </w:tc>
      </w:tr>
      <w:tr>
        <w:trPr>
          <w:trHeight w:val="198"/>
        </w:trPr>
        <w:tc>
          <w:tcPr>
            <w:tcW w:w="7280" w:type="dxa"/>
            <w:vAlign w:val="bottom"/>
          </w:tcPr>
          <w:p>
            <w:pPr>
              <w:ind w:left="240"/>
              <w:spacing w:after="0"/>
              <w:rPr>
                <w:sz w:val="20"/>
                <w:szCs w:val="20"/>
                <w:color w:val="auto"/>
              </w:rPr>
            </w:pPr>
            <w:r>
              <w:rPr>
                <w:rFonts w:ascii="Arial" w:cs="Arial" w:eastAsia="Arial" w:hAnsi="Arial"/>
                <w:sz w:val="14"/>
                <w:szCs w:val="14"/>
                <w:color w:val="auto"/>
              </w:rPr>
              <w:t>Income taxes and unrecognized tax benefits</w:t>
            </w: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(1.7)</w:t>
            </w:r>
          </w:p>
        </w:tc>
      </w:tr>
      <w:tr>
        <w:trPr>
          <w:trHeight w:val="207"/>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expenses and other liabilities</w:t>
            </w:r>
          </w:p>
        </w:tc>
        <w:tc>
          <w:tcPr>
            <w:tcW w:w="1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(27.9)</w:t>
            </w:r>
          </w:p>
        </w:tc>
      </w:tr>
      <w:tr>
        <w:trPr>
          <w:trHeight w:val="195"/>
        </w:trPr>
        <w:tc>
          <w:tcPr>
            <w:tcW w:w="7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provided by (used in) operating activities</w:t>
            </w: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0.6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(27.2)</w:t>
            </w:r>
          </w:p>
        </w:tc>
      </w:tr>
      <w:tr>
        <w:trPr>
          <w:trHeight w:val="197"/>
        </w:trPr>
        <w:tc>
          <w:tcPr>
            <w:tcW w:w="7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1"/>
        </w:trPr>
        <w:tc>
          <w:tcPr>
            <w:tcW w:w="7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4"/>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Purchases of property, plant, and equipment</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Proceeds from sale of property, plant, and equipment</w:t>
            </w:r>
          </w:p>
        </w:tc>
        <w:tc>
          <w:tcPr>
            <w:tcW w:w="160" w:type="dxa"/>
            <w:vAlign w:val="bottom"/>
          </w:tcPr>
          <w:p>
            <w:pPr>
              <w:spacing w:after="0"/>
              <w:rPr>
                <w:sz w:val="17"/>
                <w:szCs w:val="17"/>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06"/>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95"/>
        </w:trPr>
        <w:tc>
          <w:tcPr>
            <w:tcW w:w="7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used in investing activities</w:t>
            </w: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(15.2)</w:t>
            </w:r>
          </w:p>
        </w:tc>
      </w:tr>
      <w:tr>
        <w:trPr>
          <w:trHeight w:val="197"/>
        </w:trPr>
        <w:tc>
          <w:tcPr>
            <w:tcW w:w="7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02"/>
        </w:trPr>
        <w:tc>
          <w:tcPr>
            <w:tcW w:w="7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Borrowings on long-term debt</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Repayments on long-term debt</w:t>
            </w: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(103.0)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(100.5)</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Payments of cash dividends</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r>
      <w:tr>
        <w:trPr>
          <w:trHeight w:val="198"/>
        </w:trPr>
        <w:tc>
          <w:tcPr>
            <w:tcW w:w="7280" w:type="dxa"/>
            <w:vAlign w:val="bottom"/>
          </w:tcPr>
          <w:p>
            <w:pPr>
              <w:ind w:left="120"/>
              <w:spacing w:after="0"/>
              <w:rPr>
                <w:sz w:val="20"/>
                <w:szCs w:val="20"/>
                <w:color w:val="auto"/>
              </w:rPr>
            </w:pPr>
            <w:r>
              <w:rPr>
                <w:rFonts w:ascii="Arial" w:cs="Arial" w:eastAsia="Arial" w:hAnsi="Arial"/>
                <w:sz w:val="14"/>
                <w:szCs w:val="14"/>
                <w:color w:val="auto"/>
              </w:rPr>
              <w:t>Payments for repurchases of common stock</w:t>
            </w: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(53.6)</w:t>
            </w:r>
          </w:p>
        </w:tc>
      </w:tr>
      <w:tr>
        <w:trPr>
          <w:trHeight w:val="207"/>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1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0.9</w:t>
            </w:r>
          </w:p>
        </w:tc>
      </w:tr>
      <w:tr>
        <w:trPr>
          <w:trHeight w:val="195"/>
        </w:trPr>
        <w:tc>
          <w:tcPr>
            <w:tcW w:w="7280" w:type="dxa"/>
            <w:vAlign w:val="bottom"/>
            <w:tcBorders>
              <w:bottom w:val="single" w:sz="8" w:color="CCEEFF"/>
            </w:tcBorders>
          </w:tcPr>
          <w:p>
            <w:pPr>
              <w:spacing w:after="0"/>
              <w:rPr>
                <w:sz w:val="20"/>
                <w:szCs w:val="20"/>
                <w:color w:val="auto"/>
              </w:rPr>
            </w:pPr>
            <w:r>
              <w:rPr>
                <w:rFonts w:ascii="Arial" w:cs="Arial" w:eastAsia="Arial" w:hAnsi="Arial"/>
                <w:sz w:val="14"/>
                <w:szCs w:val="14"/>
                <w:b w:val="1"/>
                <w:bCs w:val="1"/>
                <w:color w:val="auto"/>
              </w:rPr>
              <w:t>Net cash used in financing activities</w:t>
            </w:r>
          </w:p>
        </w:tc>
        <w:tc>
          <w:tcPr>
            <w:tcW w:w="1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(121.4)</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(173.0)</w:t>
            </w:r>
          </w:p>
        </w:tc>
      </w:tr>
      <w:tr>
        <w:trPr>
          <w:trHeight w:val="197"/>
        </w:trPr>
        <w:tc>
          <w:tcPr>
            <w:tcW w:w="7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198"/>
        </w:trPr>
        <w:tc>
          <w:tcPr>
            <w:tcW w:w="7280" w:type="dxa"/>
            <w:vAlign w:val="bottom"/>
          </w:tcPr>
          <w:p>
            <w:pPr>
              <w:spacing w:after="0"/>
              <w:rPr>
                <w:sz w:val="20"/>
                <w:szCs w:val="20"/>
                <w:color w:val="auto"/>
              </w:rPr>
            </w:pPr>
            <w:r>
              <w:rPr>
                <w:rFonts w:ascii="Arial" w:cs="Arial" w:eastAsia="Arial" w:hAnsi="Arial"/>
                <w:sz w:val="14"/>
                <w:szCs w:val="14"/>
                <w:color w:val="auto"/>
              </w:rPr>
              <w:t>Net decrease in cash and cash equivalents</w:t>
            </w:r>
          </w:p>
        </w:tc>
        <w:tc>
          <w:tcPr>
            <w:tcW w:w="16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(126.6)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(215.4)</w:t>
            </w:r>
          </w:p>
        </w:tc>
      </w:tr>
      <w:tr>
        <w:trPr>
          <w:trHeight w:val="207"/>
        </w:trPr>
        <w:tc>
          <w:tcPr>
            <w:tcW w:w="7280" w:type="dxa"/>
            <w:vAlign w:val="bottom"/>
            <w:shd w:val="clear" w:color="auto" w:fill="CCEEFF"/>
          </w:tcPr>
          <w:p>
            <w:pPr>
              <w:spacing w:after="0"/>
              <w:rPr>
                <w:sz w:val="20"/>
                <w:szCs w:val="20"/>
                <w:color w:val="auto"/>
              </w:rPr>
            </w:pPr>
            <w:r>
              <w:rPr>
                <w:rFonts w:ascii="Arial" w:cs="Arial" w:eastAsia="Arial" w:hAnsi="Arial"/>
                <w:sz w:val="14"/>
                <w:szCs w:val="14"/>
                <w:color w:val="auto"/>
              </w:rPr>
              <w:t>Cash and cash equivalents at beginning of period</w:t>
            </w:r>
          </w:p>
        </w:tc>
        <w:tc>
          <w:tcPr>
            <w:tcW w:w="160" w:type="dxa"/>
            <w:vAlign w:val="bottom"/>
            <w:tcBorders>
              <w:bottom w:val="single" w:sz="8" w:color="auto"/>
            </w:tcBorders>
            <w:shd w:val="clear" w:color="auto" w:fill="CCEEFF"/>
          </w:tcPr>
          <w:p>
            <w:pPr>
              <w:spacing w:after="0"/>
              <w:rPr>
                <w:sz w:val="17"/>
                <w:szCs w:val="17"/>
                <w:color w:val="auto"/>
              </w:rPr>
            </w:pPr>
          </w:p>
        </w:tc>
        <w:tc>
          <w:tcPr>
            <w:tcW w:w="17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174.0</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330.9</w:t>
            </w:r>
          </w:p>
        </w:tc>
      </w:tr>
      <w:tr>
        <w:trPr>
          <w:trHeight w:val="169"/>
        </w:trPr>
        <w:tc>
          <w:tcPr>
            <w:tcW w:w="7280" w:type="dxa"/>
            <w:vAlign w:val="bottom"/>
          </w:tcPr>
          <w:p>
            <w:pPr>
              <w:spacing w:after="0"/>
              <w:rPr>
                <w:sz w:val="20"/>
                <w:szCs w:val="20"/>
                <w:color w:val="auto"/>
              </w:rPr>
            </w:pPr>
            <w:r>
              <w:rPr>
                <w:rFonts w:ascii="Arial" w:cs="Arial" w:eastAsia="Arial" w:hAnsi="Arial"/>
                <w:sz w:val="14"/>
                <w:szCs w:val="14"/>
                <w:color w:val="auto"/>
              </w:rPr>
              <w:t>Cash and cash equivalents at end of period</w:t>
            </w: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47.4</w:t>
            </w:r>
          </w:p>
        </w:tc>
        <w:tc>
          <w:tcPr>
            <w:tcW w:w="100" w:type="dxa"/>
            <w:vAlign w:val="bottom"/>
          </w:tcPr>
          <w:p>
            <w:pPr>
              <w:spacing w:after="0"/>
              <w:rPr>
                <w:sz w:val="14"/>
                <w:szCs w:val="1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115.5</w:t>
            </w: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183"/>
        </w:trPr>
        <w:tc>
          <w:tcPr>
            <w:tcW w:w="7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202"/>
        </w:trPr>
        <w:tc>
          <w:tcPr>
            <w:tcW w:w="7280" w:type="dxa"/>
            <w:vAlign w:val="bottom"/>
          </w:tcPr>
          <w:p>
            <w:pPr>
              <w:spacing w:after="0"/>
              <w:rPr>
                <w:sz w:val="20"/>
                <w:szCs w:val="20"/>
                <w:color w:val="auto"/>
              </w:rPr>
            </w:pPr>
            <w:r>
              <w:rPr>
                <w:rFonts w:ascii="Arial" w:cs="Arial" w:eastAsia="Arial" w:hAnsi="Arial"/>
                <w:sz w:val="14"/>
                <w:szCs w:val="14"/>
                <w:b w:val="1"/>
                <w:bCs w:val="1"/>
                <w:color w:val="auto"/>
              </w:rPr>
              <w:t>Supplemental Disclosures</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Income taxes paid, net</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r>
      <w:tr>
        <w:trPr>
          <w:trHeight w:val="199"/>
        </w:trPr>
        <w:tc>
          <w:tcPr>
            <w:tcW w:w="7280" w:type="dxa"/>
            <w:vAlign w:val="bottom"/>
          </w:tcPr>
          <w:p>
            <w:pPr>
              <w:ind w:left="120"/>
              <w:spacing w:after="0"/>
              <w:rPr>
                <w:sz w:val="20"/>
                <w:szCs w:val="20"/>
                <w:color w:val="auto"/>
              </w:rPr>
            </w:pPr>
            <w:r>
              <w:rPr>
                <w:rFonts w:ascii="Arial" w:cs="Arial" w:eastAsia="Arial" w:hAnsi="Arial"/>
                <w:sz w:val="14"/>
                <w:szCs w:val="14"/>
                <w:color w:val="auto"/>
              </w:rPr>
              <w:t>Interest paid</w:t>
            </w:r>
          </w:p>
        </w:tc>
        <w:tc>
          <w:tcPr>
            <w:tcW w:w="160" w:type="dxa"/>
            <w:vAlign w:val="bottom"/>
          </w:tcPr>
          <w:p>
            <w:pPr>
              <w:spacing w:after="0"/>
              <w:rPr>
                <w:sz w:val="17"/>
                <w:szCs w:val="17"/>
                <w:color w:val="auto"/>
              </w:rPr>
            </w:pPr>
          </w:p>
        </w:tc>
        <w:tc>
          <w:tcPr>
            <w:tcW w:w="1740" w:type="dxa"/>
            <w:vAlign w:val="bottom"/>
          </w:tcPr>
          <w:p>
            <w:pPr>
              <w:jc w:val="right"/>
              <w:ind w:right="8"/>
              <w:spacing w:after="0"/>
              <w:rPr>
                <w:sz w:val="20"/>
                <w:szCs w:val="20"/>
                <w:color w:val="auto"/>
              </w:rPr>
            </w:pPr>
            <w:r>
              <w:rPr>
                <w:rFonts w:ascii="Arial" w:cs="Arial" w:eastAsia="Arial" w:hAnsi="Arial"/>
                <w:sz w:val="14"/>
                <w:szCs w:val="14"/>
                <w:color w:val="auto"/>
              </w:rPr>
              <w:t>13.0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16.6</w:t>
            </w:r>
          </w:p>
        </w:tc>
      </w:tr>
      <w:tr>
        <w:trPr>
          <w:trHeight w:val="220"/>
        </w:trPr>
        <w:tc>
          <w:tcPr>
            <w:tcW w:w="7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02"/>
        </w:trPr>
        <w:tc>
          <w:tcPr>
            <w:tcW w:w="7280" w:type="dxa"/>
            <w:vAlign w:val="bottom"/>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3"/>
        </w:trPr>
        <w:tc>
          <w:tcPr>
            <w:tcW w:w="728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Capital expenditures in accounts payable</w:t>
            </w:r>
          </w:p>
        </w:tc>
        <w:tc>
          <w:tcPr>
            <w:tcW w:w="1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76"/>
              </w:rPr>
              <w:t>$</w:t>
            </w: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w:t>
            </w:r>
          </w:p>
        </w:tc>
      </w:tr>
      <w:tr>
        <w:trPr>
          <w:trHeight w:val="199"/>
        </w:trPr>
        <w:tc>
          <w:tcPr>
            <w:tcW w:w="7280" w:type="dxa"/>
            <w:vAlign w:val="bottom"/>
          </w:tcPr>
          <w:p>
            <w:pPr>
              <w:ind w:left="120"/>
              <w:spacing w:after="0"/>
              <w:rPr>
                <w:sz w:val="20"/>
                <w:szCs w:val="20"/>
                <w:color w:val="auto"/>
              </w:rPr>
            </w:pPr>
            <w:r>
              <w:rPr>
                <w:rFonts w:ascii="Arial" w:cs="Arial" w:eastAsia="Arial" w:hAnsi="Arial"/>
                <w:sz w:val="14"/>
                <w:szCs w:val="14"/>
                <w:color w:val="auto"/>
              </w:rPr>
              <w:t>Increase in lease assets in exchange for lease liabilities:</w:t>
            </w:r>
          </w:p>
        </w:tc>
        <w:tc>
          <w:tcPr>
            <w:tcW w:w="1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06"/>
        </w:trPr>
        <w:tc>
          <w:tcPr>
            <w:tcW w:w="7280" w:type="dxa"/>
            <w:vAlign w:val="bottom"/>
            <w:shd w:val="clear" w:color="auto" w:fill="CCEEFF"/>
          </w:tcPr>
          <w:p>
            <w:pPr>
              <w:ind w:left="240"/>
              <w:spacing w:after="0"/>
              <w:rPr>
                <w:sz w:val="20"/>
                <w:szCs w:val="20"/>
                <w:color w:val="auto"/>
              </w:rPr>
            </w:pPr>
            <w:r>
              <w:rPr>
                <w:rFonts w:ascii="Arial" w:cs="Arial" w:eastAsia="Arial" w:hAnsi="Arial"/>
                <w:sz w:val="14"/>
                <w:szCs w:val="14"/>
                <w:color w:val="auto"/>
              </w:rPr>
              <w:t>Operating leases</w:t>
            </w:r>
          </w:p>
        </w:tc>
        <w:tc>
          <w:tcPr>
            <w:tcW w:w="160" w:type="dxa"/>
            <w:vAlign w:val="bottom"/>
            <w:shd w:val="clear" w:color="auto" w:fill="CCEEFF"/>
          </w:tcPr>
          <w:p>
            <w:pPr>
              <w:spacing w:after="0"/>
              <w:rPr>
                <w:sz w:val="17"/>
                <w:szCs w:val="17"/>
                <w:color w:val="auto"/>
              </w:rPr>
            </w:pPr>
          </w:p>
        </w:tc>
        <w:tc>
          <w:tcPr>
            <w:tcW w:w="17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0.9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r>
        <w:trPr>
          <w:trHeight w:val="195"/>
        </w:trPr>
        <w:tc>
          <w:tcPr>
            <w:tcW w:w="7280" w:type="dxa"/>
            <w:vAlign w:val="bottom"/>
          </w:tcPr>
          <w:p>
            <w:pPr>
              <w:ind w:left="240"/>
              <w:spacing w:after="0"/>
              <w:rPr>
                <w:sz w:val="20"/>
                <w:szCs w:val="20"/>
                <w:color w:val="auto"/>
              </w:rPr>
            </w:pPr>
            <w:r>
              <w:rPr>
                <w:rFonts w:ascii="Arial" w:cs="Arial" w:eastAsia="Arial" w:hAnsi="Arial"/>
                <w:sz w:val="14"/>
                <w:szCs w:val="14"/>
                <w:color w:val="auto"/>
              </w:rPr>
              <w:t>Finance leases</w:t>
            </w:r>
          </w:p>
        </w:tc>
        <w:tc>
          <w:tcPr>
            <w:tcW w:w="160" w:type="dxa"/>
            <w:vAlign w:val="bottom"/>
          </w:tcPr>
          <w:p>
            <w:pPr>
              <w:spacing w:after="0"/>
              <w:rPr>
                <w:sz w:val="16"/>
                <w:szCs w:val="16"/>
                <w:color w:val="auto"/>
              </w:rPr>
            </w:pPr>
          </w:p>
        </w:tc>
        <w:tc>
          <w:tcPr>
            <w:tcW w:w="1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829"/>
        </w:trPr>
        <w:tc>
          <w:tcPr>
            <w:tcW w:w="7280" w:type="dxa"/>
            <w:vAlign w:val="bottom"/>
          </w:tcPr>
          <w:p>
            <w:pPr>
              <w:jc w:val="center"/>
              <w:ind w:left="3807"/>
              <w:spacing w:after="0"/>
              <w:rPr>
                <w:sz w:val="20"/>
                <w:szCs w:val="20"/>
                <w:color w:val="auto"/>
              </w:rPr>
            </w:pPr>
            <w:r>
              <w:rPr>
                <w:rFonts w:ascii="Arial" w:cs="Arial" w:eastAsia="Arial" w:hAnsi="Arial"/>
                <w:sz w:val="16"/>
                <w:szCs w:val="16"/>
                <w:color w:val="auto"/>
                <w:w w:val="89"/>
              </w:rPr>
              <w:t>8</w:t>
            </w:r>
          </w:p>
        </w:tc>
        <w:tc>
          <w:tcPr>
            <w:tcW w:w="1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ectPr>
          <w:pgSz w:w="11900" w:h="16838" w:orient="portrait"/>
          <w:cols w:equalWidth="0" w:num="1">
            <w:col w:w="11180"/>
          </w:cols>
          <w:pgMar w:left="360" w:top="854" w:right="359" w:bottom="1440" w:gutter="0" w:footer="0" w:header="0"/>
        </w:sectPr>
      </w:pPr>
    </w:p>
    <w:bookmarkStart w:id="11" w:name="page12"/>
    <w:bookmarkEnd w:id="11"/>
    <w:p>
      <w:pPr>
        <w:jc w:val="center"/>
        <w:ind w:right="-151"/>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Supplemental Information by Reportable Segment - Towable RV</w:t>
      </w:r>
    </w:p>
    <w:p>
      <w:pPr>
        <w:spacing w:after="0" w:line="19"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5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52" w:type="dxa"/>
        <w:tblCellMar>
          <w:top w:w="0" w:type="dxa"/>
          <w:left w:w="0" w:type="dxa"/>
          <w:bottom w:w="0" w:type="dxa"/>
          <w:right w:w="0" w:type="dxa"/>
        </w:tblCellMar>
      </w:tblPr>
      <w:tr>
        <w:trPr>
          <w:trHeight w:val="217"/>
        </w:trPr>
        <w:tc>
          <w:tcPr>
            <w:tcW w:w="208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 2026</w:t>
            </w:r>
          </w:p>
        </w:tc>
        <w:tc>
          <w:tcPr>
            <w:tcW w:w="80" w:type="dxa"/>
            <w:vAlign w:val="bottom"/>
          </w:tcPr>
          <w:p>
            <w:pPr>
              <w:spacing w:after="0"/>
              <w:rPr>
                <w:sz w:val="18"/>
                <w:szCs w:val="18"/>
                <w:color w:val="auto"/>
              </w:rPr>
            </w:pPr>
          </w:p>
        </w:tc>
        <w:tc>
          <w:tcPr>
            <w:tcW w:w="1520" w:type="dxa"/>
            <w:vAlign w:val="bottom"/>
            <w:gridSpan w:val="2"/>
          </w:tcPr>
          <w:p>
            <w:pPr>
              <w:jc w:val="center"/>
              <w:ind w:right="8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18"/>
                <w:szCs w:val="18"/>
                <w:color w:val="auto"/>
              </w:rPr>
            </w:pPr>
          </w:p>
        </w:tc>
        <w:tc>
          <w:tcPr>
            <w:tcW w:w="1520" w:type="dxa"/>
            <w:vAlign w:val="bottom"/>
            <w:gridSpan w:val="2"/>
          </w:tcPr>
          <w:p>
            <w:pPr>
              <w:jc w:val="center"/>
              <w:ind w:right="8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262.4</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288.2</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215"/>
        </w:trPr>
        <w:tc>
          <w:tcPr>
            <w:tcW w:w="20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11.1</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12.7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(12.2)%</w:t>
            </w:r>
          </w:p>
        </w:tc>
        <w:tc>
          <w:tcPr>
            <w:tcW w:w="0" w:type="dxa"/>
            <w:vAlign w:val="bottom"/>
          </w:tcPr>
          <w:p>
            <w:pPr>
              <w:spacing w:after="0"/>
              <w:rPr>
                <w:sz w:val="1"/>
                <w:szCs w:val="1"/>
                <w:color w:val="auto"/>
              </w:rPr>
            </w:pPr>
          </w:p>
        </w:tc>
      </w:tr>
      <w:tr>
        <w:trPr>
          <w:trHeight w:val="474"/>
        </w:trPr>
        <w:tc>
          <w:tcPr>
            <w:tcW w:w="20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 2026</w:t>
            </w:r>
          </w:p>
        </w:tc>
        <w:tc>
          <w:tcPr>
            <w:tcW w:w="8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40" w:type="dxa"/>
            <w:vAlign w:val="bottom"/>
          </w:tcPr>
          <w:p>
            <w:pPr>
              <w:spacing w:after="0"/>
              <w:rPr>
                <w:sz w:val="21"/>
                <w:szCs w:val="21"/>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4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4,917</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4,828</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66.8 %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1.8 %</w:t>
            </w:r>
          </w:p>
        </w:tc>
        <w:tc>
          <w:tcPr>
            <w:tcW w:w="0" w:type="dxa"/>
            <w:vAlign w:val="bottom"/>
          </w:tcPr>
          <w:p>
            <w:pPr>
              <w:spacing w:after="0"/>
              <w:rPr>
                <w:sz w:val="1"/>
                <w:szCs w:val="1"/>
                <w:color w:val="auto"/>
              </w:rPr>
            </w:pPr>
          </w:p>
        </w:tc>
      </w:tr>
      <w:tr>
        <w:trPr>
          <w:trHeight w:val="215"/>
        </w:trPr>
        <w:tc>
          <w:tcPr>
            <w:tcW w:w="208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1,698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25.7 %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2,397</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33.2 %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(699)</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(29.2)%</w:t>
            </w:r>
          </w:p>
        </w:tc>
        <w:tc>
          <w:tcPr>
            <w:tcW w:w="0" w:type="dxa"/>
            <w:vAlign w:val="bottom"/>
          </w:tcPr>
          <w:p>
            <w:pPr>
              <w:spacing w:after="0"/>
              <w:rPr>
                <w:sz w:val="1"/>
                <w:szCs w:val="1"/>
                <w:color w:val="auto"/>
              </w:rPr>
            </w:pPr>
          </w:p>
        </w:tc>
      </w:tr>
      <w:tr>
        <w:trPr>
          <w:trHeight w:val="235"/>
        </w:trPr>
        <w:tc>
          <w:tcPr>
            <w:tcW w:w="2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20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80" w:type="dxa"/>
            <w:vAlign w:val="bottom"/>
          </w:tcPr>
          <w:p>
            <w:pPr>
              <w:spacing w:after="0"/>
              <w:rPr>
                <w:sz w:val="18"/>
                <w:szCs w:val="18"/>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 2026</w:t>
            </w:r>
          </w:p>
        </w:tc>
        <w:tc>
          <w:tcPr>
            <w:tcW w:w="80" w:type="dxa"/>
            <w:vAlign w:val="bottom"/>
          </w:tcPr>
          <w:p>
            <w:pPr>
              <w:spacing w:after="0"/>
              <w:rPr>
                <w:sz w:val="18"/>
                <w:szCs w:val="18"/>
                <w:color w:val="auto"/>
              </w:rPr>
            </w:pPr>
          </w:p>
        </w:tc>
        <w:tc>
          <w:tcPr>
            <w:tcW w:w="1520" w:type="dxa"/>
            <w:vAlign w:val="bottom"/>
            <w:gridSpan w:val="2"/>
          </w:tcPr>
          <w:p>
            <w:pPr>
              <w:jc w:val="center"/>
              <w:ind w:right="8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18"/>
                <w:szCs w:val="18"/>
                <w:color w:val="auto"/>
              </w:rPr>
            </w:pPr>
          </w:p>
        </w:tc>
        <w:tc>
          <w:tcPr>
            <w:tcW w:w="1520" w:type="dxa"/>
            <w:vAlign w:val="bottom"/>
            <w:gridSpan w:val="2"/>
          </w:tcPr>
          <w:p>
            <w:pPr>
              <w:jc w:val="center"/>
              <w:ind w:right="8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revenues</w:t>
            </w:r>
          </w:p>
        </w:tc>
        <w:tc>
          <w:tcPr>
            <w:tcW w:w="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555.8</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542.2</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2.5 %</w:t>
            </w:r>
          </w:p>
        </w:tc>
        <w:tc>
          <w:tcPr>
            <w:tcW w:w="0" w:type="dxa"/>
            <w:vAlign w:val="bottom"/>
          </w:tcPr>
          <w:p>
            <w:pPr>
              <w:spacing w:after="0"/>
              <w:rPr>
                <w:sz w:val="1"/>
                <w:szCs w:val="1"/>
                <w:color w:val="auto"/>
              </w:rPr>
            </w:pPr>
          </w:p>
        </w:tc>
      </w:tr>
      <w:tr>
        <w:trPr>
          <w:trHeight w:val="215"/>
        </w:trPr>
        <w:tc>
          <w:tcPr>
            <w:tcW w:w="2080" w:type="dxa"/>
            <w:vAlign w:val="bottom"/>
          </w:tcPr>
          <w:p>
            <w:pPr>
              <w:ind w:left="20"/>
              <w:spacing w:after="0"/>
              <w:rPr>
                <w:sz w:val="20"/>
                <w:szCs w:val="20"/>
                <w:color w:val="auto"/>
              </w:rPr>
            </w:pPr>
            <w:r>
              <w:rPr>
                <w:rFonts w:ascii="Arial" w:cs="Arial" w:eastAsia="Arial" w:hAnsi="Arial"/>
                <w:sz w:val="16"/>
                <w:szCs w:val="16"/>
                <w:color w:val="auto"/>
              </w:rPr>
              <w:t>Operating income</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22.2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21.6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4.0 %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3.0 %</w:t>
            </w:r>
          </w:p>
        </w:tc>
        <w:tc>
          <w:tcPr>
            <w:tcW w:w="0" w:type="dxa"/>
            <w:vAlign w:val="bottom"/>
          </w:tcPr>
          <w:p>
            <w:pPr>
              <w:spacing w:after="0"/>
              <w:rPr>
                <w:sz w:val="1"/>
                <w:szCs w:val="1"/>
                <w:color w:val="auto"/>
              </w:rPr>
            </w:pPr>
          </w:p>
        </w:tc>
      </w:tr>
      <w:tr>
        <w:trPr>
          <w:trHeight w:val="379"/>
        </w:trPr>
        <w:tc>
          <w:tcPr>
            <w:tcW w:w="208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20"/>
              <w:spacing w:after="0"/>
              <w:rPr>
                <w:sz w:val="20"/>
                <w:szCs w:val="20"/>
                <w:color w:val="auto"/>
              </w:rPr>
            </w:pPr>
            <w:r>
              <w:rPr>
                <w:rFonts w:ascii="Arial" w:cs="Arial" w:eastAsia="Arial" w:hAnsi="Arial"/>
                <w:sz w:val="16"/>
                <w:szCs w:val="16"/>
                <w:b w:val="1"/>
                <w:bCs w:val="1"/>
                <w:color w:val="auto"/>
              </w:rPr>
              <w:t>Unit deliveries</w:t>
            </w: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 2026</w:t>
            </w:r>
          </w:p>
        </w:tc>
        <w:tc>
          <w:tcPr>
            <w:tcW w:w="8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40" w:type="dxa"/>
            <w:vAlign w:val="bottom"/>
          </w:tcPr>
          <w:p>
            <w:pPr>
              <w:spacing w:after="0"/>
              <w:rPr>
                <w:sz w:val="21"/>
                <w:szCs w:val="21"/>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21"/>
                <w:szCs w:val="21"/>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4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20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Travel trailer</w:t>
            </w: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10,076</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71.8 %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9,465</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68.4 %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611</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6.5 %</w:t>
            </w:r>
          </w:p>
        </w:tc>
        <w:tc>
          <w:tcPr>
            <w:tcW w:w="0" w:type="dxa"/>
            <w:vAlign w:val="bottom"/>
          </w:tcPr>
          <w:p>
            <w:pPr>
              <w:spacing w:after="0"/>
              <w:rPr>
                <w:sz w:val="1"/>
                <w:szCs w:val="1"/>
                <w:color w:val="auto"/>
              </w:rPr>
            </w:pPr>
          </w:p>
        </w:tc>
      </w:tr>
      <w:tr>
        <w:trPr>
          <w:trHeight w:val="215"/>
        </w:trPr>
        <w:tc>
          <w:tcPr>
            <w:tcW w:w="2080" w:type="dxa"/>
            <w:vAlign w:val="bottom"/>
          </w:tcPr>
          <w:p>
            <w:pPr>
              <w:ind w:left="20"/>
              <w:spacing w:after="0"/>
              <w:rPr>
                <w:sz w:val="20"/>
                <w:szCs w:val="20"/>
                <w:color w:val="auto"/>
              </w:rPr>
            </w:pPr>
            <w:r>
              <w:rPr>
                <w:rFonts w:ascii="Arial" w:cs="Arial" w:eastAsia="Arial" w:hAnsi="Arial"/>
                <w:sz w:val="16"/>
                <w:szCs w:val="16"/>
                <w:color w:val="auto"/>
              </w:rPr>
              <w:t>Fifth wheel</w:t>
            </w:r>
          </w:p>
        </w:tc>
        <w:tc>
          <w:tcPr>
            <w:tcW w:w="5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3,960</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28.2 %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4,376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31.6 %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35"/>
        </w:trPr>
        <w:tc>
          <w:tcPr>
            <w:tcW w:w="2080" w:type="dxa"/>
            <w:vAlign w:val="bottom"/>
            <w:tcBorders>
              <w:top w:val="single" w:sz="8" w:color="CCEEFF"/>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Total Towable RV</w:t>
            </w:r>
          </w:p>
        </w:tc>
        <w:tc>
          <w:tcPr>
            <w:tcW w:w="500" w:type="dxa"/>
            <w:vAlign w:val="bottom"/>
            <w:tcBorders>
              <w:top w:val="single" w:sz="8" w:color="auto"/>
              <w:bottom w:val="single" w:sz="8" w:color="auto"/>
            </w:tcBorders>
            <w:shd w:val="clear" w:color="auto" w:fill="CCEEFF"/>
          </w:tcPr>
          <w:p>
            <w:pPr>
              <w:spacing w:after="0"/>
              <w:rPr>
                <w:sz w:val="20"/>
                <w:szCs w:val="20"/>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14,036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13,841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1.4 %</w:t>
            </w:r>
          </w:p>
        </w:tc>
        <w:tc>
          <w:tcPr>
            <w:tcW w:w="0" w:type="dxa"/>
            <w:vAlign w:val="bottom"/>
          </w:tcPr>
          <w:p>
            <w:pPr>
              <w:spacing w:after="0"/>
              <w:rPr>
                <w:sz w:val="1"/>
                <w:szCs w:val="1"/>
                <w:color w:val="auto"/>
              </w:rPr>
            </w:pPr>
          </w:p>
        </w:tc>
      </w:tr>
      <w:tr>
        <w:trPr>
          <w:trHeight w:val="20"/>
        </w:trPr>
        <w:tc>
          <w:tcPr>
            <w:tcW w:w="2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(3)</w:t>
            </w: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2080" w:type="dxa"/>
            <w:vAlign w:val="bottom"/>
            <w:vMerge w:val="continue"/>
          </w:tcPr>
          <w:p>
            <w:pPr>
              <w:spacing w:after="0"/>
              <w:rPr>
                <w:sz w:val="24"/>
                <w:szCs w:val="24"/>
                <w:color w:val="auto"/>
              </w:rPr>
            </w:pPr>
          </w:p>
        </w:tc>
        <w:tc>
          <w:tcPr>
            <w:tcW w:w="1460" w:type="dxa"/>
            <w:vAlign w:val="bottom"/>
            <w:gridSpan w:val="2"/>
          </w:tcPr>
          <w:p>
            <w:pPr>
              <w:ind w:left="40"/>
              <w:spacing w:after="0"/>
              <w:rPr>
                <w:sz w:val="20"/>
                <w:szCs w:val="20"/>
                <w:color w:val="auto"/>
              </w:rPr>
            </w:pPr>
            <w:r>
              <w:rPr>
                <w:rFonts w:ascii="Arial" w:cs="Arial" w:eastAsia="Arial" w:hAnsi="Arial"/>
                <w:sz w:val="16"/>
                <w:szCs w:val="16"/>
                <w:b w:val="1"/>
                <w:bCs w:val="1"/>
                <w:color w:val="auto"/>
              </w:rPr>
              <w:t>February 28, 2026</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2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Units</w:t>
            </w:r>
          </w:p>
        </w:tc>
        <w:tc>
          <w:tcPr>
            <w:tcW w:w="5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19,855</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17,406</w:t>
            </w:r>
          </w:p>
        </w:tc>
        <w:tc>
          <w:tcPr>
            <w:tcW w:w="8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2,449</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14.1 %</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72" w:hanging="272"/>
        <w:spacing w:after="0"/>
        <w:tabs>
          <w:tab w:leader="none" w:pos="272" w:val="left"/>
        </w:tabs>
        <w:numPr>
          <w:ilvl w:val="0"/>
          <w:numId w:val="8"/>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40" w:lineRule="exact"/>
        <w:rPr>
          <w:rFonts w:ascii="Arial" w:cs="Arial" w:eastAsia="Arial" w:hAnsi="Arial"/>
          <w:sz w:val="9"/>
          <w:szCs w:val="9"/>
          <w:color w:val="auto"/>
        </w:rPr>
      </w:pPr>
    </w:p>
    <w:p>
      <w:pPr>
        <w:ind w:left="272" w:hanging="272"/>
        <w:spacing w:after="0"/>
        <w:tabs>
          <w:tab w:leader="none" w:pos="272"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Percentages may not add due to rounding differences.</w:t>
      </w:r>
    </w:p>
    <w:p>
      <w:pPr>
        <w:spacing w:after="0" w:line="53" w:lineRule="exact"/>
        <w:rPr>
          <w:rFonts w:ascii="Arial" w:cs="Arial" w:eastAsia="Arial" w:hAnsi="Arial"/>
          <w:sz w:val="19"/>
          <w:szCs w:val="19"/>
          <w:color w:val="auto"/>
          <w:vertAlign w:val="superscript"/>
        </w:rPr>
      </w:pPr>
    </w:p>
    <w:p>
      <w:pPr>
        <w:ind w:left="292" w:hanging="292"/>
        <w:spacing w:after="0" w:line="183" w:lineRule="auto"/>
        <w:tabs>
          <w:tab w:leader="none" w:pos="292" w:val="left"/>
        </w:tabs>
        <w:numPr>
          <w:ilvl w:val="0"/>
          <w:numId w:val="8"/>
        </w:numPr>
        <w:rPr>
          <w:rFonts w:ascii="Arial" w:cs="Arial" w:eastAsia="Arial" w:hAnsi="Arial"/>
          <w:sz w:val="20"/>
          <w:szCs w:val="20"/>
          <w:color w:val="auto"/>
          <w:vertAlign w:val="superscript"/>
        </w:rPr>
      </w:pPr>
      <w:r>
        <w:rPr>
          <w:rFonts w:ascii="Arial" w:cs="Arial" w:eastAsia="Arial" w:hAnsi="Arial"/>
          <w:sz w:val="14"/>
          <w:szCs w:val="14"/>
          <w:color w:val="auto"/>
        </w:rPr>
        <w:t>Data is based on the latest information available from our dealer partners and is subject to timing of reporting and other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51"/>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072"/>
          </w:cols>
          <w:pgMar w:left="328" w:top="854" w:right="499" w:bottom="1440" w:gutter="0" w:footer="0" w:header="0"/>
        </w:sectPr>
      </w:pPr>
    </w:p>
    <w:bookmarkStart w:id="12" w:name="page13"/>
    <w:bookmarkEnd w:id="12"/>
    <w:p>
      <w:pPr>
        <w:jc w:val="center"/>
        <w:ind w:right="-171"/>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Supplemental Information by Reportable Segment - Motorhome RV</w:t>
      </w:r>
    </w:p>
    <w:p>
      <w:pPr>
        <w:spacing w:after="0" w:line="19"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92" w:type="dxa"/>
        <w:tblCellMar>
          <w:top w:w="0" w:type="dxa"/>
          <w:left w:w="0" w:type="dxa"/>
          <w:bottom w:w="0" w:type="dxa"/>
          <w:right w:w="0" w:type="dxa"/>
        </w:tblCellMar>
      </w:tblPr>
      <w:tr>
        <w:trPr>
          <w:trHeight w:val="217"/>
        </w:trPr>
        <w:tc>
          <w:tcPr>
            <w:tcW w:w="20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 2026</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235.6</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69.0</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29.3 %</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Operating income (loss)</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7.5</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2.4 %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(0.6)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(0.3)%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8.0</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474"/>
        </w:trPr>
        <w:tc>
          <w:tcPr>
            <w:tcW w:w="20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16"/>
                <w:szCs w:val="16"/>
                <w:b w:val="1"/>
                <w:bCs w:val="1"/>
                <w:color w:val="auto"/>
              </w:rPr>
              <w:t>Unit deliveries</w:t>
            </w: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 2026</w:t>
            </w:r>
          </w:p>
        </w:tc>
        <w:tc>
          <w:tcPr>
            <w:tcW w:w="10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40" w:type="dxa"/>
            <w:vAlign w:val="bottom"/>
          </w:tcPr>
          <w:p>
            <w:pPr>
              <w:spacing w:after="0"/>
              <w:rPr>
                <w:sz w:val="21"/>
                <w:szCs w:val="21"/>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4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13.6 %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24.3 %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Class B</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642</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42.3 %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283</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24.7 %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359</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126.9 %</w:t>
            </w:r>
          </w:p>
        </w:tc>
        <w:tc>
          <w:tcPr>
            <w:tcW w:w="0" w:type="dxa"/>
            <w:vAlign w:val="bottom"/>
          </w:tcPr>
          <w:p>
            <w:pPr>
              <w:spacing w:after="0"/>
              <w:rPr>
                <w:sz w:val="1"/>
                <w:szCs w:val="1"/>
                <w:color w:val="auto"/>
              </w:rPr>
            </w:pPr>
          </w:p>
        </w:tc>
      </w:tr>
      <w:tr>
        <w:trPr>
          <w:trHeight w:val="217"/>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670</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44.1 %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51.0 %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14.9 %</w:t>
            </w:r>
          </w:p>
        </w:tc>
        <w:tc>
          <w:tcPr>
            <w:tcW w:w="0" w:type="dxa"/>
            <w:vAlign w:val="bottom"/>
          </w:tcPr>
          <w:p>
            <w:pPr>
              <w:spacing w:after="0"/>
              <w:rPr>
                <w:sz w:val="1"/>
                <w:szCs w:val="1"/>
                <w:color w:val="auto"/>
              </w:rPr>
            </w:pPr>
          </w:p>
        </w:tc>
      </w:tr>
      <w:tr>
        <w:trPr>
          <w:trHeight w:val="210"/>
        </w:trPr>
        <w:tc>
          <w:tcPr>
            <w:tcW w:w="2040" w:type="dxa"/>
            <w:vAlign w:val="bottom"/>
          </w:tcPr>
          <w:p>
            <w:pPr>
              <w:ind w:left="120"/>
              <w:spacing w:after="0"/>
              <w:rPr>
                <w:sz w:val="20"/>
                <w:szCs w:val="20"/>
                <w:color w:val="auto"/>
              </w:rPr>
            </w:pPr>
            <w:r>
              <w:rPr>
                <w:rFonts w:ascii="Arial" w:cs="Arial" w:eastAsia="Arial" w:hAnsi="Arial"/>
                <w:sz w:val="16"/>
                <w:szCs w:val="16"/>
                <w:color w:val="auto"/>
              </w:rPr>
              <w:t>Total Motorhome RV</w:t>
            </w:r>
          </w:p>
        </w:tc>
        <w:tc>
          <w:tcPr>
            <w:tcW w:w="5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1,518</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1,144</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374</w:t>
            </w:r>
          </w:p>
        </w:tc>
        <w:tc>
          <w:tcPr>
            <w:tcW w:w="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32.7 %</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9"/>
        </w:trPr>
        <w:tc>
          <w:tcPr>
            <w:tcW w:w="20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 2026</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18"/>
                <w:szCs w:val="18"/>
                <w:color w:val="auto"/>
              </w:rPr>
            </w:pPr>
          </w:p>
        </w:tc>
        <w:tc>
          <w:tcPr>
            <w:tcW w:w="1500" w:type="dxa"/>
            <w:vAlign w:val="bottom"/>
            <w:gridSpan w:val="2"/>
          </w:tcPr>
          <w:p>
            <w:pPr>
              <w:jc w:val="center"/>
              <w:ind w:right="100"/>
              <w:spacing w:after="0" w:line="210" w:lineRule="exact"/>
              <w:rPr>
                <w:sz w:val="20"/>
                <w:szCs w:val="20"/>
                <w:color w:val="auto"/>
              </w:rPr>
            </w:pPr>
            <w:r>
              <w:rPr>
                <w:rFonts w:ascii="Arial" w:cs="Arial" w:eastAsia="Arial" w:hAnsi="Arial"/>
                <w:sz w:val="16"/>
                <w:szCs w:val="16"/>
                <w:b w:val="1"/>
                <w:bCs w:val="1"/>
                <w:color w:val="auto"/>
                <w:w w:val="97"/>
              </w:rPr>
              <w:t>% of Revenues</w:t>
            </w:r>
            <w:r>
              <w:rPr>
                <w:rFonts w:ascii="Arial" w:cs="Arial" w:eastAsia="Arial" w:hAnsi="Arial"/>
                <w:sz w:val="21"/>
                <w:szCs w:val="21"/>
                <w:b w:val="1"/>
                <w:bCs w:val="1"/>
                <w:color w:val="auto"/>
                <w:w w:val="97"/>
                <w:vertAlign w:val="superscript"/>
              </w:rPr>
              <w:t>(1)</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c>
          <w:tcPr>
            <w:tcW w:w="0" w:type="dxa"/>
            <w:vAlign w:val="bottom"/>
          </w:tcPr>
          <w:p>
            <w:pPr>
              <w:spacing w:after="0"/>
              <w:rPr>
                <w:sz w:val="1"/>
                <w:szCs w:val="1"/>
                <w:color w:val="auto"/>
              </w:rPr>
            </w:pP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613.2</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507.3</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105.8</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20.9 %</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Operating income (loss)</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15.7</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2.6 %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(3.8)</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(0.8)%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19.5</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NM</w:t>
            </w:r>
          </w:p>
        </w:tc>
        <w:tc>
          <w:tcPr>
            <w:tcW w:w="0" w:type="dxa"/>
            <w:vAlign w:val="bottom"/>
          </w:tcPr>
          <w:p>
            <w:pPr>
              <w:spacing w:after="0"/>
              <w:rPr>
                <w:sz w:val="1"/>
                <w:szCs w:val="1"/>
                <w:color w:val="auto"/>
              </w:rPr>
            </w:pPr>
          </w:p>
        </w:tc>
      </w:tr>
      <w:tr>
        <w:trPr>
          <w:trHeight w:val="379"/>
        </w:trPr>
        <w:tc>
          <w:tcPr>
            <w:tcW w:w="20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40" w:type="dxa"/>
            <w:vAlign w:val="bottom"/>
          </w:tcPr>
          <w:p>
            <w:pPr>
              <w:spacing w:after="0"/>
              <w:rPr>
                <w:sz w:val="20"/>
                <w:szCs w:val="20"/>
                <w:color w:val="auto"/>
              </w:rPr>
            </w:pPr>
            <w:r>
              <w:rPr>
                <w:rFonts w:ascii="Arial" w:cs="Arial" w:eastAsia="Arial" w:hAnsi="Arial"/>
                <w:sz w:val="16"/>
                <w:szCs w:val="16"/>
                <w:b w:val="1"/>
                <w:bCs w:val="1"/>
                <w:color w:val="auto"/>
              </w:rPr>
              <w:t>Unit deliveries</w:t>
            </w: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 2026</w:t>
            </w:r>
          </w:p>
        </w:tc>
        <w:tc>
          <w:tcPr>
            <w:tcW w:w="10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40" w:type="dxa"/>
            <w:vAlign w:val="bottom"/>
          </w:tcPr>
          <w:p>
            <w:pPr>
              <w:spacing w:after="0"/>
              <w:rPr>
                <w:sz w:val="21"/>
                <w:szCs w:val="21"/>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21"/>
                <w:szCs w:val="21"/>
                <w:color w:val="auto"/>
              </w:rPr>
            </w:pPr>
          </w:p>
        </w:tc>
        <w:tc>
          <w:tcPr>
            <w:tcW w:w="15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7"/>
              </w:rPr>
              <w:t>Product Mix</w:t>
            </w:r>
            <w:r>
              <w:rPr>
                <w:rFonts w:ascii="Arial" w:cs="Arial" w:eastAsia="Arial" w:hAnsi="Arial"/>
                <w:sz w:val="21"/>
                <w:szCs w:val="21"/>
                <w:b w:val="1"/>
                <w:bCs w:val="1"/>
                <w:color w:val="auto"/>
                <w:w w:val="97"/>
                <w:vertAlign w:val="superscript"/>
              </w:rPr>
              <w:t>(2)</w:t>
            </w:r>
          </w:p>
        </w:tc>
        <w:tc>
          <w:tcPr>
            <w:tcW w:w="14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Class A</w:t>
            </w: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486</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17.2 %</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20.3 %</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Class B</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899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31.9 %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752</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29.3 %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147</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19.5 %</w:t>
            </w:r>
          </w:p>
        </w:tc>
        <w:tc>
          <w:tcPr>
            <w:tcW w:w="0" w:type="dxa"/>
            <w:vAlign w:val="bottom"/>
          </w:tcPr>
          <w:p>
            <w:pPr>
              <w:spacing w:after="0"/>
              <w:rPr>
                <w:sz w:val="1"/>
                <w:szCs w:val="1"/>
                <w:color w:val="auto"/>
              </w:rPr>
            </w:pPr>
          </w:p>
        </w:tc>
      </w:tr>
      <w:tr>
        <w:trPr>
          <w:trHeight w:val="217"/>
        </w:trPr>
        <w:tc>
          <w:tcPr>
            <w:tcW w:w="2040" w:type="dxa"/>
            <w:vAlign w:val="bottom"/>
            <w:shd w:val="clear" w:color="auto" w:fill="CCEEFF"/>
          </w:tcPr>
          <w:p>
            <w:pPr>
              <w:spacing w:after="0"/>
              <w:rPr>
                <w:sz w:val="20"/>
                <w:szCs w:val="20"/>
                <w:color w:val="auto"/>
              </w:rPr>
            </w:pPr>
            <w:r>
              <w:rPr>
                <w:rFonts w:ascii="Arial" w:cs="Arial" w:eastAsia="Arial" w:hAnsi="Arial"/>
                <w:sz w:val="16"/>
                <w:szCs w:val="16"/>
                <w:color w:val="auto"/>
              </w:rPr>
              <w:t>Class C</w:t>
            </w:r>
          </w:p>
        </w:tc>
        <w:tc>
          <w:tcPr>
            <w:tcW w:w="5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1,437</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50.9 %</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1,294</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50.4 %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11.1 %</w:t>
            </w:r>
          </w:p>
        </w:tc>
        <w:tc>
          <w:tcPr>
            <w:tcW w:w="0" w:type="dxa"/>
            <w:vAlign w:val="bottom"/>
          </w:tcPr>
          <w:p>
            <w:pPr>
              <w:spacing w:after="0"/>
              <w:rPr>
                <w:sz w:val="1"/>
                <w:szCs w:val="1"/>
                <w:color w:val="auto"/>
              </w:rPr>
            </w:pPr>
          </w:p>
        </w:tc>
      </w:tr>
      <w:tr>
        <w:trPr>
          <w:trHeight w:val="210"/>
        </w:trPr>
        <w:tc>
          <w:tcPr>
            <w:tcW w:w="2040" w:type="dxa"/>
            <w:vAlign w:val="bottom"/>
          </w:tcPr>
          <w:p>
            <w:pPr>
              <w:ind w:left="120"/>
              <w:spacing w:after="0"/>
              <w:rPr>
                <w:sz w:val="20"/>
                <w:szCs w:val="20"/>
                <w:color w:val="auto"/>
              </w:rPr>
            </w:pPr>
            <w:r>
              <w:rPr>
                <w:rFonts w:ascii="Arial" w:cs="Arial" w:eastAsia="Arial" w:hAnsi="Arial"/>
                <w:sz w:val="16"/>
                <w:szCs w:val="16"/>
                <w:color w:val="auto"/>
              </w:rPr>
              <w:t>Total Motorhome RV</w:t>
            </w:r>
          </w:p>
        </w:tc>
        <w:tc>
          <w:tcPr>
            <w:tcW w:w="5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2,822</w:t>
            </w:r>
          </w:p>
        </w:tc>
        <w:tc>
          <w:tcPr>
            <w:tcW w:w="100" w:type="dxa"/>
            <w:vAlign w:val="bottom"/>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2,566</w:t>
            </w:r>
          </w:p>
        </w:tc>
        <w:tc>
          <w:tcPr>
            <w:tcW w:w="100" w:type="dxa"/>
            <w:vAlign w:val="bottom"/>
          </w:tcPr>
          <w:p>
            <w:pPr>
              <w:spacing w:after="0"/>
              <w:rPr>
                <w:sz w:val="18"/>
                <w:szCs w:val="18"/>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256</w:t>
            </w:r>
          </w:p>
        </w:tc>
        <w:tc>
          <w:tcPr>
            <w:tcW w:w="80" w:type="dxa"/>
            <w:vAlign w:val="bottom"/>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10.0 %</w:t>
            </w:r>
          </w:p>
        </w:tc>
        <w:tc>
          <w:tcPr>
            <w:tcW w:w="0" w:type="dxa"/>
            <w:vAlign w:val="bottom"/>
          </w:tcPr>
          <w:p>
            <w:pPr>
              <w:spacing w:after="0"/>
              <w:rPr>
                <w:sz w:val="1"/>
                <w:szCs w:val="1"/>
                <w:color w:val="auto"/>
              </w:rPr>
            </w:pPr>
          </w:p>
        </w:tc>
      </w:tr>
      <w:tr>
        <w:trPr>
          <w:trHeight w:val="20"/>
        </w:trPr>
        <w:tc>
          <w:tcPr>
            <w:tcW w:w="2040" w:type="dxa"/>
            <w:vAlign w:val="bottom"/>
            <w:vMerge w:val="restart"/>
          </w:tcPr>
          <w:p>
            <w:pPr>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(3)</w:t>
            </w: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9"/>
        </w:trPr>
        <w:tc>
          <w:tcPr>
            <w:tcW w:w="2040" w:type="dxa"/>
            <w:vAlign w:val="bottom"/>
            <w:vMerge w:val="continue"/>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 2026</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09"/>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Units</w:t>
            </w: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3,581</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3,784</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0" w:type="dxa"/>
            <w:vAlign w:val="bottom"/>
          </w:tcPr>
          <w:p>
            <w:pPr>
              <w:spacing w:after="0"/>
              <w:rPr>
                <w:sz w:val="1"/>
                <w:szCs w:val="1"/>
                <w:color w:val="auto"/>
              </w:rPr>
            </w:pPr>
          </w:p>
        </w:tc>
      </w:tr>
    </w:tbl>
    <w:p>
      <w:pPr>
        <w:spacing w:after="0" w:line="126" w:lineRule="exact"/>
        <w:rPr>
          <w:sz w:val="20"/>
          <w:szCs w:val="20"/>
          <w:color w:val="auto"/>
        </w:rPr>
      </w:pPr>
    </w:p>
    <w:p>
      <w:pPr>
        <w:ind w:left="272" w:hanging="272"/>
        <w:spacing w:after="0"/>
        <w:tabs>
          <w:tab w:leader="none" w:pos="272" w:val="left"/>
        </w:tabs>
        <w:numPr>
          <w:ilvl w:val="0"/>
          <w:numId w:val="9"/>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40" w:lineRule="exact"/>
        <w:rPr>
          <w:rFonts w:ascii="Arial" w:cs="Arial" w:eastAsia="Arial" w:hAnsi="Arial"/>
          <w:sz w:val="9"/>
          <w:szCs w:val="9"/>
          <w:color w:val="auto"/>
        </w:rPr>
      </w:pPr>
    </w:p>
    <w:p>
      <w:pPr>
        <w:ind w:left="272" w:hanging="272"/>
        <w:spacing w:after="0"/>
        <w:tabs>
          <w:tab w:leader="none" w:pos="272"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Percentages may not add due to rounding differences.</w:t>
      </w:r>
    </w:p>
    <w:p>
      <w:pPr>
        <w:spacing w:after="0" w:line="53" w:lineRule="exact"/>
        <w:rPr>
          <w:rFonts w:ascii="Arial" w:cs="Arial" w:eastAsia="Arial" w:hAnsi="Arial"/>
          <w:sz w:val="19"/>
          <w:szCs w:val="19"/>
          <w:color w:val="auto"/>
          <w:vertAlign w:val="superscript"/>
        </w:rPr>
      </w:pPr>
    </w:p>
    <w:p>
      <w:pPr>
        <w:ind w:left="-8" w:right="2480" w:firstLine="8"/>
        <w:spacing w:after="0" w:line="233" w:lineRule="auto"/>
        <w:tabs>
          <w:tab w:leader="none" w:pos="280" w:val="left"/>
        </w:tabs>
        <w:numPr>
          <w:ilvl w:val="0"/>
          <w:numId w:val="9"/>
        </w:numPr>
        <w:rPr>
          <w:rFonts w:ascii="Arial" w:cs="Arial" w:eastAsia="Arial" w:hAnsi="Arial"/>
          <w:sz w:val="21"/>
          <w:szCs w:val="21"/>
          <w:color w:val="auto"/>
          <w:vertAlign w:val="superscript"/>
        </w:rPr>
      </w:pPr>
      <w:r>
        <w:rPr>
          <w:rFonts w:ascii="Arial" w:cs="Arial" w:eastAsia="Arial" w:hAnsi="Arial"/>
          <w:sz w:val="14"/>
          <w:szCs w:val="14"/>
          <w:color w:val="auto"/>
        </w:rPr>
        <w:t xml:space="preserve">Data is based on the latest information available from our dealer partners and is subject to timing of reporting and other limitations. </w:t>
      </w:r>
      <w:r>
        <w:rPr>
          <w:rFonts w:ascii="Arial" w:cs="Arial" w:eastAsia="Arial" w:hAnsi="Arial"/>
          <w:sz w:val="21"/>
          <w:szCs w:val="21"/>
          <w:color w:val="auto"/>
          <w:vertAlign w:val="superscript"/>
        </w:rPr>
        <w:t>NM:</w:t>
      </w:r>
      <w:r>
        <w:rPr>
          <w:rFonts w:ascii="Arial" w:cs="Arial" w:eastAsia="Arial" w:hAnsi="Arial"/>
          <w:sz w:val="14"/>
          <w:szCs w:val="14"/>
          <w:color w:val="auto"/>
        </w:rPr>
        <w:t xml:space="preserve"> Not meaningful.</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71"/>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052"/>
          </w:cols>
          <w:pgMar w:left="328" w:top="1151" w:right="519" w:bottom="1440" w:gutter="0" w:footer="0" w:header="0"/>
        </w:sectPr>
      </w:pPr>
    </w:p>
    <w:bookmarkStart w:id="13" w:name="page14"/>
    <w:bookmarkEnd w:id="13"/>
    <w:p>
      <w:pPr>
        <w:ind w:left="4472"/>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ind w:left="3352"/>
        <w:spacing w:after="0"/>
        <w:rPr>
          <w:sz w:val="20"/>
          <w:szCs w:val="20"/>
          <w:color w:val="auto"/>
        </w:rPr>
      </w:pPr>
      <w:r>
        <w:rPr>
          <w:rFonts w:ascii="Arial" w:cs="Arial" w:eastAsia="Arial" w:hAnsi="Arial"/>
          <w:sz w:val="16"/>
          <w:szCs w:val="16"/>
          <w:b w:val="1"/>
          <w:bCs w:val="1"/>
          <w:color w:val="auto"/>
        </w:rPr>
        <w:t>Supplemental Information by Reportable Segment - Marine</w:t>
      </w:r>
    </w:p>
    <w:p>
      <w:pPr>
        <w:spacing w:after="0" w:line="19"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(in millions, except unit data)</w:t>
      </w:r>
    </w:p>
    <w:p>
      <w:pPr>
        <w:spacing w:after="0" w:line="5" w:lineRule="exact"/>
        <w:rPr>
          <w:sz w:val="20"/>
          <w:szCs w:val="20"/>
          <w:color w:val="auto"/>
        </w:rPr>
      </w:pPr>
    </w:p>
    <w:p>
      <w:pPr>
        <w:jc w:val="center"/>
        <w:ind w:right="-171"/>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43" w:lineRule="exact"/>
        <w:rPr>
          <w:sz w:val="20"/>
          <w:szCs w:val="20"/>
          <w:color w:val="auto"/>
        </w:rPr>
      </w:pPr>
    </w:p>
    <w:tbl>
      <w:tblPr>
        <w:tblLayout w:type="fixed"/>
        <w:tblInd w:w="192" w:type="dxa"/>
        <w:tblCellMar>
          <w:top w:w="0" w:type="dxa"/>
          <w:left w:w="0" w:type="dxa"/>
          <w:bottom w:w="0" w:type="dxa"/>
          <w:right w:w="0" w:type="dxa"/>
        </w:tblCellMar>
      </w:tblPr>
      <w:tr>
        <w:trPr>
          <w:trHeight w:val="217"/>
        </w:trPr>
        <w:tc>
          <w:tcPr>
            <w:tcW w:w="204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r>
      <w:tr>
        <w:trPr>
          <w:trHeight w:val="209"/>
        </w:trPr>
        <w:tc>
          <w:tcPr>
            <w:tcW w:w="20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 2026</w:t>
            </w:r>
          </w:p>
        </w:tc>
        <w:tc>
          <w:tcPr>
            <w:tcW w:w="100" w:type="dxa"/>
            <w:vAlign w:val="bottom"/>
          </w:tcPr>
          <w:p>
            <w:pPr>
              <w:spacing w:after="0"/>
              <w:rPr>
                <w:sz w:val="18"/>
                <w:szCs w:val="18"/>
                <w:color w:val="auto"/>
              </w:rPr>
            </w:pPr>
          </w:p>
        </w:tc>
        <w:tc>
          <w:tcPr>
            <w:tcW w:w="1640" w:type="dxa"/>
            <w:vAlign w:val="bottom"/>
            <w:gridSpan w:val="3"/>
          </w:tcPr>
          <w:p>
            <w:pPr>
              <w:jc w:val="right"/>
              <w:ind w:right="219"/>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18"/>
                <w:szCs w:val="18"/>
                <w:color w:val="auto"/>
              </w:rPr>
            </w:pPr>
          </w:p>
        </w:tc>
        <w:tc>
          <w:tcPr>
            <w:tcW w:w="1500" w:type="dxa"/>
            <w:vAlign w:val="bottom"/>
            <w:gridSpan w:val="2"/>
          </w:tcPr>
          <w:p>
            <w:pPr>
              <w:ind w:left="6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79.2</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Operating income</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2.9</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3.7 %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5.4</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(46.2)%</w:t>
            </w:r>
          </w:p>
        </w:tc>
      </w:tr>
      <w:tr>
        <w:trPr>
          <w:trHeight w:val="474"/>
        </w:trPr>
        <w:tc>
          <w:tcPr>
            <w:tcW w:w="20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2040" w:type="dxa"/>
            <w:vAlign w:val="bottom"/>
          </w:tcPr>
          <w:p>
            <w:pPr>
              <w:spacing w:after="0"/>
              <w:rPr>
                <w:sz w:val="20"/>
                <w:szCs w:val="20"/>
                <w:color w:val="auto"/>
              </w:rPr>
            </w:pPr>
            <w:r>
              <w:rPr>
                <w:rFonts w:ascii="Arial" w:cs="Arial" w:eastAsia="Arial" w:hAnsi="Arial"/>
                <w:sz w:val="16"/>
                <w:szCs w:val="16"/>
                <w:b w:val="1"/>
                <w:bCs w:val="1"/>
                <w:color w:val="auto"/>
              </w:rPr>
              <w:t>Unit deliveries</w:t>
            </w: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 2026</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10"/>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Boats</w:t>
            </w: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992</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1,046</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r>
      <w:tr>
        <w:trPr>
          <w:trHeight w:val="473"/>
        </w:trPr>
        <w:tc>
          <w:tcPr>
            <w:tcW w:w="20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09"/>
        </w:trPr>
        <w:tc>
          <w:tcPr>
            <w:tcW w:w="2040" w:type="dxa"/>
            <w:vAlign w:val="bottom"/>
          </w:tcPr>
          <w:p>
            <w:pPr>
              <w:spacing w:after="0"/>
              <w:rPr>
                <w:sz w:val="18"/>
                <w:szCs w:val="18"/>
                <w:color w:val="auto"/>
              </w:rPr>
            </w:pP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 2026</w:t>
            </w:r>
          </w:p>
        </w:tc>
        <w:tc>
          <w:tcPr>
            <w:tcW w:w="100" w:type="dxa"/>
            <w:vAlign w:val="bottom"/>
          </w:tcPr>
          <w:p>
            <w:pPr>
              <w:spacing w:after="0"/>
              <w:rPr>
                <w:sz w:val="18"/>
                <w:szCs w:val="18"/>
                <w:color w:val="auto"/>
              </w:rPr>
            </w:pPr>
          </w:p>
        </w:tc>
        <w:tc>
          <w:tcPr>
            <w:tcW w:w="1640" w:type="dxa"/>
            <w:vAlign w:val="bottom"/>
            <w:gridSpan w:val="3"/>
          </w:tcPr>
          <w:p>
            <w:pPr>
              <w:jc w:val="right"/>
              <w:ind w:right="219"/>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18"/>
                <w:szCs w:val="18"/>
                <w:color w:val="auto"/>
              </w:rPr>
            </w:pPr>
          </w:p>
        </w:tc>
        <w:tc>
          <w:tcPr>
            <w:tcW w:w="1500" w:type="dxa"/>
            <w:vAlign w:val="bottom"/>
            <w:gridSpan w:val="2"/>
          </w:tcPr>
          <w:p>
            <w:pPr>
              <w:ind w:left="60"/>
              <w:spacing w:after="0" w:line="210" w:lineRule="exact"/>
              <w:rPr>
                <w:sz w:val="20"/>
                <w:szCs w:val="20"/>
                <w:color w:val="auto"/>
              </w:rPr>
            </w:pPr>
            <w:r>
              <w:rPr>
                <w:rFonts w:ascii="Arial" w:cs="Arial" w:eastAsia="Arial" w:hAnsi="Arial"/>
                <w:sz w:val="16"/>
                <w:szCs w:val="16"/>
                <w:b w:val="1"/>
                <w:bCs w:val="1"/>
                <w:color w:val="auto"/>
              </w:rPr>
              <w:t>% of Revenues</w:t>
            </w:r>
            <w:r>
              <w:rPr>
                <w:rFonts w:ascii="Arial" w:cs="Arial" w:eastAsia="Arial" w:hAnsi="Arial"/>
                <w:sz w:val="21"/>
                <w:szCs w:val="21"/>
                <w:b w:val="1"/>
                <w:bCs w:val="1"/>
                <w:color w:val="auto"/>
                <w:vertAlign w:val="superscript"/>
              </w:rPr>
              <w:t>(1)</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line="210" w:lineRule="exact"/>
              <w:rPr>
                <w:sz w:val="20"/>
                <w:szCs w:val="20"/>
                <w:color w:val="auto"/>
              </w:rPr>
            </w:pPr>
            <w:r>
              <w:rPr>
                <w:rFonts w:ascii="Arial" w:cs="Arial" w:eastAsia="Arial" w:hAnsi="Arial"/>
                <w:sz w:val="16"/>
                <w:szCs w:val="16"/>
                <w:b w:val="1"/>
                <w:bCs w:val="1"/>
                <w:color w:val="auto"/>
                <w:w w:val="96"/>
              </w:rPr>
              <w:t>$ Change</w:t>
            </w:r>
            <w:r>
              <w:rPr>
                <w:rFonts w:ascii="Arial" w:cs="Arial" w:eastAsia="Arial" w:hAnsi="Arial"/>
                <w:sz w:val="21"/>
                <w:szCs w:val="21"/>
                <w:b w:val="1"/>
                <w:bCs w:val="1"/>
                <w:color w:val="auto"/>
                <w:w w:val="96"/>
                <w:vertAlign w:val="superscript"/>
              </w:rPr>
              <w:t>(1)</w:t>
            </w:r>
          </w:p>
        </w:tc>
        <w:tc>
          <w:tcPr>
            <w:tcW w:w="1380" w:type="dxa"/>
            <w:vAlign w:val="bottom"/>
          </w:tcPr>
          <w:p>
            <w:pPr>
              <w:jc w:val="center"/>
              <w:spacing w:after="0" w:line="210" w:lineRule="exact"/>
              <w:rPr>
                <w:sz w:val="20"/>
                <w:szCs w:val="20"/>
                <w:color w:val="auto"/>
              </w:rPr>
            </w:pPr>
            <w:r>
              <w:rPr>
                <w:rFonts w:ascii="Arial" w:cs="Arial" w:eastAsia="Arial" w:hAnsi="Arial"/>
                <w:sz w:val="16"/>
                <w:szCs w:val="16"/>
                <w:b w:val="1"/>
                <w:bCs w:val="1"/>
                <w:color w:val="auto"/>
                <w:w w:val="95"/>
              </w:rPr>
              <w:t>% Change</w:t>
            </w:r>
            <w:r>
              <w:rPr>
                <w:rFonts w:ascii="Arial" w:cs="Arial" w:eastAsia="Arial" w:hAnsi="Arial"/>
                <w:sz w:val="21"/>
                <w:szCs w:val="21"/>
                <w:b w:val="1"/>
                <w:bCs w:val="1"/>
                <w:color w:val="auto"/>
                <w:w w:val="95"/>
                <w:vertAlign w:val="superscript"/>
              </w:rPr>
              <w:t>(1)</w:t>
            </w: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Net revenues</w:t>
            </w:r>
          </w:p>
        </w:tc>
        <w:tc>
          <w:tcPr>
            <w:tcW w:w="5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172.2</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r>
      <w:tr>
        <w:trPr>
          <w:trHeight w:val="215"/>
        </w:trPr>
        <w:tc>
          <w:tcPr>
            <w:tcW w:w="2040" w:type="dxa"/>
            <w:vAlign w:val="bottom"/>
          </w:tcPr>
          <w:p>
            <w:pPr>
              <w:spacing w:after="0"/>
              <w:rPr>
                <w:sz w:val="20"/>
                <w:szCs w:val="20"/>
                <w:color w:val="auto"/>
              </w:rPr>
            </w:pPr>
            <w:r>
              <w:rPr>
                <w:rFonts w:ascii="Arial" w:cs="Arial" w:eastAsia="Arial" w:hAnsi="Arial"/>
                <w:sz w:val="16"/>
                <w:szCs w:val="16"/>
                <w:color w:val="auto"/>
              </w:rPr>
              <w:t>Operating income</w:t>
            </w:r>
          </w:p>
        </w:tc>
        <w:tc>
          <w:tcPr>
            <w:tcW w:w="5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9.0</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5.3 %</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11.6</w:t>
            </w:r>
          </w:p>
        </w:tc>
        <w:tc>
          <w:tcPr>
            <w:tcW w:w="1500" w:type="dxa"/>
            <w:vAlign w:val="bottom"/>
            <w:gridSpan w:val="2"/>
          </w:tcPr>
          <w:p>
            <w:pPr>
              <w:jc w:val="right"/>
              <w:spacing w:after="0"/>
              <w:rPr>
                <w:sz w:val="20"/>
                <w:szCs w:val="20"/>
                <w:color w:val="auto"/>
              </w:rPr>
            </w:pPr>
            <w:r>
              <w:rPr>
                <w:rFonts w:ascii="Arial" w:cs="Arial" w:eastAsia="Arial" w:hAnsi="Arial"/>
                <w:sz w:val="16"/>
                <w:szCs w:val="16"/>
                <w:color w:val="auto"/>
              </w:rPr>
              <w:t>6.7 %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w:t>
            </w:r>
          </w:p>
        </w:tc>
        <w:tc>
          <w:tcPr>
            <w:tcW w:w="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(21.9)%</w:t>
            </w:r>
          </w:p>
        </w:tc>
      </w:tr>
      <w:tr>
        <w:trPr>
          <w:trHeight w:val="379"/>
        </w:trPr>
        <w:tc>
          <w:tcPr>
            <w:tcW w:w="2040" w:type="dxa"/>
            <w:vAlign w:val="bottom"/>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center"/>
              <w:ind w:right="460"/>
              <w:spacing w:after="0"/>
              <w:rPr>
                <w:sz w:val="20"/>
                <w:szCs w:val="20"/>
                <w:color w:val="auto"/>
              </w:rPr>
            </w:pPr>
            <w:r>
              <w:rPr>
                <w:rFonts w:ascii="Arial" w:cs="Arial" w:eastAsia="Arial" w:hAnsi="Arial"/>
                <w:sz w:val="16"/>
                <w:szCs w:val="16"/>
                <w:b w:val="1"/>
                <w:bCs w:val="1"/>
                <w:color w:val="auto"/>
              </w:rPr>
              <w:t>Six Months Ended</w:t>
            </w:r>
          </w:p>
        </w:tc>
        <w:tc>
          <w:tcPr>
            <w:tcW w:w="1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r>
      <w:tr>
        <w:trPr>
          <w:trHeight w:val="210"/>
        </w:trPr>
        <w:tc>
          <w:tcPr>
            <w:tcW w:w="2040" w:type="dxa"/>
            <w:vAlign w:val="bottom"/>
          </w:tcPr>
          <w:p>
            <w:pPr>
              <w:spacing w:after="0"/>
              <w:rPr>
                <w:sz w:val="20"/>
                <w:szCs w:val="20"/>
                <w:color w:val="auto"/>
              </w:rPr>
            </w:pPr>
            <w:r>
              <w:rPr>
                <w:rFonts w:ascii="Arial" w:cs="Arial" w:eastAsia="Arial" w:hAnsi="Arial"/>
                <w:sz w:val="16"/>
                <w:szCs w:val="16"/>
                <w:b w:val="1"/>
                <w:bCs w:val="1"/>
                <w:color w:val="auto"/>
              </w:rPr>
              <w:t>Unit deliveries</w:t>
            </w: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 2026</w:t>
            </w: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Boats</w:t>
            </w: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2,127</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2,217</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w:t>
            </w:r>
          </w:p>
        </w:tc>
      </w:tr>
      <w:tr>
        <w:trPr>
          <w:trHeight w:val="473"/>
        </w:trPr>
        <w:tc>
          <w:tcPr>
            <w:tcW w:w="2040" w:type="dxa"/>
            <w:vAlign w:val="bottom"/>
          </w:tcPr>
          <w:p>
            <w:pPr>
              <w:spacing w:after="0"/>
              <w:rPr>
                <w:sz w:val="20"/>
                <w:szCs w:val="20"/>
                <w:color w:val="auto"/>
              </w:rPr>
            </w:pPr>
            <w:r>
              <w:rPr>
                <w:rFonts w:ascii="Arial" w:cs="Arial" w:eastAsia="Arial" w:hAnsi="Arial"/>
                <w:sz w:val="16"/>
                <w:szCs w:val="16"/>
                <w:b w:val="1"/>
                <w:bCs w:val="1"/>
                <w:color w:val="auto"/>
              </w:rPr>
              <w:t>Dealer Inventory</w:t>
            </w:r>
            <w:r>
              <w:rPr>
                <w:rFonts w:ascii="Arial" w:cs="Arial" w:eastAsia="Arial" w:hAnsi="Arial"/>
                <w:sz w:val="21"/>
                <w:szCs w:val="21"/>
                <w:b w:val="1"/>
                <w:bCs w:val="1"/>
                <w:color w:val="auto"/>
                <w:vertAlign w:val="superscript"/>
              </w:rPr>
              <w:t>(2,3)</w:t>
            </w:r>
          </w:p>
        </w:tc>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auto"/>
              </w:rPr>
              <w:t>February 28, 2026</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11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9"/>
              </w:rPr>
              <w:t>Unit Change</w:t>
            </w:r>
          </w:p>
        </w:tc>
        <w:tc>
          <w:tcPr>
            <w:tcW w:w="1380" w:type="dxa"/>
            <w:vAlign w:val="bottom"/>
          </w:tcPr>
          <w:p>
            <w:pPr>
              <w:jc w:val="center"/>
              <w:spacing w:after="0"/>
              <w:rPr>
                <w:sz w:val="20"/>
                <w:szCs w:val="20"/>
                <w:color w:val="auto"/>
              </w:rPr>
            </w:pPr>
            <w:r>
              <w:rPr>
                <w:rFonts w:ascii="Arial" w:cs="Arial" w:eastAsia="Arial" w:hAnsi="Arial"/>
                <w:sz w:val="16"/>
                <w:szCs w:val="16"/>
                <w:b w:val="1"/>
                <w:bCs w:val="1"/>
                <w:color w:val="auto"/>
              </w:rPr>
              <w:t>% Change</w:t>
            </w:r>
          </w:p>
        </w:tc>
      </w:tr>
      <w:tr>
        <w:trPr>
          <w:trHeight w:val="209"/>
        </w:trPr>
        <w:tc>
          <w:tcPr>
            <w:tcW w:w="2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Units</w:t>
            </w:r>
          </w:p>
        </w:tc>
        <w:tc>
          <w:tcPr>
            <w:tcW w:w="5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3,632</w:t>
            </w:r>
          </w:p>
        </w:tc>
        <w:tc>
          <w:tcPr>
            <w:tcW w:w="10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3,610</w:t>
            </w:r>
          </w:p>
        </w:tc>
        <w:tc>
          <w:tcPr>
            <w:tcW w:w="10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0.6 %</w:t>
            </w:r>
          </w:p>
        </w:tc>
      </w:tr>
    </w:tbl>
    <w:p>
      <w:pPr>
        <w:spacing w:after="0" w:line="126" w:lineRule="exact"/>
        <w:rPr>
          <w:sz w:val="20"/>
          <w:szCs w:val="20"/>
          <w:color w:val="auto"/>
        </w:rPr>
      </w:pPr>
    </w:p>
    <w:p>
      <w:pPr>
        <w:ind w:left="212" w:hanging="212"/>
        <w:spacing w:after="0"/>
        <w:tabs>
          <w:tab w:leader="none" w:pos="212" w:val="left"/>
        </w:tabs>
        <w:numPr>
          <w:ilvl w:val="0"/>
          <w:numId w:val="10"/>
        </w:numPr>
        <w:rPr>
          <w:rFonts w:ascii="Arial" w:cs="Arial" w:eastAsia="Arial" w:hAnsi="Arial"/>
          <w:sz w:val="9"/>
          <w:szCs w:val="9"/>
          <w:color w:val="auto"/>
        </w:rPr>
      </w:pPr>
      <w:r>
        <w:rPr>
          <w:rFonts w:ascii="Arial" w:cs="Arial" w:eastAsia="Arial" w:hAnsi="Arial"/>
          <w:sz w:val="14"/>
          <w:szCs w:val="14"/>
          <w:color w:val="auto"/>
        </w:rPr>
        <w:t>Amounts are calculated based on unrounded numbers and therefore may not recalculate using the rounded numbers provided.</w:t>
      </w:r>
    </w:p>
    <w:p>
      <w:pPr>
        <w:spacing w:after="0" w:line="29" w:lineRule="exact"/>
        <w:rPr>
          <w:rFonts w:ascii="Arial" w:cs="Arial" w:eastAsia="Arial" w:hAnsi="Arial"/>
          <w:sz w:val="9"/>
          <w:szCs w:val="9"/>
          <w:color w:val="auto"/>
        </w:rPr>
      </w:pPr>
    </w:p>
    <w:p>
      <w:pPr>
        <w:ind w:left="212" w:hanging="212"/>
        <w:spacing w:after="0" w:line="237" w:lineRule="auto"/>
        <w:tabs>
          <w:tab w:leader="none" w:pos="212" w:val="left"/>
        </w:tabs>
        <w:numPr>
          <w:ilvl w:val="0"/>
          <w:numId w:val="10"/>
        </w:numPr>
        <w:rPr>
          <w:rFonts w:ascii="Arial" w:cs="Arial" w:eastAsia="Arial" w:hAnsi="Arial"/>
          <w:sz w:val="19"/>
          <w:szCs w:val="19"/>
          <w:color w:val="auto"/>
          <w:vertAlign w:val="superscript"/>
        </w:rPr>
      </w:pPr>
      <w:r>
        <w:rPr>
          <w:rFonts w:ascii="Arial" w:cs="Arial" w:eastAsia="Arial" w:hAnsi="Arial"/>
          <w:sz w:val="14"/>
          <w:szCs w:val="14"/>
          <w:color w:val="auto"/>
        </w:rPr>
        <w:t>Due to the nature of the Marine industry, this amount includes a higher proportion of retail sold units than our other segments.</w:t>
      </w:r>
    </w:p>
    <w:p>
      <w:pPr>
        <w:spacing w:after="0" w:line="53" w:lineRule="exact"/>
        <w:rPr>
          <w:rFonts w:ascii="Arial" w:cs="Arial" w:eastAsia="Arial" w:hAnsi="Arial"/>
          <w:sz w:val="19"/>
          <w:szCs w:val="19"/>
          <w:color w:val="auto"/>
          <w:vertAlign w:val="superscript"/>
        </w:rPr>
      </w:pPr>
    </w:p>
    <w:p>
      <w:pPr>
        <w:ind w:left="292" w:hanging="292"/>
        <w:spacing w:after="0" w:line="183" w:lineRule="auto"/>
        <w:tabs>
          <w:tab w:leader="none" w:pos="292" w:val="left"/>
        </w:tabs>
        <w:numPr>
          <w:ilvl w:val="0"/>
          <w:numId w:val="10"/>
        </w:numPr>
        <w:rPr>
          <w:rFonts w:ascii="Arial" w:cs="Arial" w:eastAsia="Arial" w:hAnsi="Arial"/>
          <w:sz w:val="20"/>
          <w:szCs w:val="20"/>
          <w:color w:val="auto"/>
          <w:vertAlign w:val="superscript"/>
        </w:rPr>
      </w:pPr>
      <w:r>
        <w:rPr>
          <w:rFonts w:ascii="Arial" w:cs="Arial" w:eastAsia="Arial" w:hAnsi="Arial"/>
          <w:sz w:val="14"/>
          <w:szCs w:val="14"/>
          <w:color w:val="auto"/>
        </w:rPr>
        <w:t>Data is based on the latest information available from our dealer partners and is subject to timing of reporting and other limitations.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71"/>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052"/>
          </w:cols>
          <w:pgMar w:left="328" w:top="908" w:right="519" w:bottom="1440" w:gutter="0" w:footer="0" w:header="0"/>
        </w:sectPr>
      </w:pPr>
    </w:p>
    <w:bookmarkStart w:id="14" w:name="page15"/>
    <w:bookmarkEnd w:id="14"/>
    <w:p>
      <w:pPr>
        <w:ind w:left="4600"/>
        <w:spacing w:after="0"/>
        <w:rPr>
          <w:sz w:val="20"/>
          <w:szCs w:val="20"/>
          <w:color w:val="auto"/>
        </w:rPr>
      </w:pPr>
      <w:r>
        <w:rPr>
          <w:rFonts w:ascii="Arial" w:cs="Arial" w:eastAsia="Arial" w:hAnsi="Arial"/>
          <w:sz w:val="16"/>
          <w:szCs w:val="16"/>
          <w:b w:val="1"/>
          <w:bCs w:val="1"/>
          <w:color w:val="auto"/>
        </w:rPr>
        <w:t>Winnebago Industries, Inc.</w:t>
      </w:r>
    </w:p>
    <w:p>
      <w:pPr>
        <w:spacing w:after="0" w:line="21" w:lineRule="exact"/>
        <w:rPr>
          <w:sz w:val="20"/>
          <w:szCs w:val="20"/>
          <w:color w:val="auto"/>
        </w:rPr>
      </w:pPr>
    </w:p>
    <w:p>
      <w:pPr>
        <w:ind w:left="4620"/>
        <w:spacing w:after="0"/>
        <w:rPr>
          <w:sz w:val="20"/>
          <w:szCs w:val="20"/>
          <w:color w:val="auto"/>
        </w:rPr>
      </w:pPr>
      <w:r>
        <w:rPr>
          <w:rFonts w:ascii="Arial" w:cs="Arial" w:eastAsia="Arial" w:hAnsi="Arial"/>
          <w:sz w:val="16"/>
          <w:szCs w:val="16"/>
          <w:b w:val="1"/>
          <w:bCs w:val="1"/>
          <w:color w:val="auto"/>
        </w:rPr>
        <w:t>Non-GAAP Reconciliation</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 and subject to reclassification)</w:t>
      </w:r>
    </w:p>
    <w:p>
      <w:pPr>
        <w:spacing w:after="0" w:line="246" w:lineRule="exact"/>
        <w:rPr>
          <w:sz w:val="20"/>
          <w:szCs w:val="20"/>
          <w:color w:val="auto"/>
        </w:rPr>
      </w:pPr>
    </w:p>
    <w:p>
      <w:pPr>
        <w:ind w:right="140"/>
        <w:spacing w:after="0" w:line="304" w:lineRule="auto"/>
        <w:rPr>
          <w:sz w:val="20"/>
          <w:szCs w:val="20"/>
          <w:color w:val="auto"/>
        </w:rPr>
      </w:pPr>
      <w:r>
        <w:rPr>
          <w:rFonts w:ascii="Arial" w:cs="Arial" w:eastAsia="Arial" w:hAnsi="Arial"/>
          <w:sz w:val="16"/>
          <w:szCs w:val="16"/>
          <w:color w:val="auto"/>
        </w:rPr>
        <w:t>Non-GAAP financial measures, which are not calculated or presented in accordance with accounting principles generally accepted in the United States (“GAAP”), have been provided as information supplemental and in addition to the financial measures presented in the accompanying news release that are calculated and presented in accordance with GAAP. Such non-GAAP financial measures should not be considered superior to, as a substitute for, or as an alternative to, and should be considered in conjunction with, the GAAP financial measures presented in the news release. The non-GAAP financial measures presented may differ from similar measures used by other companies.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diluted earnings per share to Adjusted diluted earnings per share: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gridSpan w:val="5"/>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26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4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February 28, 2026</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February 28, 2026</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March 1, 2025</w:t>
            </w:r>
          </w:p>
        </w:tc>
      </w:tr>
      <w:tr>
        <w:trPr>
          <w:trHeight w:val="210"/>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Diluted earnings (loss) per share</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center"/>
              <w:ind w:left="959"/>
              <w:spacing w:after="0"/>
              <w:rPr>
                <w:sz w:val="20"/>
                <w:szCs w:val="20"/>
                <w:color w:val="auto"/>
              </w:rPr>
            </w:pPr>
            <w:r>
              <w:rPr>
                <w:rFonts w:ascii="Arial" w:cs="Arial" w:eastAsia="Arial" w:hAnsi="Arial"/>
                <w:sz w:val="16"/>
                <w:szCs w:val="16"/>
                <w:color w:val="auto"/>
              </w:rPr>
              <w:t>0.17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center"/>
              <w:ind w:left="979"/>
              <w:spacing w:after="0"/>
              <w:rPr>
                <w:sz w:val="20"/>
                <w:szCs w:val="20"/>
                <w:color w:val="auto"/>
              </w:rPr>
            </w:pPr>
            <w:r>
              <w:rPr>
                <w:rFonts w:ascii="Arial" w:cs="Arial" w:eastAsia="Arial" w:hAnsi="Arial"/>
                <w:sz w:val="16"/>
                <w:szCs w:val="16"/>
                <w:color w:val="auto"/>
                <w:w w:val="96"/>
              </w:rPr>
              <w:t>0.36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r>
      <w:tr>
        <w:trPr>
          <w:trHeight w:val="256"/>
        </w:trPr>
        <w:tc>
          <w:tcPr>
            <w:tcW w:w="4360" w:type="dxa"/>
            <w:vAlign w:val="bottom"/>
          </w:tcPr>
          <w:p>
            <w:pPr>
              <w:ind w:left="20"/>
              <w:spacing w:after="0"/>
              <w:rPr>
                <w:sz w:val="20"/>
                <w:szCs w:val="20"/>
                <w:color w:val="auto"/>
              </w:rPr>
            </w:pPr>
            <w:r>
              <w:rPr>
                <w:rFonts w:ascii="Arial" w:cs="Arial" w:eastAsia="Arial" w:hAnsi="Arial"/>
                <w:sz w:val="16"/>
                <w:szCs w:val="16"/>
                <w:color w:val="auto"/>
              </w:rPr>
              <w:t>Amortization</w:t>
            </w:r>
            <w:r>
              <w:rPr>
                <w:rFonts w:ascii="Arial" w:cs="Arial" w:eastAsia="Arial" w:hAnsi="Arial"/>
                <w:sz w:val="21"/>
                <w:szCs w:val="21"/>
                <w:color w:val="auto"/>
                <w:vertAlign w:val="superscript"/>
              </w:rPr>
              <w:t>(1)</w:t>
            </w:r>
          </w:p>
        </w:tc>
        <w:tc>
          <w:tcPr>
            <w:tcW w:w="140" w:type="dxa"/>
            <w:vAlign w:val="bottom"/>
          </w:tcPr>
          <w:p>
            <w:pPr>
              <w:spacing w:after="0"/>
              <w:rPr>
                <w:sz w:val="22"/>
                <w:szCs w:val="22"/>
                <w:color w:val="auto"/>
              </w:rPr>
            </w:pPr>
          </w:p>
        </w:tc>
        <w:tc>
          <w:tcPr>
            <w:tcW w:w="1520" w:type="dxa"/>
            <w:vAlign w:val="bottom"/>
          </w:tcPr>
          <w:p>
            <w:pPr>
              <w:jc w:val="center"/>
              <w:ind w:left="959"/>
              <w:spacing w:after="0"/>
              <w:rPr>
                <w:sz w:val="20"/>
                <w:szCs w:val="20"/>
                <w:color w:val="auto"/>
              </w:rPr>
            </w:pPr>
            <w:r>
              <w:rPr>
                <w:rFonts w:ascii="Arial" w:cs="Arial" w:eastAsia="Arial" w:hAnsi="Arial"/>
                <w:sz w:val="16"/>
                <w:szCs w:val="16"/>
                <w:color w:val="auto"/>
              </w:rPr>
              <w:t>0.19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0.20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20" w:type="dxa"/>
            <w:vAlign w:val="bottom"/>
          </w:tcPr>
          <w:p>
            <w:pPr>
              <w:jc w:val="center"/>
              <w:ind w:left="979"/>
              <w:spacing w:after="0"/>
              <w:rPr>
                <w:sz w:val="20"/>
                <w:szCs w:val="20"/>
                <w:color w:val="auto"/>
              </w:rPr>
            </w:pPr>
            <w:r>
              <w:rPr>
                <w:rFonts w:ascii="Arial" w:cs="Arial" w:eastAsia="Arial" w:hAnsi="Arial"/>
                <w:sz w:val="16"/>
                <w:szCs w:val="16"/>
                <w:color w:val="auto"/>
                <w:w w:val="96"/>
              </w:rPr>
              <w:t>0.38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0.40</w:t>
            </w:r>
          </w:p>
        </w:tc>
      </w:tr>
      <w:tr>
        <w:trPr>
          <w:trHeight w:val="25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note repurchase</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1520" w:type="dxa"/>
            <w:vAlign w:val="bottom"/>
            <w:shd w:val="clear" w:color="auto" w:fill="CCEEFF"/>
          </w:tcPr>
          <w:p>
            <w:pPr>
              <w:jc w:val="center"/>
              <w:ind w:left="959"/>
              <w:spacing w:after="0"/>
              <w:rPr>
                <w:sz w:val="20"/>
                <w:szCs w:val="20"/>
                <w:color w:val="auto"/>
              </w:rPr>
            </w:pPr>
            <w:r>
              <w:rPr>
                <w:rFonts w:ascii="Arial" w:cs="Arial" w:eastAsia="Arial" w:hAnsi="Arial"/>
                <w:sz w:val="16"/>
                <w:szCs w:val="16"/>
                <w:color w:val="auto"/>
              </w:rPr>
              <w:t>0.03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520" w:type="dxa"/>
            <w:vAlign w:val="bottom"/>
            <w:shd w:val="clear" w:color="auto" w:fill="CCEEFF"/>
          </w:tcPr>
          <w:p>
            <w:pPr>
              <w:jc w:val="center"/>
              <w:ind w:left="979"/>
              <w:spacing w:after="0"/>
              <w:rPr>
                <w:sz w:val="20"/>
                <w:szCs w:val="20"/>
                <w:color w:val="auto"/>
              </w:rPr>
            </w:pPr>
            <w:r>
              <w:rPr>
                <w:rFonts w:ascii="Arial" w:cs="Arial" w:eastAsia="Arial" w:hAnsi="Arial"/>
                <w:sz w:val="16"/>
                <w:szCs w:val="16"/>
                <w:color w:val="auto"/>
                <w:w w:val="96"/>
              </w:rPr>
              <w:t>0.03</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r>
      <w:tr>
        <w:trPr>
          <w:trHeight w:val="216"/>
        </w:trPr>
        <w:tc>
          <w:tcPr>
            <w:tcW w:w="4360" w:type="dxa"/>
            <w:vAlign w:val="bottom"/>
          </w:tcPr>
          <w:p>
            <w:pPr>
              <w:ind w:left="20"/>
              <w:spacing w:after="0" w:line="216" w:lineRule="exact"/>
              <w:rPr>
                <w:sz w:val="20"/>
                <w:szCs w:val="20"/>
                <w:color w:val="auto"/>
              </w:rPr>
            </w:pPr>
            <w:r>
              <w:rPr>
                <w:rFonts w:ascii="Arial" w:cs="Arial" w:eastAsia="Arial" w:hAnsi="Arial"/>
                <w:sz w:val="16"/>
                <w:szCs w:val="16"/>
                <w:color w:val="auto"/>
              </w:rPr>
              <w:t>Restructuring and related costs</w:t>
            </w:r>
            <w:r>
              <w:rPr>
                <w:rFonts w:ascii="Arial" w:cs="Arial" w:eastAsia="Arial" w:hAnsi="Arial"/>
                <w:sz w:val="21"/>
                <w:szCs w:val="21"/>
                <w:color w:val="auto"/>
                <w:vertAlign w:val="superscript"/>
              </w:rPr>
              <w:t>(1)</w:t>
            </w:r>
          </w:p>
        </w:tc>
        <w:tc>
          <w:tcPr>
            <w:tcW w:w="140" w:type="dxa"/>
            <w:vAlign w:val="bottom"/>
          </w:tcPr>
          <w:p>
            <w:pPr>
              <w:spacing w:after="0"/>
              <w:rPr>
                <w:sz w:val="18"/>
                <w:szCs w:val="18"/>
                <w:color w:val="auto"/>
              </w:rPr>
            </w:pPr>
          </w:p>
        </w:tc>
        <w:tc>
          <w:tcPr>
            <w:tcW w:w="1520" w:type="dxa"/>
            <w:vAlign w:val="bottom"/>
          </w:tcPr>
          <w:p>
            <w:pPr>
              <w:jc w:val="center"/>
              <w:ind w:left="959"/>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center"/>
              <w:ind w:left="979"/>
              <w:spacing w:after="0"/>
              <w:rPr>
                <w:sz w:val="20"/>
                <w:szCs w:val="20"/>
                <w:color w:val="auto"/>
              </w:rPr>
            </w:pPr>
            <w:r>
              <w:rPr>
                <w:rFonts w:ascii="Arial" w:cs="Arial" w:eastAsia="Arial" w:hAnsi="Arial"/>
                <w:sz w:val="16"/>
                <w:szCs w:val="16"/>
                <w:color w:val="auto"/>
                <w:w w:val="96"/>
              </w:rPr>
              <w:t>0.06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6"/>
        </w:trPr>
        <w:tc>
          <w:tcPr>
            <w:tcW w:w="436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Gain on sale of property, plant and equipment</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left="939"/>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ind w:left="959"/>
              <w:spacing w:after="0"/>
              <w:rPr>
                <w:sz w:val="20"/>
                <w:szCs w:val="20"/>
                <w:color w:val="auto"/>
              </w:rPr>
            </w:pPr>
            <w:r>
              <w:rPr>
                <w:rFonts w:ascii="Arial" w:cs="Arial" w:eastAsia="Arial" w:hAnsi="Arial"/>
                <w:sz w:val="16"/>
                <w:szCs w:val="16"/>
                <w:color w:val="auto"/>
              </w:rPr>
              <w:t>(0.10)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57"/>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Tax impact of adjustments</w:t>
            </w:r>
            <w:r>
              <w:rPr>
                <w:rFonts w:ascii="Arial" w:cs="Arial" w:eastAsia="Arial" w:hAnsi="Arial"/>
                <w:sz w:val="21"/>
                <w:szCs w:val="21"/>
                <w:color w:val="auto"/>
                <w:vertAlign w:val="superscript"/>
              </w:rPr>
              <w:t>(2)</w:t>
            </w:r>
          </w:p>
        </w:tc>
        <w:tc>
          <w:tcPr>
            <w:tcW w:w="14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left="939"/>
              <w:spacing w:after="0"/>
              <w:rPr>
                <w:sz w:val="20"/>
                <w:szCs w:val="20"/>
                <w:color w:val="auto"/>
              </w:rPr>
            </w:pPr>
            <w:r>
              <w:rPr>
                <w:rFonts w:ascii="Arial" w:cs="Arial" w:eastAsia="Arial" w:hAnsi="Arial"/>
                <w:sz w:val="16"/>
                <w:szCs w:val="16"/>
                <w:color w:val="auto"/>
              </w:rPr>
              <w:t>(0.03)</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(0.06)</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center"/>
              <w:ind w:left="959"/>
              <w:spacing w:after="0"/>
              <w:rPr>
                <w:sz w:val="20"/>
                <w:szCs w:val="20"/>
                <w:color w:val="auto"/>
              </w:rPr>
            </w:pPr>
            <w:r>
              <w:rPr>
                <w:rFonts w:ascii="Arial" w:cs="Arial" w:eastAsia="Arial" w:hAnsi="Arial"/>
                <w:sz w:val="16"/>
                <w:szCs w:val="16"/>
                <w:color w:val="auto"/>
              </w:rPr>
              <w:t>(0.08)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(0.11)</w:t>
            </w:r>
          </w:p>
        </w:tc>
      </w:tr>
      <w:tr>
        <w:trPr>
          <w:trHeight w:val="235"/>
        </w:trPr>
        <w:tc>
          <w:tcPr>
            <w:tcW w:w="4360" w:type="dxa"/>
            <w:vAlign w:val="bottom"/>
            <w:tcBorders>
              <w:bottom w:val="single" w:sz="8" w:color="CCEEFF"/>
            </w:tcBorders>
            <w:shd w:val="clear" w:color="auto" w:fill="CCEEFF"/>
          </w:tcPr>
          <w:p>
            <w:pPr>
              <w:ind w:left="140"/>
              <w:spacing w:after="0" w:line="210" w:lineRule="exact"/>
              <w:rPr>
                <w:sz w:val="20"/>
                <w:szCs w:val="20"/>
                <w:color w:val="auto"/>
              </w:rPr>
            </w:pPr>
            <w:r>
              <w:rPr>
                <w:rFonts w:ascii="Arial" w:cs="Arial" w:eastAsia="Arial" w:hAnsi="Arial"/>
                <w:sz w:val="16"/>
                <w:szCs w:val="16"/>
                <w:color w:val="auto"/>
              </w:rPr>
              <w:t>Adjusted diluted earnings per share</w:t>
            </w:r>
            <w:r>
              <w:rPr>
                <w:rFonts w:ascii="Arial" w:cs="Arial" w:eastAsia="Arial" w:hAnsi="Arial"/>
                <w:sz w:val="21"/>
                <w:szCs w:val="21"/>
                <w:color w:val="auto"/>
                <w:vertAlign w:val="superscript"/>
              </w:rPr>
              <w:t>(3)</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center"/>
              <w:ind w:left="959"/>
              <w:spacing w:after="0"/>
              <w:rPr>
                <w:sz w:val="20"/>
                <w:szCs w:val="20"/>
                <w:color w:val="auto"/>
              </w:rPr>
            </w:pPr>
            <w:r>
              <w:rPr>
                <w:rFonts w:ascii="Arial" w:cs="Arial" w:eastAsia="Arial" w:hAnsi="Arial"/>
                <w:sz w:val="16"/>
                <w:szCs w:val="16"/>
                <w:color w:val="auto"/>
              </w:rPr>
              <w:t>0.27</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0.19</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center"/>
              <w:ind w:left="979"/>
              <w:spacing w:after="0"/>
              <w:rPr>
                <w:sz w:val="20"/>
                <w:szCs w:val="20"/>
                <w:color w:val="auto"/>
              </w:rPr>
            </w:pPr>
            <w:r>
              <w:rPr>
                <w:rFonts w:ascii="Arial" w:cs="Arial" w:eastAsia="Arial" w:hAnsi="Arial"/>
                <w:sz w:val="16"/>
                <w:szCs w:val="16"/>
                <w:color w:val="auto"/>
                <w:w w:val="96"/>
              </w:rPr>
              <w:t>0.65</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0.16</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43" w:lineRule="exact"/>
        <w:rPr>
          <w:sz w:val="20"/>
          <w:szCs w:val="20"/>
          <w:color w:val="auto"/>
        </w:rPr>
      </w:pPr>
    </w:p>
    <w:p>
      <w:pPr>
        <w:ind w:left="220" w:hanging="212"/>
        <w:spacing w:after="0"/>
        <w:tabs>
          <w:tab w:leader="none" w:pos="2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Represents a pre-tax adjustment.</w:t>
      </w:r>
    </w:p>
    <w:p>
      <w:pPr>
        <w:ind w:left="220" w:hanging="212"/>
        <w:spacing w:after="0" w:line="192" w:lineRule="auto"/>
        <w:tabs>
          <w:tab w:leader="none" w:pos="2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The company's non-GAAP income tax impact is calculated using an estimated tax rate for the U.S. of 22.0% for Fiscal 2026 and 23.0% for Fiscal 2025.</w:t>
      </w:r>
    </w:p>
    <w:p>
      <w:pPr>
        <w:ind w:left="220" w:hanging="212"/>
        <w:spacing w:after="0" w:line="193" w:lineRule="auto"/>
        <w:tabs>
          <w:tab w:leader="none" w:pos="220" w:val="left"/>
        </w:tabs>
        <w:numPr>
          <w:ilvl w:val="0"/>
          <w:numId w:val="11"/>
        </w:numPr>
        <w:rPr>
          <w:rFonts w:ascii="Arial" w:cs="Arial" w:eastAsia="Arial" w:hAnsi="Arial"/>
          <w:sz w:val="19"/>
          <w:szCs w:val="19"/>
          <w:color w:val="auto"/>
          <w:vertAlign w:val="superscript"/>
        </w:rPr>
      </w:pPr>
      <w:r>
        <w:rPr>
          <w:rFonts w:ascii="Arial" w:cs="Arial" w:eastAsia="Arial" w:hAnsi="Arial"/>
          <w:sz w:val="14"/>
          <w:szCs w:val="14"/>
          <w:color w:val="auto"/>
        </w:rPr>
        <w:t>Per share numbers may not foot due to rounding.</w:t>
      </w:r>
    </w:p>
    <w:p>
      <w:pPr>
        <w:spacing w:after="0" w:line="2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reconciles net income to consolidated EBITDA and Adjusted EBITDA.</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360" w:type="dxa"/>
            <w:vAlign w:val="bottom"/>
            <w:gridSpan w:val="5"/>
          </w:tcPr>
          <w:p>
            <w:pPr>
              <w:ind w:left="760"/>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18"/>
                <w:szCs w:val="18"/>
                <w:color w:val="auto"/>
              </w:rPr>
            </w:pPr>
          </w:p>
        </w:tc>
        <w:tc>
          <w:tcPr>
            <w:tcW w:w="3260" w:type="dxa"/>
            <w:vAlign w:val="bottom"/>
            <w:gridSpan w:val="4"/>
          </w:tcPr>
          <w:p>
            <w:pPr>
              <w:jc w:val="right"/>
              <w:ind w:right="91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4360" w:type="dxa"/>
            <w:vAlign w:val="bottom"/>
          </w:tcPr>
          <w:p>
            <w:pPr>
              <w:ind w:left="20"/>
              <w:spacing w:after="0"/>
              <w:rPr>
                <w:sz w:val="20"/>
                <w:szCs w:val="20"/>
                <w:color w:val="auto"/>
              </w:rPr>
            </w:pPr>
            <w:r>
              <w:rPr>
                <w:rFonts w:ascii="Arial" w:cs="Arial" w:eastAsia="Arial" w:hAnsi="Arial"/>
                <w:sz w:val="16"/>
                <w:szCs w:val="16"/>
                <w:color w:val="auto"/>
              </w:rPr>
              <w:t>(in millions)</w:t>
            </w:r>
          </w:p>
        </w:tc>
        <w:tc>
          <w:tcPr>
            <w:tcW w:w="14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spacing w:after="0"/>
              <w:rPr>
                <w:sz w:val="20"/>
                <w:szCs w:val="20"/>
                <w:color w:val="auto"/>
              </w:rPr>
            </w:pPr>
            <w:r>
              <w:rPr>
                <w:rFonts w:ascii="Arial" w:cs="Arial" w:eastAsia="Arial" w:hAnsi="Arial"/>
                <w:sz w:val="16"/>
                <w:szCs w:val="16"/>
                <w:b w:val="1"/>
                <w:bCs w:val="1"/>
                <w:color w:val="auto"/>
              </w:rPr>
              <w:t>February 28, 2026</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March 1, 2025</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February 28, 2026</w:t>
            </w:r>
          </w:p>
        </w:tc>
        <w:tc>
          <w:tcPr>
            <w:tcW w:w="2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March 1, 2025</w:t>
            </w:r>
          </w:p>
        </w:tc>
      </w:tr>
      <w:tr>
        <w:trPr>
          <w:trHeight w:val="210"/>
        </w:trPr>
        <w:tc>
          <w:tcPr>
            <w:tcW w:w="43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Interest expense, net</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12.6</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Depreciation</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19.1</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w:t>
            </w:r>
          </w:p>
        </w:tc>
      </w:tr>
      <w:tr>
        <w:trPr>
          <w:trHeight w:val="209"/>
        </w:trPr>
        <w:tc>
          <w:tcPr>
            <w:tcW w:w="4360" w:type="dxa"/>
            <w:vAlign w:val="bottom"/>
          </w:tcPr>
          <w:p>
            <w:pPr>
              <w:ind w:left="140"/>
              <w:spacing w:after="0"/>
              <w:rPr>
                <w:sz w:val="20"/>
                <w:szCs w:val="20"/>
                <w:color w:val="auto"/>
              </w:rPr>
            </w:pPr>
            <w:r>
              <w:rPr>
                <w:rFonts w:ascii="Arial" w:cs="Arial" w:eastAsia="Arial" w:hAnsi="Arial"/>
                <w:sz w:val="16"/>
                <w:szCs w:val="16"/>
                <w:color w:val="auto"/>
              </w:rPr>
              <w:t>EBITDA</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55.3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35.8</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on note repurchase</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4360" w:type="dxa"/>
            <w:vAlign w:val="bottom"/>
          </w:tcPr>
          <w:p>
            <w:pPr>
              <w:ind w:left="20"/>
              <w:spacing w:after="0"/>
              <w:rPr>
                <w:sz w:val="20"/>
                <w:szCs w:val="20"/>
                <w:color w:val="auto"/>
              </w:rPr>
            </w:pPr>
            <w:r>
              <w:rPr>
                <w:rFonts w:ascii="Arial" w:cs="Arial" w:eastAsia="Arial" w:hAnsi="Arial"/>
                <w:sz w:val="16"/>
                <w:szCs w:val="16"/>
                <w:color w:val="auto"/>
              </w:rPr>
              <w:t>Restructuring and related costs</w:t>
            </w:r>
          </w:p>
        </w:tc>
        <w:tc>
          <w:tcPr>
            <w:tcW w:w="14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4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Gain on sale of property, plant and equipment</w:t>
            </w:r>
          </w:p>
        </w:tc>
        <w:tc>
          <w:tcPr>
            <w:tcW w:w="14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Non-operating income</w:t>
            </w:r>
          </w:p>
        </w:tc>
        <w:tc>
          <w:tcPr>
            <w:tcW w:w="1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w:t>
            </w:r>
          </w:p>
        </w:tc>
      </w:tr>
      <w:tr>
        <w:trPr>
          <w:trHeight w:val="235"/>
        </w:trPr>
        <w:tc>
          <w:tcPr>
            <w:tcW w:w="4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Adjusted EBITDA</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37.2</w:t>
            </w: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Non-GAAP performance measures of Adjusted diluted earnings per share, EBITDA and Adjusted EBITDA have been provided as comparable measures to illustrate the effect of non-recurring transactions occurring during the reported periods and to improve comparability of our results from period to period. Adjusted diluted earnings per share is defined as diluted earnings per share adjusted for after-tax items that impact the comparability of our results from period to period. EBITDA is defined as net income before interest expense, provision for income taxes, and depreciation and amortization expense. Adjusted EBITDA is defined as net income before interest expense, provision for income taxes, depreciation and amortization expense and other pretax adjustments made in order to present comparable results from period to period. Management believes Adjusted diluted earnings per share and Adjusted EBITDA provide meaningful supplemental information about our operating performance because these measures exclude amounts that we do not consider part of our core operating results when assessing our performance.</w:t>
      </w:r>
    </w:p>
    <w:p>
      <w:pPr>
        <w:spacing w:after="0" w:line="212" w:lineRule="exact"/>
        <w:rPr>
          <w:sz w:val="20"/>
          <w:szCs w:val="20"/>
          <w:color w:val="auto"/>
        </w:rPr>
      </w:pPr>
    </w:p>
    <w:p>
      <w:pPr>
        <w:ind w:right="580"/>
        <w:spacing w:after="0" w:line="339" w:lineRule="auto"/>
        <w:rPr>
          <w:sz w:val="20"/>
          <w:szCs w:val="20"/>
          <w:color w:val="auto"/>
        </w:rPr>
      </w:pPr>
      <w:r>
        <w:rPr>
          <w:rFonts w:ascii="Arial" w:cs="Arial" w:eastAsia="Arial" w:hAnsi="Arial"/>
          <w:sz w:val="16"/>
          <w:szCs w:val="16"/>
          <w:color w:val="auto"/>
        </w:rPr>
        <w:t>Management uses these non-GAAP financial measures (a) to evaluate historical and prospective financial performance and trends as well as assess performance relative to competitors and peers; (b) to measure operational profitability on a consistent</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240"/>
          </w:cols>
          <w:pgMar w:left="320" w:top="895" w:right="339" w:bottom="1440" w:gutter="0" w:footer="0" w:header="0"/>
        </w:sectPr>
      </w:pPr>
    </w:p>
    <w:bookmarkStart w:id="15" w:name="page16"/>
    <w:bookmarkEnd w:id="15"/>
    <w:p>
      <w:pPr>
        <w:jc w:val="both"/>
        <w:ind w:right="40"/>
        <w:spacing w:after="0" w:line="293" w:lineRule="auto"/>
        <w:rPr>
          <w:sz w:val="20"/>
          <w:szCs w:val="20"/>
          <w:color w:val="auto"/>
        </w:rPr>
      </w:pPr>
      <w:r>
        <w:rPr>
          <w:rFonts w:ascii="Arial" w:cs="Arial" w:eastAsia="Arial" w:hAnsi="Arial"/>
          <w:sz w:val="16"/>
          <w:szCs w:val="16"/>
          <w:color w:val="auto"/>
        </w:rPr>
        <w:t>basis; (c) in presentations to the members of our Board of Directors to enable our Board of Directors to have the same measurement basis of operating performance as is used by management in its assessments of performance and in forecasting and budgeting for the Company; (d) to evaluate potential acquisitions; and (e) to ensure compliance with restricted activities under the terms of our asset-backed revolving credit facility and outstanding notes.</w:t>
      </w:r>
    </w:p>
    <w:p>
      <w:pPr>
        <w:spacing w:after="0" w:line="1" w:lineRule="exact"/>
        <w:rPr>
          <w:sz w:val="20"/>
          <w:szCs w:val="20"/>
          <w:color w:val="auto"/>
        </w:rPr>
      </w:pPr>
    </w:p>
    <w:p>
      <w:pPr>
        <w:spacing w:after="0" w:line="339" w:lineRule="auto"/>
        <w:rPr>
          <w:sz w:val="20"/>
          <w:szCs w:val="20"/>
          <w:color w:val="auto"/>
        </w:rPr>
      </w:pPr>
      <w:r>
        <w:rPr>
          <w:rFonts w:ascii="Arial" w:cs="Arial" w:eastAsia="Arial" w:hAnsi="Arial"/>
          <w:sz w:val="16"/>
          <w:szCs w:val="16"/>
          <w:color w:val="auto"/>
        </w:rPr>
        <w:t>Management believes these non-GAAP financial measures are frequently used by securities analysts, investors and other interested parties to evaluate companies in our industry.</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9"/>
        <w:spacing w:after="0"/>
        <w:rPr>
          <w:sz w:val="20"/>
          <w:szCs w:val="20"/>
          <w:color w:val="auto"/>
        </w:rPr>
      </w:pPr>
      <w:r>
        <w:rPr>
          <w:rFonts w:ascii="Arial" w:cs="Arial" w:eastAsia="Arial" w:hAnsi="Arial"/>
          <w:sz w:val="16"/>
          <w:szCs w:val="16"/>
          <w:color w:val="auto"/>
        </w:rPr>
        <w:t>13</w:t>
      </w:r>
    </w:p>
    <w:sectPr>
      <w:pgSz w:w="11900" w:h="16838" w:orient="portrait"/>
      <w:cols w:equalWidth="0" w:num="1">
        <w:col w:w="10860"/>
      </w:cols>
      <w:pgMar w:left="320" w:top="908"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lvl w:ilvl="1">
      <w:lvlJc w:val="left"/>
      <w:lvlText w:val="•"/>
      <w:numFmt w:val="bullet"/>
      <w:start w:val="1"/>
    </w:lvl>
  </w:abstractNum>
  <w:abstractNum w:abstractNumId="3">
    <w:nsid w:val="79E2A9E3"/>
    <w:multiLevelType w:val="hybridMultilevel"/>
    <w:lvl w:ilvl="0">
      <w:lvlJc w:val="left"/>
      <w:lvlText w:val="(%1)"/>
      <w:numFmt w:val="decimal"/>
      <w:start w:val="1"/>
    </w:lvl>
    <w:lvl w:ilvl="1">
      <w:lvlJc w:val="left"/>
      <w:lvlText w:val="•"/>
      <w:numFmt w:val="bullet"/>
      <w:start w:val="1"/>
    </w:lvl>
  </w:abstractNum>
  <w:abstractNum w:abstractNumId="4">
    <w:nsid w:val="7545E146"/>
    <w:multiLevelType w:val="hybridMultilevel"/>
    <w:lvl w:ilvl="0">
      <w:lvlJc w:val="left"/>
      <w:lvlText w:val="(%1)"/>
      <w:numFmt w:val="decimal"/>
      <w:start w:val="1"/>
    </w:lvl>
    <w:lvl w:ilvl="1">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1)"/>
      <w:numFmt w:val="decimal"/>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2026-03-25T07:00:53Z</dcterms:created>
  <dcterms:modified xsi:type="dcterms:W3CDTF">2026-03-25T07:00:53Z</dcterms:modified>
</cp:coreProperties>
</file>