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Bhattacharya Ashis Nayan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80"/>
              <w:spacing w:after="0" w:line="142"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WINNEBAGO INDUSTRIES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100"/>
              <w:spacing w:after="0" w:line="192" w:lineRule="exact"/>
              <w:rPr>
                <w:sz w:val="20"/>
                <w:szCs w:val="20"/>
                <w:color w:val="auto"/>
              </w:rPr>
            </w:pPr>
            <w:r>
              <w:rPr>
                <w:rFonts w:ascii="Arial" w:cs="Arial" w:eastAsia="Arial" w:hAnsi="Arial"/>
                <w:sz w:val="17"/>
                <w:szCs w:val="17"/>
                <w:color w:val="0000FF"/>
              </w:rPr>
              <w:t>VP-Strategic Dev. &amp; Planning</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07/21/2020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07/21/2020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3,927</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63.52</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18,446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weighted average price of 3,927 shares of common stock of Winnebago Industries, Inc. sold by the reporting person in multiple transactions on July 21, 2020 with sale prices ranging from $63.50 to $63.63 per share. The reporting person undertakes to provide upon request by the U.S. Securities and Exchange Commission staff, the issuer, or a security holder of the issuer, full information regarding the number of shares sold at each separate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58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7"/>
          <w:szCs w:val="17"/>
          <w:color w:val="0000FF"/>
        </w:rPr>
        <w:t>Secretary, Winnebago</w:t>
      </w:r>
      <w:r>
        <w:rPr>
          <w:sz w:val="20"/>
          <w:szCs w:val="20"/>
          <w:color w:val="auto"/>
        </w:rPr>
        <w:tab/>
      </w:r>
      <w:r>
        <w:rPr>
          <w:rFonts w:ascii="Arial" w:cs="Arial" w:eastAsia="Arial" w:hAnsi="Arial"/>
          <w:sz w:val="15"/>
          <w:szCs w:val="15"/>
          <w:color w:val="0000FF"/>
        </w:rPr>
        <w:t>07/23/2020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62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2020-07-23T13:32:51Z</dcterms:created>
  <dcterms:modified xsi:type="dcterms:W3CDTF">2020-07-23T13:32:51Z</dcterms:modified>
</cp:coreProperties>
</file>