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30, 2010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333-165541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Iowa</w:t>
            </w:r>
          </w:p>
        </w:tc>
        <w:tc>
          <w:tcPr>
            <w:tcW w:w="5920" w:type="dxa"/>
            <w:vAlign w:val="bottom"/>
            <w:gridSpan w:val="2"/>
          </w:tcPr>
          <w:p>
            <w:pPr>
              <w:jc w:val="right"/>
              <w:ind w:right="2232"/>
              <w:spacing w:after="0"/>
              <w:rPr>
                <w:sz w:val="20"/>
                <w:szCs w:val="20"/>
                <w:color w:val="auto"/>
              </w:rPr>
            </w:pPr>
            <w:r>
              <w:rPr>
                <w:rFonts w:ascii="Arial" w:cs="Arial" w:eastAsia="Arial" w:hAnsi="Arial"/>
                <w:sz w:val="18"/>
                <w:szCs w:val="18"/>
                <w:b w:val="1"/>
                <w:bCs w:val="1"/>
                <w:color w:val="auto"/>
              </w:rPr>
              <w:t>42-0802678</w:t>
            </w:r>
          </w:p>
        </w:tc>
      </w:tr>
      <w:tr>
        <w:trPr>
          <w:trHeight w:val="208"/>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 Incorporation or</w:t>
            </w:r>
          </w:p>
        </w:tc>
        <w:tc>
          <w:tcPr>
            <w:tcW w:w="460" w:type="dxa"/>
            <w:vAlign w:val="bottom"/>
          </w:tcPr>
          <w:p>
            <w:pPr>
              <w:spacing w:after="0"/>
              <w:rPr>
                <w:sz w:val="18"/>
                <w:szCs w:val="18"/>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10"/>
        </w:trPr>
        <w:tc>
          <w:tcPr>
            <w:tcW w:w="550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4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P.O. Box 152, Forest City, Iowa</w:t>
            </w:r>
          </w:p>
        </w:tc>
        <w:tc>
          <w:tcPr>
            <w:tcW w:w="5920" w:type="dxa"/>
            <w:vAlign w:val="bottom"/>
            <w:gridSpan w:val="2"/>
          </w:tcPr>
          <w:p>
            <w:pPr>
              <w:jc w:val="right"/>
              <w:ind w:right="2432"/>
              <w:spacing w:after="0"/>
              <w:rPr>
                <w:sz w:val="20"/>
                <w:szCs w:val="20"/>
                <w:color w:val="auto"/>
              </w:rPr>
            </w:pPr>
            <w:r>
              <w:rPr>
                <w:rFonts w:ascii="Arial" w:cs="Arial" w:eastAsia="Arial" w:hAnsi="Arial"/>
                <w:sz w:val="18"/>
                <w:szCs w:val="18"/>
                <w:b w:val="1"/>
                <w:bCs w:val="1"/>
                <w:color w:val="auto"/>
              </w:rPr>
              <w:t>50436</w:t>
            </w:r>
          </w:p>
        </w:tc>
      </w:tr>
      <w:tr>
        <w:trPr>
          <w:trHeight w:val="222"/>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24"/>
        </w:trPr>
        <w:tc>
          <w:tcPr>
            <w:tcW w:w="5500" w:type="dxa"/>
            <w:vAlign w:val="bottom"/>
          </w:tcPr>
          <w:p>
            <w:pPr>
              <w:ind w:left="440"/>
              <w:spacing w:after="0"/>
              <w:rPr>
                <w:sz w:val="20"/>
                <w:szCs w:val="20"/>
                <w:color w:val="auto"/>
              </w:rPr>
            </w:pPr>
            <w:r>
              <w:rPr>
                <w:rFonts w:ascii="Arial" w:cs="Arial" w:eastAsia="Arial" w:hAnsi="Arial"/>
                <w:sz w:val="18"/>
                <w:szCs w:val="18"/>
                <w:color w:val="auto"/>
                <w:w w:val="92"/>
              </w:rPr>
              <w:t>Registrant’s telephone number, including area code: (641) 585-3535</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 Beebe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Forest City, Iowa 50436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(641) 585-6808</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M. Libit,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Chapman and Cutler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West Monroe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845-3000</w:t>
      </w:r>
    </w:p>
    <w:p>
      <w:pPr>
        <w:spacing w:after="0" w:line="213"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248" w:lineRule="exact"/>
        <w:rPr>
          <w:sz w:val="24"/>
          <w:szCs w:val="24"/>
          <w:color w:val="auto"/>
        </w:rPr>
      </w:pPr>
    </w:p>
    <w:p>
      <w:pPr>
        <w:ind w:right="320" w:firstLine="439"/>
        <w:spacing w:after="0" w:line="33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39" w:lineRule="exact"/>
        <w:rPr>
          <w:sz w:val="24"/>
          <w:szCs w:val="24"/>
          <w:color w:val="auto"/>
        </w:rPr>
      </w:pPr>
    </w:p>
    <w:p>
      <w:pPr>
        <w:ind w:right="60" w:firstLine="439"/>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540" w:firstLine="439"/>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280" w:firstLine="439"/>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86" w:lineRule="exact"/>
        <w:rPr>
          <w:sz w:val="20"/>
          <w:szCs w:val="20"/>
          <w:color w:val="auto"/>
        </w:rPr>
      </w:pPr>
    </w:p>
    <w:p>
      <w:pPr>
        <w:ind w:right="440" w:firstLine="439"/>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86"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8"/>
              </w:rPr>
              <w:t>Large accelerated filer o</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ind w:left="360"/>
              <w:spacing w:after="0"/>
              <w:rPr>
                <w:sz w:val="20"/>
                <w:szCs w:val="20"/>
                <w:color w:val="auto"/>
              </w:rPr>
            </w:pPr>
            <w:r>
              <w:rPr>
                <w:rFonts w:ascii="Arial" w:cs="Arial" w:eastAsia="Arial" w:hAnsi="Arial"/>
                <w:sz w:val="18"/>
                <w:szCs w:val="18"/>
                <w:color w:val="auto"/>
                <w:w w:val="99"/>
              </w:rPr>
              <w:t>Accelerated filer x</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2880" w:type="dxa"/>
            <w:vAlign w:val="bottom"/>
          </w:tcPr>
          <w:p>
            <w:pPr>
              <w:ind w:left="580"/>
              <w:spacing w:after="0"/>
              <w:rPr>
                <w:sz w:val="20"/>
                <w:szCs w:val="20"/>
                <w:color w:val="auto"/>
              </w:rPr>
            </w:pPr>
            <w:r>
              <w:rPr>
                <w:rFonts w:ascii="Arial" w:cs="Arial" w:eastAsia="Arial" w:hAnsi="Arial"/>
                <w:sz w:val="18"/>
                <w:szCs w:val="18"/>
                <w:color w:val="auto"/>
              </w:rPr>
              <w:t>Non-accelerated filer o</w:t>
            </w:r>
          </w:p>
        </w:tc>
        <w:tc>
          <w:tcPr>
            <w:tcW w:w="200" w:type="dxa"/>
            <w:vAlign w:val="bottom"/>
          </w:tcPr>
          <w:p>
            <w:pPr>
              <w:spacing w:after="0"/>
              <w:rPr>
                <w:sz w:val="19"/>
                <w:szCs w:val="19"/>
                <w:color w:val="auto"/>
              </w:rPr>
            </w:pPr>
          </w:p>
        </w:tc>
        <w:tc>
          <w:tcPr>
            <w:tcW w:w="4500" w:type="dxa"/>
            <w:vAlign w:val="bottom"/>
            <w:gridSpan w:val="4"/>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840" w:type="dxa"/>
            <w:vAlign w:val="bottom"/>
            <w:gridSpan w:val="3"/>
          </w:tcPr>
          <w:p>
            <w:pPr>
              <w:ind w:left="36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4"/>
          </w:tcPr>
          <w:p>
            <w:pPr>
              <w:ind w:left="940"/>
              <w:spacing w:after="0"/>
              <w:rPr>
                <w:sz w:val="20"/>
                <w:szCs w:val="20"/>
                <w:color w:val="auto"/>
              </w:rPr>
            </w:pPr>
            <w:r>
              <w:rPr>
                <w:rFonts w:ascii="Arial" w:cs="Arial" w:eastAsia="Arial" w:hAnsi="Arial"/>
                <w:sz w:val="18"/>
                <w:szCs w:val="18"/>
                <w:b w:val="1"/>
                <w:bCs w:val="1"/>
                <w:color w:val="auto"/>
              </w:rPr>
              <w:t>CALCULATION OF REGISTRATION FEE</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5"/>
        </w:trPr>
        <w:tc>
          <w:tcPr>
            <w:tcW w:w="2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r>
      <w:tr>
        <w:trPr>
          <w:trHeight w:val="201"/>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w w:val="83"/>
              </w:rPr>
              <w:t>Proposed</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7"/>
              </w:rPr>
              <w:t>Title of each class of</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maximum</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7"/>
              </w:rPr>
              <w:t>securities to be registered</w:t>
            </w:r>
          </w:p>
        </w:tc>
        <w:tc>
          <w:tcPr>
            <w:tcW w:w="20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8"/>
                <w:szCs w:val="18"/>
                <w:color w:val="auto"/>
              </w:rPr>
              <w:t>Amount to be</w:t>
            </w:r>
          </w:p>
        </w:tc>
        <w:tc>
          <w:tcPr>
            <w:tcW w:w="220" w:type="dxa"/>
            <w:vAlign w:val="bottom"/>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Proposed maximum offering</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aggregate offering</w:t>
            </w: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Amount of</w:t>
            </w:r>
          </w:p>
        </w:tc>
      </w:tr>
      <w:tr>
        <w:trPr>
          <w:trHeight w:val="231"/>
        </w:trPr>
        <w:tc>
          <w:tcPr>
            <w:tcW w:w="288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20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color w:val="auto"/>
              </w:rPr>
              <w:t>registered (1)</w:t>
            </w:r>
          </w:p>
        </w:tc>
        <w:tc>
          <w:tcPr>
            <w:tcW w:w="220" w:type="dxa"/>
            <w:vAlign w:val="bottom"/>
          </w:tcPr>
          <w:p>
            <w:pPr>
              <w:spacing w:after="0"/>
              <w:rPr>
                <w:sz w:val="20"/>
                <w:szCs w:val="20"/>
                <w:color w:val="auto"/>
              </w:rPr>
            </w:pP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 per share (1)</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price (1)</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registration fee</w:t>
            </w:r>
          </w:p>
        </w:tc>
      </w:tr>
      <w:tr>
        <w:trPr>
          <w:trHeight w:val="356"/>
        </w:trPr>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w:t>
            </w:r>
          </w:p>
        </w:tc>
        <w:tc>
          <w:tcPr>
            <w:tcW w:w="2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$.50 per share, Preferred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$35,000,000</w:t>
            </w:r>
          </w:p>
        </w:tc>
        <w:tc>
          <w:tcPr>
            <w:tcW w:w="204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$2,496</w:t>
            </w:r>
          </w:p>
        </w:tc>
      </w:tr>
      <w:tr>
        <w:trPr>
          <w:trHeight w:val="23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Purchase Rights (2)</w:t>
            </w:r>
          </w:p>
        </w:tc>
        <w:tc>
          <w:tcPr>
            <w:tcW w:w="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bl>
    <w:p>
      <w:pPr>
        <w:spacing w:after="0" w:line="248" w:lineRule="exact"/>
        <w:rPr>
          <w:sz w:val="20"/>
          <w:szCs w:val="20"/>
          <w:color w:val="auto"/>
        </w:rPr>
      </w:pPr>
    </w:p>
    <w:p>
      <w:pPr>
        <w:ind w:left="580" w:right="180" w:hanging="347"/>
        <w:spacing w:after="0" w:line="25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registering an indeterminate number of the identified securities up to a proposed maximum aggregate offering price of $35,000,000, which may be offered from time to time at indeterminate prices. The registrant has estimated the proposed maximum aggregate offering price solely for the purpose of calculating the registration fee pursuant to Rule 457(o) under the Securities Act of 1933. Previously paid in connection with the original filing of this Registration Statement on March 18, 2010.</w:t>
      </w:r>
    </w:p>
    <w:p>
      <w:pPr>
        <w:spacing w:after="0" w:line="1" w:lineRule="exact"/>
        <w:rPr>
          <w:rFonts w:ascii="Arial" w:cs="Arial" w:eastAsia="Arial" w:hAnsi="Arial"/>
          <w:sz w:val="18"/>
          <w:szCs w:val="18"/>
          <w:color w:val="auto"/>
        </w:rPr>
      </w:pPr>
    </w:p>
    <w:p>
      <w:pPr>
        <w:ind w:left="580" w:right="300" w:hanging="347"/>
        <w:spacing w:after="0" w:line="30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share of the registrant’s common stock automatically includes a right to purchase one two-hundredths of a share of Series A Preferred Stock, par value $0.01 per share, as adjusted from time to time, which becomes exercisable pursuant to the terms and conditions as set forth in the Winnebago Industries, Inc. Rights Plan Agreement, as amended, between the registrant and Wells Fargo Bank Minnesota, N.A., as Rights Agent.</w:t>
      </w:r>
    </w:p>
    <w:p>
      <w:pPr>
        <w:spacing w:after="0" w:line="157" w:lineRule="exact"/>
        <w:rPr>
          <w:sz w:val="20"/>
          <w:szCs w:val="20"/>
          <w:color w:val="auto"/>
        </w:rPr>
      </w:pPr>
    </w:p>
    <w:p>
      <w:pPr>
        <w:ind w:right="100" w:firstLine="439"/>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FF0000"/>
        </w:rPr>
        <w:t>SUBJECT TO COMPLETION, DATED MARCH 30, 2010</w:t>
      </w:r>
    </w:p>
    <w:p>
      <w:pPr>
        <w:spacing w:after="0" w:line="231"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FF0000"/>
        </w:rPr>
        <w:t>The information in this prospectus is not complete and may be changed. These securities may not be sold nor may offers to buy be accepted prior to the time the registration statement filed with the Securities and Exchange Commission becomes effective. This prospectus is not an offer to sell these securities and is not soliciting an offer to buy these securities in any state or other jurisdiction where the offer or sale is not permitted.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Forest City, Iowa 50436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(641) 585-3535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$0.50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We may offer for sale from time to time in one or more issuances shares of our common stock with an aggregate initial offering price of up to $35,000,000. Each share of our common stock automatically includes one right to purchase one two-hundredth of a share of Series A Preferred Stock, par value $0.01 per share, which becomes exercisable pursuant to the terms and conditions set forth in a Rights Plan Agreement with Wells Fargo Bank Minnesota, N.A., as amended from time to time. We will offer the shares of common stock in an amount and at prices to be determined by market conditions at the time of the offering. We will provide the specific offering terms in supplements to this prospectus. You should read this prospectus and the applicable prospectus supplement carefully before you invest.</w:t>
      </w:r>
    </w:p>
    <w:p>
      <w:pPr>
        <w:spacing w:after="0" w:line="198"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Our common stock trades on the New York Stock Exchange and the Chicago Stock Exchange under the symbol “WGO.” On March 15, 2010, the last reported sale price of our common stock on the New York Stock Exchange was $13.99 per share.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This prospectus may not be used to sell shares of common stock unless accompanied by a prospectus supplement.</w:t>
      </w:r>
    </w:p>
    <w:p>
      <w:pPr>
        <w:spacing w:after="0" w:line="225"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b w:val="1"/>
          <w:bCs w:val="1"/>
          <w:color w:val="auto"/>
        </w:rPr>
        <w:t>Prior to making a decision about investing in our shares of common stock, you should consider carefully the risk factors beginning on page 3 of this prospectus, in any prospectus supplement relating to a specific offering, in our most recently filed Annual Report on Form 10-K and in other filings we may make from time to time with the Securities and Exchange Commission.</w:t>
      </w:r>
    </w:p>
    <w:p>
      <w:pPr>
        <w:spacing w:after="0" w:line="186" w:lineRule="exact"/>
        <w:rPr>
          <w:sz w:val="20"/>
          <w:szCs w:val="20"/>
          <w:color w:val="auto"/>
        </w:rPr>
      </w:pPr>
    </w:p>
    <w:p>
      <w:pPr>
        <w:ind w:right="220" w:firstLine="439"/>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date of this prospectus is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407"/>
        </w:trPr>
        <w:tc>
          <w:tcPr>
            <w:tcW w:w="894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 COMPANY</w:t>
              </w:r>
            </w:hyperlink>
          </w:p>
        </w:tc>
        <w:tc>
          <w:tcPr>
            <w:tcW w:w="1600" w:type="dxa"/>
            <w:vAlign w:val="bottom"/>
            <w:tcBorders>
              <w:top w:val="single" w:sz="8" w:color="0000EE"/>
            </w:tcBorders>
            <w:gridSpan w:val="6"/>
          </w:tcPr>
          <w:p>
            <w:pPr>
              <w:spacing w:after="0"/>
              <w:rPr>
                <w:sz w:val="17"/>
                <w:szCs w:val="17"/>
                <w:color w:val="auto"/>
              </w:rPr>
            </w:pPr>
          </w:p>
        </w:tc>
        <w:tc>
          <w:tcPr>
            <w:tcW w:w="60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CAPITAL STOCK</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614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OPINIONS</w:t>
              </w:r>
            </w:hyperlink>
          </w:p>
        </w:tc>
        <w:tc>
          <w:tcPr>
            <w:tcW w:w="694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680" w:type="dxa"/>
            <w:vAlign w:val="bottom"/>
            <w:tcBorders>
              <w:top w:val="single" w:sz="8" w:color="0000EE"/>
            </w:tcBorders>
            <w:gridSpan w:val="3"/>
          </w:tcPr>
          <w:p>
            <w:pPr>
              <w:spacing w:after="0"/>
              <w:rPr>
                <w:sz w:val="17"/>
                <w:szCs w:val="17"/>
                <w:color w:val="auto"/>
              </w:rPr>
            </w:pPr>
          </w:p>
        </w:tc>
        <w:tc>
          <w:tcPr>
            <w:tcW w:w="750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720" w:type="dxa"/>
            <w:vAlign w:val="bottom"/>
            <w:gridSpan w:val="10"/>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INCORPORATION OF CERTAIN INFORMATION BY REFERENCE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ind w:right="180" w:firstLine="436"/>
        <w:spacing w:after="0" w:line="29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Under this shelf registration process, we may sell shares of our common stock (with accompanying rights to purchase Series A Preferred Stock), in one or more offerings to the public up to a maximum aggregate offering of $35,000,000. This prospectus provides you with a general description of these securities. We will provide a prospectus supplement that contains specific information about any offering by us.</w:t>
      </w:r>
    </w:p>
    <w:p>
      <w:pPr>
        <w:spacing w:after="0" w:line="167" w:lineRule="exact"/>
        <w:rPr>
          <w:sz w:val="20"/>
          <w:szCs w:val="20"/>
          <w:color w:val="auto"/>
        </w:rPr>
      </w:pPr>
    </w:p>
    <w:p>
      <w:pPr>
        <w:jc w:val="both"/>
        <w:ind w:right="220" w:firstLine="436"/>
        <w:spacing w:after="0" w:line="259" w:lineRule="auto"/>
        <w:rPr>
          <w:sz w:val="20"/>
          <w:szCs w:val="20"/>
          <w:color w:val="auto"/>
        </w:rPr>
      </w:pPr>
      <w:r>
        <w:rPr>
          <w:rFonts w:ascii="Arial" w:cs="Arial" w:eastAsia="Arial" w:hAnsi="Arial"/>
          <w:sz w:val="18"/>
          <w:szCs w:val="18"/>
          <w:color w:val="auto"/>
        </w:rPr>
        <w:t>The prospectus supplement also may add, update or change information contained in the prospectus. You should read both this prospectus, including the additional information described under the heading “WHERE YOU CAN FIND MORE INFORMATION,” as well as the prospectus supplement related to any offering.</w:t>
      </w:r>
    </w:p>
    <w:p>
      <w:pPr>
        <w:spacing w:after="0" w:line="194" w:lineRule="exact"/>
        <w:rPr>
          <w:sz w:val="20"/>
          <w:szCs w:val="20"/>
          <w:color w:val="auto"/>
        </w:rPr>
      </w:pPr>
    </w:p>
    <w:p>
      <w:pPr>
        <w:ind w:right="80" w:firstLine="436"/>
        <w:spacing w:after="0" w:line="288" w:lineRule="auto"/>
        <w:rPr>
          <w:sz w:val="20"/>
          <w:szCs w:val="20"/>
          <w:color w:val="auto"/>
        </w:rPr>
      </w:pPr>
      <w:r>
        <w:rPr>
          <w:rFonts w:ascii="Arial" w:cs="Arial" w:eastAsia="Arial" w:hAnsi="Arial"/>
          <w:sz w:val="16"/>
          <w:szCs w:val="16"/>
          <w:color w:val="auto"/>
        </w:rPr>
        <w:t>We have not authorized anyone to provide you with information different from that contained or incorporated by reference in this prospectus or any accompanying prospectus supplement or any “free writing prospectus.” We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 Our business, financial condition, results of operations and prospects may have changed since those dates. You should rely only on the information contained or incorporated by reference in this prospectus or any accompanying prospectus supplement.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into this prospectus or any prospectus supplement – the statement in the document having the later date modifies or supersedes the earlier statement.</w:t>
      </w:r>
    </w:p>
    <w:p>
      <w:pPr>
        <w:spacing w:after="0" w:line="174"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Unless otherwise indicated or the context requires otherwise, all references to the “Company,” “we,” “our” and “us” are used interchangeably to refer to Winnebago Industries, Inc., an Iowa corporation.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color w:val="auto"/>
        </w:rPr>
        <w:t>This prospectus and each prospectus supplement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67" w:lineRule="exact"/>
        <w:rPr>
          <w:sz w:val="20"/>
          <w:szCs w:val="20"/>
          <w:color w:val="auto"/>
        </w:rPr>
      </w:pPr>
    </w:p>
    <w:p>
      <w:pPr>
        <w:ind w:firstLine="429"/>
        <w:spacing w:after="0" w:line="285"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the information described under the heading “RISK FACTORS” beginning on page 3 of this prospectus, the factors discussed under “Item 1A. Risk Factors,” “Management’s Discussion and Analysis of Financial Conditions and Results of Operations” and “Notes to Consolidated Financial Statements” in our Annual Report on Form 10-K for the fiscal year ended August 29, 2009 and any updates in subsequent reports filed with the SEC. We also will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COMPANY</w:t>
      </w:r>
    </w:p>
    <w:p>
      <w:pPr>
        <w:spacing w:after="0" w:line="225" w:lineRule="exact"/>
        <w:rPr>
          <w:sz w:val="20"/>
          <w:szCs w:val="20"/>
          <w:color w:val="auto"/>
        </w:rPr>
      </w:pPr>
    </w:p>
    <w:p>
      <w:pPr>
        <w:ind w:right="40" w:firstLine="436"/>
        <w:spacing w:after="0" w:line="298"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self-contained recreation vehicles (RV) used primarily in leisure travel and outdoor recreation activities. We sell motor homes through independent dealers under the Winnebago, Itasca and ERA brand names. Other products manufactured by us consist primarily of original equipment manufacturing parts, including extruded aluminum and other component products for other manufacturers and commercial vehicles. As of the date of this prospectus, we had no subsidiaries.</w:t>
      </w:r>
    </w:p>
    <w:p>
      <w:pPr>
        <w:spacing w:after="0" w:line="167"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86"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Our web site (www.winnebagoind.com)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related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25" w:lineRule="exact"/>
        <w:rPr>
          <w:sz w:val="20"/>
          <w:szCs w:val="20"/>
          <w:color w:val="auto"/>
        </w:rPr>
      </w:pPr>
    </w:p>
    <w:p>
      <w:pPr>
        <w:ind w:right="80" w:firstLine="436"/>
        <w:spacing w:after="0" w:line="314" w:lineRule="auto"/>
        <w:rPr>
          <w:sz w:val="20"/>
          <w:szCs w:val="20"/>
          <w:color w:val="auto"/>
        </w:rPr>
      </w:pPr>
      <w:r>
        <w:rPr>
          <w:rFonts w:ascii="Arial" w:cs="Arial" w:eastAsia="Arial" w:hAnsi="Arial"/>
          <w:sz w:val="15"/>
          <w:szCs w:val="15"/>
          <w:i w:val="1"/>
          <w:iCs w:val="1"/>
          <w:color w:val="auto"/>
        </w:rPr>
        <w:t>An investment in our shares of common stock involves risk. Prior to making a decision about investing in our shares of common stock, you should carefully consider any risk factors described below, the risk factors contained in a prospectus supplement relating to a specific offering, as well as the risk factors set forth in our most recently filed Annual Report on Form 10-K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or on our behalf. Additional risks and uncertainties not currently known to us or that we currently view as immaterial may also affect our business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can be volatile and may decline substantially.</w:t>
      </w:r>
    </w:p>
    <w:p>
      <w:pPr>
        <w:spacing w:after="0" w:line="231" w:lineRule="exact"/>
        <w:rPr>
          <w:sz w:val="20"/>
          <w:szCs w:val="20"/>
          <w:color w:val="auto"/>
        </w:rPr>
      </w:pPr>
    </w:p>
    <w:p>
      <w:pPr>
        <w:ind w:firstLine="475"/>
        <w:spacing w:after="0" w:line="268" w:lineRule="auto"/>
        <w:rPr>
          <w:sz w:val="20"/>
          <w:szCs w:val="20"/>
          <w:color w:val="auto"/>
        </w:rPr>
      </w:pPr>
      <w:r>
        <w:rPr>
          <w:rFonts w:ascii="Arial" w:cs="Arial" w:eastAsia="Arial" w:hAnsi="Arial"/>
          <w:sz w:val="18"/>
          <w:szCs w:val="18"/>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ectPr>
          <w:pgSz w:w="11900" w:h="16838" w:orient="portrait"/>
          <w:cols w:equalWidth="0" w:num="1">
            <w:col w:w="11420"/>
          </w:cols>
          <w:pgMar w:left="240" w:top="590" w:right="239" w:bottom="1440" w:gutter="0" w:footer="0" w:header="0"/>
        </w:sectPr>
      </w:pPr>
    </w:p>
    <w:p>
      <w:pPr>
        <w:spacing w:after="0" w:line="18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actual or anticipated variations in quarterly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developments in our business or the RV industry generally;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recommendations by securities analysts;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availability of wholesale and retail credit to finance the purchase of RVs;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overall consumer confidence levels;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negative effects on our wholesale sales caused by the combination of slower retail sales and/or dealers reducing their inventory levels by not replacing sold units;</w:t>
      </w:r>
    </w:p>
    <w:p>
      <w:pPr>
        <w:ind w:right="4040"/>
        <w:spacing w:after="0" w:line="326" w:lineRule="auto"/>
        <w:rPr>
          <w:sz w:val="20"/>
          <w:szCs w:val="20"/>
          <w:color w:val="auto"/>
        </w:rPr>
      </w:pPr>
      <w:r>
        <w:rPr>
          <w:rFonts w:ascii="Arial" w:cs="Arial" w:eastAsia="Arial" w:hAnsi="Arial"/>
          <w:sz w:val="18"/>
          <w:szCs w:val="18"/>
          <w:color w:val="auto"/>
        </w:rPr>
        <w:t>operating and stock price performance of other companies that investors deem comparable to us; perceptions in the marketplace regarding us or our competitors; new models or services offered by competitors; and</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significant acquisitions or business combinations, strategic partnerships, joint venture or capital commitments by or involving us, our competitors or our suppliers.</w:t>
      </w:r>
    </w:p>
    <w:p>
      <w:pPr>
        <w:spacing w:after="0" w:line="186" w:lineRule="exact"/>
        <w:rPr>
          <w:sz w:val="20"/>
          <w:szCs w:val="20"/>
          <w:color w:val="auto"/>
        </w:rPr>
      </w:pPr>
    </w:p>
    <w:p>
      <w:pPr>
        <w:sectPr>
          <w:pgSz w:w="11900" w:h="16838" w:orient="portrait"/>
          <w:cols w:equalWidth="0" w:num="2">
            <w:col w:w="320" w:space="260"/>
            <w:col w:w="10840"/>
          </w:cols>
          <w:pgMar w:left="240" w:top="590" w:right="239" w:bottom="1440" w:gutter="0" w:footer="0" w:header="0"/>
          <w:type w:val="continuous"/>
        </w:sectPr>
      </w:pPr>
    </w:p>
    <w:p>
      <w:pPr>
        <w:jc w:val="both"/>
        <w:ind w:firstLine="484"/>
        <w:spacing w:after="0" w:line="298"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authorization to issue shares of preferred stock with greater rights than our common stock.</w:t>
      </w:r>
    </w:p>
    <w:p>
      <w:pPr>
        <w:spacing w:after="0" w:line="231" w:lineRule="exact"/>
        <w:rPr>
          <w:sz w:val="20"/>
          <w:szCs w:val="20"/>
          <w:color w:val="auto"/>
        </w:rPr>
      </w:pPr>
    </w:p>
    <w:p>
      <w:pPr>
        <w:jc w:val="both"/>
        <w:ind w:firstLine="497"/>
        <w:spacing w:after="0" w:line="306"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equity issuances and exercises of outstanding options could result in dilution and depress stock prices.</w:t>
      </w:r>
    </w:p>
    <w:p>
      <w:pPr>
        <w:spacing w:after="0" w:line="231"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8"/>
          <w:szCs w:val="18"/>
          <w:color w:val="auto"/>
        </w:rPr>
        <w:t>From time to time, we issue restricted stock and deferred stock units settled in our common stock and options to purchase our common stock to employees and directors as compensation and as incentives. Vesting of restricted stock and stock units and the exercises of options could result in dilution to existing shareholders. In addition, although we do not presently intend to do so, we may seek to raise capital from the equity markets at discounted prices, which could result in dilution to existing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October 2008, we suspended our quarterly common stock dividends and cannot assure you that we will pay dividends in the future.</w:t>
      </w:r>
    </w:p>
    <w:p>
      <w:pPr>
        <w:spacing w:after="0" w:line="254" w:lineRule="exact"/>
        <w:rPr>
          <w:sz w:val="20"/>
          <w:szCs w:val="20"/>
          <w:color w:val="auto"/>
        </w:rPr>
      </w:pPr>
    </w:p>
    <w:p>
      <w:pPr>
        <w:jc w:val="both"/>
        <w:ind w:firstLine="595"/>
        <w:spacing w:after="0" w:line="294" w:lineRule="auto"/>
        <w:rPr>
          <w:sz w:val="20"/>
          <w:szCs w:val="20"/>
          <w:color w:val="auto"/>
        </w:rPr>
      </w:pPr>
      <w:r>
        <w:rPr>
          <w:rFonts w:ascii="Arial" w:cs="Arial" w:eastAsia="Arial" w:hAnsi="Arial"/>
          <w:sz w:val="16"/>
          <w:szCs w:val="16"/>
          <w:color w:val="auto"/>
        </w:rPr>
        <w:t>In October 2008, our board of directors announced the suspension in our quarterly common stock dividend, in order to conserve capital and maintain liquidity. We do not have plans to resume our quarterly dividend in the near future, and any resumption would require approval under our credit facility. In addition, we may not pay dividends on our common stock unless we have paid dividends on any outstanding preferred stock. Any future dividends will be made at the discretion of our board of directors and will depend upon, among other things, the approval of the lenders participating in our credit facility, our earnings, financial condition and such other factors as our board of directors may deem relevant from time to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articles of incorporation, by-laws and rights plan, as well as Iowa law, may have an anti-takeover effect.</w:t>
      </w:r>
    </w:p>
    <w:p>
      <w:pPr>
        <w:spacing w:after="0" w:line="231"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Provisions of our articles of incorporation, by-laws, rights plan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will have broad discretion as to the use of the proceeds from this offering, and we may not use the proceeds effectively.</w:t>
      </w:r>
    </w:p>
    <w:p>
      <w:pPr>
        <w:spacing w:after="0" w:line="231" w:lineRule="exact"/>
        <w:rPr>
          <w:sz w:val="20"/>
          <w:szCs w:val="20"/>
          <w:color w:val="auto"/>
        </w:rPr>
      </w:pPr>
    </w:p>
    <w:p>
      <w:pPr>
        <w:jc w:val="both"/>
        <w:ind w:firstLine="479"/>
        <w:spacing w:after="0" w:line="306" w:lineRule="auto"/>
        <w:rPr>
          <w:sz w:val="20"/>
          <w:szCs w:val="20"/>
          <w:color w:val="auto"/>
        </w:rPr>
      </w:pPr>
      <w:r>
        <w:rPr>
          <w:rFonts w:ascii="Arial" w:cs="Arial" w:eastAsia="Arial" w:hAnsi="Arial"/>
          <w:sz w:val="16"/>
          <w:szCs w:val="16"/>
          <w:color w:val="auto"/>
        </w:rPr>
        <w:t>We have not designated the amount of net proceeds from this offering that we will use for any particular purpose. Accordingly, our management will have broad discretion as to the application of the net proceeds.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25"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Except as may be otherwise set forth in any prospectus supplement accompanying this prospectus, we will use the net proceeds we receive from sales of common stock offered pursuant to this prospectus for working capital, capital expenditures and general corporate purposes, which may include the repayment of any indebtedness outstanding from time to time or for acquisitions. Pending these uses, the net proceeds may be temporarily invested in short-term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CAPITAL STOCK</w:t>
      </w:r>
    </w:p>
    <w:p>
      <w:pPr>
        <w:spacing w:after="0" w:line="225"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This section describes the general terms of our capital stock. A prospectus supplement may provide information that is different from this prospectus. If the information in the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by-laws, as amended, has been incorporated by reference from our filings with the SEC as exhibits to the registration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231"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March 15, 2010, 51,776,380 shares of our common stock were issued, of which 22,690,103 shares of common stock were held in treasury. Shares of common stock issued pursuant to this prospectus and any applicable prospectus supplement may consist in whole or in part of treasury shares. We are also authorized to issue 10,000,000 shares of preferred stock, par value $.01 per share. As discussed below under the caption “Anti-takeover Measures – Rights to Purchase Series A Preferred Stock,” we have created a series of preferred stock designated as “Series A Preferred Stock” and the number of shares constituting such series is 300,000. No shares of such Series A Preferred Stock and no shares of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Each outstanding share of our common stock is entitled to one vote per share of record on all matters submitted to vote of shareholders and, except as otherwise required by law or in any certificate of designation creating a series of preferred stock, will vote together as a single class with the holders of any outstanding Series A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Rights</w:t>
      </w:r>
    </w:p>
    <w:p>
      <w:pPr>
        <w:spacing w:after="0" w:line="231" w:lineRule="exact"/>
        <w:rPr>
          <w:sz w:val="20"/>
          <w:szCs w:val="20"/>
          <w:color w:val="auto"/>
        </w:rPr>
      </w:pPr>
    </w:p>
    <w:p>
      <w:pPr>
        <w:ind w:right="280" w:firstLine="439"/>
        <w:spacing w:after="0" w:line="298"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Series A Preferred Stock are in arrears, no dividends or other distributions may be declared or paid on the common stock.</w:t>
      </w:r>
    </w:p>
    <w:p>
      <w:pPr>
        <w:spacing w:after="0" w:line="167"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Under our current credit facility with Burdale Capital Finance, Inc., as agent, we may not make cash dividends, distributions or payments with respect to our common stock without the consent of Burdale Capital Finance, Inc., as agent and any lenders thereunder, in their sole discretion.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1" w:lineRule="exact"/>
        <w:rPr>
          <w:sz w:val="20"/>
          <w:szCs w:val="20"/>
          <w:color w:val="auto"/>
        </w:rPr>
      </w:pPr>
    </w:p>
    <w:p>
      <w:pPr>
        <w:ind w:right="200" w:firstLine="439"/>
        <w:spacing w:after="0" w:line="370" w:lineRule="auto"/>
        <w:rPr>
          <w:sz w:val="20"/>
          <w:szCs w:val="20"/>
          <w:color w:val="auto"/>
        </w:rPr>
      </w:pPr>
      <w:r>
        <w:rPr>
          <w:rFonts w:ascii="Arial" w:cs="Arial" w:eastAsia="Arial" w:hAnsi="Arial"/>
          <w:sz w:val="15"/>
          <w:szCs w:val="15"/>
          <w:color w:val="auto"/>
        </w:rPr>
        <w:t>Except for the right to purchase Series A Preferred Stock under the circumstances described in “Anti-takeover Measures – Rights to Purchase Series A Preferred Stock” below, the holders of our common stock do not have preemptive rights to purchase or subscribe for any of our capital stock or other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right="240" w:firstLine="436"/>
        <w:spacing w:after="0" w:line="332" w:lineRule="auto"/>
        <w:rPr>
          <w:sz w:val="20"/>
          <w:szCs w:val="20"/>
          <w:color w:val="auto"/>
        </w:rPr>
      </w:pPr>
      <w:r>
        <w:rPr>
          <w:rFonts w:ascii="Arial" w:cs="Arial" w:eastAsia="Arial" w:hAnsi="Arial"/>
          <w:sz w:val="16"/>
          <w:szCs w:val="16"/>
          <w:color w:val="auto"/>
        </w:rPr>
        <w:t>The shares of our common stock are not subject to redemption by operation of a sinking fund or otherwise. Any outstanding shares of Series A Preferred Stock will be subject to redemption as described in “Anti-takeover Measures – Rights to Purchase Series A Preferred Stock”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In the event of any liquidation, dissolution or winding up of the Company, subject to the rights of the holders of the Series A Preferred Stock that may be issued in the future and the possible prior rights of holders of other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Restricted Shares and Deferred Stock Units</w:t>
      </w:r>
    </w:p>
    <w:p>
      <w:pPr>
        <w:spacing w:after="0" w:line="231" w:lineRule="exact"/>
        <w:rPr>
          <w:sz w:val="20"/>
          <w:szCs w:val="20"/>
          <w:color w:val="auto"/>
        </w:rPr>
      </w:pPr>
    </w:p>
    <w:p>
      <w:pPr>
        <w:ind w:firstLine="429"/>
        <w:spacing w:after="0" w:line="259" w:lineRule="auto"/>
        <w:rPr>
          <w:sz w:val="20"/>
          <w:szCs w:val="20"/>
          <w:color w:val="auto"/>
        </w:rPr>
      </w:pPr>
      <w:r>
        <w:rPr>
          <w:rFonts w:ascii="Arial" w:cs="Arial" w:eastAsia="Arial" w:hAnsi="Arial"/>
          <w:sz w:val="18"/>
          <w:szCs w:val="18"/>
          <w:color w:val="auto"/>
        </w:rPr>
        <w:t>As of March 15, 2010, we had outstanding (i) stock options to purchase 985,615 shares of our common stock, all of which were issuable upon exercise of vested stock options as of that date, (ii) 43,310 unvested restricted stock awards and (iii) 94,876 stock units held by certain of our directors, which are to be settled 100% in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and the Chicago Stock Exchange under the symbol “WGO.”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620" w:firstLine="436"/>
        <w:spacing w:after="0" w:line="268" w:lineRule="auto"/>
        <w:rPr>
          <w:sz w:val="20"/>
          <w:szCs w:val="20"/>
          <w:color w:val="auto"/>
        </w:rPr>
      </w:pPr>
      <w:r>
        <w:rPr>
          <w:rFonts w:ascii="Arial" w:cs="Arial" w:eastAsia="Arial" w:hAnsi="Arial"/>
          <w:sz w:val="18"/>
          <w:szCs w:val="18"/>
          <w:color w:val="auto"/>
        </w:rPr>
        <w:t>The transfer agent and registrar for our common stock is Wells Fargo Bank, N.A., Attention: Wells Fargo Shareowner Services, 161 North Concord Exchange, South St. Paul, Minnesota 55075-1139.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231" w:lineRule="exact"/>
        <w:rPr>
          <w:sz w:val="20"/>
          <w:szCs w:val="20"/>
          <w:color w:val="auto"/>
        </w:rPr>
      </w:pPr>
    </w:p>
    <w:p>
      <w:pPr>
        <w:ind w:right="40" w:firstLine="439"/>
        <w:spacing w:after="0" w:line="332"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ectPr>
          <w:pgSz w:w="11900" w:h="16838" w:orient="portrait"/>
          <w:cols w:equalWidth="0" w:num="1">
            <w:col w:w="11420"/>
          </w:cols>
          <w:pgMar w:left="240" w:top="590" w:right="239" w:bottom="1440" w:gutter="0" w:footer="0" w:header="0"/>
        </w:sectPr>
      </w:pPr>
    </w:p>
    <w:p>
      <w:pPr>
        <w:spacing w:after="0" w:line="14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an acquisition of us by means of a tender or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an acquisition of us by means of a proxy contest or otherwise; or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removal of a majority or all of our incumbent officers and directors.</w:t>
      </w:r>
    </w:p>
    <w:p>
      <w:pPr>
        <w:spacing w:after="0" w:line="276" w:lineRule="exact"/>
        <w:rPr>
          <w:sz w:val="20"/>
          <w:szCs w:val="20"/>
          <w:color w:val="auto"/>
        </w:rPr>
      </w:pPr>
    </w:p>
    <w:p>
      <w:pPr>
        <w:sectPr>
          <w:pgSz w:w="11900" w:h="16838" w:orient="portrait"/>
          <w:cols w:equalWidth="0" w:num="2">
            <w:col w:w="320" w:space="260"/>
            <w:col w:w="10840"/>
          </w:cols>
          <w:pgMar w:left="240" w:top="590" w:right="239" w:bottom="1440" w:gutter="0" w:footer="0" w:header="0"/>
          <w:type w:val="continuous"/>
        </w:sectPr>
      </w:pPr>
    </w:p>
    <w:p>
      <w:pPr>
        <w:spacing w:after="0" w:line="39" w:lineRule="exact"/>
        <w:rPr>
          <w:sz w:val="20"/>
          <w:szCs w:val="20"/>
          <w:color w:val="auto"/>
        </w:rPr>
      </w:pPr>
    </w:p>
    <w:p>
      <w:pPr>
        <w:ind w:right="180" w:firstLine="436"/>
        <w:spacing w:after="0" w:line="290"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This description is intended as a summary only and is qualified in its entirety by reference to our articles of incorporation and by-laws, as amended from time to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Articles of Incorporation, By-laws and Iowa Law</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Authorized But Unissued Capital Stock</w:t>
      </w:r>
    </w:p>
    <w:p>
      <w:pPr>
        <w:spacing w:after="0" w:line="225"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we issue preferred stock, the issuance could adversely affect the likelihood that common shareholders will receive dividend payments and payments upon liquidation.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Blank Check Preferred Stock</w:t>
      </w:r>
    </w:p>
    <w:p>
      <w:pPr>
        <w:spacing w:after="0" w:line="225"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Number of Directors; Removal; Filling Vacancies</w:t>
      </w:r>
    </w:p>
    <w:p>
      <w:pPr>
        <w:spacing w:after="0" w:line="225" w:lineRule="exact"/>
        <w:rPr>
          <w:sz w:val="20"/>
          <w:szCs w:val="20"/>
          <w:color w:val="auto"/>
        </w:rPr>
      </w:pPr>
    </w:p>
    <w:p>
      <w:pPr>
        <w:ind w:right="160" w:firstLine="439"/>
        <w:spacing w:after="0" w:line="294"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Shareholder Action</w:t>
      </w:r>
    </w:p>
    <w:p>
      <w:pPr>
        <w:spacing w:after="0" w:line="225"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unless such person or entity acquires a sufficient amount of our outstanding voting stock, the person or entity would not be able to call a shareholder meeting or act by written consent.</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Requirements for Advance Notification of Shareholder Nominations and Proposals</w:t>
      </w:r>
    </w:p>
    <w:p>
      <w:pPr>
        <w:spacing w:after="0" w:line="225"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Classified Board of Directors</w:t>
      </w:r>
    </w:p>
    <w:p>
      <w:pPr>
        <w:spacing w:after="0" w:line="22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Iowa Business Combination Statute</w:t>
      </w:r>
    </w:p>
    <w:p>
      <w:pPr>
        <w:spacing w:after="0" w:line="225" w:lineRule="exact"/>
        <w:rPr>
          <w:sz w:val="20"/>
          <w:szCs w:val="20"/>
          <w:color w:val="auto"/>
        </w:rPr>
      </w:pPr>
    </w:p>
    <w:p>
      <w:pPr>
        <w:ind w:right="40" w:firstLine="436"/>
        <w:spacing w:after="0" w:line="285"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 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 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Rights to Purchase Series A Preferred Stock</w:t>
      </w:r>
    </w:p>
    <w:p>
      <w:pPr>
        <w:spacing w:after="0" w:line="231"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On May 3, 2000, our board of directors declared a dividend of one preferred stock purchase right (a “Right” or “Rights”) for each outstanding share of our common stock. Each Right initially represented the right to purchase from us one one-hundredth of a share of our Series A Preferred Stock, par value $0.01 per share (“Series A Preferred Shares”), at a price of $67.25 per one one-hundredth of a share (the “Purchase Price”). As a result of a two-for-one split of our common stock paid in the form of a stock dividend on March 5, 2004, the number of one one-hundredths of a Series A Preferred Share purchasable upon the proper exercise of a Right was adjusted such that after the stock split each Right represents the right to purchase one two-hundredths of a Series A Preferred Share.</w:t>
      </w:r>
    </w:p>
    <w:p>
      <w:pPr>
        <w:spacing w:after="0" w:line="198"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description and terms of the Rights are set forth in a Winnebago Industries, Inc. Rights Plan Agreement, as amended (the “Rights Agreement”) between the Company and Wells Fargo Bank Minnesota, N.A. (formerly known as Norwest Bank Minnesota, N.A.), as Rights Agent (the “Rights Agent”). This summary description of the Rights does not purport to be complete and is qualified in its entirety by reference to the Rights Agreement, as amended from time to time, which is incorporated in this prospectus by reference.</w:t>
      </w:r>
    </w:p>
    <w:p>
      <w:pPr>
        <w:spacing w:after="0" w:line="19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Initially, (i) the Rights will not be exercisable, (ii) separate evidence of ownership of the Rights will not be sent to shareholders, (iii) the Rights will be evidenced by the common stock certificates, (iv) the Rights will automatically trade with the common stock, (v) the Rights will be transferred with and only with such common stock, and (vi) the surrender for transfer of any certificates for common stock outstanding will also constitute the transfer of the Rights associated with the common stock represented thereby.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Separate certificates representing the Rights (“Rights Certificates”) will be distributed as soon as practicable after the “Distribution Date,” which is the close of business on the earlier of: (i) 10 days following a public announcement that a person or group of affiliated or associated persons (an “Acquiring Person”) has acquired beneficial ownership of 15% or more of the outstanding shares of the common stock or (ii) 15 business days (or such later date as may be determined by action of the Board of Directors of the Company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shares of our common stock.</w:t>
      </w:r>
    </w:p>
    <w:p>
      <w:pPr>
        <w:spacing w:after="0" w:line="174"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color w:val="auto"/>
        </w:rPr>
        <w:t>The Company, any subsidiary, any employee benefit plan of the Company or any of its subsidiaries, any person or entity holding common shares for or pursuant to the terms of any such employee benefit plan, any person or entity acquiring common shares directly from the Company after date of the Rights Agreement, certain members of the Hanson family (including trusts and estates established by such Hanson family members) and the John K. and Luise V. Hanson Foundation are exempt from the applicability of the Rights Agreement as it relates to the acquisition of 15% or more of the outstanding Common Shares. In addition, amendments to the Right Plan were made on January 13, 2003 and May 17, 2006, respectively, to permit FMR Corp., its affiliates and associates (collectively, “FMR”) and Royce &amp; Associates, LLC, its affiliates and associates (“Royce”), to become the beneficial owner of up to 20% of our outstanding common stock, provided that FMR or Royce, in its filings under the Exchange Act, does not state any present intention to hold shares of our common stock with the purpose or effect of changing or influencing control of us.</w:t>
      </w:r>
    </w:p>
    <w:p>
      <w:pPr>
        <w:spacing w:after="0" w:line="172" w:lineRule="exact"/>
        <w:rPr>
          <w:sz w:val="20"/>
          <w:szCs w:val="20"/>
          <w:color w:val="auto"/>
        </w:rPr>
      </w:pPr>
    </w:p>
    <w:p>
      <w:pPr>
        <w:ind w:right="460" w:firstLine="436"/>
        <w:spacing w:after="0" w:line="268" w:lineRule="auto"/>
        <w:rPr>
          <w:sz w:val="20"/>
          <w:szCs w:val="20"/>
          <w:color w:val="auto"/>
        </w:rPr>
      </w:pPr>
      <w:r>
        <w:rPr>
          <w:rFonts w:ascii="Arial" w:cs="Arial" w:eastAsia="Arial" w:hAnsi="Arial"/>
          <w:sz w:val="18"/>
          <w:szCs w:val="18"/>
          <w:color w:val="auto"/>
        </w:rPr>
        <w:t>The Rights are not exercisable until the Distribution Date. The Rights will expire on May 3, 2010 (the “Final Expiration Date”), unless the Rights are earlier redeemed or exchanged by the Company, in each case, as described below.</w:t>
      </w:r>
    </w:p>
    <w:p>
      <w:pPr>
        <w:spacing w:after="0" w:line="186" w:lineRule="exact"/>
        <w:rPr>
          <w:sz w:val="20"/>
          <w:szCs w:val="20"/>
          <w:color w:val="auto"/>
        </w:rPr>
      </w:pPr>
    </w:p>
    <w:p>
      <w:pPr>
        <w:ind w:right="40" w:firstLine="436"/>
        <w:spacing w:after="0" w:line="302" w:lineRule="auto"/>
        <w:rPr>
          <w:sz w:val="20"/>
          <w:szCs w:val="20"/>
          <w:color w:val="auto"/>
        </w:rPr>
      </w:pPr>
      <w:r>
        <w:rPr>
          <w:rFonts w:ascii="Arial" w:cs="Arial" w:eastAsia="Arial" w:hAnsi="Arial"/>
          <w:sz w:val="15"/>
          <w:szCs w:val="15"/>
          <w:color w:val="auto"/>
        </w:rPr>
        <w:t>The Purchase Price payable, and the number of Series A Preferred Shares or other securities or property issuable, upon exercise of the Rights are subject to adjustment from time to time to prevent dilution (i) in the event of a stock dividend on, or a subdivision, combination or reclassification of, the Series A Preferred Shares, (ii) upon the grant to holders of the Series A Preferred Shares of certain rights or warrants to subscribe for or purchase Series A Preferred Shares at a price, or securities convertible into Series A Preferred Shares with a conversion price, less than the then-current market price of the Series A Preferred Shares or</w:t>
      </w:r>
    </w:p>
    <w:p>
      <w:pPr>
        <w:spacing w:after="0" w:line="3" w:lineRule="exact"/>
        <w:rPr>
          <w:sz w:val="20"/>
          <w:szCs w:val="20"/>
          <w:color w:val="auto"/>
        </w:rPr>
      </w:pPr>
    </w:p>
    <w:p>
      <w:pPr>
        <w:ind w:right="20" w:firstLine="8"/>
        <w:spacing w:after="0" w:line="323"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upon the distribution to holders of the Series A Preferred Shares of evidences of indebtedness or assets (excluding regular periodic cash dividends paid out of earnings or retained earnings or dividends payable in Series A Preferred Shares) or of subscription rights or warrants (other than those referred to above).</w:t>
      </w:r>
    </w:p>
    <w:p>
      <w:pPr>
        <w:spacing w:after="0" w:line="147"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The number of outstanding Rights and the number of Series A Preferred Shares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194"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Series A Preferred Shares purchasable upon exercise of the Rights will not be redeemable. As set forth in the designations of the Series A Preferred Shares, each Series A Preferred Share will be entitled to a minimum preferential quarterly dividend payment of $1.00 per share but will be entitled to an aggregate dividend of 100 times the dividend declared per common share. In the event of liquidation, the holders of the Series A Preferred Shares will be entitled to a minimum preferential liquidation payment of $100 per share but will be entitled to an aggregate payment of 100 times the payment made per common share. Each Series A Preferred Share will have 100 votes, voting together with the common shares. Finally, in the event of any merger, consolidation or other transaction in which common shares are exchanged, each Series A Preferred Share will be entitled to receive 100 times the amount received per common share. These rights have been and continue to be protected by customary anti-dilution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In the event that the Company is acquired in a merger or other business combination transaction or 50% or more of its consolidated assets or earning power is sold after a person or group has become an Acquiring Person,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any person or group of affiliated or associated persons becomes an Acquiring Person, proper provision shall be made so that each holder of a Right, other than Rights beneficially owned by the Acquiring Person (which Rights will thereafter be void), will thereafter have the right to receive upon exercise that number of common shares having a market value of two times the exercise price of the Right. The Board of Directors of the Company may elect, in lieu of issuing common shares upon the exercise of the Rights, to pay or issue cash, property or other securities, or any combination thereof, having a market value equal to the market value of the common shares which would otherwise be issuable upon exercise of the Rights.</w:t>
      </w:r>
    </w:p>
    <w:p>
      <w:pPr>
        <w:spacing w:after="0" w:line="174" w:lineRule="exact"/>
        <w:rPr>
          <w:sz w:val="20"/>
          <w:szCs w:val="20"/>
          <w:color w:val="auto"/>
        </w:rPr>
      </w:pPr>
    </w:p>
    <w:p>
      <w:pPr>
        <w:ind w:right="20" w:firstLine="429"/>
        <w:spacing w:after="0" w:line="298" w:lineRule="auto"/>
        <w:rPr>
          <w:sz w:val="20"/>
          <w:szCs w:val="20"/>
          <w:color w:val="auto"/>
        </w:rPr>
      </w:pPr>
      <w:r>
        <w:rPr>
          <w:rFonts w:ascii="Arial" w:cs="Arial" w:eastAsia="Arial" w:hAnsi="Arial"/>
          <w:sz w:val="16"/>
          <w:szCs w:val="16"/>
          <w:color w:val="auto"/>
        </w:rPr>
        <w:t>At any time after any person or group becomes an Acquiring Person and prior to the acquisition by such person or group of 50% or more of our outstanding common shares, the Board of Directors of the Company may exchange the Rights (other than Rights owned by such person or group which will have become void), in whole or in part, at an exchange ratio of one common share or, as adjusted, one two-hundredths of Series A Preferred Shares (or of a share of a class or series of the Company’s preferred stock having equivalent rights, preferences and privileges), per Right (subject to further adjustment).</w:t>
      </w:r>
    </w:p>
    <w:p>
      <w:pPr>
        <w:spacing w:after="0" w:line="167" w:lineRule="exact"/>
        <w:rPr>
          <w:sz w:val="20"/>
          <w:szCs w:val="20"/>
          <w:color w:val="auto"/>
        </w:rPr>
      </w:pPr>
    </w:p>
    <w:p>
      <w:pPr>
        <w:ind w:right="360" w:firstLine="436"/>
        <w:spacing w:after="0" w:line="268" w:lineRule="auto"/>
        <w:rPr>
          <w:sz w:val="20"/>
          <w:szCs w:val="20"/>
          <w:color w:val="auto"/>
        </w:rPr>
      </w:pPr>
      <w:r>
        <w:rPr>
          <w:rFonts w:ascii="Arial" w:cs="Arial" w:eastAsia="Arial" w:hAnsi="Arial"/>
          <w:sz w:val="18"/>
          <w:szCs w:val="18"/>
          <w:color w:val="auto"/>
        </w:rPr>
        <w:t>With certain exceptions, no adjustment in the Purchase Price will be required until cumulative adjustments require an adjustment of at least 1% in such Purchase Price.</w:t>
      </w:r>
    </w:p>
    <w:p>
      <w:pPr>
        <w:spacing w:after="0" w:line="186" w:lineRule="exact"/>
        <w:rPr>
          <w:sz w:val="20"/>
          <w:szCs w:val="20"/>
          <w:color w:val="auto"/>
        </w:rPr>
      </w:pPr>
    </w:p>
    <w:p>
      <w:pPr>
        <w:jc w:val="both"/>
        <w:ind w:right="440" w:firstLine="439"/>
        <w:spacing w:after="0" w:line="259" w:lineRule="auto"/>
        <w:rPr>
          <w:sz w:val="20"/>
          <w:szCs w:val="20"/>
          <w:color w:val="auto"/>
        </w:rPr>
      </w:pPr>
      <w:r>
        <w:rPr>
          <w:rFonts w:ascii="Arial" w:cs="Arial" w:eastAsia="Arial" w:hAnsi="Arial"/>
          <w:sz w:val="18"/>
          <w:szCs w:val="18"/>
          <w:color w:val="auto"/>
        </w:rPr>
        <w:t>No fractional Series A Preferred Shares will be issued (other than fractions which are integral multiples of one two-hundredth of a Series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94" w:lineRule="exact"/>
        <w:rPr>
          <w:sz w:val="20"/>
          <w:szCs w:val="20"/>
          <w:color w:val="auto"/>
        </w:rPr>
      </w:pPr>
    </w:p>
    <w:p>
      <w:pPr>
        <w:ind w:right="180" w:firstLine="429"/>
        <w:spacing w:after="0" w:line="294" w:lineRule="auto"/>
        <w:rPr>
          <w:sz w:val="20"/>
          <w:szCs w:val="20"/>
          <w:color w:val="auto"/>
        </w:rPr>
      </w:pPr>
      <w:r>
        <w:rPr>
          <w:rFonts w:ascii="Arial" w:cs="Arial" w:eastAsia="Arial" w:hAnsi="Arial"/>
          <w:sz w:val="16"/>
          <w:szCs w:val="16"/>
          <w:color w:val="auto"/>
        </w:rPr>
        <w:t>At any time prior to the acquisition by a person or group of affiliated or associated persons of beneficial ownership of 15% or more (or, with respect to FMR or Royce, 20% or more, as described above) of our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170"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197"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The Rights may have certain anti-takeover effects. The Rights will cause substantial dilution to a person or group that attempts to acquire us on terms not approved by the board of directors and, accordingly, will make more difficult a change of control that is opposed by our board of directors. Thus, the Rights are intended to encourage persons who may seek to acquire control of us to initiate such an acquisition through negotiations with the board of directors. Nevertheless, the Rights also may discourage a third party from making a partial tender offer or otherwise attempting to obtain a substantial equity position in, or seeking to obtain control of, us. To the extent any potential acquirers are deterred by the Rights, the Rights may have the effect of preserving incumbent management in office.</w:t>
      </w:r>
    </w:p>
    <w:p>
      <w:pPr>
        <w:spacing w:after="0" w:line="198"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including, without limitation, the right to vote or to receive dividends.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Potential Payments Upon a Change of Control</w:t>
      </w:r>
    </w:p>
    <w:p>
      <w:pPr>
        <w:spacing w:after="0" w:line="231"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72"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PLAN OF DISTRIBUTION</w:t>
      </w:r>
    </w:p>
    <w:p>
      <w:pPr>
        <w:spacing w:after="0" w:line="225" w:lineRule="exact"/>
        <w:rPr>
          <w:sz w:val="20"/>
          <w:szCs w:val="20"/>
          <w:color w:val="auto"/>
        </w:rPr>
      </w:pPr>
    </w:p>
    <w:p>
      <w:pPr>
        <w:ind w:right="200" w:firstLine="436"/>
        <w:spacing w:after="0" w:line="298" w:lineRule="auto"/>
        <w:rPr>
          <w:sz w:val="20"/>
          <w:szCs w:val="20"/>
          <w:color w:val="auto"/>
        </w:rPr>
      </w:pPr>
      <w:r>
        <w:rPr>
          <w:rFonts w:ascii="Arial" w:cs="Arial" w:eastAsia="Arial" w:hAnsi="Arial"/>
          <w:sz w:val="16"/>
          <w:szCs w:val="16"/>
          <w:color w:val="auto"/>
        </w:rPr>
        <w:t>We may sell the shares of common stock offered by this prospectus through underwriters, through dealers, through agents, directly to other purchasers or through a combination of these methods, as described in the prospectus supplement relating to an offering of shares of common stock.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specific information relating to the terms of the offering, including:</w:t>
      </w:r>
    </w:p>
    <w:p>
      <w:pPr>
        <w:spacing w:after="0" w:line="239" w:lineRule="exact"/>
        <w:rPr>
          <w:sz w:val="20"/>
          <w:szCs w:val="20"/>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or names of any underwriters or agents;</w:t>
      </w:r>
    </w:p>
    <w:p>
      <w:pPr>
        <w:spacing w:after="0" w:line="15"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of the shares of common stock;</w:t>
      </w:r>
    </w:p>
    <w:p>
      <w:pPr>
        <w:spacing w:after="0" w:line="9"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proceeds from the sale of the shares of common stock;</w:t>
      </w:r>
    </w:p>
    <w:p>
      <w:pPr>
        <w:spacing w:after="0" w:line="9"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 and</w:t>
      </w:r>
    </w:p>
    <w:p>
      <w:pPr>
        <w:spacing w:after="0" w:line="9"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initial public offering price and any discounts or concessions allowed or re-allowed or paid to dealers.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w:t>
      </w:r>
    </w:p>
    <w:p>
      <w:pPr>
        <w:spacing w:after="0" w:line="231"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 The obligations of the underwriters to purchase the shares of common stock will be subject to certain conditions. The initial public offering price and any discounts or concessions allowed or re-allowed or paid to dealers may be changed from time to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Dealers</w:t>
      </w:r>
    </w:p>
    <w:p>
      <w:pPr>
        <w:spacing w:after="0" w:line="231"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we will sell the shares of common stock to the dealers as principals. The dealers may then resell the common stock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 and Direct Sales</w:t>
      </w:r>
    </w:p>
    <w:p>
      <w:pPr>
        <w:spacing w:after="0" w:line="23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We may sell the shares of common stock directly to the public, without the use of underwriters, dealers or agents. We may also sell the common stock through agents we designate from time to time. The applicable prospectus supplement will contain more information about the agents, including the names of the agents and any commission we agree to pay the agents.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100" w:firstLine="439"/>
        <w:spacing w:after="0" w:line="291"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us and any profit on the resale of shares of common stock by them may be deemed to be underwriting discounts and commissions under the Securities Act. Any person who may be deemed to be an underwriter will be identified, and any compensation received from us will be described in the prospectus supplement. Our outstanding common stock is listed for trading on the New York Stock Exchange and the Chicago Stock Exchange. We may engage in at-the-market offerings into an existing trading market in accordance with Securities Act Rule 415(a)(4). Any at-the-market offering will be through an underwriter or underwriters acting as principal or agent for us.</w:t>
      </w:r>
    </w:p>
    <w:p>
      <w:pPr>
        <w:spacing w:after="0" w:line="174"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Under agreements into which we may enter in connection with the sale of shares of common stock, underwriters, dealers and agents who participate in the distribution of shares of common stock may be entitled to indemnification by us against specified liabilities, including liabilities under the Securities Act. Agents, dealers and underwriters may be customers of, engage in transactions with, or perform services for us in the ordinary course of business.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LEGAL OPINIONS</w:t>
      </w:r>
    </w:p>
    <w:p>
      <w:pPr>
        <w:spacing w:after="0" w:line="225" w:lineRule="exact"/>
        <w:rPr>
          <w:sz w:val="20"/>
          <w:szCs w:val="20"/>
          <w:color w:val="auto"/>
        </w:rPr>
      </w:pPr>
    </w:p>
    <w:p>
      <w:pPr>
        <w:ind w:right="80" w:firstLine="436"/>
        <w:spacing w:after="0" w:line="332" w:lineRule="auto"/>
        <w:rPr>
          <w:sz w:val="20"/>
          <w:szCs w:val="20"/>
          <w:color w:val="auto"/>
        </w:rPr>
      </w:pPr>
      <w:r>
        <w:rPr>
          <w:rFonts w:ascii="Arial" w:cs="Arial" w:eastAsia="Arial" w:hAnsi="Arial"/>
          <w:sz w:val="16"/>
          <w:szCs w:val="16"/>
          <w:color w:val="auto"/>
        </w:rPr>
        <w:t>The validity of the securities offered hereby will be passed upon by Chapman and Cutler LLP, Chicago, Illinois. Certain legal matters may be passed upon for any agents or underwriters by counsel for such agents or underwriters identified in the applicable prospectus supplement.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EXPERTS</w:t>
      </w:r>
    </w:p>
    <w:p>
      <w:pPr>
        <w:spacing w:after="0" w:line="225" w:lineRule="exact"/>
        <w:rPr>
          <w:sz w:val="20"/>
          <w:szCs w:val="20"/>
          <w:color w:val="auto"/>
        </w:rPr>
      </w:pPr>
    </w:p>
    <w:p>
      <w:pPr>
        <w:ind w:right="40" w:firstLine="436"/>
        <w:spacing w:after="0" w:line="290" w:lineRule="auto"/>
        <w:rPr>
          <w:sz w:val="20"/>
          <w:szCs w:val="20"/>
          <w:color w:val="auto"/>
        </w:rPr>
      </w:pPr>
      <w:r>
        <w:rPr>
          <w:rFonts w:ascii="Arial" w:cs="Arial" w:eastAsia="Arial" w:hAnsi="Arial"/>
          <w:sz w:val="16"/>
          <w:szCs w:val="16"/>
          <w:color w:val="auto"/>
        </w:rPr>
        <w:t>The consolidated financial statements of Winnebago Industries, Inc., incorporated herein by reference from Winnebago Industries, Inc.’s Annual Report (Form 10-K), for the year ended August 29, 2009, and the effectiveness of Winnebago Industries, Inc.’s internal control over financial reporting as of August 29, 2009, have been audited by Deloitte &amp; Touche LLP, independent registered public accounting firm, as stated in their reports (which reports (1) express an unqualified opinion on the consolidated financial statements and include an explanatory paragraph related to the Company’s change in the method of accounting for unrecognized tax benefits described in Note 11 and (2) express an unqualified opinion on the effectiveness of internal control over financial reporting), which are incorporated herein by reference. Such consolidated financial statements are incorporated herein by reference in reliance upon such reports given on the authority of such firm as experts in accounting and auditing.</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25" w:lineRule="exact"/>
        <w:rPr>
          <w:sz w:val="20"/>
          <w:szCs w:val="20"/>
          <w:color w:val="auto"/>
        </w:rPr>
      </w:pPr>
    </w:p>
    <w:p>
      <w:pPr>
        <w:jc w:val="both"/>
        <w:ind w:right="280" w:firstLine="436"/>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16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INCORPORATION OF CERTAIN INFORMATION BY REFERENCE</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10" w:lineRule="exact"/>
        <w:rPr>
          <w:sz w:val="20"/>
          <w:szCs w:val="20"/>
          <w:color w:val="auto"/>
        </w:rPr>
      </w:pPr>
    </w:p>
    <w:p>
      <w:pPr>
        <w:ind w:left="580" w:hanging="31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29, 2009;</w:t>
      </w:r>
    </w:p>
    <w:p>
      <w:pPr>
        <w:spacing w:after="0" w:line="15" w:lineRule="exact"/>
        <w:rPr>
          <w:rFonts w:ascii="Arial" w:cs="Arial" w:eastAsia="Arial" w:hAnsi="Arial"/>
          <w:sz w:val="18"/>
          <w:szCs w:val="18"/>
          <w:color w:val="auto"/>
        </w:rPr>
      </w:pPr>
    </w:p>
    <w:p>
      <w:pPr>
        <w:ind w:left="580" w:hanging="31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November 28, 2009;</w:t>
      </w:r>
    </w:p>
    <w:p>
      <w:pPr>
        <w:spacing w:after="0" w:line="9" w:lineRule="exact"/>
        <w:rPr>
          <w:rFonts w:ascii="Arial" w:cs="Arial" w:eastAsia="Arial" w:hAnsi="Arial"/>
          <w:sz w:val="18"/>
          <w:szCs w:val="18"/>
          <w:color w:val="auto"/>
        </w:rPr>
      </w:pPr>
    </w:p>
    <w:p>
      <w:pPr>
        <w:ind w:left="580" w:right="540" w:hanging="31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(to the extent such Current Report, or portion thereof, is deemed filed for the purpose of the Exchange Act) on October 15, 2009, December 10, 2009, December 17, 2009 and March 29, 2010; and</w:t>
      </w:r>
    </w:p>
    <w:p>
      <w:pPr>
        <w:ind w:left="580" w:right="620" w:hanging="312"/>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August 29, 2009 from our definitive proxy statement on Schedule 14A filed with the SEC on October 27, 2009.</w:t>
      </w:r>
    </w:p>
    <w:p>
      <w:pPr>
        <w:spacing w:after="0" w:line="192"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 follows:</w:t>
      </w: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605 W. Crystal Lake Rd.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Forest City, IA 50436</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Phone: (641) 585-6966</w:t>
      </w:r>
    </w:p>
    <w:p>
      <w:pPr>
        <w:spacing w:after="0" w:line="219" w:lineRule="exact"/>
        <w:rPr>
          <w:sz w:val="20"/>
          <w:szCs w:val="20"/>
          <w:color w:val="auto"/>
        </w:rPr>
      </w:pPr>
    </w:p>
    <w:p>
      <w:pPr>
        <w:ind w:right="160" w:firstLine="429"/>
        <w:spacing w:after="0" w:line="291"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231"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Set forth below is an estimate of the approximate amount of our fees and expenses (other than underwriting discounts and commissions) in connection with the issuance of the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Registration fee under the Securities Act of 1933</w:t>
            </w: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1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Accounting services*</w:t>
            </w:r>
          </w:p>
        </w:tc>
        <w:tc>
          <w:tcPr>
            <w:tcW w:w="1500" w:type="dxa"/>
            <w:vAlign w:val="bottom"/>
            <w:shd w:val="clear" w:color="auto" w:fill="D6F3E8"/>
          </w:tcPr>
          <w:p>
            <w:pPr>
              <w:spacing w:after="0"/>
              <w:rPr>
                <w:sz w:val="18"/>
                <w:szCs w:val="18"/>
                <w:color w:val="auto"/>
              </w:rPr>
            </w:pP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Legal fees of company counsel*</w:t>
            </w:r>
          </w:p>
        </w:tc>
        <w:tc>
          <w:tcPr>
            <w:tcW w:w="1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Expenses and counsel fees for qualification or registration of the Securities under state securities laws*</w:t>
            </w:r>
          </w:p>
        </w:tc>
        <w:tc>
          <w:tcPr>
            <w:tcW w:w="1500" w:type="dxa"/>
            <w:vAlign w:val="bottom"/>
            <w:shd w:val="clear" w:color="auto" w:fill="D6F3E8"/>
          </w:tcPr>
          <w:p>
            <w:pPr>
              <w:spacing w:after="0"/>
              <w:rPr>
                <w:sz w:val="18"/>
                <w:szCs w:val="18"/>
                <w:color w:val="auto"/>
              </w:rPr>
            </w:pP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Miscellaneous, including traveling, telephone, copying, shipping, and other out-of-pocket expenses*</w:t>
            </w:r>
          </w:p>
        </w:tc>
        <w:tc>
          <w:tcPr>
            <w:tcW w:w="15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92"/>
              </w:rPr>
              <w:t>120,000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6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18"/>
                <w:szCs w:val="18"/>
                <w:color w:val="auto"/>
              </w:rPr>
            </w:pPr>
          </w:p>
        </w:tc>
        <w:tc>
          <w:tcPr>
            <w:tcW w:w="8580" w:type="dxa"/>
            <w:vAlign w:val="bottom"/>
            <w:gridSpan w:val="2"/>
          </w:tcPr>
          <w:p>
            <w:pPr>
              <w:ind w:left="280"/>
              <w:spacing w:after="0"/>
              <w:rPr>
                <w:sz w:val="20"/>
                <w:szCs w:val="20"/>
                <w:color w:val="auto"/>
              </w:rPr>
            </w:pPr>
            <w:r>
              <w:rPr>
                <w:rFonts w:ascii="Arial" w:cs="Arial" w:eastAsia="Arial" w:hAnsi="Arial"/>
                <w:sz w:val="18"/>
                <w:szCs w:val="18"/>
                <w:color w:val="auto"/>
              </w:rPr>
              <w:t>Estimated. Actual amounts to be determined from time to time.</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31" w:lineRule="exact"/>
        <w:rPr>
          <w:sz w:val="20"/>
          <w:szCs w:val="20"/>
          <w:color w:val="auto"/>
        </w:rPr>
      </w:pPr>
    </w:p>
    <w:p>
      <w:pPr>
        <w:ind w:right="80" w:firstLine="439"/>
        <w:spacing w:after="0" w:line="283"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directors under certain circumstances. The Articles of Incorporation of the Company provide for indemnification by the Company to the fullest extent possible of current and former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 (i) to a breach of a director’s duty of loyalty to the Company or its shareholders, (ii) for acts or omissions not in good faith or which involve intentional misconduct or knowing violation of the law,</w:t>
      </w:r>
    </w:p>
    <w:p>
      <w:pPr>
        <w:spacing w:after="0" w:line="2" w:lineRule="exact"/>
        <w:rPr>
          <w:sz w:val="20"/>
          <w:szCs w:val="20"/>
          <w:color w:val="auto"/>
        </w:rPr>
      </w:pPr>
    </w:p>
    <w:p>
      <w:pPr>
        <w:ind w:firstLine="8"/>
        <w:spacing w:after="0" w:line="295" w:lineRule="auto"/>
        <w:tabs>
          <w:tab w:leader="none" w:pos="307"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a transaction from which a director derived an improper personal benefit, (iv) under Section 496A.44 of the Iowa Business Corporation Act, or (v) against judgments, penalties, fines and settlements arising from any proceeding by or in the right of the Company, or against expenses in any such case where such director shall be adjudged liable to the Company. The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169"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II-1 -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958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Description of Exhibits</w:t>
            </w:r>
          </w:p>
        </w:tc>
      </w:tr>
      <w:tr>
        <w:trPr>
          <w:trHeight w:val="37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Form of Underwriting or Distribution Agreement for Common Stock</w:t>
            </w:r>
            <w:r>
              <w:rPr>
                <w:rFonts w:ascii="Arial" w:cs="Arial" w:eastAsia="Arial" w:hAnsi="Arial"/>
                <w:sz w:val="29"/>
                <w:szCs w:val="29"/>
                <w:color w:val="auto"/>
                <w:vertAlign w:val="superscript"/>
              </w:rPr>
              <w:t>**</w:t>
            </w:r>
          </w:p>
        </w:tc>
      </w:tr>
      <w:tr>
        <w:trPr>
          <w:trHeight w:val="231"/>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3"/>
              </w:rPr>
              <w:t>Articles of Incorporation, incorporated by reference in Exhibit 3a of the Company’s Quarterly Report on Form 10-Q for the quarter</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ended May 27, 2000 (Commission File Number 001-06403).</w:t>
            </w:r>
          </w:p>
        </w:tc>
      </w:tr>
      <w:tr>
        <w:trPr>
          <w:trHeight w:val="358"/>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2"/>
              </w:rPr>
              <w:t>Amended By-Laws of the Registrant, incorporated by reference in Exhibit 3.1 of the Company’s Current Report on Form 8-K dated</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March 29, 2010 (Commission File Number 001-06403).</w:t>
            </w:r>
          </w:p>
        </w:tc>
      </w:tr>
      <w:tr>
        <w:trPr>
          <w:trHeight w:val="358"/>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89"/>
              </w:rPr>
              <w:t>Winnebago Industries, Inc. Rights Plan Agreement incorporated by reference in Exhibit 4.1 of the Company’s Current Report on Form</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0"/>
              </w:rPr>
              <w:t>8-K dated May 3, 2000 (Commission File Number 001-06403), the Amendment dated January 13, 2003 incorporated by reference in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2"/>
              </w:rPr>
              <w:t>Exhibit 10i of the Company’s Quarterly Report on Form 10-Q for the quarter ended March 1, 2003 (Commission File Number 001-</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0"/>
              </w:rPr>
              <w:t>06403) and the Amendment dated May 17, 2006, incorporated by reference in Exhibit 99.1 of the Company’s Current Report on Form</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8-K dated May 23, 2006 (Commission File Number 001-06403).</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5.1</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Opinion of counsel as to legality of the shares of common stock.*</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23.2</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Legal counsel’s consent.*</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24</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164465</wp:posOffset>
            </wp:positionV>
            <wp:extent cx="1603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44"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To be filed by Current Report on Form 8-K.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245"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740" w:hanging="571"/>
        <w:spacing w:after="0"/>
        <w:tabs>
          <w:tab w:leader="none" w:pos="174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80" w:lineRule="exact"/>
        <w:rPr>
          <w:rFonts w:ascii="Arial" w:cs="Arial" w:eastAsia="Arial" w:hAnsi="Arial"/>
          <w:sz w:val="16"/>
          <w:szCs w:val="16"/>
          <w:color w:val="auto"/>
        </w:rPr>
      </w:pPr>
    </w:p>
    <w:p>
      <w:pPr>
        <w:ind w:left="2880" w:hanging="576"/>
        <w:spacing w:after="0"/>
        <w:tabs>
          <w:tab w:leader="none" w:pos="288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2880" w:right="120" w:hanging="576"/>
        <w:spacing w:after="0" w:line="289" w:lineRule="auto"/>
        <w:tabs>
          <w:tab w:leader="none" w:pos="2880" w:val="left"/>
        </w:tabs>
        <w:numPr>
          <w:ilvl w:val="2"/>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04" w:lineRule="exact"/>
        <w:rPr>
          <w:rFonts w:ascii="Arial" w:cs="Arial" w:eastAsia="Arial" w:hAnsi="Arial"/>
          <w:sz w:val="16"/>
          <w:szCs w:val="16"/>
          <w:color w:val="auto"/>
        </w:rPr>
      </w:pPr>
    </w:p>
    <w:p>
      <w:pPr>
        <w:ind w:left="2880" w:right="260" w:hanging="576"/>
        <w:spacing w:after="0" w:line="268" w:lineRule="auto"/>
        <w:tabs>
          <w:tab w:leader="none" w:pos="288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158" w:lineRule="exact"/>
        <w:rPr>
          <w:sz w:val="20"/>
          <w:szCs w:val="20"/>
          <w:color w:val="auto"/>
        </w:rPr>
      </w:pPr>
    </w:p>
    <w:p>
      <w:pPr>
        <w:ind w:left="4000" w:right="20" w:hanging="562"/>
        <w:spacing w:after="0" w:line="283" w:lineRule="auto"/>
        <w:tabs>
          <w:tab w:leader="none" w:pos="4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w:t>
      </w:r>
    </w:p>
    <w:p>
      <w:pPr>
        <w:spacing w:after="0" w:line="2" w:lineRule="exact"/>
        <w:rPr>
          <w:rFonts w:ascii="Arial" w:cs="Arial" w:eastAsia="Arial" w:hAnsi="Arial"/>
          <w:sz w:val="16"/>
          <w:szCs w:val="16"/>
          <w:color w:val="auto"/>
        </w:rPr>
      </w:pPr>
    </w:p>
    <w:p>
      <w:pPr>
        <w:ind w:left="4000"/>
        <w:spacing w:after="0"/>
        <w:rPr>
          <w:rFonts w:ascii="Arial" w:cs="Arial" w:eastAsia="Arial" w:hAnsi="Arial"/>
          <w:sz w:val="16"/>
          <w:szCs w:val="16"/>
          <w:color w:val="auto"/>
        </w:rPr>
      </w:pPr>
      <w:r>
        <w:rPr>
          <w:rFonts w:ascii="Arial" w:cs="Arial" w:eastAsia="Arial" w:hAnsi="Arial"/>
          <w:sz w:val="18"/>
          <w:szCs w:val="18"/>
          <w:color w:val="auto"/>
        </w:rPr>
        <w:t>Rule 424(b) that is part of the registration statement.</w:t>
      </w:r>
    </w:p>
    <w:p>
      <w:pPr>
        <w:spacing w:after="0" w:line="218" w:lineRule="exact"/>
        <w:rPr>
          <w:rFonts w:ascii="Arial" w:cs="Arial" w:eastAsia="Arial" w:hAnsi="Arial"/>
          <w:sz w:val="16"/>
          <w:szCs w:val="16"/>
          <w:color w:val="auto"/>
        </w:rPr>
      </w:pPr>
    </w:p>
    <w:p>
      <w:pPr>
        <w:ind w:left="5580" w:hanging="100"/>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II-2 -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1740" w:right="40" w:hanging="571"/>
        <w:spacing w:after="0" w:line="259"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left="1740" w:right="240" w:hanging="571"/>
        <w:spacing w:after="0" w:line="268"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1740" w:hanging="571"/>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57"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57" w:lineRule="exact"/>
        <w:rPr>
          <w:rFonts w:ascii="Arial" w:cs="Arial" w:eastAsia="Arial" w:hAnsi="Arial"/>
          <w:sz w:val="18"/>
          <w:szCs w:val="18"/>
          <w:color w:val="auto"/>
        </w:rPr>
      </w:pPr>
    </w:p>
    <w:p>
      <w:pPr>
        <w:ind w:left="4000" w:right="460" w:hanging="562"/>
        <w:spacing w:after="0" w:line="259" w:lineRule="auto"/>
        <w:tabs>
          <w:tab w:leader="none" w:pos="4000"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6" w:lineRule="exact"/>
        <w:rPr>
          <w:rFonts w:ascii="Arial" w:cs="Arial" w:eastAsia="Arial" w:hAnsi="Arial"/>
          <w:sz w:val="18"/>
          <w:szCs w:val="18"/>
          <w:color w:val="auto"/>
        </w:rPr>
      </w:pPr>
    </w:p>
    <w:p>
      <w:pPr>
        <w:ind w:left="4000" w:right="120" w:hanging="562"/>
        <w:spacing w:after="0" w:line="305" w:lineRule="auto"/>
        <w:tabs>
          <w:tab w:leader="none" w:pos="4000" w:val="left"/>
        </w:tabs>
        <w:numPr>
          <w:ilvl w:val="2"/>
          <w:numId w:val="9"/>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w:t>
      </w:r>
    </w:p>
    <w:p>
      <w:pPr>
        <w:ind w:left="4000" w:right="60" w:firstLine="6"/>
        <w:spacing w:after="0" w:line="285" w:lineRule="auto"/>
        <w:tabs>
          <w:tab w:leader="none" w:pos="4249" w:val="left"/>
        </w:tabs>
        <w:numPr>
          <w:ilvl w:val="3"/>
          <w:numId w:val="9"/>
        </w:numPr>
        <w:rPr>
          <w:rFonts w:ascii="Arial" w:cs="Arial" w:eastAsia="Arial" w:hAnsi="Arial"/>
          <w:sz w:val="16"/>
          <w:szCs w:val="16"/>
          <w:color w:val="auto"/>
        </w:rPr>
      </w:pPr>
      <w:r>
        <w:rPr>
          <w:rFonts w:ascii="Arial" w:cs="Arial" w:eastAsia="Arial" w:hAnsi="Arial"/>
          <w:sz w:val="16"/>
          <w:szCs w:val="16"/>
          <w:color w:val="auto"/>
        </w:rPr>
        <w:t>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1" w:lineRule="exact"/>
        <w:rPr>
          <w:rFonts w:ascii="Arial" w:cs="Arial" w:eastAsia="Arial" w:hAnsi="Arial"/>
          <w:sz w:val="16"/>
          <w:szCs w:val="16"/>
          <w:color w:val="auto"/>
        </w:rPr>
      </w:pPr>
    </w:p>
    <w:p>
      <w:pPr>
        <w:ind w:left="2880" w:hanging="576"/>
        <w:spacing w:after="0" w:line="310" w:lineRule="auto"/>
        <w:tabs>
          <w:tab w:leader="none" w:pos="2880" w:val="left"/>
        </w:tabs>
        <w:numPr>
          <w:ilvl w:val="1"/>
          <w:numId w:val="9"/>
        </w:numPr>
        <w:rPr>
          <w:rFonts w:ascii="Arial" w:cs="Arial" w:eastAsia="Arial" w:hAnsi="Arial"/>
          <w:sz w:val="15"/>
          <w:szCs w:val="15"/>
          <w:color w:val="auto"/>
        </w:rPr>
      </w:pPr>
      <w:r>
        <w:rPr>
          <w:rFonts w:ascii="Arial" w:cs="Arial" w:eastAsia="Arial" w:hAnsi="Arial"/>
          <w:sz w:val="15"/>
          <w:szCs w:val="15"/>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Arial" w:cs="Arial" w:eastAsia="Arial" w:hAnsi="Arial"/>
          <w:sz w:val="15"/>
          <w:szCs w:val="15"/>
          <w:color w:val="auto"/>
        </w:rPr>
      </w:pPr>
    </w:p>
    <w:p>
      <w:pPr>
        <w:ind w:left="1740" w:right="120" w:hanging="571"/>
        <w:spacing w:after="0" w:line="268"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85" w:lineRule="exact"/>
        <w:rPr>
          <w:rFonts w:ascii="Arial" w:cs="Arial" w:eastAsia="Arial" w:hAnsi="Arial"/>
          <w:sz w:val="18"/>
          <w:szCs w:val="18"/>
          <w:color w:val="auto"/>
        </w:rPr>
      </w:pPr>
    </w:p>
    <w:p>
      <w:pPr>
        <w:ind w:left="5580" w:hanging="100"/>
        <w:spacing w:after="0"/>
        <w:tabs>
          <w:tab w:leader="none" w:pos="5580" w:val="left"/>
        </w:tabs>
        <w:numPr>
          <w:ilvl w:val="4"/>
          <w:numId w:val="9"/>
        </w:numPr>
        <w:rPr>
          <w:rFonts w:ascii="Arial" w:cs="Arial" w:eastAsia="Arial" w:hAnsi="Arial"/>
          <w:sz w:val="18"/>
          <w:szCs w:val="18"/>
          <w:color w:val="auto"/>
        </w:rPr>
      </w:pPr>
      <w:r>
        <w:rPr>
          <w:rFonts w:ascii="Arial" w:cs="Arial" w:eastAsia="Arial" w:hAnsi="Arial"/>
          <w:sz w:val="18"/>
          <w:szCs w:val="18"/>
          <w:color w:val="auto"/>
        </w:rPr>
        <w:t>II-3 -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4" w:lineRule="exact"/>
        <w:rPr>
          <w:sz w:val="20"/>
          <w:szCs w:val="20"/>
          <w:color w:val="auto"/>
        </w:rPr>
      </w:pPr>
    </w:p>
    <w:p>
      <w:pPr>
        <w:ind w:left="1720" w:hanging="564"/>
        <w:spacing w:after="0"/>
        <w:tabs>
          <w:tab w:leader="none" w:pos="1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0" w:lineRule="exact"/>
        <w:rPr>
          <w:rFonts w:ascii="Arial" w:cs="Arial" w:eastAsia="Arial" w:hAnsi="Arial"/>
          <w:sz w:val="16"/>
          <w:szCs w:val="16"/>
          <w:color w:val="auto"/>
        </w:rPr>
      </w:pPr>
    </w:p>
    <w:p>
      <w:pPr>
        <w:ind w:left="1720" w:right="240" w:hanging="564"/>
        <w:spacing w:after="0" w:line="268"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rFonts w:ascii="Arial" w:cs="Arial" w:eastAsia="Arial" w:hAnsi="Arial"/>
          <w:sz w:val="18"/>
          <w:szCs w:val="18"/>
          <w:color w:val="auto"/>
        </w:rPr>
      </w:pPr>
    </w:p>
    <w:p>
      <w:pPr>
        <w:ind w:left="1720" w:right="80" w:hanging="564"/>
        <w:spacing w:after="0" w:line="268"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8"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right="60" w:firstLine="436"/>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on March 30, 2010.</w:t>
      </w:r>
    </w:p>
    <w:p>
      <w:pPr>
        <w:spacing w:after="0" w:line="20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By</w:t>
        <w:tab/>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10795</wp:posOffset>
            </wp:positionV>
            <wp:extent cx="2546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J. Olson</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of the Board, Chief Executive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Officer, President and Director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30, 2010, by the following persons on behalf of the Registrant and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6"/>
              </w:rPr>
              <w:t>Signature</w:t>
            </w:r>
          </w:p>
        </w:tc>
        <w:tc>
          <w:tcPr>
            <w:tcW w:w="1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Capacity</w:t>
            </w:r>
          </w:p>
        </w:tc>
        <w:tc>
          <w:tcPr>
            <w:tcW w:w="1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tcPr>
          <w:p>
            <w:pPr>
              <w:spacing w:after="0"/>
              <w:rPr>
                <w:sz w:val="19"/>
                <w:szCs w:val="19"/>
                <w:color w:val="auto"/>
              </w:rPr>
            </w:pPr>
          </w:p>
        </w:tc>
      </w:tr>
      <w:tr>
        <w:trPr>
          <w:trHeight w:val="35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Olson</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0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Robert J. Olson</w:t>
            </w:r>
          </w:p>
        </w:tc>
        <w:tc>
          <w:tcPr>
            <w:tcW w:w="1480" w:type="dxa"/>
            <w:vAlign w:val="bottom"/>
          </w:tcPr>
          <w:p>
            <w:pPr>
              <w:spacing w:after="0"/>
              <w:rPr>
                <w:sz w:val="17"/>
                <w:szCs w:val="17"/>
                <w:color w:val="auto"/>
              </w:rPr>
            </w:pPr>
          </w:p>
        </w:tc>
        <w:tc>
          <w:tcPr>
            <w:tcW w:w="466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Chairman of the Board, Chief Executive</w:t>
            </w:r>
          </w:p>
        </w:tc>
        <w:tc>
          <w:tcPr>
            <w:tcW w:w="3320" w:type="dxa"/>
            <w:vAlign w:val="bottom"/>
            <w:gridSpan w:val="3"/>
          </w:tcPr>
          <w:p>
            <w:pPr>
              <w:jc w:val="center"/>
              <w:ind w:left="572"/>
              <w:spacing w:after="0" w:line="203" w:lineRule="exact"/>
              <w:rPr>
                <w:sz w:val="20"/>
                <w:szCs w:val="20"/>
                <w:color w:val="auto"/>
              </w:rPr>
            </w:pPr>
            <w:r>
              <w:rPr>
                <w:rFonts w:ascii="Arial" w:cs="Arial" w:eastAsia="Arial" w:hAnsi="Arial"/>
                <w:sz w:val="18"/>
                <w:szCs w:val="18"/>
                <w:color w:val="auto"/>
                <w:w w:val="87"/>
              </w:rPr>
              <w:t>March 30, 2010</w:t>
            </w:r>
          </w:p>
        </w:tc>
      </w:tr>
      <w:tr>
        <w:trPr>
          <w:trHeight w:val="216"/>
        </w:trPr>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8"/>
                <w:szCs w:val="18"/>
                <w:color w:val="auto"/>
              </w:rPr>
              <w:t>Officer, President and Director</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60" w:type="dxa"/>
            <w:vAlign w:val="bottom"/>
            <w:gridSpan w:val="3"/>
          </w:tcPr>
          <w:p>
            <w:pPr>
              <w:ind w:left="82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Sarah N. Nielsen</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000" w:type="dxa"/>
            <w:vAlign w:val="bottom"/>
            <w:gridSpan w:val="2"/>
          </w:tcPr>
          <w:p>
            <w:pPr>
              <w:ind w:left="660"/>
              <w:spacing w:after="0" w:line="203" w:lineRule="exact"/>
              <w:rPr>
                <w:sz w:val="20"/>
                <w:szCs w:val="20"/>
                <w:color w:val="auto"/>
              </w:rPr>
            </w:pPr>
            <w:r>
              <w:rPr>
                <w:rFonts w:ascii="Arial" w:cs="Arial" w:eastAsia="Arial" w:hAnsi="Arial"/>
                <w:sz w:val="18"/>
                <w:szCs w:val="18"/>
                <w:color w:val="auto"/>
                <w:w w:val="96"/>
              </w:rPr>
              <w:t>Sarah N. Nielsen</w:t>
            </w:r>
          </w:p>
        </w:tc>
        <w:tc>
          <w:tcPr>
            <w:tcW w:w="1480" w:type="dxa"/>
            <w:vAlign w:val="bottom"/>
          </w:tcPr>
          <w:p>
            <w:pPr>
              <w:spacing w:after="0"/>
              <w:rPr>
                <w:sz w:val="17"/>
                <w:szCs w:val="17"/>
                <w:color w:val="auto"/>
              </w:rPr>
            </w:pPr>
          </w:p>
        </w:tc>
        <w:tc>
          <w:tcPr>
            <w:tcW w:w="466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Vice President, Chief Financial Officer</w:t>
            </w:r>
          </w:p>
        </w:tc>
        <w:tc>
          <w:tcPr>
            <w:tcW w:w="3320" w:type="dxa"/>
            <w:vAlign w:val="bottom"/>
            <w:gridSpan w:val="3"/>
          </w:tcPr>
          <w:p>
            <w:pPr>
              <w:jc w:val="center"/>
              <w:ind w:left="572"/>
              <w:spacing w:after="0" w:line="203" w:lineRule="exact"/>
              <w:rPr>
                <w:sz w:val="20"/>
                <w:szCs w:val="20"/>
                <w:color w:val="auto"/>
              </w:rPr>
            </w:pPr>
            <w:r>
              <w:rPr>
                <w:rFonts w:ascii="Arial" w:cs="Arial" w:eastAsia="Arial" w:hAnsi="Arial"/>
                <w:sz w:val="18"/>
                <w:szCs w:val="18"/>
                <w:color w:val="auto"/>
                <w:w w:val="87"/>
              </w:rPr>
              <w:t>March 30, 2010</w:t>
            </w: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60" w:type="dxa"/>
            <w:vAlign w:val="bottom"/>
            <w:gridSpan w:val="3"/>
          </w:tcPr>
          <w:p>
            <w:pPr>
              <w:ind w:left="820"/>
              <w:spacing w:after="0"/>
              <w:rPr>
                <w:sz w:val="20"/>
                <w:szCs w:val="20"/>
                <w:color w:val="auto"/>
              </w:rPr>
            </w:pPr>
            <w:r>
              <w:rPr>
                <w:rFonts w:ascii="Arial" w:cs="Arial" w:eastAsia="Arial" w:hAnsi="Arial"/>
                <w:sz w:val="18"/>
                <w:szCs w:val="18"/>
                <w:color w:val="auto"/>
              </w:rPr>
              <w:t>(Principal Financial Officer)</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J. Hrubes</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0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Brian J. Hrubes</w:t>
            </w:r>
          </w:p>
        </w:tc>
        <w:tc>
          <w:tcPr>
            <w:tcW w:w="1480" w:type="dxa"/>
            <w:vAlign w:val="bottom"/>
          </w:tcPr>
          <w:p>
            <w:pPr>
              <w:spacing w:after="0"/>
              <w:rPr>
                <w:sz w:val="17"/>
                <w:szCs w:val="17"/>
                <w:color w:val="auto"/>
              </w:rPr>
            </w:pPr>
          </w:p>
        </w:tc>
        <w:tc>
          <w:tcPr>
            <w:tcW w:w="466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Controller</w:t>
            </w:r>
          </w:p>
        </w:tc>
        <w:tc>
          <w:tcPr>
            <w:tcW w:w="3320" w:type="dxa"/>
            <w:vAlign w:val="bottom"/>
            <w:gridSpan w:val="3"/>
          </w:tcPr>
          <w:p>
            <w:pPr>
              <w:jc w:val="center"/>
              <w:ind w:left="572"/>
              <w:spacing w:after="0" w:line="203" w:lineRule="exact"/>
              <w:rPr>
                <w:sz w:val="20"/>
                <w:szCs w:val="20"/>
                <w:color w:val="auto"/>
              </w:rPr>
            </w:pPr>
            <w:r>
              <w:rPr>
                <w:rFonts w:ascii="Arial" w:cs="Arial" w:eastAsia="Arial" w:hAnsi="Arial"/>
                <w:sz w:val="18"/>
                <w:szCs w:val="18"/>
                <w:color w:val="auto"/>
                <w:w w:val="87"/>
              </w:rPr>
              <w:t>March 30, 2010</w:t>
            </w: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60" w:type="dxa"/>
            <w:vAlign w:val="bottom"/>
            <w:gridSpan w:val="3"/>
          </w:tcPr>
          <w:p>
            <w:pPr>
              <w:ind w:left="820"/>
              <w:spacing w:after="0"/>
              <w:rPr>
                <w:sz w:val="20"/>
                <w:szCs w:val="20"/>
                <w:color w:val="auto"/>
              </w:rPr>
            </w:pPr>
            <w:r>
              <w:rPr>
                <w:rFonts w:ascii="Arial" w:cs="Arial" w:eastAsia="Arial" w:hAnsi="Arial"/>
                <w:sz w:val="18"/>
                <w:szCs w:val="18"/>
                <w:color w:val="auto"/>
              </w:rPr>
              <w:t>(Principal Accounting Officer)</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5"/>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2000" w:type="dxa"/>
            <w:vAlign w:val="bottom"/>
            <w:gridSpan w:val="2"/>
          </w:tcPr>
          <w:p>
            <w:pPr>
              <w:ind w:left="660"/>
              <w:spacing w:after="0"/>
              <w:rPr>
                <w:sz w:val="20"/>
                <w:szCs w:val="20"/>
                <w:color w:val="auto"/>
              </w:rPr>
            </w:pPr>
            <w:r>
              <w:rPr>
                <w:rFonts w:ascii="Arial" w:cs="Arial" w:eastAsia="Arial" w:hAnsi="Arial"/>
                <w:sz w:val="18"/>
                <w:szCs w:val="18"/>
                <w:color w:val="auto"/>
              </w:rPr>
              <w:t>Irvin E. Aal</w:t>
            </w:r>
          </w:p>
        </w:tc>
        <w:tc>
          <w:tcPr>
            <w:tcW w:w="148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332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30, 2010</w:t>
            </w:r>
          </w:p>
        </w:tc>
      </w:tr>
      <w:tr>
        <w:trPr>
          <w:trHeight w:val="424"/>
        </w:trPr>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60" w:type="dxa"/>
            <w:vAlign w:val="bottom"/>
            <w:gridSpan w:val="3"/>
          </w:tcPr>
          <w:p>
            <w:pPr>
              <w:ind w:left="2000"/>
              <w:spacing w:after="0"/>
              <w:rPr>
                <w:sz w:val="20"/>
                <w:szCs w:val="20"/>
                <w:color w:val="auto"/>
              </w:rPr>
            </w:pPr>
            <w:r>
              <w:rPr>
                <w:rFonts w:ascii="Arial" w:cs="Arial" w:eastAsia="Arial" w:hAnsi="Arial"/>
                <w:sz w:val="18"/>
                <w:szCs w:val="18"/>
                <w:color w:val="auto"/>
              </w:rPr>
              <w:t>- II-5 -</w:t>
            </w: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2"/>
        </w:trPr>
        <w:tc>
          <w:tcPr>
            <w:tcW w:w="10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48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1580" w:type="dxa"/>
            <w:vAlign w:val="bottom"/>
            <w:tcBorders>
              <w:bottom w:val="single" w:sz="8" w:color="808080"/>
            </w:tcBorders>
          </w:tcPr>
          <w:p>
            <w:pPr>
              <w:spacing w:after="0"/>
              <w:rPr>
                <w:sz w:val="21"/>
                <w:szCs w:val="21"/>
                <w:color w:val="auto"/>
              </w:rPr>
            </w:pPr>
          </w:p>
        </w:tc>
        <w:tc>
          <w:tcPr>
            <w:tcW w:w="178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8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950"/>
        </w:trPr>
        <w:tc>
          <w:tcPr>
            <w:tcW w:w="3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00EE"/>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8"/>
                <w:szCs w:val="18"/>
                <w:color w:val="auto"/>
              </w:rPr>
              <w:t>Robert M. Chiusano</w:t>
            </w:r>
          </w:p>
        </w:tc>
        <w:tc>
          <w:tcPr>
            <w:tcW w:w="8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30, 2010</w:t>
            </w:r>
          </w:p>
        </w:tc>
      </w:tr>
      <w:tr>
        <w:trPr>
          <w:trHeight w:val="356"/>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8"/>
                <w:szCs w:val="18"/>
                <w:color w:val="auto"/>
              </w:rPr>
              <w:t>Jerry N. Currie</w:t>
            </w:r>
          </w:p>
        </w:tc>
        <w:tc>
          <w:tcPr>
            <w:tcW w:w="8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30, 2010</w:t>
            </w:r>
          </w:p>
        </w:tc>
      </w:tr>
      <w:tr>
        <w:trPr>
          <w:trHeight w:val="356"/>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8"/>
                <w:szCs w:val="18"/>
                <w:color w:val="auto"/>
              </w:rPr>
              <w:t>Joseph W. England</w:t>
            </w:r>
          </w:p>
        </w:tc>
        <w:tc>
          <w:tcPr>
            <w:tcW w:w="8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30, 2010</w:t>
            </w:r>
          </w:p>
        </w:tc>
      </w:tr>
      <w:tr>
        <w:trPr>
          <w:trHeight w:val="356"/>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8"/>
                <w:szCs w:val="18"/>
                <w:color w:val="auto"/>
              </w:rPr>
              <w:t>Lawrence A. Erickson</w:t>
            </w:r>
          </w:p>
        </w:tc>
        <w:tc>
          <w:tcPr>
            <w:tcW w:w="8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30, 2010</w:t>
            </w:r>
          </w:p>
        </w:tc>
      </w:tr>
      <w:tr>
        <w:trPr>
          <w:trHeight w:val="356"/>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8"/>
                <w:szCs w:val="18"/>
                <w:color w:val="auto"/>
              </w:rPr>
              <w:t>John V. Hanson</w:t>
            </w:r>
          </w:p>
        </w:tc>
        <w:tc>
          <w:tcPr>
            <w:tcW w:w="8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30, 2010</w:t>
            </w:r>
          </w:p>
        </w:tc>
      </w:tr>
      <w:tr>
        <w:trPr>
          <w:trHeight w:val="356"/>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Arial" w:cs="Arial" w:eastAsia="Arial" w:hAnsi="Arial"/>
                <w:sz w:val="18"/>
                <w:szCs w:val="18"/>
                <w:color w:val="auto"/>
              </w:rPr>
              <w:t>Gerald C. Kitch</w:t>
            </w:r>
          </w:p>
        </w:tc>
        <w:tc>
          <w:tcPr>
            <w:tcW w:w="8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30, 2010</w:t>
            </w:r>
          </w:p>
        </w:tc>
      </w:tr>
      <w:tr>
        <w:trPr>
          <w:trHeight w:val="465"/>
        </w:trPr>
        <w:tc>
          <w:tcPr>
            <w:tcW w:w="3860" w:type="dxa"/>
            <w:vAlign w:val="bottom"/>
            <w:gridSpan w:val="3"/>
          </w:tcPr>
          <w:p>
            <w:pPr>
              <w:spacing w:after="0"/>
              <w:rPr>
                <w:sz w:val="20"/>
                <w:szCs w:val="20"/>
                <w:color w:val="auto"/>
              </w:rPr>
            </w:pPr>
            <w:r>
              <w:rPr>
                <w:rFonts w:ascii="Arial" w:cs="Arial" w:eastAsia="Arial" w:hAnsi="Arial"/>
                <w:sz w:val="18"/>
                <w:szCs w:val="18"/>
                <w:color w:val="auto"/>
              </w:rPr>
              <w:t>*By: /s/ Raymond M. Beebe</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348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Raymond M. Beebe</w:t>
            </w:r>
          </w:p>
        </w:tc>
        <w:tc>
          <w:tcPr>
            <w:tcW w:w="8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32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 II-6 -</w:t>
            </w:r>
          </w:p>
        </w:tc>
      </w:tr>
      <w:tr>
        <w:trPr>
          <w:trHeight w:val="242"/>
        </w:trPr>
        <w:tc>
          <w:tcPr>
            <w:tcW w:w="38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26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63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67" w:right="19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340"/>
          </w:cols>
          <w:pgMar w:left="240" w:top="59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6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NDEX</w:t>
      </w:r>
    </w:p>
    <w:p>
      <w:pPr>
        <w:spacing w:after="0" w:line="389"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6525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Underwriting or Distribution Agreement for Common Stock</w:t>
      </w:r>
      <w:r>
        <w:rPr>
          <w:rFonts w:ascii="Arial" w:cs="Arial" w:eastAsia="Arial" w:hAnsi="Arial"/>
          <w:sz w:val="29"/>
          <w:szCs w:val="29"/>
          <w:color w:val="auto"/>
          <w:vertAlign w:val="superscript"/>
        </w:rPr>
        <w:t>**</w:t>
      </w:r>
    </w:p>
    <w:p>
      <w:pPr>
        <w:spacing w:after="0" w:line="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Articles of Incorporation, incorporated by reference in Exhibit 3a of the Company’s Quarterly Report on Form 10-Q for the quarter ended May 27, 2000 (Commission File Number 001-06403).</w:t>
      </w:r>
    </w:p>
    <w:p>
      <w:pPr>
        <w:spacing w:after="0" w:line="118" w:lineRule="exact"/>
        <w:rPr>
          <w:sz w:val="20"/>
          <w:szCs w:val="20"/>
          <w:color w:val="auto"/>
        </w:rPr>
      </w:pPr>
    </w:p>
    <w:p>
      <w:pPr>
        <w:sectPr>
          <w:pgSz w:w="11900" w:h="16838" w:orient="portrait"/>
          <w:cols w:equalWidth="0" w:num="2">
            <w:col w:w="640" w:space="500"/>
            <w:col w:w="10200"/>
          </w:cols>
          <w:pgMar w:left="240" w:top="590" w:right="3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20" w:type="dxa"/>
            <w:vAlign w:val="bottom"/>
          </w:tcPr>
          <w:p>
            <w:pPr>
              <w:ind w:left="420"/>
              <w:spacing w:after="0"/>
              <w:rPr>
                <w:sz w:val="20"/>
                <w:szCs w:val="20"/>
                <w:color w:val="auto"/>
              </w:rPr>
            </w:pPr>
            <w:r>
              <w:rPr>
                <w:rFonts w:ascii="Arial" w:cs="Arial" w:eastAsia="Arial" w:hAnsi="Arial"/>
                <w:sz w:val="18"/>
                <w:szCs w:val="18"/>
                <w:color w:val="auto"/>
                <w:w w:val="90"/>
              </w:rPr>
              <w:t>Amended By-Laws of the Registrant, incorporated by reference in Exhibit 3.1 of the Company’s Current Report on Form 8-K dated March 29,</w:t>
            </w:r>
          </w:p>
        </w:tc>
      </w:tr>
      <w:tr>
        <w:trPr>
          <w:trHeight w:val="222"/>
        </w:trPr>
        <w:tc>
          <w:tcPr>
            <w:tcW w:w="720" w:type="dxa"/>
            <w:vAlign w:val="bottom"/>
          </w:tcPr>
          <w:p>
            <w:pPr>
              <w:spacing w:after="0"/>
              <w:rPr>
                <w:sz w:val="19"/>
                <w:szCs w:val="19"/>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2010 (Commission File Number 001-06403).</w:t>
            </w:r>
          </w:p>
        </w:tc>
      </w:tr>
      <w:tr>
        <w:trPr>
          <w:trHeight w:val="35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20" w:type="dxa"/>
            <w:vAlign w:val="bottom"/>
          </w:tcPr>
          <w:p>
            <w:pPr>
              <w:ind w:left="420"/>
              <w:spacing w:after="0"/>
              <w:rPr>
                <w:sz w:val="20"/>
                <w:szCs w:val="20"/>
                <w:color w:val="auto"/>
              </w:rPr>
            </w:pPr>
            <w:r>
              <w:rPr>
                <w:rFonts w:ascii="Arial" w:cs="Arial" w:eastAsia="Arial" w:hAnsi="Arial"/>
                <w:sz w:val="18"/>
                <w:szCs w:val="18"/>
                <w:color w:val="auto"/>
                <w:w w:val="88"/>
              </w:rPr>
              <w:t>Winnebago Industries, Inc. Rights Plan Agreement incorporated by reference in Exhibit 4.1 of the Company’s Current Report on Form 8-K dated</w:t>
            </w:r>
          </w:p>
        </w:tc>
      </w:tr>
      <w:tr>
        <w:trPr>
          <w:trHeight w:val="216"/>
        </w:trPr>
        <w:tc>
          <w:tcPr>
            <w:tcW w:w="72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91"/>
              </w:rPr>
              <w:t>May 3, 2000 (Commission File Number 001-06403), the Amendment dated January 13, 2003 incorporated by reference in Exhibit 10i of the</w:t>
            </w:r>
          </w:p>
        </w:tc>
      </w:tr>
      <w:tr>
        <w:trPr>
          <w:trHeight w:val="216"/>
        </w:trPr>
        <w:tc>
          <w:tcPr>
            <w:tcW w:w="72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91"/>
              </w:rPr>
              <w:t>Company’s Quarterly Report on Form 10-Q for the quarter ended March 1, 2003 (Commission File Number 001-06403) and the Amendment</w:t>
            </w:r>
          </w:p>
        </w:tc>
      </w:tr>
      <w:tr>
        <w:trPr>
          <w:trHeight w:val="216"/>
        </w:trPr>
        <w:tc>
          <w:tcPr>
            <w:tcW w:w="72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89"/>
              </w:rPr>
              <w:t>dated May 17, 2006, incorporated by reference in Exhibit 99.1 of the Company’s Current Report on Form 8-K dated May 23, 2006 (Commission</w:t>
            </w:r>
          </w:p>
        </w:tc>
      </w:tr>
      <w:tr>
        <w:trPr>
          <w:trHeight w:val="222"/>
        </w:trPr>
        <w:tc>
          <w:tcPr>
            <w:tcW w:w="720" w:type="dxa"/>
            <w:vAlign w:val="bottom"/>
          </w:tcPr>
          <w:p>
            <w:pPr>
              <w:spacing w:after="0"/>
              <w:rPr>
                <w:sz w:val="19"/>
                <w:szCs w:val="19"/>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File Number 001-06403).</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620" w:type="dxa"/>
            <w:vAlign w:val="bottom"/>
          </w:tcPr>
          <w:p>
            <w:pPr>
              <w:ind w:left="420"/>
              <w:spacing w:after="0"/>
              <w:rPr>
                <w:sz w:val="20"/>
                <w:szCs w:val="20"/>
                <w:color w:val="auto"/>
              </w:rPr>
            </w:pPr>
            <w:r>
              <w:rPr>
                <w:rFonts w:ascii="Arial" w:cs="Arial" w:eastAsia="Arial" w:hAnsi="Arial"/>
                <w:sz w:val="18"/>
                <w:szCs w:val="18"/>
                <w:color w:val="auto"/>
              </w:rPr>
              <w:t>Opinion of counsel as to legality of the shares of common stock.*</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620" w:type="dxa"/>
            <w:vAlign w:val="bottom"/>
          </w:tcPr>
          <w:p>
            <w:pPr>
              <w:ind w:left="420"/>
              <w:spacing w:after="0"/>
              <w:rPr>
                <w:sz w:val="20"/>
                <w:szCs w:val="20"/>
                <w:color w:val="auto"/>
              </w:rPr>
            </w:pPr>
            <w:r>
              <w:rPr>
                <w:rFonts w:ascii="Arial" w:cs="Arial" w:eastAsia="Arial" w:hAnsi="Arial"/>
                <w:sz w:val="18"/>
                <w:szCs w:val="18"/>
                <w:color w:val="auto"/>
              </w:rPr>
              <w:t>Legal counsel’s consent.*</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10620" w:type="dxa"/>
            <w:vAlign w:val="bottom"/>
          </w:tcPr>
          <w:p>
            <w:pPr>
              <w:ind w:left="42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Current Report on Form 8-K.</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II-7 -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type w:val="continuous"/>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23.1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REGISTERED PUBLIC ACCOUNTING FIRM</w:t>
      </w:r>
    </w:p>
    <w:p>
      <w:pPr>
        <w:spacing w:after="0" w:line="219"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on Form S-3 of our reports dated October 27, 2009, relating to the consolidated financial statements of Winnebago Industries, Inc. (the “Company”) which report expresses an unqualified opinion and includes an explanatory paragraph related to the Company’s change in the method of accounting for unrecognized tax benefits described in Note 11 and the effectiveness of the Company’s internal control over financial reporting, appearing in the Annual Report on Form 10-K of Winnebago Industries, Inc. for the year ended August 29, 2009. We also consent to the reference to us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57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Roman"/>
      <w:start w:val="3"/>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12200854"/>
    <w:multiLevelType w:val="hybridMultilevel"/>
    <w:lvl w:ilvl="0">
      <w:lvlJc w:val="left"/>
      <w:lvlText w:val="(%1)"/>
      <w:numFmt w:val="lowerLetter"/>
      <w:start w:val="1"/>
    </w:lvl>
    <w:lvl w:ilvl="1">
      <w:lvlJc w:val="left"/>
      <w:lvlText w:val="-"/>
      <w:numFmt w:val="bullet"/>
      <w:start w:val="1"/>
    </w:lvl>
  </w:abstractNum>
  <w:abstractNum w:abstractNumId="8">
    <w:nsid w:val="4DB127F8"/>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lvl w:ilvl="3">
      <w:lvlJc w:val="left"/>
      <w:lvlText w:val="(%4)"/>
      <w:numFmt w:val="lowerRoman"/>
      <w:start w:val="10"/>
    </w:lvl>
    <w:lvl w:ilvl="4">
      <w:lvlJc w:val="left"/>
      <w:lvlText w:val="-"/>
      <w:numFmt w:val="bullet"/>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2019-12-10T03:40:50Z</dcterms:created>
  <dcterms:modified xsi:type="dcterms:W3CDTF">2019-12-10T03:40:50Z</dcterms:modified>
</cp:coreProperties>
</file>