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62026_041020.xml.htm"/>
      <w:bookmarkStart w:id="1" w:name="ksform410162026_04102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Tubman Casey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GROUP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16,746</w:t>
            </w:r>
            <w:r>
              <w:rPr>
                <w:rFonts w:ascii="Times;serif" w:hAnsi="Times;serif"/>
                <w:color w:val="008000"/>
                <w:position w:val="7"/>
                <w:sz w:val="16"/>
                <w:sz w:val="20"/>
                <w:shd w:fill="FFFFFF" w:val="clear"/>
              </w:rPr>
              <w:t>(1)</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46,211</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$.50</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1,163</w:t>
            </w:r>
            <w:r>
              <w:rPr>
                <w:rFonts w:ascii="Times;serif" w:hAnsi="Times;serif"/>
                <w:color w:val="008000"/>
                <w:position w:val="7"/>
                <w:sz w:val="16"/>
                <w:sz w:val="20"/>
                <w:shd w:fill="FFFFFF" w:val="clear"/>
              </w:rPr>
              <w:t>(2)</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23.09</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45,048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23,573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23,573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10/14/2026 under the Winnebago Industries, Inc. Amended &amp; Restated 2019 Omnibus Incentive Plan. Restricted stock units vest in annual increments of one-third beginning on 10/14/2027.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Upon the annual incremental vesting of a restricted stock unit award granted 10/14/2025 under the Winnebago Industries, Inc. Amended &amp; Rested 2019 Omnibus Incentive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Stock options vest in annual increments of one-third beginning on 10/14/2027.</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9410"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3939</Characters>
  <CharactersWithSpaces>4577</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