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October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16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ind w:right="559"/>
              <w:spacing w:after="0"/>
              <w:rPr>
                <w:sz w:val="20"/>
                <w:szCs w:val="20"/>
                <w:color w:val="auto"/>
              </w:rPr>
            </w:pPr>
            <w:r>
              <w:rPr>
                <w:rFonts w:ascii="Arial" w:cs="Arial" w:eastAsia="Arial" w:hAnsi="Arial"/>
                <w:sz w:val="16"/>
                <w:szCs w:val="16"/>
                <w:b w:val="1"/>
                <w:bCs w:val="1"/>
                <w:color w:val="auto"/>
              </w:rPr>
              <w:t>Iowa</w:t>
            </w:r>
          </w:p>
        </w:tc>
        <w:tc>
          <w:tcPr>
            <w:tcW w:w="10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001-06403</w:t>
            </w:r>
          </w:p>
        </w:tc>
        <w:tc>
          <w:tcPr>
            <w:tcW w:w="428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0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42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P.O. Box 152</w:t>
            </w:r>
          </w:p>
        </w:tc>
        <w:tc>
          <w:tcPr>
            <w:tcW w:w="2240" w:type="dxa"/>
            <w:vAlign w:val="bottom"/>
            <w:tcBorders>
              <w:bottom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rPr>
              <w:t>Forest City</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Iowa</w:t>
            </w:r>
          </w:p>
        </w:tc>
        <w:tc>
          <w:tcPr>
            <w:tcW w:w="2000" w:type="dxa"/>
            <w:vAlign w:val="bottom"/>
          </w:tcPr>
          <w:p>
            <w:pPr>
              <w:spacing w:after="0"/>
              <w:rPr>
                <w:sz w:val="24"/>
                <w:szCs w:val="24"/>
                <w:color w:val="auto"/>
              </w:rPr>
            </w:pPr>
          </w:p>
        </w:tc>
        <w:tc>
          <w:tcPr>
            <w:tcW w:w="428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b w:val="1"/>
                <w:bCs w:val="1"/>
                <w:color w:val="auto"/>
              </w:rPr>
              <w:t>50436</w:t>
            </w:r>
          </w:p>
        </w:tc>
      </w:tr>
      <w:tr>
        <w:trPr>
          <w:trHeight w:val="207"/>
        </w:trPr>
        <w:tc>
          <w:tcPr>
            <w:tcW w:w="3880" w:type="dxa"/>
            <w:vAlign w:val="bottom"/>
            <w:gridSpan w:val="2"/>
          </w:tcPr>
          <w:p>
            <w:pPr>
              <w:jc w:val="center"/>
              <w:ind w:left="919"/>
              <w:spacing w:after="0"/>
              <w:rPr>
                <w:sz w:val="20"/>
                <w:szCs w:val="20"/>
                <w:color w:val="auto"/>
              </w:rPr>
            </w:pPr>
            <w:r>
              <w:rPr>
                <w:rFonts w:ascii="Arial" w:cs="Arial" w:eastAsia="Arial" w:hAnsi="Arial"/>
                <w:sz w:val="16"/>
                <w:szCs w:val="16"/>
                <w:color w:val="auto"/>
              </w:rPr>
              <w:t>(Address of Principal Executive Offices)</w:t>
            </w: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641-585-3535</w:t>
      </w:r>
    </w:p>
    <w:p>
      <w:pPr>
        <w:spacing w:after="0" w:line="25"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8"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39"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On October 20, 2021, Winnebago Industries, Inc. issued a press release to report financial results for the fourth quarter and full year of Fiscal 2021 ended August 28, 2021. A copy of the press release is attached as Exhibit 99.1 and is incorporated by reference herein.</w:t>
      </w:r>
    </w:p>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2021.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30"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9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1"/>
        </w:trPr>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24"/>
                <w:szCs w:val="24"/>
                <w:color w:val="auto"/>
              </w:rPr>
            </w:pPr>
          </w:p>
        </w:tc>
      </w:tr>
      <w:tr>
        <w:trPr>
          <w:trHeight w:val="172"/>
        </w:trPr>
        <w:tc>
          <w:tcPr>
            <w:tcW w:w="1760" w:type="dxa"/>
            <w:vAlign w:val="bottom"/>
            <w:gridSpan w:val="4"/>
          </w:tcPr>
          <w:p>
            <w:pPr>
              <w:ind w:left="420"/>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9480" w:type="dxa"/>
            <w:vAlign w:val="bottom"/>
            <w:gridSpan w:val="3"/>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of Winnebago Industries, Inc. dated October 20, 2021</w:t>
              </w:r>
            </w:hyperlink>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231"/>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28"/>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225" w:lineRule="exact"/>
        <w:rPr>
          <w:sz w:val="20"/>
          <w:szCs w:val="20"/>
          <w:color w:val="auto"/>
        </w:rPr>
      </w:pPr>
    </w:p>
    <w:p>
      <w:pPr>
        <w:ind w:left="20"/>
        <w:spacing w:after="0"/>
        <w:tabs>
          <w:tab w:leader="none" w:pos="720" w:val="left"/>
          <w:tab w:leader="none" w:pos="4160" w:val="left"/>
          <w:tab w:leader="none" w:pos="4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948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 and Senior Vice President</w:t>
      </w:r>
    </w:p>
    <w:p>
      <w:pPr>
        <w:sectPr>
          <w:pgSz w:w="11900" w:h="16838" w:orient="portrait"/>
          <w:cols w:equalWidth="0" w:num="1">
            <w:col w:w="11220"/>
          </w:cols>
          <w:pgMar w:left="320" w:top="88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475" w:lineRule="auto"/>
        <w:rPr>
          <w:sz w:val="20"/>
          <w:szCs w:val="20"/>
          <w:color w:val="auto"/>
        </w:rPr>
      </w:pPr>
      <w:r>
        <w:rPr>
          <w:rFonts w:ascii="Arial" w:cs="Arial" w:eastAsia="Arial" w:hAnsi="Arial"/>
          <w:sz w:val="16"/>
          <w:szCs w:val="16"/>
          <w:b w:val="1"/>
          <w:bCs w:val="1"/>
          <w:color w:val="auto"/>
        </w:rPr>
        <w:t>WINNEBAGO INDUSTRIES ANNOUNCES STRONG FOURTH QUARTER AND FULL YEAR FISCAL 2021 RESULTS -- Record Quarterly Revenues of $1.0 billion Up 40.4% Year-Over-Year, Driven by Strong End Consumer Demand -- -- Continued RV Market Share Gains (+2.1 pp Trailing Three Months thru August) --</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Fourth Quarter Gross Margin of 18.1%, Expansion of 150 Basis Points Year-Over-Year --</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Record Reported Quarterly Diluted EPS of $2.45; Record Adjusted EPS of $2.57 Up 77.2% Over Prior Year --</w:t>
      </w:r>
    </w:p>
    <w:p>
      <w:pPr>
        <w:spacing w:after="0" w:line="200" w:lineRule="exact"/>
        <w:rPr>
          <w:sz w:val="20"/>
          <w:szCs w:val="20"/>
          <w:color w:val="auto"/>
        </w:rPr>
      </w:pPr>
    </w:p>
    <w:p>
      <w:pPr>
        <w:spacing w:after="0" w:line="203" w:lineRule="exact"/>
        <w:rPr>
          <w:sz w:val="20"/>
          <w:szCs w:val="20"/>
          <w:color w:val="auto"/>
        </w:rPr>
      </w:pPr>
    </w:p>
    <w:p>
      <w:pPr>
        <w:ind w:right="560"/>
        <w:spacing w:after="0" w:line="366" w:lineRule="auto"/>
        <w:rPr>
          <w:sz w:val="20"/>
          <w:szCs w:val="20"/>
          <w:color w:val="auto"/>
        </w:rPr>
      </w:pPr>
      <w:r>
        <w:rPr>
          <w:rFonts w:ascii="Arial" w:cs="Arial" w:eastAsia="Arial" w:hAnsi="Arial"/>
          <w:sz w:val="16"/>
          <w:szCs w:val="16"/>
          <w:color w:val="auto"/>
        </w:rPr>
        <w:t>EDEN PRAIRIE, MINNESOTA, October 20, 2021 - Winnebago Industries, Inc. (NYSE: WGO), a leading outdoor lifestyle product manufacturer, today reported financial results for the Company's fourth quarter and full year Fiscal 2021.</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2021 Results</w:t>
      </w:r>
    </w:p>
    <w:p>
      <w:pPr>
        <w:spacing w:after="0" w:line="86" w:lineRule="exact"/>
        <w:rPr>
          <w:sz w:val="20"/>
          <w:szCs w:val="20"/>
          <w:color w:val="auto"/>
        </w:rPr>
      </w:pPr>
    </w:p>
    <w:p>
      <w:pPr>
        <w:ind w:right="120"/>
        <w:spacing w:after="0" w:line="353" w:lineRule="auto"/>
        <w:rPr>
          <w:sz w:val="20"/>
          <w:szCs w:val="20"/>
          <w:color w:val="auto"/>
        </w:rPr>
      </w:pPr>
      <w:r>
        <w:rPr>
          <w:rFonts w:ascii="Arial" w:cs="Arial" w:eastAsia="Arial" w:hAnsi="Arial"/>
          <w:sz w:val="16"/>
          <w:szCs w:val="16"/>
          <w:color w:val="auto"/>
        </w:rPr>
        <w:t>Revenues for the Fiscal 2021 fourth quarter ended August 28, 2021, were $1.0 billion, an increase of 40.4% compared to $737.8 million for the Fiscal 2020 period. Revenue growth compared to the Fiscal 2020 period was driven by strong end consumer demand, pricing initiatives across all segments driven by higher material and component costs, and segment and product mix. Gross profit was $187.2 million compared to $122.5 million for the Fiscal 2020 period, driven by increased unit growth and pricing, including lower discounts and allowances. Gross profit margin increased 150 basis points to 18.1% in the quarter driven by fixed cost leverage, increased pricing, including lower discounts and allowances, and profitability initiatives. Operating income was $120.0 million for the quarter, an increase of 75.4% compared to $68.4 million for the fourth quarter last year. Fiscal 2021 fourth quarter net income was $84.1 million, an increase of 98.0% compared to $42.5 million in the fourth quarter of last year. Earnings per diluted share was $2.45, an increase of 96.0% compared to $1.25 in the same period last year. Adjusted earnings per diluted share was $2.57 for the fourth quarter, an increase of 77.2% compared to adjusted earnings per diluted share of $1.45 in the same period last year. Consolidated Adjusted EBITDA was $129.0 million for the quarter, compared to $76.5 million last year, representing an increase of 68.6%.</w:t>
      </w:r>
    </w:p>
    <w:p>
      <w:pPr>
        <w:spacing w:after="0" w:line="237" w:lineRule="exact"/>
        <w:rPr>
          <w:sz w:val="20"/>
          <w:szCs w:val="20"/>
          <w:color w:val="auto"/>
        </w:rPr>
      </w:pPr>
    </w:p>
    <w:p>
      <w:pPr>
        <w:ind w:right="60"/>
        <w:spacing w:after="0" w:line="353" w:lineRule="auto"/>
        <w:rPr>
          <w:sz w:val="20"/>
          <w:szCs w:val="20"/>
          <w:color w:val="auto"/>
        </w:rPr>
      </w:pPr>
      <w:r>
        <w:rPr>
          <w:rFonts w:ascii="Arial" w:cs="Arial" w:eastAsia="Arial" w:hAnsi="Arial"/>
          <w:sz w:val="16"/>
          <w:szCs w:val="16"/>
          <w:color w:val="auto"/>
        </w:rPr>
        <w:t>President and Chief Executive Officer Michael Happe commented, “Winnebago Industries delivered a strong fourth quarter to finish a record Fiscal 2021. The new heights we were able to achieve in revenues and profitability demonstrate the unique strength and appeal of our growing platform of leading brands. Our resilient and focused team continues to successfully manage through a growing backlog and supply chain challenges while driving tremendous preferences for our premium outdoor lifestyle products. In an environment of high demand, low dealer inventories, tight supply chain, and dynamic cost pressures our market share gains accelerated in the fourth quarter as more consumers sought Winnebago Industries’ high-quality, innovative products and exceptional service. We announced the acquisition of Barletta Boat Company in the fourth quarter, and completed the transaction in early Fiscal 2022, extending our marine platform into one of the fastest-growing boating segments in pontoons and advancing our premier outdoor lifestyle company vision. As always, I want to thank our 6,500+ Winnebago Industries employees who have worked extremely hard during very dynamic and challenging times. It is their efforts that allow us to deliver on our customer, dealer and shareholder expectations.”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Full Year Fiscal 2021 Results</w:t>
      </w:r>
    </w:p>
    <w:p>
      <w:pPr>
        <w:spacing w:after="0" w:line="86"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auto"/>
        </w:rPr>
        <w:t>Fiscal 2021 record revenues of $3.6 billion increased 54.1% from $2.4 billion in Fiscal 2020 driven by strong consumer demand for Winnebago Industries' products and increased pricing, including lower discounts and allowances. Fiscal 2021 record gross profit margin of 17.9% improved 460 basis points year-over-year driven primarily by robust operating leverage, increased pricing, including lower discounts and allowances, and favorable segment mix. Operating income was $407.4 million for Fiscal 2021, compared to $113.8 million in Fiscal 2020. Net income for Fiscal 2021 was $281.9 million, an increase of 358.8% compared to $61.4 million in Fiscal 2020. Fiscal 2021 earnings per diluted share was $8.28, an increase of 350.0% compared to earnings per diluted share of $1.84 in Fiscal 2020. Adjusted earnings per diluted share was $8.55 for Fiscal 2021, compared to adjusted earnings per diluted share of $2.58 in the same period last year. Fiscal 2021 consolidated Adjusted EBITDA was $436.1 million, an increase of 159.4% from $168.1 million in Fiscal 2020.</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 Fourth Quarter and Full Year Fiscal 2021 Results</w:t>
      </w:r>
    </w:p>
    <w:p>
      <w:pPr>
        <w:spacing w:after="0" w:line="86"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Revenues for the Towable segment were $560.0 million for the fourth quarter, up 35.3% over the prior year, primarily driven by unit growth due to strong end consumer demand and increased pricing across the segment. Adjusted EBITDA margin of 14.9% increased 10 basis points over the prior year period and 50 basis points sequentially. Backlog increased to a record $1,704.4 million, up 127.9% over the prior year and 12.0% sequentially, due to continued strong consumer demand combined with extremely low levels of dealer inventory.</w:t>
      </w:r>
    </w:p>
    <w:p>
      <w:pPr>
        <w:spacing w:after="0" w:line="231"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For the full year Fiscal 2021, revenues for the Towable segment were $2.0 billion, up 63.7% over Fiscal 2020 driven by heightened consumer demand for Grand Design and Winnebago branded products and increased pricing. Segment Adjusted EBITDA for the full year was $289.0 million, up 94.9% from Fiscal 2020. Adjusted EBITDA margin of 14.4% increased 230 basis points for the full year over Fiscal 2020.</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 Fourth Quarter and Full Year Fiscal 2021 Results</w:t>
      </w:r>
    </w:p>
    <w:p>
      <w:pPr>
        <w:spacing w:after="0" w:line="86" w:lineRule="exact"/>
        <w:rPr>
          <w:sz w:val="20"/>
          <w:szCs w:val="20"/>
          <w:color w:val="auto"/>
        </w:rPr>
      </w:pPr>
    </w:p>
    <w:p>
      <w:pPr>
        <w:ind w:right="20"/>
        <w:spacing w:after="0" w:line="355" w:lineRule="auto"/>
        <w:rPr>
          <w:sz w:val="20"/>
          <w:szCs w:val="20"/>
          <w:color w:val="auto"/>
        </w:rPr>
      </w:pPr>
      <w:r>
        <w:rPr>
          <w:rFonts w:ascii="Arial" w:cs="Arial" w:eastAsia="Arial" w:hAnsi="Arial"/>
          <w:sz w:val="16"/>
          <w:szCs w:val="16"/>
          <w:color w:val="auto"/>
        </w:rPr>
        <w:t>In the fourth quarter, revenues for the Motorhome segment were $448.9 million, up 48.7% from the prior year, driven by an increase in Class B and Class A unit sales, and pricing across the segment. Segment Adjusted EBITDA was $50.4 million, up 159.1% from the prior year due to higher revenues and profitability initiatives. Adjusted EBITDA margin of 11.2% increased 480 basis points over the prior year and 150 basis points sequentially, driven by leverage and profitability initiatives. Backlog increased to a record $2.3 billion, an increase of 119.1% over the prior year and 5.7% sequentially, as dealers continue to experience significant reductions in inventories due to high levels of consumer demand.</w:t>
      </w:r>
    </w:p>
    <w:p>
      <w:pPr>
        <w:spacing w:after="0" w:line="232" w:lineRule="exact"/>
        <w:rPr>
          <w:sz w:val="20"/>
          <w:szCs w:val="20"/>
          <w:color w:val="auto"/>
        </w:rPr>
      </w:pPr>
    </w:p>
    <w:p>
      <w:pPr>
        <w:jc w:val="both"/>
        <w:ind w:right="100"/>
        <w:spacing w:after="0" w:line="359" w:lineRule="auto"/>
        <w:rPr>
          <w:sz w:val="20"/>
          <w:szCs w:val="20"/>
          <w:color w:val="auto"/>
        </w:rPr>
      </w:pPr>
      <w:r>
        <w:rPr>
          <w:rFonts w:ascii="Arial" w:cs="Arial" w:eastAsia="Arial" w:hAnsi="Arial"/>
          <w:sz w:val="16"/>
          <w:szCs w:val="16"/>
          <w:color w:val="auto"/>
        </w:rPr>
        <w:t>For the full year Fiscal 2021, revenues for the Motorhome segment were $1.5 billion, up 45.6% from Fiscal 2020 driven by increased unit sales and pricing. Segment Adjusted EBITDA for the full year was $169.2 million, up 413.5% from Fiscal 2020. Adjusted EBITDA margin of 11.0% was up 790 basis points for the full year over Fiscal 2020.</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As of August 28, 2021, the Company had total outstanding debt of $528.6 million ($600.0 million of debt, net of convertible note discount of $60.4 million, and net of debt issuance costs of $11.1 million) and working capital of $651.6 million. Cash flow from operations was $237.3 million for the full year Fiscal 2021, a decrease of $33.2 million from the $270.4 million generated in Fiscal 2020 driven by higher net income which was more than offset by an increase to working capital that was driven by growth in the business and supply chain challenges.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Dividend and Share Repurchase</w:t>
      </w:r>
    </w:p>
    <w:p>
      <w:pPr>
        <w:spacing w:after="0" w:line="86" w:lineRule="exact"/>
        <w:rPr>
          <w:sz w:val="20"/>
          <w:szCs w:val="20"/>
          <w:color w:val="auto"/>
        </w:rPr>
      </w:pPr>
    </w:p>
    <w:p>
      <w:pPr>
        <w:ind w:right="100"/>
        <w:spacing w:after="0" w:line="366" w:lineRule="auto"/>
        <w:rPr>
          <w:sz w:val="20"/>
          <w:szCs w:val="20"/>
          <w:color w:val="auto"/>
        </w:rPr>
      </w:pPr>
      <w:r>
        <w:rPr>
          <w:rFonts w:ascii="Arial" w:cs="Arial" w:eastAsia="Arial" w:hAnsi="Arial"/>
          <w:sz w:val="16"/>
          <w:szCs w:val="16"/>
          <w:color w:val="auto"/>
        </w:rPr>
        <w:t>On August 18, 2021, the Company’s Board of Directors approved a quarterly cash dividend of $0.18 per share payable on September 29, 2021, to common stockholders of record at the close of business on September 15, 2021. This represents a 50%,</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51" w:right="339" w:bottom="1440" w:gutter="0" w:footer="0" w:header="0"/>
        </w:sectPr>
      </w:pPr>
    </w:p>
    <w:bookmarkStart w:id="5" w:name="page6"/>
    <w:bookmarkEnd w:id="5"/>
    <w:p>
      <w:pPr>
        <w:ind w:right="220"/>
        <w:spacing w:after="0" w:line="355" w:lineRule="auto"/>
        <w:rPr>
          <w:sz w:val="20"/>
          <w:szCs w:val="20"/>
          <w:color w:val="auto"/>
        </w:rPr>
      </w:pPr>
      <w:r>
        <w:rPr>
          <w:rFonts w:ascii="Arial" w:cs="Arial" w:eastAsia="Arial" w:hAnsi="Arial"/>
          <w:sz w:val="16"/>
          <w:szCs w:val="16"/>
          <w:color w:val="auto"/>
        </w:rPr>
        <w:t>or $0.06 per share, increase from the prior dividend of $0.12 per share. During the fourth quarter, Winnebago Industries executed share buybacks totaling $35.4 million. For the full year Fiscal 2021, dividend payments of $16.2 million and share buybacks of $45.4 million combined for total cash returned to shareholders of $61.6 million. As previously announced on October 13, 2021, the Company's Board of Directors authorized a new share repurchase program. This authorization, which does not have an expiration date, grants the Company the authority to repurchase $200.0 million of the Company's common stock and replaces the prior program.</w:t>
      </w:r>
    </w:p>
    <w:p>
      <w:pPr>
        <w:spacing w:after="0" w:line="232"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Mr. Happe continued, “As we reflect on 2021, we are proud of the financial, organizational and cultural strides we have made together with our talented team. In addition to delivering improved profitability and market share growth, Winnebago Industries continued our deep commitment to corporate responsibility initiatives that impact our communities and shareholders. During the year, Winnebago Industries increased its sustainability efforts by renewing our partnership with the National Park Foundation and joining the UN Global Compact, welcomed a new Head of Diversity, Equity and Inclusion, and added two independent directors to our Board. Looking ahead, our confidence in our ability to profitably grow revenues and gain market share is reflected in the 50% increase to our quarterly cash dividend announced in late August, our share buybacks in our Fiscal 2021 fourth quarter, and the newly authorized share repurchase program of up to $200 million. We look forward to continuing our momentum into Fiscal 2022 through a continued focus on quality, service and innovation as well as an expanded portfolio of high-quality outdoor lifestyle products that empower our customers to have extraordinary outdoor experiences as they travel, live, work and play.”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360"/>
        <w:spacing w:after="0" w:line="359" w:lineRule="auto"/>
        <w:rPr>
          <w:sz w:val="20"/>
          <w:szCs w:val="20"/>
          <w:color w:val="auto"/>
        </w:rPr>
      </w:pPr>
      <w:r>
        <w:rPr>
          <w:rFonts w:ascii="Arial" w:cs="Arial" w:eastAsia="Arial" w:hAnsi="Arial"/>
          <w:sz w:val="16"/>
          <w:szCs w:val="16"/>
          <w:color w:val="auto"/>
        </w:rPr>
        <w:t xml:space="preserve">Winnebago Industries, Inc. will discuss fourth quarter and full year Fiscal 2021 earnings results during a conference call scheduled for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color w:val="0000FF"/>
        </w:rPr>
        <w:t>http://investor.wgo.net</w:t>
      </w:r>
      <w:r>
        <w:rPr>
          <w:rFonts w:ascii="Arial" w:cs="Arial" w:eastAsia="Arial" w:hAnsi="Arial"/>
          <w:sz w:val="16"/>
          <w:szCs w:val="16"/>
          <w:color w:val="auto"/>
        </w:rPr>
        <w:t>. The event will be archived and available for replay for the next 90 days.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2000"/>
        <w:spacing w:after="0" w:line="352"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w:t>
      </w:r>
    </w:p>
    <w:p>
      <w:pPr>
        <w:ind w:right="40"/>
        <w:spacing w:after="0" w:line="356" w:lineRule="auto"/>
        <w:rPr>
          <w:sz w:val="20"/>
          <w:szCs w:val="20"/>
          <w:color w:val="auto"/>
        </w:rPr>
      </w:pPr>
      <w:r>
        <w:rPr>
          <w:rFonts w:ascii="Arial" w:cs="Arial" w:eastAsia="Arial" w:hAnsi="Arial"/>
          <w:sz w:val="16"/>
          <w:szCs w:val="16"/>
          <w:color w:val="auto"/>
        </w:rPr>
        <w:t xml:space="preserve">Company builds quality motorhomes, travel trailers, fifth-wheel products, pontoons, inboard/outboard and sterndrive powerboats and commercial community outreach vehicles.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color w:val="0000FF"/>
        </w:rPr>
        <w:t>http://investor.wgo.net</w:t>
      </w:r>
      <w:r>
        <w:rPr>
          <w:rFonts w:ascii="Arial" w:cs="Arial" w:eastAsia="Arial" w:hAnsi="Arial"/>
          <w:sz w:val="16"/>
          <w:szCs w:val="16"/>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86" w:lineRule="exact"/>
        <w:rPr>
          <w:sz w:val="20"/>
          <w:szCs w:val="20"/>
          <w:color w:val="auto"/>
        </w:rPr>
      </w:pPr>
    </w:p>
    <w:p>
      <w:pPr>
        <w:ind w:right="40"/>
        <w:spacing w:after="0" w:line="355"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uncertainty surrounding the COVID-19 pandemic; general economic uncertainty in key markets and a worsening of domestic economic conditions or low levels of economic growth; availability of financing for RV and marine dealers; ability to innovate and commercialize new products; ability to manage our inventory to meet demand; competition and new product introductions by competitors; risk related to cyclicality and seasonality of our business; significant increase in repurchase obligations; business or production disruptions; inadequate inventory and distribution channel management; ability to retain relationships with our suppliers; increased material and component costs, including availability and price of fuel and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951" w:right="359" w:bottom="1440" w:gutter="0" w:footer="0" w:header="0"/>
        </w:sectPr>
      </w:pPr>
    </w:p>
    <w:bookmarkStart w:id="6" w:name="page7"/>
    <w:bookmarkEnd w:id="6"/>
    <w:p>
      <w:pPr>
        <w:spacing w:after="0" w:line="354" w:lineRule="auto"/>
        <w:rPr>
          <w:sz w:val="20"/>
          <w:szCs w:val="20"/>
          <w:color w:val="auto"/>
        </w:rPr>
      </w:pPr>
      <w:r>
        <w:rPr>
          <w:rFonts w:ascii="Arial" w:cs="Arial" w:eastAsia="Arial" w:hAnsi="Arial"/>
          <w:sz w:val="16"/>
          <w:szCs w:val="16"/>
          <w:color w:val="auto"/>
        </w:rPr>
        <w:t>upgrade and evolve our information technology systems; ability to retain brand reputation and related exposure to product liability claims; governmental regulation, including for climate change; impairment of goodwill;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Steve Stuber, Investor Relations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srstuber@wgo.net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(952) 828-8461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Media: Chad Reece, Corporate Relations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creece@wgo.net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(641) 585-6647</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951" w:right="35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percent and per share data)</w:t>
            </w: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August 28, 2021</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August 29, 2020</w:t>
            </w:r>
          </w:p>
        </w:tc>
        <w:tc>
          <w:tcPr>
            <w:tcW w:w="82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1,036,093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737,807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848,928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81.9 %</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615,298</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83.4 %</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187,165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63,580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50,521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119,995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10,143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14,321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109,936</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54,591</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25,851</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12,132</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84,085</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42,459</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33,418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33,641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percent and per share data)</w:t>
            </w: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August 28, 2021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August 29, 2020</w:t>
            </w:r>
          </w:p>
        </w:tc>
        <w:tc>
          <w:tcPr>
            <w:tcW w:w="82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3,629,847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2,355,533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2,979,484</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82.1 %</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2,042,605</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86.7 %</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312,928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228,581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177,061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242,942</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199,165</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407,421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40,365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37,461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367,450</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77,276</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15,834</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281,871</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61,442</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33,528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886"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28, 2021</w:t>
            </w:r>
          </w:p>
        </w:tc>
        <w:tc>
          <w:tcPr>
            <w:tcW w:w="20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29, 2020</w:t>
            </w:r>
          </w:p>
        </w:tc>
      </w:tr>
      <w:tr>
        <w:trPr>
          <w:trHeight w:val="213"/>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292,575</w:t>
            </w: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253,808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220,798</w:t>
            </w:r>
          </w:p>
        </w:tc>
      </w:tr>
      <w:tr>
        <w:trPr>
          <w:trHeight w:val="219"/>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182,941</w:t>
            </w:r>
          </w:p>
        </w:tc>
      </w:tr>
      <w:tr>
        <w:trPr>
          <w:trHeight w:val="213"/>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17,296</w:t>
            </w:r>
          </w:p>
        </w:tc>
      </w:tr>
      <w:tr>
        <w:trPr>
          <w:trHeight w:val="213"/>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1,058,913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713,610</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191,427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174,945</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390,407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404,768</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28,379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29,463</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1,713,700</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180,030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132,490</w:t>
            </w:r>
          </w:p>
        </w:tc>
      </w:tr>
      <w:tr>
        <w:trPr>
          <w:trHeight w:val="219"/>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8,840</w:t>
            </w:r>
          </w:p>
        </w:tc>
      </w:tr>
      <w:tr>
        <w:trPr>
          <w:trHeight w:val="213"/>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159,060</w:t>
            </w:r>
          </w:p>
        </w:tc>
      </w:tr>
      <w:tr>
        <w:trPr>
          <w:trHeight w:val="212"/>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300,390</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528,559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512,630</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6,511</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9,550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11,130</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w:t>
            </w:r>
          </w:p>
        </w:tc>
      </w:tr>
      <w:tr>
        <w:trPr>
          <w:trHeight w:val="209"/>
        </w:trPr>
        <w:tc>
          <w:tcPr>
            <w:tcW w:w="75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1,005,624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886,234</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1,056,943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827,466</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1,713,700</w:t>
            </w:r>
          </w:p>
        </w:tc>
      </w:tr>
      <w:tr>
        <w:trPr>
          <w:trHeight w:val="21"/>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886"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299"/>
              <w:spacing w:after="0"/>
              <w:rPr>
                <w:sz w:val="20"/>
                <w:szCs w:val="20"/>
                <w:color w:val="auto"/>
              </w:rPr>
            </w:pPr>
            <w:r>
              <w:rPr>
                <w:rFonts w:ascii="Arial" w:cs="Arial" w:eastAsia="Arial" w:hAnsi="Arial"/>
                <w:sz w:val="16"/>
                <w:szCs w:val="16"/>
                <w:b w:val="1"/>
                <w:bCs w:val="1"/>
                <w:color w:val="auto"/>
              </w:rPr>
              <w:t>Year Ended</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 2020</w:t>
            </w: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281,871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61,442</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18,201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15,997</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22,104</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Non-cash interest expense,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13,928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10,727</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7,379</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Last in, first-out expense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(5,188)</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(879)</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net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(25,773)</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(161,663)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105,994</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51,478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37,041</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11,422</w:t>
            </w:r>
          </w:p>
        </w:tc>
      </w:tr>
      <w:tr>
        <w:trPr>
          <w:trHeight w:val="21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21,646</w:t>
            </w: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237,279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270,434</w:t>
            </w:r>
          </w:p>
        </w:tc>
      </w:tr>
      <w:tr>
        <w:trPr>
          <w:trHeight w:val="195"/>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(32,377)</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(260,965)</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(293,076)</w:t>
            </w:r>
          </w:p>
        </w:tc>
      </w:tr>
      <w:tr>
        <w:trPr>
          <w:trHeight w:val="195"/>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3,627,627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2,786,824</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Repayments on long-term debt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(3,627,627)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(2,446,824)</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convertible bond hedge</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Proceeds from issuance of warrants</w:t>
            </w: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42,210</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(1,844)</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(18,030)</w:t>
            </w:r>
          </w:p>
        </w:tc>
      </w:tr>
      <w:tr>
        <w:trPr>
          <w:trHeight w:val="21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(62,282)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277,786</w:t>
            </w:r>
          </w:p>
        </w:tc>
      </w:tr>
      <w:tr>
        <w:trPr>
          <w:trHeight w:val="131"/>
        </w:trPr>
        <w:tc>
          <w:tcPr>
            <w:tcW w:w="7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255,144</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292,575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40" w:top="846"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780" w:type="dxa"/>
            <w:vAlign w:val="bottom"/>
          </w:tcPr>
          <w:p>
            <w:pPr>
              <w:ind w:left="220"/>
              <w:spacing w:after="0"/>
              <w:rPr>
                <w:sz w:val="20"/>
                <w:szCs w:val="20"/>
                <w:color w:val="auto"/>
              </w:rPr>
            </w:pPr>
            <w:r>
              <w:rPr>
                <w:rFonts w:ascii="Arial" w:cs="Arial" w:eastAsia="Arial" w:hAnsi="Arial"/>
                <w:sz w:val="16"/>
                <w:szCs w:val="16"/>
                <w:color w:val="auto"/>
              </w:rPr>
              <w:t>Income taxes paid, net</w:t>
            </w:r>
          </w:p>
        </w:tc>
        <w:tc>
          <w:tcPr>
            <w:tcW w:w="24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88,698</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3,667</w:t>
            </w:r>
          </w:p>
        </w:tc>
      </w:tr>
      <w:tr>
        <w:trPr>
          <w:trHeight w:val="219"/>
        </w:trPr>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paid</w:t>
            </w:r>
          </w:p>
        </w:tc>
        <w:tc>
          <w:tcPr>
            <w:tcW w:w="2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24,119</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17,253</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4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92,572</w:t>
            </w:r>
          </w:p>
        </w:tc>
      </w:tr>
      <w:tr>
        <w:trPr>
          <w:trHeight w:val="213"/>
        </w:trPr>
        <w:tc>
          <w:tcPr>
            <w:tcW w:w="5780" w:type="dxa"/>
            <w:vAlign w:val="bottom"/>
          </w:tcPr>
          <w:p>
            <w:pPr>
              <w:ind w:left="220"/>
              <w:spacing w:after="0"/>
              <w:rPr>
                <w:sz w:val="20"/>
                <w:szCs w:val="20"/>
                <w:color w:val="auto"/>
              </w:rPr>
            </w:pPr>
            <w:r>
              <w:rPr>
                <w:rFonts w:ascii="Arial" w:cs="Arial" w:eastAsia="Arial" w:hAnsi="Arial"/>
                <w:sz w:val="16"/>
                <w:szCs w:val="16"/>
                <w:color w:val="auto"/>
              </w:rPr>
              <w:t>Capital expenditures in accounts payable</w:t>
            </w:r>
          </w:p>
        </w:tc>
        <w:tc>
          <w:tcPr>
            <w:tcW w:w="2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3,760</w:t>
            </w: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9"/>
        </w:trPr>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declared not yet paid</w:t>
            </w:r>
          </w:p>
        </w:tc>
        <w:tc>
          <w:tcPr>
            <w:tcW w:w="2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6,497</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00"/>
          </w:cols>
          <w:pgMar w:left="340" w:top="896"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560,025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413,956</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146,069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35.3 %</w:t>
            </w: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83,368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61,294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22,074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36.0 %</w:t>
            </w:r>
          </w:p>
        </w:tc>
      </w:tr>
      <w:tr>
        <w:trPr>
          <w:trHeight w:val="378"/>
        </w:trPr>
        <w:tc>
          <w:tcPr>
            <w:tcW w:w="2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69.0 %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37.5 %</w:t>
            </w:r>
          </w:p>
        </w:tc>
      </w:tr>
      <w:tr>
        <w:trPr>
          <w:trHeight w:val="21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r>
      <w:tr>
        <w:trPr>
          <w:trHeight w:val="232"/>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17"/>
        </w:trPr>
        <w:tc>
          <w:tcPr>
            <w:tcW w:w="2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2"/>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2,009,959</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1,227,567</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782,392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63.7 %</w:t>
            </w: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289,007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148,276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140,731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94.9 %</w:t>
            </w:r>
          </w:p>
        </w:tc>
      </w:tr>
      <w:tr>
        <w:trPr>
          <w:trHeight w:val="378"/>
        </w:trPr>
        <w:tc>
          <w:tcPr>
            <w:tcW w:w="2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72.3 %</w:t>
            </w:r>
          </w:p>
        </w:tc>
      </w:tr>
      <w:tr>
        <w:trPr>
          <w:trHeight w:val="21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20,163</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14,706</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37.1 %</w:t>
            </w:r>
          </w:p>
        </w:tc>
      </w:tr>
      <w:tr>
        <w:trPr>
          <w:trHeight w:val="233"/>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37,890</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58.6 %</w:t>
            </w: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6"/>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264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46,590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24,903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21,687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87.1 %</w:t>
            </w: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1,704,393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747,925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956,468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127.9 %</w:t>
            </w: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bl>
    <w:p>
      <w:pPr>
        <w:spacing w:after="0" w:line="10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19"/>
          <w:szCs w:val="19"/>
          <w:color w:val="auto"/>
          <w:vertAlign w:val="superscript"/>
        </w:rPr>
      </w:pPr>
    </w:p>
    <w:p>
      <w:pPr>
        <w:ind w:left="260" w:right="20" w:hanging="252"/>
        <w:spacing w:after="0" w:line="211" w:lineRule="auto"/>
        <w:tabs>
          <w:tab w:leader="none" w:pos="291"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4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29, 2020</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448,863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301,771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147,092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48.7 %</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50,426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19,461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30,965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159.1 %</w:t>
            </w:r>
          </w:p>
        </w:tc>
      </w:tr>
      <w:tr>
        <w:trPr>
          <w:trHeight w:val="378"/>
        </w:trPr>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August 29,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31.9 %</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1,530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51.6 %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43.8 %</w:t>
            </w: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30.1 %</w:t>
            </w: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9"/>
        </w:trPr>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6"/>
                <w:szCs w:val="16"/>
                <w:b w:val="1"/>
                <w:bCs w:val="1"/>
                <w:color w:val="auto"/>
                <w:w w:val="96"/>
              </w:rPr>
              <w:t>Year Ended</w:t>
            </w:r>
            <w:r>
              <w:rPr>
                <w:rFonts w:ascii="Arial" w:cs="Arial" w:eastAsia="Arial" w:hAnsi="Arial"/>
                <w:sz w:val="21"/>
                <w:szCs w:val="21"/>
                <w:b w:val="1"/>
                <w:bCs w:val="1"/>
                <w:color w:val="auto"/>
                <w:w w:val="96"/>
                <w:vertAlign w:val="superscript"/>
              </w:rPr>
              <w:t>(2)</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29, 2020</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1,539,084</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1,056,794</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482,290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45.6 %</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169,205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32,949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136,256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413.5 %</w:t>
            </w:r>
          </w:p>
        </w:tc>
      </w:tr>
      <w:tr>
        <w:trPr>
          <w:trHeight w:val="378"/>
        </w:trPr>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399"/>
              <w:spacing w:after="0"/>
              <w:rPr>
                <w:sz w:val="20"/>
                <w:szCs w:val="20"/>
                <w:color w:val="auto"/>
              </w:rPr>
            </w:pPr>
            <w:r>
              <w:rPr>
                <w:rFonts w:ascii="Arial" w:cs="Arial" w:eastAsia="Arial" w:hAnsi="Arial"/>
                <w:sz w:val="16"/>
                <w:szCs w:val="16"/>
                <w:b w:val="1"/>
                <w:bCs w:val="1"/>
                <w:color w:val="auto"/>
                <w:w w:val="99"/>
              </w:rPr>
              <w:t>Year Ended</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August 29,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27.1 %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5,431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49.8 %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62.1 %</w:t>
            </w: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8,105</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34.6 %</w:t>
            </w: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6"/>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29, 2020</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266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18,254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8,463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9,791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115.7 %</w:t>
            </w: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2,303,504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1,051,415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1,252,089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119.1 %</w:t>
            </w: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bl>
    <w:p>
      <w:pPr>
        <w:spacing w:after="0" w:line="107"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19"/>
          <w:szCs w:val="19"/>
          <w:color w:val="auto"/>
          <w:vertAlign w:val="superscript"/>
        </w:rPr>
      </w:pPr>
    </w:p>
    <w:p>
      <w:pPr>
        <w:ind w:left="160" w:hanging="152"/>
        <w:spacing w:after="0" w:line="199"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August 29, 2020 year end data includes Newmar results from the time of acquisition (11/08/19).</w:t>
      </w:r>
    </w:p>
    <w:p>
      <w:pPr>
        <w:spacing w:after="0" w:line="44" w:lineRule="exact"/>
        <w:rPr>
          <w:rFonts w:ascii="Arial" w:cs="Arial" w:eastAsia="Arial" w:hAnsi="Arial"/>
          <w:sz w:val="18"/>
          <w:szCs w:val="18"/>
          <w:color w:val="auto"/>
          <w:vertAlign w:val="superscript"/>
        </w:rPr>
      </w:pPr>
    </w:p>
    <w:p>
      <w:pPr>
        <w:ind w:left="260" w:right="20" w:hanging="252"/>
        <w:spacing w:after="0" w:line="211" w:lineRule="auto"/>
        <w:tabs>
          <w:tab w:leader="none" w:pos="291"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143" w:right="339" w:bottom="1440" w:gutter="0" w:footer="0" w:header="0"/>
        </w:sectPr>
      </w:pPr>
    </w:p>
    <w:bookmarkStart w:id="13" w:name="page14"/>
    <w:bookmarkEnd w:id="13"/>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440" w:type="dxa"/>
            <w:vAlign w:val="bottom"/>
            <w:gridSpan w:val="4"/>
          </w:tcPr>
          <w:p>
            <w:pPr>
              <w:jc w:val="right"/>
              <w:ind w:right="1299"/>
              <w:spacing w:after="0"/>
              <w:rPr>
                <w:sz w:val="20"/>
                <w:szCs w:val="20"/>
                <w:color w:val="auto"/>
              </w:rPr>
            </w:pPr>
            <w:r>
              <w:rPr>
                <w:rFonts w:ascii="Arial" w:cs="Arial" w:eastAsia="Arial" w:hAnsi="Arial"/>
                <w:sz w:val="16"/>
                <w:szCs w:val="16"/>
                <w:b w:val="1"/>
                <w:bCs w:val="1"/>
                <w:color w:val="auto"/>
              </w:rPr>
              <w:t>Year Ended</w:t>
            </w:r>
          </w:p>
        </w:tc>
      </w:tr>
      <w:tr>
        <w:trPr>
          <w:trHeight w:val="212"/>
        </w:trPr>
        <w:tc>
          <w:tcPr>
            <w:tcW w:w="3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29, 2020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29, 2020</w:t>
            </w:r>
          </w:p>
        </w:tc>
      </w:tr>
      <w:tr>
        <w:trPr>
          <w:trHeight w:val="210"/>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income per share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16"/>
        </w:trPr>
        <w:tc>
          <w:tcPr>
            <w:tcW w:w="3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Pretax acquisition-related costs </w:t>
            </w:r>
            <w:r>
              <w:rPr>
                <w:rFonts w:ascii="Arial" w:cs="Arial" w:eastAsia="Arial" w:hAnsi="Arial"/>
                <w:sz w:val="21"/>
                <w:szCs w:val="21"/>
                <w:color w:val="auto"/>
                <w:vertAlign w:val="superscript"/>
              </w:rPr>
              <w:t>(1), (2)</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0.29</w:t>
            </w: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acquisition-related fair-value inventory step-up</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16"/>
        </w:trPr>
        <w:tc>
          <w:tcPr>
            <w:tcW w:w="3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Pretax non-cash interest expense </w:t>
            </w:r>
            <w:r>
              <w:rPr>
                <w:rFonts w:ascii="Arial" w:cs="Arial" w:eastAsia="Arial" w:hAnsi="Arial"/>
                <w:sz w:val="21"/>
                <w:szCs w:val="21"/>
                <w:color w:val="auto"/>
                <w:vertAlign w:val="superscript"/>
              </w:rPr>
              <w:t>(3)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Debt issuance write-off</w:t>
            </w: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0.14</w:t>
            </w: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Impact of convertible share dilution </w:t>
            </w:r>
            <w:r>
              <w:rPr>
                <w:rFonts w:ascii="Arial" w:cs="Arial" w:eastAsia="Arial" w:hAnsi="Arial"/>
                <w:sz w:val="21"/>
                <w:szCs w:val="21"/>
                <w:color w:val="auto"/>
                <w:vertAlign w:val="superscript"/>
              </w:rPr>
              <w:t>(4)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(5)</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09"/>
        </w:trPr>
        <w:tc>
          <w:tcPr>
            <w:tcW w:w="3880" w:type="dxa"/>
            <w:vAlign w:val="bottom"/>
          </w:tcPr>
          <w:p>
            <w:pPr>
              <w:ind w:left="140"/>
              <w:spacing w:after="0" w:line="210" w:lineRule="exact"/>
              <w:rPr>
                <w:sz w:val="20"/>
                <w:szCs w:val="20"/>
                <w:color w:val="auto"/>
              </w:rPr>
            </w:pPr>
            <w:r>
              <w:rPr>
                <w:rFonts w:ascii="Arial" w:cs="Arial" w:eastAsia="Arial" w:hAnsi="Arial"/>
                <w:sz w:val="16"/>
                <w:szCs w:val="16"/>
                <w:color w:val="auto"/>
              </w:rPr>
              <w:t xml:space="preserve">Adjusted diluted income per share </w:t>
            </w:r>
            <w:r>
              <w:rPr>
                <w:rFonts w:ascii="Arial" w:cs="Arial" w:eastAsia="Arial" w:hAnsi="Arial"/>
                <w:sz w:val="21"/>
                <w:szCs w:val="21"/>
                <w:color w:val="auto"/>
                <w:vertAlign w:val="superscript"/>
              </w:rPr>
              <w:t>(6)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1"/>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transaction-closing costs.</w:t>
      </w:r>
    </w:p>
    <w:p>
      <w:pPr>
        <w:ind w:left="280" w:hanging="272"/>
        <w:spacing w:after="0" w:line="187" w:lineRule="auto"/>
        <w:tabs>
          <w:tab w:leader="none" w:pos="28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Represents a pretax adjustment.</w:t>
      </w:r>
    </w:p>
    <w:p>
      <w:pPr>
        <w:ind w:left="280" w:hanging="272"/>
        <w:spacing w:after="0" w:line="187" w:lineRule="auto"/>
        <w:tabs>
          <w:tab w:leader="none" w:pos="28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Non-cash interest expense associated with the convertible notes issued as part of our acquisition of Newmar.</w:t>
      </w:r>
    </w:p>
    <w:p>
      <w:pPr>
        <w:ind w:left="160" w:hanging="152"/>
        <w:spacing w:after="0" w:line="187"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Represents the dilution of convertible notes which is economically offset by a call/spread overlay that was put in place upon issuance.</w:t>
      </w:r>
    </w:p>
    <w:p>
      <w:pPr>
        <w:ind w:left="280" w:hanging="272"/>
        <w:spacing w:after="0" w:line="187" w:lineRule="auto"/>
        <w:tabs>
          <w:tab w:leader="none" w:pos="28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Income tax charge calculated using the statutory tax rate for the U.S. of 21.0% for both periods presented.</w:t>
      </w:r>
    </w:p>
    <w:p>
      <w:pPr>
        <w:ind w:left="160" w:hanging="152"/>
        <w:spacing w:after="0" w:line="199"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Per share numbers may not foot due to rounding.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440" w:type="dxa"/>
            <w:vAlign w:val="bottom"/>
            <w:gridSpan w:val="4"/>
          </w:tcPr>
          <w:p>
            <w:pPr>
              <w:jc w:val="right"/>
              <w:ind w:right="1299"/>
              <w:spacing w:after="0"/>
              <w:rPr>
                <w:sz w:val="20"/>
                <w:szCs w:val="20"/>
                <w:color w:val="auto"/>
              </w:rPr>
            </w:pPr>
            <w:r>
              <w:rPr>
                <w:rFonts w:ascii="Arial" w:cs="Arial" w:eastAsia="Arial" w:hAnsi="Arial"/>
                <w:sz w:val="16"/>
                <w:szCs w:val="16"/>
                <w:b w:val="1"/>
                <w:bCs w:val="1"/>
                <w:color w:val="auto"/>
              </w:rPr>
              <w:t>Year Ended</w:t>
            </w:r>
          </w:p>
        </w:tc>
      </w:tr>
      <w:tr>
        <w:trPr>
          <w:trHeight w:val="212"/>
        </w:trPr>
        <w:tc>
          <w:tcPr>
            <w:tcW w:w="3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29, 2020</w:t>
            </w:r>
          </w:p>
        </w:tc>
      </w:tr>
      <w:tr>
        <w:trPr>
          <w:trHeight w:val="210"/>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84,085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281,871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61,442</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14,321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40,365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37,461</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15,834</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18,201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15,997</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r>
      <w:tr>
        <w:trPr>
          <w:trHeight w:val="210"/>
        </w:trPr>
        <w:tc>
          <w:tcPr>
            <w:tcW w:w="3860" w:type="dxa"/>
            <w:vAlign w:val="bottom"/>
          </w:tcPr>
          <w:p>
            <w:pPr>
              <w:ind w:left="14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128,394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76,645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440,377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152,838</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9,761</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r>
      <w:tr>
        <w:trPr>
          <w:trHeight w:val="213"/>
        </w:trPr>
        <w:tc>
          <w:tcPr>
            <w:tcW w:w="38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129,035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76,524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436,067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168,075</w:t>
            </w: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86" w:right="339" w:bottom="1440" w:gutter="0" w:footer="0" w:header="0"/>
        </w:sectPr>
      </w:pPr>
    </w:p>
    <w:bookmarkStart w:id="14" w:name="page15"/>
    <w:bookmarkEnd w:id="14"/>
    <w:p>
      <w:pPr>
        <w:ind w:right="20"/>
        <w:spacing w:after="0" w:line="283" w:lineRule="auto"/>
        <w:rPr>
          <w:sz w:val="20"/>
          <w:szCs w:val="20"/>
          <w:color w:val="auto"/>
        </w:rPr>
      </w:pPr>
      <w:r>
        <w:rPr>
          <w:rFonts w:ascii="Arial" w:cs="Arial" w:eastAsia="Arial" w:hAnsi="Arial"/>
          <w:sz w:val="16"/>
          <w:szCs w:val="16"/>
          <w:color w:val="auto"/>
        </w:rPr>
        <w:t>before interest expense, provision for income taxes, and depreciation and amortization expense. Adjusted EBITDA is defined as net income before interest expense, provision (benefit)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 Examples of items excluded from Adjusted diluted earnings per share include acquisition-related costs, acquisition-related fair-value inventory step-up, non-cash interest expense, restructuring expenses, debt issuance write-off, gain on sale of property, plant and equipment, impact of convertible share dilution and the tax impact of the adjustments. Examples of items excluded from Adjusted EBITDA include acquisition-related fair-value inventory step-up, acquisition-related costs, restructuring expenses, gain or loss on the sale of property, plant and equipment and non-operating income.</w:t>
      </w:r>
    </w:p>
    <w:p>
      <w:pPr>
        <w:spacing w:after="0" w:line="235"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asset-based revolving ("ABL") credit facility and outstanding notes. Management believes these non-GAAP financial measures are frequently used by securities analysts, investors and other interested parties to evaluate companies in our industry.</w:t>
      </w:r>
    </w:p>
    <w:p>
      <w:pPr>
        <w:spacing w:after="0" w:line="23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Starting in the first quarter of Fiscal 2022, our presentation of adjusted diluted earnings per share will also add back the per-share impact of after-tax intangible amortization expense. We believe it is appropriate to adjust for intangible amortization expense as it is not considered part of our core operating results when assessing our performance.</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Accordingly, we have provided our adjusted diluted earnings per share by quarter for Fiscal 2021 in accordance with this future presentation below, along with a reconciliation to our current presentation of adjusted diluted earnings per 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Q1 FY21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Q2 FY21</w:t>
            </w:r>
          </w:p>
        </w:tc>
        <w:tc>
          <w:tcPr>
            <w:tcW w:w="2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Q3 FY21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Q4 FY21</w:t>
            </w:r>
          </w:p>
        </w:tc>
        <w:tc>
          <w:tcPr>
            <w:tcW w:w="32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6"/>
                <w:szCs w:val="16"/>
                <w:b w:val="1"/>
                <w:bCs w:val="1"/>
                <w:color w:val="auto"/>
              </w:rPr>
              <w:t>FY21</w:t>
            </w:r>
          </w:p>
        </w:tc>
        <w:tc>
          <w:tcPr>
            <w:tcW w:w="0" w:type="dxa"/>
            <w:vAlign w:val="bottom"/>
          </w:tcPr>
          <w:p>
            <w:pPr>
              <w:spacing w:after="0"/>
              <w:rPr>
                <w:sz w:val="1"/>
                <w:szCs w:val="1"/>
                <w:color w:val="auto"/>
              </w:rPr>
            </w:pPr>
          </w:p>
        </w:tc>
      </w:tr>
      <w:tr>
        <w:trPr>
          <w:trHeight w:val="174"/>
        </w:trPr>
        <w:tc>
          <w:tcPr>
            <w:tcW w:w="3420" w:type="dxa"/>
            <w:vAlign w:val="bottom"/>
            <w:tcBorders>
              <w:top w:val="single" w:sz="8" w:color="auto"/>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Adjusted diluted earnings per share (current</w:t>
            </w:r>
          </w:p>
        </w:tc>
        <w:tc>
          <w:tcPr>
            <w:tcW w:w="2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presentation)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96"/>
              </w:rPr>
              <w:t>2.57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w w:val="96"/>
              </w:rPr>
              <w:t>8.55</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Arial" w:cs="Arial" w:eastAsia="Arial" w:hAnsi="Arial"/>
                <w:sz w:val="16"/>
                <w:szCs w:val="16"/>
                <w:color w:val="auto"/>
              </w:rPr>
              <w:t>Amortization expense</w:t>
            </w:r>
          </w:p>
        </w:tc>
        <w:tc>
          <w:tcPr>
            <w:tcW w:w="260" w:type="dxa"/>
            <w:vAlign w:val="bottom"/>
          </w:tcPr>
          <w:p>
            <w:pPr>
              <w:spacing w:after="0"/>
              <w:rPr>
                <w:sz w:val="18"/>
                <w:szCs w:val="18"/>
                <w:color w:val="auto"/>
              </w:rPr>
            </w:pPr>
          </w:p>
        </w:tc>
        <w:tc>
          <w:tcPr>
            <w:tcW w:w="1220" w:type="dxa"/>
            <w:vAlign w:val="bottom"/>
          </w:tcPr>
          <w:p>
            <w:pPr>
              <w:jc w:val="center"/>
              <w:ind w:left="699"/>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left="699"/>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left="69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left="679"/>
              <w:spacing w:after="0"/>
              <w:rPr>
                <w:sz w:val="20"/>
                <w:szCs w:val="20"/>
                <w:color w:val="auto"/>
              </w:rPr>
            </w:pPr>
            <w:r>
              <w:rPr>
                <w:rFonts w:ascii="Arial" w:cs="Arial" w:eastAsia="Arial" w:hAnsi="Arial"/>
                <w:sz w:val="16"/>
                <w:szCs w:val="16"/>
                <w:color w:val="auto"/>
                <w:w w:val="96"/>
              </w:rPr>
              <w:t>0.10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ind w:left="619"/>
              <w:spacing w:after="0"/>
              <w:rPr>
                <w:sz w:val="20"/>
                <w:szCs w:val="20"/>
                <w:color w:val="auto"/>
              </w:rPr>
            </w:pPr>
            <w:r>
              <w:rPr>
                <w:rFonts w:ascii="Arial" w:cs="Arial" w:eastAsia="Arial" w:hAnsi="Arial"/>
                <w:sz w:val="16"/>
                <w:szCs w:val="16"/>
                <w:color w:val="auto"/>
                <w:w w:val="96"/>
              </w:rPr>
              <w:t>0.42</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Amortization expense - tax impact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55"/>
        </w:trPr>
        <w:tc>
          <w:tcPr>
            <w:tcW w:w="3420" w:type="dxa"/>
            <w:vAlign w:val="bottom"/>
          </w:tcPr>
          <w:p>
            <w:pPr>
              <w:ind w:left="40"/>
              <w:spacing w:after="0" w:line="155" w:lineRule="exact"/>
              <w:rPr>
                <w:sz w:val="20"/>
                <w:szCs w:val="20"/>
                <w:color w:val="auto"/>
              </w:rPr>
            </w:pPr>
            <w:r>
              <w:rPr>
                <w:rFonts w:ascii="Arial" w:cs="Arial" w:eastAsia="Arial" w:hAnsi="Arial"/>
                <w:sz w:val="16"/>
                <w:szCs w:val="16"/>
                <w:color w:val="auto"/>
              </w:rPr>
              <w:t>Adjusted diluted earnings per share (future</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center"/>
              <w:ind w:left="69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3"/>
                <w:szCs w:val="13"/>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center"/>
              <w:ind w:left="69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3"/>
                <w:szCs w:val="13"/>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center"/>
              <w:ind w:left="69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center"/>
              <w:ind w:left="679"/>
              <w:spacing w:after="0"/>
              <w:rPr>
                <w:sz w:val="20"/>
                <w:szCs w:val="20"/>
                <w:color w:val="auto"/>
              </w:rPr>
            </w:pPr>
            <w:r>
              <w:rPr>
                <w:rFonts w:ascii="Arial" w:cs="Arial" w:eastAsia="Arial" w:hAnsi="Arial"/>
                <w:sz w:val="16"/>
                <w:szCs w:val="16"/>
                <w:color w:val="auto"/>
                <w:w w:val="96"/>
              </w:rPr>
              <w:t>2.65</w:t>
            </w:r>
          </w:p>
        </w:tc>
        <w:tc>
          <w:tcPr>
            <w:tcW w:w="100" w:type="dxa"/>
            <w:vAlign w:val="bottom"/>
          </w:tcPr>
          <w:p>
            <w:pPr>
              <w:spacing w:after="0"/>
              <w:rPr>
                <w:sz w:val="13"/>
                <w:szCs w:val="13"/>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center"/>
              <w:ind w:left="619"/>
              <w:spacing w:after="0"/>
              <w:rPr>
                <w:sz w:val="20"/>
                <w:szCs w:val="20"/>
                <w:color w:val="auto"/>
              </w:rPr>
            </w:pPr>
            <w:r>
              <w:rPr>
                <w:rFonts w:ascii="Arial" w:cs="Arial" w:eastAsia="Arial" w:hAnsi="Arial"/>
                <w:sz w:val="16"/>
                <w:szCs w:val="16"/>
                <w:color w:val="auto"/>
                <w:w w:val="96"/>
              </w:rPr>
              <w:t>8.88</w:t>
            </w:r>
          </w:p>
        </w:tc>
        <w:tc>
          <w:tcPr>
            <w:tcW w:w="0" w:type="dxa"/>
            <w:vAlign w:val="bottom"/>
          </w:tcPr>
          <w:p>
            <w:pPr>
              <w:spacing w:after="0"/>
              <w:rPr>
                <w:sz w:val="1"/>
                <w:szCs w:val="1"/>
                <w:color w:val="auto"/>
              </w:rPr>
            </w:pPr>
          </w:p>
        </w:tc>
      </w:tr>
      <w:tr>
        <w:trPr>
          <w:trHeight w:val="181"/>
        </w:trPr>
        <w:tc>
          <w:tcPr>
            <w:tcW w:w="3420" w:type="dxa"/>
            <w:vAlign w:val="bottom"/>
          </w:tcPr>
          <w:p>
            <w:pPr>
              <w:ind w:left="40"/>
              <w:spacing w:after="0" w:line="176" w:lineRule="exact"/>
              <w:rPr>
                <w:sz w:val="20"/>
                <w:szCs w:val="20"/>
                <w:color w:val="auto"/>
              </w:rPr>
            </w:pPr>
            <w:r>
              <w:rPr>
                <w:rFonts w:ascii="Arial" w:cs="Arial" w:eastAsia="Arial" w:hAnsi="Arial"/>
                <w:sz w:val="15"/>
                <w:szCs w:val="15"/>
                <w:color w:val="auto"/>
              </w:rPr>
              <w:t xml:space="preserve">presentation) </w:t>
            </w:r>
            <w:r>
              <w:rPr>
                <w:rFonts w:ascii="Arial" w:cs="Arial" w:eastAsia="Arial" w:hAnsi="Arial"/>
                <w:sz w:val="20"/>
                <w:szCs w:val="20"/>
                <w:color w:val="auto"/>
                <w:vertAlign w:val="superscript"/>
              </w:rPr>
              <w:t>(2)</w:t>
            </w:r>
          </w:p>
        </w:tc>
        <w:tc>
          <w:tcPr>
            <w:tcW w:w="2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Income tax charge calculated using the statutory tax rate for the U.S. of 21.0% for all periods presented.</w:t>
      </w:r>
    </w:p>
    <w:p>
      <w:pPr>
        <w:spacing w:after="0" w:line="16" w:lineRule="exact"/>
        <w:rPr>
          <w:rFonts w:ascii="Arial" w:cs="Arial" w:eastAsia="Arial" w:hAnsi="Arial"/>
          <w:sz w:val="19"/>
          <w:szCs w:val="19"/>
          <w:color w:val="auto"/>
          <w:vertAlign w:val="superscript"/>
        </w:rPr>
      </w:pPr>
    </w:p>
    <w:p>
      <w:pPr>
        <w:ind w:left="280" w:hanging="272"/>
        <w:spacing w:after="0" w:line="189" w:lineRule="auto"/>
        <w:tabs>
          <w:tab w:leader="none" w:pos="2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9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2021-10-20T06:10:42Z</dcterms:created>
  <dcterms:modified xsi:type="dcterms:W3CDTF">2021-10-20T06:10:42Z</dcterms:modified>
</cp:coreProperties>
</file>