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154940</wp:posOffset>
            </wp:positionV>
            <wp:extent cx="13633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139065</wp:posOffset>
            </wp:positionV>
            <wp:extent cx="13633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36"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June 17,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328295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3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Iowa</w:t>
            </w:r>
          </w:p>
        </w:tc>
        <w:tc>
          <w:tcPr>
            <w:tcW w:w="2820" w:type="dxa"/>
            <w:vAlign w:val="bottom"/>
          </w:tcPr>
          <w:p>
            <w:pPr>
              <w:jc w:val="right"/>
              <w:ind w:right="1090"/>
              <w:spacing w:after="0"/>
              <w:rPr>
                <w:sz w:val="20"/>
                <w:szCs w:val="20"/>
                <w:color w:val="auto"/>
              </w:rPr>
            </w:pPr>
            <w:r>
              <w:rPr>
                <w:rFonts w:ascii="Arial" w:cs="Arial" w:eastAsia="Arial" w:hAnsi="Arial"/>
                <w:sz w:val="18"/>
                <w:szCs w:val="18"/>
                <w:b w:val="1"/>
                <w:bCs w:val="1"/>
                <w:color w:val="auto"/>
              </w:rPr>
              <w:t>001-06403</w:t>
            </w:r>
          </w:p>
        </w:tc>
        <w:tc>
          <w:tcPr>
            <w:tcW w:w="1920" w:type="dxa"/>
            <w:vAlign w:val="bottom"/>
          </w:tcPr>
          <w:p>
            <w:pPr>
              <w:jc w:val="right"/>
              <w:ind w:right="130"/>
              <w:spacing w:after="0"/>
              <w:rPr>
                <w:sz w:val="20"/>
                <w:szCs w:val="20"/>
                <w:color w:val="auto"/>
              </w:rPr>
            </w:pPr>
            <w:r>
              <w:rPr>
                <w:rFonts w:ascii="Arial" w:cs="Arial" w:eastAsia="Arial" w:hAnsi="Arial"/>
                <w:sz w:val="18"/>
                <w:szCs w:val="18"/>
                <w:b w:val="1"/>
                <w:bCs w:val="1"/>
                <w:color w:val="auto"/>
              </w:rPr>
              <w:t>42-0802678</w:t>
            </w:r>
          </w:p>
        </w:tc>
      </w:tr>
      <w:tr>
        <w:trPr>
          <w:trHeight w:val="216"/>
        </w:trPr>
        <w:tc>
          <w:tcPr>
            <w:tcW w:w="318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2820" w:type="dxa"/>
            <w:vAlign w:val="bottom"/>
          </w:tcPr>
          <w:p>
            <w:pPr>
              <w:jc w:val="center"/>
              <w:ind w:right="230"/>
              <w:spacing w:after="0"/>
              <w:rPr>
                <w:sz w:val="20"/>
                <w:szCs w:val="20"/>
                <w:color w:val="auto"/>
              </w:rPr>
            </w:pPr>
            <w:r>
              <w:rPr>
                <w:rFonts w:ascii="Arial" w:cs="Arial" w:eastAsia="Arial" w:hAnsi="Arial"/>
                <w:sz w:val="18"/>
                <w:szCs w:val="18"/>
                <w:color w:val="auto"/>
                <w:w w:val="92"/>
              </w:rPr>
              <w:t>(Commission File Number)</w:t>
            </w: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92"/>
              </w:rPr>
              <w:t>(IRS Employer</w:t>
            </w:r>
          </w:p>
        </w:tc>
      </w:tr>
      <w:tr>
        <w:trPr>
          <w:trHeight w:val="230"/>
        </w:trPr>
        <w:tc>
          <w:tcPr>
            <w:tcW w:w="3180" w:type="dxa"/>
            <w:vAlign w:val="bottom"/>
          </w:tcPr>
          <w:p>
            <w:pPr>
              <w:jc w:val="center"/>
              <w:ind w:right="170"/>
              <w:spacing w:after="0"/>
              <w:rPr>
                <w:sz w:val="20"/>
                <w:szCs w:val="20"/>
                <w:color w:val="auto"/>
              </w:rPr>
            </w:pPr>
            <w:r>
              <w:rPr>
                <w:rFonts w:ascii="Arial" w:cs="Arial" w:eastAsia="Arial" w:hAnsi="Arial"/>
                <w:sz w:val="18"/>
                <w:szCs w:val="18"/>
                <w:color w:val="auto"/>
                <w:w w:val="94"/>
              </w:rPr>
              <w:t>of Incorporation)</w:t>
            </w:r>
          </w:p>
        </w:tc>
        <w:tc>
          <w:tcPr>
            <w:tcW w:w="2820" w:type="dxa"/>
            <w:vAlign w:val="bottom"/>
          </w:tcPr>
          <w:p>
            <w:pPr>
              <w:spacing w:after="0"/>
              <w:rPr>
                <w:sz w:val="20"/>
                <w:szCs w:val="20"/>
                <w:color w:val="auto"/>
              </w:rPr>
            </w:pPr>
          </w:p>
        </w:tc>
        <w:tc>
          <w:tcPr>
            <w:tcW w:w="1920" w:type="dxa"/>
            <w:vAlign w:val="bottom"/>
          </w:tcPr>
          <w:p>
            <w:pPr>
              <w:jc w:val="center"/>
              <w:ind w:left="4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3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P.O. Box 152, Forest City, Iowa</w:t>
            </w:r>
          </w:p>
        </w:tc>
        <w:tc>
          <w:tcPr>
            <w:tcW w:w="2820" w:type="dxa"/>
            <w:vAlign w:val="bottom"/>
          </w:tcPr>
          <w:p>
            <w:pPr>
              <w:spacing w:after="0"/>
              <w:rPr>
                <w:sz w:val="24"/>
                <w:szCs w:val="24"/>
                <w:color w:val="auto"/>
              </w:rPr>
            </w:pPr>
          </w:p>
        </w:tc>
        <w:tc>
          <w:tcPr>
            <w:tcW w:w="1920" w:type="dxa"/>
            <w:vAlign w:val="bottom"/>
          </w:tcPr>
          <w:p>
            <w:pPr>
              <w:jc w:val="right"/>
              <w:ind w:right="350"/>
              <w:spacing w:after="0"/>
              <w:rPr>
                <w:sz w:val="20"/>
                <w:szCs w:val="20"/>
                <w:color w:val="auto"/>
              </w:rPr>
            </w:pPr>
            <w:r>
              <w:rPr>
                <w:rFonts w:ascii="Arial" w:cs="Arial" w:eastAsia="Arial" w:hAnsi="Arial"/>
                <w:sz w:val="18"/>
                <w:szCs w:val="18"/>
                <w:b w:val="1"/>
                <w:bCs w:val="1"/>
                <w:color w:val="auto"/>
              </w:rPr>
              <w:t>50436</w:t>
            </w:r>
          </w:p>
        </w:tc>
      </w:tr>
      <w:tr>
        <w:trPr>
          <w:trHeight w:val="230"/>
        </w:trPr>
        <w:tc>
          <w:tcPr>
            <w:tcW w:w="3180" w:type="dxa"/>
            <w:vAlign w:val="bottom"/>
          </w:tcPr>
          <w:p>
            <w:pPr>
              <w:jc w:val="center"/>
              <w:ind w:right="15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Pr>
          <w:p>
            <w:pPr>
              <w:spacing w:after="0"/>
              <w:rPr>
                <w:sz w:val="20"/>
                <w:szCs w:val="20"/>
                <w:color w:val="auto"/>
              </w:rPr>
            </w:pPr>
          </w:p>
        </w:tc>
        <w:tc>
          <w:tcPr>
            <w:tcW w:w="1920" w:type="dxa"/>
            <w:vAlign w:val="bottom"/>
          </w:tcPr>
          <w:p>
            <w:pPr>
              <w:jc w:val="center"/>
              <w:ind w:left="510"/>
              <w:spacing w:after="0"/>
              <w:rPr>
                <w:sz w:val="20"/>
                <w:szCs w:val="20"/>
                <w:color w:val="auto"/>
              </w:rPr>
            </w:pPr>
            <w:r>
              <w:rPr>
                <w:rFonts w:ascii="Arial" w:cs="Arial" w:eastAsia="Arial" w:hAnsi="Arial"/>
                <w:sz w:val="18"/>
                <w:szCs w:val="18"/>
                <w:color w:val="auto"/>
                <w:w w:val="94"/>
              </w:rPr>
              <w:t>(Zip Code)</w:t>
            </w:r>
          </w:p>
        </w:tc>
      </w:tr>
    </w:tbl>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641-585-3535</w:t>
      </w:r>
    </w:p>
    <w:p>
      <w:pPr>
        <w:spacing w:after="0" w:line="260"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168910</wp:posOffset>
            </wp:positionV>
            <wp:extent cx="13550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50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spacing w:after="0" w:line="263"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215" w:lineRule="exact"/>
        <w:rPr>
          <w:sz w:val="24"/>
          <w:szCs w:val="24"/>
          <w:color w:val="auto"/>
        </w:rPr>
      </w:pPr>
    </w:p>
    <w:p>
      <w:pPr>
        <w:ind w:left="600" w:hanging="592"/>
        <w:spacing w:after="0"/>
        <w:tabs>
          <w:tab w:leader="none" w:pos="6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60" w:lineRule="exact"/>
        <w:rPr>
          <w:rFonts w:ascii="Arial" w:cs="Arial" w:eastAsia="Arial" w:hAnsi="Arial"/>
          <w:sz w:val="22"/>
          <w:szCs w:val="22"/>
          <w:color w:val="auto"/>
        </w:rPr>
      </w:pPr>
    </w:p>
    <w:p>
      <w:pPr>
        <w:ind w:left="600" w:hanging="592"/>
        <w:spacing w:after="0"/>
        <w:tabs>
          <w:tab w:leader="none" w:pos="6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60" w:lineRule="exact"/>
        <w:rPr>
          <w:rFonts w:ascii="Arial" w:cs="Arial" w:eastAsia="Arial" w:hAnsi="Arial"/>
          <w:sz w:val="22"/>
          <w:szCs w:val="22"/>
          <w:color w:val="auto"/>
        </w:rPr>
      </w:pPr>
    </w:p>
    <w:p>
      <w:pPr>
        <w:ind w:left="600" w:hanging="592"/>
        <w:spacing w:after="0"/>
        <w:tabs>
          <w:tab w:leader="none" w:pos="6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71" w:lineRule="exact"/>
        <w:rPr>
          <w:rFonts w:ascii="Arial" w:cs="Arial" w:eastAsia="Arial" w:hAnsi="Arial"/>
          <w:sz w:val="21"/>
          <w:szCs w:val="21"/>
          <w:color w:val="auto"/>
        </w:rPr>
      </w:pPr>
    </w:p>
    <w:p>
      <w:pPr>
        <w:ind w:left="600" w:hanging="592"/>
        <w:spacing w:after="0"/>
        <w:tabs>
          <w:tab w:leader="none" w:pos="6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387985</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Winnebago Industries, Inc. is filing herewith a press release issued on June 17, 2010, as Exhibit 99.1 which is included herein. The press release was issued to report earnings for the third quarter of fiscal 2010 ended May 29, 2010.</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138"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tabs>
          <w:tab w:leader="none" w:pos="14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11"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17, 2010.</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1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8"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Dated: June 17, 2010</w:t>
      </w:r>
      <w:r>
        <w:rPr>
          <w:sz w:val="20"/>
          <w:szCs w:val="20"/>
          <w:color w:val="auto"/>
        </w:rPr>
        <w:tab/>
      </w:r>
      <w:r>
        <w:rPr>
          <w:rFonts w:ascii="Arial" w:cs="Arial" w:eastAsia="Arial" w:hAnsi="Arial"/>
          <w:sz w:val="21"/>
          <w:szCs w:val="21"/>
          <w:color w:val="auto"/>
        </w:rPr>
        <w:t>W</w:t>
      </w:r>
      <w:r>
        <w:rPr>
          <w:rFonts w:ascii="Arial" w:cs="Arial" w:eastAsia="Arial" w:hAnsi="Arial"/>
          <w:sz w:val="12"/>
          <w:szCs w:val="12"/>
          <w:color w:val="auto"/>
        </w:rPr>
        <w:t>INNEBAGO</w:t>
      </w:r>
      <w:r>
        <w:rPr>
          <w:rFonts w:ascii="Arial" w:cs="Arial" w:eastAsia="Arial" w:hAnsi="Arial"/>
          <w:sz w:val="21"/>
          <w:szCs w:val="21"/>
          <w:color w:val="auto"/>
        </w:rPr>
        <w:t xml:space="preserve"> I</w:t>
      </w:r>
      <w:r>
        <w:rPr>
          <w:rFonts w:ascii="Arial" w:cs="Arial" w:eastAsia="Arial" w:hAnsi="Arial"/>
          <w:sz w:val="12"/>
          <w:szCs w:val="12"/>
          <w:color w:val="auto"/>
        </w:rPr>
        <w:t>NDUSTRIES,</w:t>
      </w:r>
      <w:r>
        <w:rPr>
          <w:rFonts w:ascii="Arial" w:cs="Arial" w:eastAsia="Arial" w:hAnsi="Arial"/>
          <w:sz w:val="21"/>
          <w:szCs w:val="21"/>
          <w:color w:val="auto"/>
        </w:rPr>
        <w:t xml:space="preserve"> I</w:t>
      </w:r>
      <w:r>
        <w:rPr>
          <w:rFonts w:ascii="Arial" w:cs="Arial" w:eastAsia="Arial" w:hAnsi="Arial"/>
          <w:sz w:val="12"/>
          <w:szCs w:val="12"/>
          <w:color w:val="auto"/>
        </w:rPr>
        <w:t>NC.</w:t>
      </w:r>
    </w:p>
    <w:p>
      <w:pPr>
        <w:spacing w:after="0" w:line="225" w:lineRule="exact"/>
        <w:rPr>
          <w:sz w:val="20"/>
          <w:szCs w:val="20"/>
          <w:color w:val="auto"/>
        </w:rPr>
      </w:pPr>
    </w:p>
    <w:tbl>
      <w:tblPr>
        <w:tblLayout w:type="fixed"/>
        <w:tblInd w:w="35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Robert J. Olson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rPr>
              <w:t>Chairman of the Board, 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EXHIBIT INDEX</w:t>
      </w:r>
    </w:p>
    <w:p>
      <w:pPr>
        <w:spacing w:after="0" w:line="215"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tabs>
          <w:tab w:leader="none" w:pos="14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11" w:lineRule="exact"/>
        <w:rPr>
          <w:sz w:val="20"/>
          <w:szCs w:val="20"/>
          <w:color w:val="auto"/>
        </w:rPr>
      </w:pPr>
    </w:p>
    <w:p>
      <w:pPr>
        <w:ind w:left="64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June 17, 2010.</w:t>
      </w:r>
    </w:p>
    <w:p>
      <w:pPr>
        <w:sectPr>
          <w:pgSz w:w="11900" w:h="16838" w:orient="portrait"/>
          <w:cols w:equalWidth="0" w:num="1">
            <w:col w:w="11400"/>
          </w:cols>
          <w:pgMar w:left="240" w:top="355"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WINNEBAGO INDUSTRIES REPORTS CONTINUED IMPROVEMENT IN</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THIRD QUARTER FISCAL 2010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First Operating Profit Since Second Quarter FY 2008 --</w:t>
      </w:r>
    </w:p>
    <w:p>
      <w:pPr>
        <w:spacing w:after="0" w:line="252"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FOREST CITY, IOWA, June 17, 2010- Winnebago Industries, Inc. (NYSE:WGO), the leading United States motor home manufacturer, today reported continued improvement in financial results during the Company's third quarter of fiscal year 2010.</w:t>
      </w:r>
    </w:p>
    <w:p>
      <w:pPr>
        <w:spacing w:after="0" w:line="2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for the third quarter of fiscal 2010 ended May 29, 2010 were $134.8 million, an increase of 165.1 percent, versus $50.8 million for the third quarter of fiscal 2009. The Company reported an operating profit of $3.4 million for the quarter, versus an operating loss of $14.8 million for the third quarter of fiscal 2009. Net income for the third quarter was $6.0 million versus a net loss of $8.6 million for the third quarter of fiscal 2009. On a diluted per share basis, the Company had net income of $.21 for the third quarter of fiscal 2010 versus a net loss of $.29 for the third quarter of fiscal 2009. The third quarter of fiscal 2010 was benefited from increased motor home unit deliveries, particularly in the Class A category. The net income for the third quarter reflected the positive effect of $2.4 million in tax benefits associated with resolution of tax audits and various tax planning initiatives.</w:t>
      </w:r>
    </w:p>
    <w:p>
      <w:pPr>
        <w:spacing w:after="0" w:line="20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Revenues for the first nine months of fiscal 2010 were $326.4 million, an increase of 114.6 percent, versus revenues of $152.1 million for the first nine months of fiscal 2009. The Company reported an operating loss of $4.4 million for the first nine months of fiscal 2010, versus an operating loss of $50.3 million for the first nine months of fiscal 2009. Net income for the first nine months of fiscal of 2010 was $5.4 million, or $0.18 per diluted share, versus a loss of $28.5 million, or $.98 per diluted share for the first nine months of fiscal 2009. No tax benefits have yet been recorded on the first nine months of fiscal 2010 pre-tax losses. To the extent that future pre-tax income is generated, these unrecorded tax benefits will offset tax expense until fully utilized. The $9.5 million of tax benefit recorded in the first nine months of fiscal 2010 primarily relates to tax benefits associated with the carryback of fiscal year 2009 net operating losses permitted by tax law changes and tax benefits associated with various tax planning initiatives and tax settlements.</w:t>
      </w:r>
    </w:p>
    <w:p>
      <w:pPr>
        <w:spacing w:after="0" w:line="23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are extremely pleased to report our results for the third quarter of fiscal 2010 which show profitability at the operating level for the first time since our second quarter of 2008,” said Winnebago Industries' Chairman, CEO and President Bob Olson. "We are also encouraged by continued sequential improvement in revenues and gross profit. The main driver for this improvement was increased motor home shipments which increased 120.3 percent over the third quarter of fiscal 2009 and 23.2 percent sequentially over the second quarter ended February 27, 2010. The increased volume resulted in grea ter efficiencies and higher utilization of our manufacturing facilities."</w:t>
      </w:r>
    </w:p>
    <w:p>
      <w:pPr>
        <w:spacing w:after="0" w:line="23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Dealer inventory was relatively flat with 2,000 Class A, B and C motor homes as of May 29, 2010, compared to the 2,022 at the end of the second quarter of fiscal 2010; and down 13.9 percent from dealer inventory of 2,324 on May 30, 2009. Olson continued, "Dealer inventory has leveled off, which we believe is appropriate in today's market environment. Dealers and their lending institutions are keeping a close eye on in ventories to ensure that supply is consistent with retail demand. We have also seen dramatic improvement within the last year in the age of the product in dealer inventory, with much less older inventory on their lots."</w:t>
      </w:r>
    </w:p>
    <w:p>
      <w:pPr>
        <w:spacing w:after="0" w:line="233" w:lineRule="exact"/>
        <w:rPr>
          <w:sz w:val="20"/>
          <w:szCs w:val="20"/>
          <w:color w:val="auto"/>
        </w:rPr>
      </w:pPr>
    </w:p>
    <w:p>
      <w:pPr>
        <w:jc w:val="both"/>
        <w:ind w:right="240"/>
        <w:spacing w:after="0" w:line="254" w:lineRule="auto"/>
        <w:rPr>
          <w:sz w:val="20"/>
          <w:szCs w:val="20"/>
          <w:color w:val="auto"/>
        </w:rPr>
      </w:pPr>
      <w:r>
        <w:rPr>
          <w:rFonts w:ascii="Arial" w:cs="Arial" w:eastAsia="Arial" w:hAnsi="Arial"/>
          <w:sz w:val="18"/>
          <w:szCs w:val="18"/>
          <w:color w:val="auto"/>
        </w:rPr>
        <w:t>Winnebago Industries' sales order backlog was 935 motor homes at May 29, 2010, an increase of 144.8 percent compared to the end of the third quarter of fiscal 2009. "While our sales order backlog increased considerably since the third quarter of fiscal 2009, it has declined 19.3 percent sequentially from the end of the second quarter of fiscal 2010," said Olson. "We are launching our new 2011 products to our dealers this month. As dealers are able to see these exciting new products, we anticipate the sales order backlog will rise accordingly."</w:t>
      </w:r>
    </w:p>
    <w:p>
      <w:pPr>
        <w:spacing w:after="0" w:line="23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According to Statistical Surveys, Inc., the retail reporting service for the RV industry, Winnebago Industries continues to lead the industry in retail sales of Class A and Class C motor homes combined with 19.5 percent for the first four months of calendar 2010, compared to 18.4 percent for the same period of calendar 2009.</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Olson continued, "Dr. Richard Curtin, the economist for the Recreation Vehicle Industry Association, recently increased his forecast for the motor home market, estimating 22,600 Class A, B and C motor homes will be shipped to dealers in calendar 2010, a 71 percent increase over 2009. We remain cautious, however, until we see prolonged improvement in retail sales. We continue to believe that retail sales will be the key driver to sustain our recovery and for continued growth going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Conference Call</w:t>
      </w:r>
    </w:p>
    <w:p>
      <w:pPr>
        <w:spacing w:after="0" w:line="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Winnebago Industries, Inc. will conduct a conference call in conjunction with this release at 9 a.m. Central Time today, Thursday, June 17, 2010. Members of the news media, investors and the general public are invited to access a live broadcast of the conference call via the Investor Relations page of the Company's website at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 The event will be archived and available for replay for the next 90 days.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About Winnebago Industries</w:t>
      </w:r>
    </w:p>
    <w:p>
      <w:pPr>
        <w:spacing w:after="0" w:line="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Winnebago Industries, Inc. is the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http://www.winnebagoind.com/investor.html.</w:t>
      </w:r>
    </w:p>
    <w:p>
      <w:pPr>
        <w:spacing w:after="0" w:line="23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and other facto rs. Additional information concerning certain risks and uncertainties that could cause actual results to differ materially from that projected or suggested is contained in the Company's filings with the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percent and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ind w:left="620"/>
              <w:spacing w:after="0"/>
              <w:rPr>
                <w:sz w:val="20"/>
                <w:szCs w:val="20"/>
                <w:color w:val="auto"/>
              </w:rPr>
            </w:pPr>
            <w:r>
              <w:rPr>
                <w:rFonts w:ascii="Arial" w:cs="Arial" w:eastAsia="Arial" w:hAnsi="Arial"/>
                <w:sz w:val="18"/>
                <w:szCs w:val="18"/>
                <w:b w:val="1"/>
                <w:bCs w:val="1"/>
                <w:color w:val="auto"/>
              </w:rPr>
              <w:t>Quarter Ended</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6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May 29, 2010</w:t>
            </w:r>
          </w:p>
        </w:tc>
        <w:tc>
          <w:tcPr>
            <w:tcW w:w="2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May 30, 2009</w:t>
            </w:r>
          </w:p>
        </w:tc>
        <w:tc>
          <w:tcPr>
            <w:tcW w:w="20" w:type="dxa"/>
            <w:vAlign w:val="bottom"/>
          </w:tcPr>
          <w:p>
            <w:pPr>
              <w:spacing w:after="0"/>
              <w:rPr>
                <w:sz w:val="18"/>
                <w:szCs w:val="18"/>
                <w:color w:val="auto"/>
              </w:rPr>
            </w:pPr>
          </w:p>
        </w:tc>
      </w:tr>
      <w:tr>
        <w:trPr>
          <w:trHeight w:val="61"/>
        </w:trPr>
        <w:tc>
          <w:tcPr>
            <w:tcW w:w="6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134,813</w:t>
            </w: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100.0 %</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50,848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18"/>
                <w:szCs w:val="18"/>
                <w:color w:val="auto"/>
              </w:rPr>
            </w:pP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125,058</w:t>
            </w:r>
          </w:p>
        </w:tc>
        <w:tc>
          <w:tcPr>
            <w:tcW w:w="2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92.8 %</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59,133</w:t>
            </w:r>
          </w:p>
        </w:tc>
        <w:tc>
          <w:tcPr>
            <w:tcW w:w="2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116.3 %</w:t>
            </w:r>
          </w:p>
        </w:tc>
        <w:tc>
          <w:tcPr>
            <w:tcW w:w="20" w:type="dxa"/>
            <w:vAlign w:val="bottom"/>
          </w:tcPr>
          <w:p>
            <w:pPr>
              <w:spacing w:after="0"/>
              <w:rPr>
                <w:sz w:val="18"/>
                <w:szCs w:val="18"/>
                <w:color w:val="auto"/>
              </w:rPr>
            </w:pPr>
          </w:p>
        </w:tc>
      </w:tr>
      <w:tr>
        <w:trPr>
          <w:trHeight w:val="210"/>
        </w:trPr>
        <w:tc>
          <w:tcPr>
            <w:tcW w:w="6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Gross profit (deficit)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Selling</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20" w:type="dxa"/>
            <w:vAlign w:val="bottom"/>
          </w:tcPr>
          <w:p>
            <w:pPr>
              <w:spacing w:after="0"/>
              <w:rPr>
                <w:sz w:val="18"/>
                <w:szCs w:val="18"/>
                <w:color w:val="auto"/>
              </w:rPr>
            </w:pPr>
          </w:p>
        </w:tc>
      </w:tr>
      <w:tr>
        <w:trPr>
          <w:trHeight w:val="216"/>
        </w:trPr>
        <w:tc>
          <w:tcPr>
            <w:tcW w:w="62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w:t>
            </w:r>
          </w:p>
        </w:tc>
        <w:tc>
          <w:tcPr>
            <w:tcW w:w="2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6.7 %</w:t>
            </w:r>
          </w:p>
        </w:tc>
        <w:tc>
          <w:tcPr>
            <w:tcW w:w="20" w:type="dxa"/>
            <w:vAlign w:val="bottom"/>
          </w:tcPr>
          <w:p>
            <w:pPr>
              <w:spacing w:after="0"/>
              <w:rPr>
                <w:sz w:val="18"/>
                <w:szCs w:val="18"/>
                <w:color w:val="auto"/>
              </w:rPr>
            </w:pPr>
          </w:p>
        </w:tc>
      </w:tr>
      <w:tr>
        <w:trPr>
          <w:trHeight w:val="210"/>
        </w:trPr>
        <w:tc>
          <w:tcPr>
            <w:tcW w:w="6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2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6,497</w:t>
            </w:r>
          </w:p>
        </w:tc>
        <w:tc>
          <w:tcPr>
            <w:tcW w:w="2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20" w:type="dxa"/>
            <w:vAlign w:val="bottom"/>
          </w:tcPr>
          <w:p>
            <w:pPr>
              <w:spacing w:after="0"/>
              <w:rPr>
                <w:sz w:val="18"/>
                <w:szCs w:val="18"/>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3,404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(14,782)</w:t>
            </w: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(29.1)%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60" w:type="dxa"/>
            <w:vAlign w:val="bottom"/>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0" w:type="dxa"/>
            <w:vAlign w:val="bottom"/>
          </w:tcPr>
          <w:p>
            <w:pPr>
              <w:spacing w:after="0"/>
              <w:rPr>
                <w:sz w:val="18"/>
                <w:szCs w:val="18"/>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3,562</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(14,573)</w:t>
            </w:r>
          </w:p>
        </w:tc>
        <w:tc>
          <w:tcPr>
            <w:tcW w:w="2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(28.7)%</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Benefit for taxes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w:t>
            </w:r>
          </w:p>
        </w:tc>
        <w:tc>
          <w:tcPr>
            <w:tcW w:w="260" w:type="dxa"/>
            <w:vAlign w:val="bottom"/>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(6,020)</w:t>
            </w:r>
          </w:p>
        </w:tc>
        <w:tc>
          <w:tcPr>
            <w:tcW w:w="2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r>
        <w:trPr>
          <w:trHeight w:val="250"/>
        </w:trPr>
        <w:tc>
          <w:tcPr>
            <w:tcW w:w="624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5,992</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(8,553)</w:t>
            </w:r>
          </w:p>
        </w:tc>
        <w:tc>
          <w:tcPr>
            <w:tcW w:w="2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r>
      <w:tr>
        <w:trPr>
          <w:trHeight w:val="197"/>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(loss) per common share:</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2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(0.29)</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29,045</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2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29,107</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29,056</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6"/>
          </w:tcPr>
          <w:p>
            <w:pPr>
              <w:ind w:left="400"/>
              <w:spacing w:after="0"/>
              <w:rPr>
                <w:sz w:val="20"/>
                <w:szCs w:val="20"/>
                <w:color w:val="auto"/>
              </w:rPr>
            </w:pPr>
            <w:r>
              <w:rPr>
                <w:rFonts w:ascii="Arial" w:cs="Arial" w:eastAsia="Arial" w:hAnsi="Arial"/>
                <w:sz w:val="18"/>
                <w:szCs w:val="18"/>
                <w:b w:val="1"/>
                <w:bCs w:val="1"/>
                <w:color w:val="auto"/>
              </w:rPr>
              <w:t>Nine Months Ended</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6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May 29, 2010</w:t>
            </w:r>
          </w:p>
        </w:tc>
        <w:tc>
          <w:tcPr>
            <w:tcW w:w="20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May 30, 2009</w:t>
            </w:r>
          </w:p>
        </w:tc>
        <w:tc>
          <w:tcPr>
            <w:tcW w:w="20" w:type="dxa"/>
            <w:vAlign w:val="bottom"/>
          </w:tcPr>
          <w:p>
            <w:pPr>
              <w:spacing w:after="0"/>
              <w:rPr>
                <w:sz w:val="18"/>
                <w:szCs w:val="18"/>
                <w:color w:val="auto"/>
              </w:rPr>
            </w:pPr>
          </w:p>
        </w:tc>
      </w:tr>
      <w:tr>
        <w:trPr>
          <w:trHeight w:val="61"/>
        </w:trPr>
        <w:tc>
          <w:tcPr>
            <w:tcW w:w="6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326,359</w:t>
            </w: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100.0 %</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152,054</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18"/>
                <w:szCs w:val="18"/>
                <w:color w:val="auto"/>
              </w:rPr>
            </w:pP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311,296</w:t>
            </w:r>
          </w:p>
        </w:tc>
        <w:tc>
          <w:tcPr>
            <w:tcW w:w="2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95.4 %</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181,025</w:t>
            </w:r>
          </w:p>
        </w:tc>
        <w:tc>
          <w:tcPr>
            <w:tcW w:w="2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119.1 %</w:t>
            </w:r>
          </w:p>
        </w:tc>
        <w:tc>
          <w:tcPr>
            <w:tcW w:w="20" w:type="dxa"/>
            <w:vAlign w:val="bottom"/>
          </w:tcPr>
          <w:p>
            <w:pPr>
              <w:spacing w:after="0"/>
              <w:rPr>
                <w:sz w:val="18"/>
                <w:szCs w:val="18"/>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 (deficit)</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15,063</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(28,971)</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r>
      <w:tr>
        <w:trPr>
          <w:trHeight w:val="210"/>
        </w:trPr>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Selling</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9,564</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20" w:type="dxa"/>
            <w:vAlign w:val="bottom"/>
          </w:tcPr>
          <w:p>
            <w:pPr>
              <w:spacing w:after="0"/>
              <w:rPr>
                <w:sz w:val="18"/>
                <w:szCs w:val="18"/>
                <w:color w:val="auto"/>
              </w:rPr>
            </w:pPr>
          </w:p>
        </w:tc>
      </w:tr>
      <w:tr>
        <w:trPr>
          <w:trHeight w:val="216"/>
        </w:trPr>
        <w:tc>
          <w:tcPr>
            <w:tcW w:w="6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10,056</w:t>
            </w: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w:t>
            </w:r>
          </w:p>
        </w:tc>
        <w:tc>
          <w:tcPr>
            <w:tcW w:w="2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7.7 %</w:t>
            </w:r>
          </w:p>
        </w:tc>
        <w:tc>
          <w:tcPr>
            <w:tcW w:w="20" w:type="dxa"/>
            <w:vAlign w:val="bottom"/>
          </w:tcPr>
          <w:p>
            <w:pPr>
              <w:spacing w:after="0"/>
              <w:rPr>
                <w:sz w:val="18"/>
                <w:szCs w:val="18"/>
                <w:color w:val="auto"/>
              </w:rPr>
            </w:pPr>
          </w:p>
        </w:tc>
      </w:tr>
      <w:tr>
        <w:trPr>
          <w:trHeight w:val="210"/>
        </w:trPr>
        <w:tc>
          <w:tcPr>
            <w:tcW w:w="6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21,312</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20" w:type="dxa"/>
            <w:vAlign w:val="bottom"/>
          </w:tcPr>
          <w:p>
            <w:pPr>
              <w:spacing w:after="0"/>
              <w:rPr>
                <w:sz w:val="18"/>
                <w:szCs w:val="18"/>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(4,431)</w:t>
            </w:r>
          </w:p>
        </w:tc>
        <w:tc>
          <w:tcPr>
            <w:tcW w:w="260" w:type="dxa"/>
            <w:vAlign w:val="bottom"/>
          </w:tcPr>
          <w:p>
            <w:pPr>
              <w:spacing w:after="0"/>
              <w:rPr>
                <w:sz w:val="17"/>
                <w:szCs w:val="17"/>
                <w:color w:val="auto"/>
              </w:rPr>
            </w:pPr>
          </w:p>
        </w:tc>
        <w:tc>
          <w:tcPr>
            <w:tcW w:w="10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(50,283)</w:t>
            </w:r>
          </w:p>
        </w:tc>
        <w:tc>
          <w:tcPr>
            <w:tcW w:w="260" w:type="dxa"/>
            <w:vAlign w:val="bottom"/>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(33.1)%</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0.1 %</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20" w:type="dxa"/>
            <w:vAlign w:val="bottom"/>
          </w:tcPr>
          <w:p>
            <w:pPr>
              <w:spacing w:after="0"/>
              <w:rPr>
                <w:sz w:val="18"/>
                <w:szCs w:val="18"/>
                <w:color w:val="auto"/>
              </w:rPr>
            </w:pPr>
          </w:p>
        </w:tc>
      </w:tr>
      <w:tr>
        <w:trPr>
          <w:trHeight w:val="196"/>
        </w:trPr>
        <w:tc>
          <w:tcPr>
            <w:tcW w:w="6240" w:type="dxa"/>
            <w:vAlign w:val="bottom"/>
          </w:tcPr>
          <w:p>
            <w:pPr>
              <w:spacing w:after="0" w:line="196" w:lineRule="exact"/>
              <w:rPr>
                <w:sz w:val="20"/>
                <w:szCs w:val="20"/>
                <w:color w:val="auto"/>
              </w:rPr>
            </w:pPr>
            <w:r>
              <w:rPr>
                <w:rFonts w:ascii="Arial" w:cs="Arial" w:eastAsia="Arial" w:hAnsi="Arial"/>
                <w:sz w:val="18"/>
                <w:szCs w:val="18"/>
                <w:color w:val="auto"/>
              </w:rPr>
              <w:t>Loss before income taxes</w:t>
            </w: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(4,142)</w:t>
            </w:r>
          </w:p>
        </w:tc>
        <w:tc>
          <w:tcPr>
            <w:tcW w:w="260" w:type="dxa"/>
            <w:vAlign w:val="bottom"/>
          </w:tcPr>
          <w:p>
            <w:pPr>
              <w:spacing w:after="0"/>
              <w:rPr>
                <w:sz w:val="17"/>
                <w:szCs w:val="17"/>
                <w:color w:val="auto"/>
              </w:rPr>
            </w:pPr>
          </w:p>
        </w:tc>
        <w:tc>
          <w:tcPr>
            <w:tcW w:w="108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(1.3)%</w:t>
            </w: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(48,917)</w:t>
            </w:r>
          </w:p>
        </w:tc>
        <w:tc>
          <w:tcPr>
            <w:tcW w:w="260" w:type="dxa"/>
            <w:vAlign w:val="bottom"/>
          </w:tcPr>
          <w:p>
            <w:pPr>
              <w:spacing w:after="0"/>
              <w:rPr>
                <w:sz w:val="17"/>
                <w:szCs w:val="17"/>
                <w:color w:val="auto"/>
              </w:rPr>
            </w:pPr>
          </w:p>
        </w:tc>
        <w:tc>
          <w:tcPr>
            <w:tcW w:w="10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7"/>
                <w:szCs w:val="17"/>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Benefit for taxes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(9,496)</w:t>
            </w:r>
          </w:p>
        </w:tc>
        <w:tc>
          <w:tcPr>
            <w:tcW w:w="260" w:type="dxa"/>
            <w:vAlign w:val="bottom"/>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(20,387)</w:t>
            </w:r>
          </w:p>
        </w:tc>
        <w:tc>
          <w:tcPr>
            <w:tcW w:w="26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Pr>
          <w:p>
            <w:pPr>
              <w:spacing w:after="0"/>
              <w:rPr>
                <w:sz w:val="18"/>
                <w:szCs w:val="18"/>
                <w:color w:val="auto"/>
              </w:rPr>
            </w:pPr>
          </w:p>
        </w:tc>
      </w:tr>
      <w:tr>
        <w:trPr>
          <w:trHeight w:val="250"/>
        </w:trPr>
        <w:tc>
          <w:tcPr>
            <w:tcW w:w="624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5,354</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(28,530)</w:t>
            </w:r>
          </w:p>
        </w:tc>
        <w:tc>
          <w:tcPr>
            <w:tcW w:w="2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r>
      <w:tr>
        <w:trPr>
          <w:trHeight w:val="197"/>
        </w:trPr>
        <w:tc>
          <w:tcPr>
            <w:tcW w:w="6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Income (loss) per common share:</w:t>
            </w:r>
          </w:p>
        </w:tc>
        <w:tc>
          <w:tcPr>
            <w:tcW w:w="2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2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0.18</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(0.98)</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24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29,097</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29,046</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45"/>
        </w:trPr>
        <w:tc>
          <w:tcPr>
            <w:tcW w:w="6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May 29,</w:t>
            </w:r>
          </w:p>
        </w:tc>
        <w:tc>
          <w:tcPr>
            <w:tcW w:w="120" w:type="dxa"/>
            <w:vAlign w:val="bottom"/>
          </w:tcPr>
          <w:p>
            <w:pPr>
              <w:spacing w:after="0"/>
              <w:rPr>
                <w:sz w:val="17"/>
                <w:szCs w:val="17"/>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August 29,</w:t>
            </w:r>
          </w:p>
        </w:tc>
      </w:tr>
      <w:tr>
        <w:trPr>
          <w:trHeight w:val="225"/>
        </w:trPr>
        <w:tc>
          <w:tcPr>
            <w:tcW w:w="8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r>
      <w:tr>
        <w:trPr>
          <w:trHeight w:val="61"/>
        </w:trPr>
        <w:tc>
          <w:tcPr>
            <w:tcW w:w="8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36,566</w:t>
            </w:r>
          </w:p>
        </w:tc>
      </w:tr>
      <w:tr>
        <w:trPr>
          <w:trHeight w:val="216"/>
        </w:trPr>
        <w:tc>
          <w:tcPr>
            <w:tcW w:w="86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13,500</w:t>
            </w:r>
          </w:p>
        </w:tc>
      </w:tr>
      <w:tr>
        <w:trPr>
          <w:trHeight w:val="216"/>
        </w:trPr>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11,717</w:t>
            </w:r>
          </w:p>
        </w:tc>
      </w:tr>
      <w:tr>
        <w:trPr>
          <w:trHeight w:val="216"/>
        </w:trPr>
        <w:tc>
          <w:tcPr>
            <w:tcW w:w="86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39,134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46,850</w:t>
            </w:r>
          </w:p>
        </w:tc>
      </w:tr>
      <w:tr>
        <w:trPr>
          <w:trHeight w:val="216"/>
        </w:trPr>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r>
      <w:tr>
        <w:trPr>
          <w:trHeight w:val="216"/>
        </w:trPr>
        <w:tc>
          <w:tcPr>
            <w:tcW w:w="8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Income taxes receivable</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17,356</w:t>
            </w:r>
          </w:p>
        </w:tc>
      </w:tr>
      <w:tr>
        <w:trPr>
          <w:trHeight w:val="210"/>
        </w:trPr>
        <w:tc>
          <w:tcPr>
            <w:tcW w:w="8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129,414</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24,536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28,040</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Assets held for sale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6,515</w:t>
            </w: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19,794</w:t>
            </w: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life insurance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22,451</w:t>
            </w:r>
          </w:p>
        </w:tc>
      </w:tr>
      <w:tr>
        <w:trPr>
          <w:trHeight w:val="216"/>
        </w:trPr>
        <w:tc>
          <w:tcPr>
            <w:tcW w:w="8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15,218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14,252</w:t>
            </w:r>
          </w:p>
        </w:tc>
      </w:tr>
      <w:tr>
        <w:trPr>
          <w:trHeight w:val="210"/>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220,310</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220,466</w:t>
            </w:r>
          </w:p>
        </w:tc>
      </w:tr>
      <w:tr>
        <w:trPr>
          <w:trHeight w:val="20"/>
        </w:trPr>
        <w:tc>
          <w:tcPr>
            <w:tcW w:w="8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7"/>
        </w:trPr>
        <w:tc>
          <w:tcPr>
            <w:tcW w:w="8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10,370</w:t>
            </w:r>
          </w:p>
        </w:tc>
      </w:tr>
      <w:tr>
        <w:trPr>
          <w:trHeight w:val="216"/>
        </w:trPr>
        <w:tc>
          <w:tcPr>
            <w:tcW w:w="8660" w:type="dxa"/>
            <w:vAlign w:val="bottom"/>
          </w:tcPr>
          <w:p>
            <w:pPr>
              <w:ind w:left="280"/>
              <w:spacing w:after="0"/>
              <w:rPr>
                <w:sz w:val="20"/>
                <w:szCs w:val="20"/>
                <w:color w:val="auto"/>
              </w:rPr>
            </w:pPr>
            <w:r>
              <w:rPr>
                <w:rFonts w:ascii="Arial" w:cs="Arial" w:eastAsia="Arial" w:hAnsi="Arial"/>
                <w:sz w:val="18"/>
                <w:szCs w:val="18"/>
                <w:color w:val="auto"/>
              </w:rPr>
              <w:t>Short-term ARS borrowings</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9,100</w:t>
            </w:r>
          </w:p>
        </w:tc>
      </w:tr>
      <w:tr>
        <w:trPr>
          <w:trHeight w:val="216"/>
        </w:trPr>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8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30,185</w:t>
            </w:r>
          </w:p>
        </w:tc>
      </w:tr>
      <w:tr>
        <w:trPr>
          <w:trHeight w:val="210"/>
        </w:trPr>
        <w:tc>
          <w:tcPr>
            <w:tcW w:w="8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47,812</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49,954</w:t>
            </w:r>
          </w:p>
        </w:tc>
      </w:tr>
      <w:tr>
        <w:trPr>
          <w:trHeight w:val="210"/>
        </w:trPr>
        <w:tc>
          <w:tcPr>
            <w:tcW w:w="8660" w:type="dxa"/>
            <w:vAlign w:val="bottom"/>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8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Unrecognized tax benefits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9,012</w:t>
            </w:r>
          </w:p>
        </w:tc>
      </w:tr>
      <w:tr>
        <w:trPr>
          <w:trHeight w:val="216"/>
        </w:trPr>
        <w:tc>
          <w:tcPr>
            <w:tcW w:w="86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Postretirement health care and deferred compensation benefits, net of current portion</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69,169</w:t>
            </w:r>
          </w:p>
        </w:tc>
      </w:tr>
      <w:tr>
        <w:trPr>
          <w:trHeight w:val="210"/>
        </w:trPr>
        <w:tc>
          <w:tcPr>
            <w:tcW w:w="8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78,181</w:t>
            </w:r>
          </w:p>
        </w:tc>
      </w:tr>
      <w:tr>
        <w:trPr>
          <w:trHeight w:val="216"/>
        </w:trPr>
        <w:tc>
          <w:tcPr>
            <w:tcW w:w="8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96,337</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92,331</w:t>
            </w:r>
          </w:p>
        </w:tc>
      </w:tr>
      <w:tr>
        <w:trPr>
          <w:trHeight w:val="210"/>
        </w:trPr>
        <w:tc>
          <w:tcPr>
            <w:tcW w:w="8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220,310</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220,466</w:t>
            </w:r>
          </w:p>
        </w:tc>
      </w:tr>
      <w:tr>
        <w:trPr>
          <w:trHeight w:val="20"/>
        </w:trPr>
        <w:tc>
          <w:tcPr>
            <w:tcW w:w="8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39"/>
        </w:trPr>
        <w:tc>
          <w:tcPr>
            <w:tcW w:w="8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rPr>
              <w:t>Nine Months Ended</w:t>
            </w:r>
          </w:p>
        </w:tc>
      </w:tr>
      <w:tr>
        <w:trPr>
          <w:trHeight w:val="173"/>
        </w:trPr>
        <w:tc>
          <w:tcPr>
            <w:tcW w:w="8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20"/>
              <w:spacing w:after="0" w:line="173" w:lineRule="exact"/>
              <w:rPr>
                <w:sz w:val="20"/>
                <w:szCs w:val="20"/>
                <w:color w:val="auto"/>
              </w:rPr>
            </w:pPr>
            <w:r>
              <w:rPr>
                <w:rFonts w:ascii="Arial" w:cs="Arial" w:eastAsia="Arial" w:hAnsi="Arial"/>
                <w:sz w:val="18"/>
                <w:szCs w:val="18"/>
                <w:b w:val="1"/>
                <w:bCs w:val="1"/>
                <w:color w:val="auto"/>
              </w:rPr>
              <w:t>May 29,</w:t>
            </w:r>
          </w:p>
        </w:tc>
        <w:tc>
          <w:tcPr>
            <w:tcW w:w="120" w:type="dxa"/>
            <w:vAlign w:val="bottom"/>
          </w:tcPr>
          <w:p>
            <w:pPr>
              <w:spacing w:after="0"/>
              <w:rPr>
                <w:sz w:val="15"/>
                <w:szCs w:val="15"/>
                <w:color w:val="auto"/>
              </w:rPr>
            </w:pPr>
          </w:p>
        </w:tc>
        <w:tc>
          <w:tcPr>
            <w:tcW w:w="880" w:type="dxa"/>
            <w:vAlign w:val="bottom"/>
          </w:tcPr>
          <w:p>
            <w:pPr>
              <w:jc w:val="right"/>
              <w:ind w:right="110"/>
              <w:spacing w:after="0" w:line="173" w:lineRule="exact"/>
              <w:rPr>
                <w:sz w:val="20"/>
                <w:szCs w:val="20"/>
                <w:color w:val="auto"/>
              </w:rPr>
            </w:pPr>
            <w:r>
              <w:rPr>
                <w:rFonts w:ascii="Arial" w:cs="Arial" w:eastAsia="Arial" w:hAnsi="Arial"/>
                <w:sz w:val="18"/>
                <w:szCs w:val="18"/>
                <w:b w:val="1"/>
                <w:bCs w:val="1"/>
                <w:color w:val="auto"/>
              </w:rPr>
              <w:t>May 30,</w:t>
            </w:r>
          </w:p>
        </w:tc>
      </w:tr>
      <w:tr>
        <w:trPr>
          <w:trHeight w:val="225"/>
        </w:trPr>
        <w:tc>
          <w:tcPr>
            <w:tcW w:w="81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10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5,354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(28,530)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10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6,015</w:t>
            </w:r>
          </w:p>
        </w:tc>
      </w:tr>
      <w:tr>
        <w:trPr>
          <w:trHeight w:val="216"/>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8100" w:type="dxa"/>
            <w:vAlign w:val="bottom"/>
          </w:tcPr>
          <w:p>
            <w:pPr>
              <w:ind w:left="280"/>
              <w:spacing w:after="0"/>
              <w:rPr>
                <w:sz w:val="20"/>
                <w:szCs w:val="20"/>
                <w:color w:val="auto"/>
              </w:rPr>
            </w:pPr>
            <w:r>
              <w:rPr>
                <w:rFonts w:ascii="Arial" w:cs="Arial" w:eastAsia="Arial" w:hAnsi="Arial"/>
                <w:sz w:val="18"/>
                <w:szCs w:val="18"/>
                <w:color w:val="auto"/>
              </w:rPr>
              <w:t>Postretirement benefit income and deferred compensation expenses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16"/>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(Reduction) provision for doubtful accounts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810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16"/>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cash surrender value of life insurance policies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r>
      <w:tr>
        <w:trPr>
          <w:trHeight w:val="216"/>
        </w:trPr>
        <w:tc>
          <w:tcPr>
            <w:tcW w:w="8100" w:type="dxa"/>
            <w:vAlign w:val="bottom"/>
          </w:tcPr>
          <w:p>
            <w:pPr>
              <w:ind w:left="280"/>
              <w:spacing w:after="0"/>
              <w:rPr>
                <w:sz w:val="20"/>
                <w:szCs w:val="20"/>
                <w:color w:val="auto"/>
              </w:rPr>
            </w:pPr>
            <w:r>
              <w:rPr>
                <w:rFonts w:ascii="Arial" w:cs="Arial" w:eastAsia="Arial" w:hAnsi="Arial"/>
                <w:sz w:val="18"/>
                <w:szCs w:val="18"/>
                <w:color w:val="auto"/>
              </w:rPr>
              <w:t>Loss on disposal of property</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57,366</w:t>
            </w:r>
          </w:p>
        </w:tc>
      </w:tr>
      <w:tr>
        <w:trPr>
          <w:trHeight w:val="216"/>
        </w:trPr>
        <w:tc>
          <w:tcPr>
            <w:tcW w:w="8100" w:type="dxa"/>
            <w:vAlign w:val="bottom"/>
          </w:tcPr>
          <w:p>
            <w:pPr>
              <w:ind w:left="280"/>
              <w:spacing w:after="0"/>
              <w:rPr>
                <w:sz w:val="20"/>
                <w:szCs w:val="20"/>
                <w:color w:val="auto"/>
              </w:rPr>
            </w:pPr>
            <w:r>
              <w:rPr>
                <w:rFonts w:ascii="Arial" w:cs="Arial" w:eastAsia="Arial" w:hAnsi="Arial"/>
                <w:sz w:val="18"/>
                <w:szCs w:val="18"/>
                <w:color w:val="auto"/>
              </w:rPr>
              <w:t>Receivables and prepaid assets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2,164</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 and unrecognized tax benefits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(11,929)</w:t>
            </w:r>
          </w:p>
        </w:tc>
      </w:tr>
      <w:tr>
        <w:trPr>
          <w:trHeight w:val="216"/>
        </w:trPr>
        <w:tc>
          <w:tcPr>
            <w:tcW w:w="8100" w:type="dxa"/>
            <w:vAlign w:val="bottom"/>
          </w:tcPr>
          <w:p>
            <w:pPr>
              <w:ind w:left="280"/>
              <w:spacing w:after="0"/>
              <w:rPr>
                <w:sz w:val="20"/>
                <w:szCs w:val="20"/>
                <w:color w:val="auto"/>
              </w:rPr>
            </w:pPr>
            <w:r>
              <w:rPr>
                <w:rFonts w:ascii="Arial" w:cs="Arial" w:eastAsia="Arial" w:hAnsi="Arial"/>
                <w:sz w:val="18"/>
                <w:szCs w:val="18"/>
                <w:color w:val="auto"/>
              </w:rPr>
              <w:t>Accounts payable and accrued expenses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(11,034)</w:t>
            </w:r>
          </w:p>
        </w:tc>
      </w:tr>
      <w:tr>
        <w:trPr>
          <w:trHeight w:val="216"/>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Postretirement and deferred compensation benefits</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w:t>
            </w:r>
          </w:p>
        </w:tc>
      </w:tr>
      <w:tr>
        <w:trPr>
          <w:trHeight w:val="210"/>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36,811</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12,474</w:t>
            </w:r>
          </w:p>
        </w:tc>
      </w:tr>
      <w:tr>
        <w:trPr>
          <w:trHeight w:val="210"/>
        </w:trPr>
        <w:tc>
          <w:tcPr>
            <w:tcW w:w="8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Investing activities: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the sale of investments at par</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r>
      <w:tr>
        <w:trPr>
          <w:trHeight w:val="216"/>
        </w:trPr>
        <w:tc>
          <w:tcPr>
            <w:tcW w:w="8100" w:type="dxa"/>
            <w:vAlign w:val="bottom"/>
          </w:tcPr>
          <w:p>
            <w:pPr>
              <w:ind w:left="280"/>
              <w:spacing w:after="0"/>
              <w:rPr>
                <w:sz w:val="20"/>
                <w:szCs w:val="20"/>
                <w:color w:val="auto"/>
              </w:rPr>
            </w:pPr>
            <w:r>
              <w:rPr>
                <w:rFonts w:ascii="Arial" w:cs="Arial" w:eastAsia="Arial" w:hAnsi="Arial"/>
                <w:sz w:val="18"/>
                <w:szCs w:val="18"/>
                <w:color w:val="auto"/>
              </w:rPr>
              <w:t>Purchases of property and equipment</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(2,522)</w:t>
            </w:r>
          </w:p>
        </w:tc>
      </w:tr>
      <w:tr>
        <w:trPr>
          <w:trHeight w:val="216"/>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the sale of property</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81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11,618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w:t>
            </w:r>
          </w:p>
        </w:tc>
      </w:tr>
      <w:tr>
        <w:trPr>
          <w:trHeight w:val="210"/>
        </w:trPr>
        <w:tc>
          <w:tcPr>
            <w:tcW w:w="8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8100" w:type="dxa"/>
            <w:vAlign w:val="bottom"/>
          </w:tcPr>
          <w:p>
            <w:pPr>
              <w:ind w:left="280"/>
              <w:spacing w:after="0"/>
              <w:rPr>
                <w:sz w:val="20"/>
                <w:szCs w:val="20"/>
                <w:color w:val="auto"/>
              </w:rPr>
            </w:pPr>
            <w:r>
              <w:rPr>
                <w:rFonts w:ascii="Arial" w:cs="Arial" w:eastAsia="Arial" w:hAnsi="Arial"/>
                <w:sz w:val="18"/>
                <w:szCs w:val="18"/>
                <w:color w:val="auto"/>
              </w:rPr>
              <w:t>Payments for purchase of common stock</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6"/>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Payments of cash dividends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w:t>
            </w:r>
          </w:p>
        </w:tc>
      </w:tr>
      <w:tr>
        <w:trPr>
          <w:trHeight w:val="216"/>
        </w:trPr>
        <w:tc>
          <w:tcPr>
            <w:tcW w:w="8100" w:type="dxa"/>
            <w:vAlign w:val="bottom"/>
          </w:tcPr>
          <w:p>
            <w:pPr>
              <w:ind w:left="280"/>
              <w:spacing w:after="0"/>
              <w:rPr>
                <w:sz w:val="20"/>
                <w:szCs w:val="20"/>
                <w:color w:val="auto"/>
              </w:rPr>
            </w:pPr>
            <w:r>
              <w:rPr>
                <w:rFonts w:ascii="Arial" w:cs="Arial" w:eastAsia="Arial" w:hAnsi="Arial"/>
                <w:sz w:val="18"/>
                <w:szCs w:val="18"/>
                <w:color w:val="auto"/>
              </w:rPr>
              <w:t>(Payments) borrowings on ARS portfolio</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9,100</w:t>
            </w:r>
          </w:p>
        </w:tc>
      </w:tr>
      <w:tr>
        <w:trPr>
          <w:trHeight w:val="216"/>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Proceeds from exercise of stock options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5,447</w:t>
            </w:r>
          </w:p>
        </w:tc>
      </w:tr>
      <w:tr>
        <w:trPr>
          <w:trHeight w:val="250"/>
        </w:trPr>
        <w:tc>
          <w:tcPr>
            <w:tcW w:w="8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23,457</w:t>
            </w:r>
          </w:p>
        </w:tc>
      </w:tr>
      <w:tr>
        <w:trPr>
          <w:trHeight w:val="216"/>
        </w:trPr>
        <w:tc>
          <w:tcPr>
            <w:tcW w:w="8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36,566</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17,851</w:t>
            </w:r>
          </w:p>
        </w:tc>
      </w:tr>
      <w:tr>
        <w:trPr>
          <w:trHeight w:val="210"/>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41,308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39"/>
        </w:trPr>
        <w:tc>
          <w:tcPr>
            <w:tcW w:w="8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Motor Home Deliveries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Quarter Ended</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Change</w:t>
            </w:r>
          </w:p>
        </w:tc>
      </w:tr>
      <w:tr>
        <w:trPr>
          <w:trHeight w:val="173"/>
        </w:trPr>
        <w:tc>
          <w:tcPr>
            <w:tcW w:w="5060" w:type="dxa"/>
            <w:vAlign w:val="bottom"/>
          </w:tcPr>
          <w:p>
            <w:pPr>
              <w:spacing w:after="0"/>
              <w:rPr>
                <w:sz w:val="15"/>
                <w:szCs w:val="15"/>
                <w:color w:val="auto"/>
              </w:rPr>
            </w:pPr>
          </w:p>
        </w:tc>
        <w:tc>
          <w:tcPr>
            <w:tcW w:w="1060" w:type="dxa"/>
            <w:vAlign w:val="bottom"/>
            <w:gridSpan w:val="2"/>
          </w:tcPr>
          <w:p>
            <w:pPr>
              <w:ind w:left="140"/>
              <w:spacing w:after="0" w:line="173" w:lineRule="exact"/>
              <w:rPr>
                <w:sz w:val="20"/>
                <w:szCs w:val="20"/>
                <w:color w:val="auto"/>
              </w:rPr>
            </w:pPr>
            <w:r>
              <w:rPr>
                <w:rFonts w:ascii="Arial" w:cs="Arial" w:eastAsia="Arial" w:hAnsi="Arial"/>
                <w:sz w:val="18"/>
                <w:szCs w:val="18"/>
                <w:b w:val="1"/>
                <w:bCs w:val="1"/>
                <w:color w:val="auto"/>
              </w:rPr>
              <w:t>May 29,</w:t>
            </w:r>
          </w:p>
        </w:tc>
        <w:tc>
          <w:tcPr>
            <w:tcW w:w="1080" w:type="dxa"/>
            <w:vAlign w:val="bottom"/>
            <w:gridSpan w:val="2"/>
          </w:tcPr>
          <w:p>
            <w:pPr>
              <w:jc w:val="center"/>
              <w:ind w:right="80"/>
              <w:spacing w:after="0" w:line="173" w:lineRule="exact"/>
              <w:rPr>
                <w:sz w:val="20"/>
                <w:szCs w:val="20"/>
                <w:color w:val="auto"/>
              </w:rPr>
            </w:pPr>
            <w:r>
              <w:rPr>
                <w:rFonts w:ascii="Arial" w:cs="Arial" w:eastAsia="Arial" w:hAnsi="Arial"/>
                <w:sz w:val="18"/>
                <w:szCs w:val="18"/>
                <w:b w:val="1"/>
                <w:bCs w:val="1"/>
                <w:color w:val="auto"/>
                <w:w w:val="99"/>
              </w:rPr>
              <w:t>Product</w:t>
            </w:r>
          </w:p>
        </w:tc>
        <w:tc>
          <w:tcPr>
            <w:tcW w:w="1080" w:type="dxa"/>
            <w:vAlign w:val="bottom"/>
            <w:gridSpan w:val="2"/>
          </w:tcPr>
          <w:p>
            <w:pPr>
              <w:ind w:left="140"/>
              <w:spacing w:after="0" w:line="173" w:lineRule="exact"/>
              <w:rPr>
                <w:sz w:val="20"/>
                <w:szCs w:val="20"/>
                <w:color w:val="auto"/>
              </w:rPr>
            </w:pPr>
            <w:r>
              <w:rPr>
                <w:rFonts w:ascii="Arial" w:cs="Arial" w:eastAsia="Arial" w:hAnsi="Arial"/>
                <w:sz w:val="18"/>
                <w:szCs w:val="18"/>
                <w:b w:val="1"/>
                <w:bCs w:val="1"/>
                <w:color w:val="auto"/>
              </w:rPr>
              <w:t>May 30,</w:t>
            </w:r>
          </w:p>
        </w:tc>
        <w:tc>
          <w:tcPr>
            <w:tcW w:w="100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Product</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w:t>
            </w:r>
          </w:p>
        </w:tc>
      </w:tr>
      <w:tr>
        <w:trPr>
          <w:trHeight w:val="225"/>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units)</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Mix %</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Mix %</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Units</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Class A gas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Class A diesel</w:t>
            </w:r>
          </w:p>
        </w:tc>
        <w:tc>
          <w:tcPr>
            <w:tcW w:w="98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w:t>
            </w: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98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340.3%</w:t>
            </w:r>
          </w:p>
        </w:tc>
      </w:tr>
      <w:tr>
        <w:trPr>
          <w:trHeight w:val="20"/>
        </w:trPr>
        <w:tc>
          <w:tcPr>
            <w:tcW w:w="50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10"/>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Class 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9.0%</w:t>
            </w: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Class 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0"/>
        </w:trPr>
        <w:tc>
          <w:tcPr>
            <w:tcW w:w="5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10"/>
        </w:trPr>
        <w:tc>
          <w:tcPr>
            <w:tcW w:w="5060" w:type="dxa"/>
            <w:vAlign w:val="bottom"/>
          </w:tcPr>
          <w:p>
            <w:pPr>
              <w:ind w:left="280"/>
              <w:spacing w:after="0"/>
              <w:rPr>
                <w:sz w:val="20"/>
                <w:szCs w:val="20"/>
                <w:color w:val="auto"/>
              </w:rPr>
            </w:pPr>
            <w:r>
              <w:rPr>
                <w:rFonts w:ascii="Arial" w:cs="Arial" w:eastAsia="Arial" w:hAnsi="Arial"/>
                <w:sz w:val="18"/>
                <w:szCs w:val="18"/>
                <w:color w:val="auto"/>
              </w:rPr>
              <w:t>Total deliveries</w:t>
            </w:r>
          </w:p>
        </w:tc>
        <w:tc>
          <w:tcPr>
            <w:tcW w:w="980" w:type="dxa"/>
            <w:vAlign w:val="bottom"/>
          </w:tcPr>
          <w:p>
            <w:pPr>
              <w:jc w:val="right"/>
              <w:spacing w:after="0"/>
              <w:rPr>
                <w:sz w:val="20"/>
                <w:szCs w:val="20"/>
                <w:color w:val="auto"/>
              </w:rPr>
            </w:pPr>
            <w:r>
              <w:rPr>
                <w:rFonts w:ascii="Arial" w:cs="Arial" w:eastAsia="Arial" w:hAnsi="Arial"/>
                <w:sz w:val="18"/>
                <w:szCs w:val="18"/>
                <w:color w:val="auto"/>
              </w:rPr>
              <w:t>1,366</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000" w:type="dxa"/>
            <w:vAlign w:val="bottom"/>
          </w:tcPr>
          <w:p>
            <w:pPr>
              <w:jc w:val="right"/>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980" w:type="dxa"/>
            <w:vAlign w:val="bottom"/>
          </w:tcPr>
          <w:p>
            <w:pPr>
              <w:jc w:val="right"/>
              <w:spacing w:after="0"/>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120.3%</w:t>
            </w:r>
          </w:p>
        </w:tc>
      </w:tr>
      <w:tr>
        <w:trPr>
          <w:trHeight w:val="20"/>
        </w:trPr>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Nine Months Ended</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60" w:type="dxa"/>
            <w:vAlign w:val="bottom"/>
            <w:tcBorders>
              <w:bottom w:val="single" w:sz="8" w:color="auto"/>
            </w:tcBorders>
            <w:gridSpan w:val="3"/>
          </w:tcPr>
          <w:p>
            <w:pPr>
              <w:jc w:val="right"/>
              <w:ind w:right="610"/>
              <w:spacing w:after="0"/>
              <w:rPr>
                <w:sz w:val="20"/>
                <w:szCs w:val="20"/>
                <w:color w:val="auto"/>
              </w:rPr>
            </w:pPr>
            <w:r>
              <w:rPr>
                <w:rFonts w:ascii="Arial" w:cs="Arial" w:eastAsia="Arial" w:hAnsi="Arial"/>
                <w:sz w:val="18"/>
                <w:szCs w:val="18"/>
                <w:b w:val="1"/>
                <w:bCs w:val="1"/>
                <w:color w:val="auto"/>
              </w:rPr>
              <w:t>Change</w:t>
            </w:r>
          </w:p>
        </w:tc>
      </w:tr>
      <w:tr>
        <w:trPr>
          <w:trHeight w:val="173"/>
        </w:trPr>
        <w:tc>
          <w:tcPr>
            <w:tcW w:w="5060" w:type="dxa"/>
            <w:vAlign w:val="bottom"/>
          </w:tcPr>
          <w:p>
            <w:pPr>
              <w:spacing w:after="0"/>
              <w:rPr>
                <w:sz w:val="15"/>
                <w:szCs w:val="15"/>
                <w:color w:val="auto"/>
              </w:rPr>
            </w:pPr>
          </w:p>
        </w:tc>
        <w:tc>
          <w:tcPr>
            <w:tcW w:w="1060" w:type="dxa"/>
            <w:vAlign w:val="bottom"/>
            <w:gridSpan w:val="2"/>
          </w:tcPr>
          <w:p>
            <w:pPr>
              <w:ind w:left="140"/>
              <w:spacing w:after="0" w:line="173" w:lineRule="exact"/>
              <w:rPr>
                <w:sz w:val="20"/>
                <w:szCs w:val="20"/>
                <w:color w:val="auto"/>
              </w:rPr>
            </w:pPr>
            <w:r>
              <w:rPr>
                <w:rFonts w:ascii="Arial" w:cs="Arial" w:eastAsia="Arial" w:hAnsi="Arial"/>
                <w:sz w:val="18"/>
                <w:szCs w:val="18"/>
                <w:b w:val="1"/>
                <w:bCs w:val="1"/>
                <w:color w:val="auto"/>
              </w:rPr>
              <w:t>May 29,</w:t>
            </w:r>
          </w:p>
        </w:tc>
        <w:tc>
          <w:tcPr>
            <w:tcW w:w="1080" w:type="dxa"/>
            <w:vAlign w:val="bottom"/>
            <w:gridSpan w:val="2"/>
          </w:tcPr>
          <w:p>
            <w:pPr>
              <w:jc w:val="center"/>
              <w:ind w:right="80"/>
              <w:spacing w:after="0" w:line="173" w:lineRule="exact"/>
              <w:rPr>
                <w:sz w:val="20"/>
                <w:szCs w:val="20"/>
                <w:color w:val="auto"/>
              </w:rPr>
            </w:pPr>
            <w:r>
              <w:rPr>
                <w:rFonts w:ascii="Arial" w:cs="Arial" w:eastAsia="Arial" w:hAnsi="Arial"/>
                <w:sz w:val="18"/>
                <w:szCs w:val="18"/>
                <w:b w:val="1"/>
                <w:bCs w:val="1"/>
                <w:color w:val="auto"/>
                <w:w w:val="99"/>
              </w:rPr>
              <w:t>Product</w:t>
            </w:r>
          </w:p>
        </w:tc>
        <w:tc>
          <w:tcPr>
            <w:tcW w:w="1080" w:type="dxa"/>
            <w:vAlign w:val="bottom"/>
            <w:gridSpan w:val="2"/>
          </w:tcPr>
          <w:p>
            <w:pPr>
              <w:jc w:val="right"/>
              <w:ind w:right="280"/>
              <w:spacing w:after="0" w:line="173" w:lineRule="exact"/>
              <w:rPr>
                <w:sz w:val="20"/>
                <w:szCs w:val="20"/>
                <w:color w:val="auto"/>
              </w:rPr>
            </w:pPr>
            <w:r>
              <w:rPr>
                <w:rFonts w:ascii="Arial" w:cs="Arial" w:eastAsia="Arial" w:hAnsi="Arial"/>
                <w:sz w:val="18"/>
                <w:szCs w:val="18"/>
                <w:b w:val="1"/>
                <w:bCs w:val="1"/>
                <w:color w:val="auto"/>
              </w:rPr>
              <w:t>May 30,</w:t>
            </w:r>
          </w:p>
        </w:tc>
        <w:tc>
          <w:tcPr>
            <w:tcW w:w="100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Product</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ind w:right="330"/>
              <w:spacing w:after="0" w:line="173" w:lineRule="exact"/>
              <w:rPr>
                <w:sz w:val="20"/>
                <w:szCs w:val="20"/>
                <w:color w:val="auto"/>
              </w:rPr>
            </w:pPr>
            <w:r>
              <w:rPr>
                <w:rFonts w:ascii="Arial" w:cs="Arial" w:eastAsia="Arial" w:hAnsi="Arial"/>
                <w:sz w:val="18"/>
                <w:szCs w:val="18"/>
                <w:b w:val="1"/>
                <w:bCs w:val="1"/>
                <w:color w:val="auto"/>
              </w:rPr>
              <w:t>%</w:t>
            </w:r>
          </w:p>
        </w:tc>
      </w:tr>
      <w:tr>
        <w:trPr>
          <w:trHeight w:val="225"/>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units)</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Mix %</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Mix %</w:t>
            </w:r>
          </w:p>
        </w:tc>
        <w:tc>
          <w:tcPr>
            <w:tcW w:w="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Units</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Class A gas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22.4%</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Class A diesel</w:t>
            </w:r>
          </w:p>
        </w:tc>
        <w:tc>
          <w:tcPr>
            <w:tcW w:w="980" w:type="dxa"/>
            <w:vAlign w:val="bottom"/>
          </w:tcPr>
          <w:p>
            <w:pPr>
              <w:jc w:val="right"/>
              <w:spacing w:after="0"/>
              <w:rPr>
                <w:sz w:val="20"/>
                <w:szCs w:val="20"/>
                <w:color w:val="auto"/>
              </w:rPr>
            </w:pPr>
            <w:r>
              <w:rPr>
                <w:rFonts w:ascii="Arial" w:cs="Arial" w:eastAsia="Arial" w:hAnsi="Arial"/>
                <w:sz w:val="18"/>
                <w:szCs w:val="18"/>
                <w:color w:val="auto"/>
              </w:rPr>
              <w:t>707</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980" w:type="dxa"/>
            <w:vAlign w:val="bottom"/>
          </w:tcPr>
          <w:p>
            <w:pPr>
              <w:jc w:val="right"/>
              <w:spacing w:after="0"/>
              <w:rPr>
                <w:sz w:val="20"/>
                <w:szCs w:val="20"/>
                <w:color w:val="auto"/>
              </w:rPr>
            </w:pPr>
            <w:r>
              <w:rPr>
                <w:rFonts w:ascii="Arial" w:cs="Arial" w:eastAsia="Arial" w:hAnsi="Arial"/>
                <w:sz w:val="18"/>
                <w:szCs w:val="18"/>
                <w:color w:val="auto"/>
              </w:rPr>
              <w:t>482</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214.2%</w:t>
            </w:r>
          </w:p>
        </w:tc>
      </w:tr>
      <w:tr>
        <w:trPr>
          <w:trHeight w:val="20"/>
        </w:trPr>
        <w:tc>
          <w:tcPr>
            <w:tcW w:w="50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10"/>
        </w:trPr>
        <w:tc>
          <w:tcPr>
            <w:tcW w:w="5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Class A</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Class B</w:t>
            </w:r>
          </w:p>
        </w:tc>
        <w:tc>
          <w:tcPr>
            <w:tcW w:w="98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100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98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Class C</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0"/>
        </w:trPr>
        <w:tc>
          <w:tcPr>
            <w:tcW w:w="50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r>
        <w:trPr>
          <w:trHeight w:val="210"/>
        </w:trPr>
        <w:tc>
          <w:tcPr>
            <w:tcW w:w="5060" w:type="dxa"/>
            <w:vAlign w:val="bottom"/>
          </w:tcPr>
          <w:p>
            <w:pPr>
              <w:ind w:left="280"/>
              <w:spacing w:after="0"/>
              <w:rPr>
                <w:sz w:val="20"/>
                <w:szCs w:val="20"/>
                <w:color w:val="auto"/>
              </w:rPr>
            </w:pPr>
            <w:r>
              <w:rPr>
                <w:rFonts w:ascii="Arial" w:cs="Arial" w:eastAsia="Arial" w:hAnsi="Arial"/>
                <w:sz w:val="18"/>
                <w:szCs w:val="18"/>
                <w:color w:val="auto"/>
              </w:rPr>
              <w:t>Total deliveries</w:t>
            </w:r>
          </w:p>
        </w:tc>
        <w:tc>
          <w:tcPr>
            <w:tcW w:w="980" w:type="dxa"/>
            <w:vAlign w:val="bottom"/>
          </w:tcPr>
          <w:p>
            <w:pPr>
              <w:jc w:val="right"/>
              <w:spacing w:after="0"/>
              <w:rPr>
                <w:sz w:val="20"/>
                <w:szCs w:val="20"/>
                <w:color w:val="auto"/>
              </w:rPr>
            </w:pPr>
            <w:r>
              <w:rPr>
                <w:rFonts w:ascii="Arial" w:cs="Arial" w:eastAsia="Arial" w:hAnsi="Arial"/>
                <w:sz w:val="18"/>
                <w:szCs w:val="18"/>
                <w:color w:val="auto"/>
              </w:rPr>
              <w:t>3,269</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1000" w:type="dxa"/>
            <w:vAlign w:val="bottom"/>
          </w:tcPr>
          <w:p>
            <w:pPr>
              <w:jc w:val="right"/>
              <w:spacing w:after="0"/>
              <w:rPr>
                <w:sz w:val="20"/>
                <w:szCs w:val="20"/>
                <w:color w:val="auto"/>
              </w:rPr>
            </w:pPr>
            <w:r>
              <w:rPr>
                <w:rFonts w:ascii="Arial" w:cs="Arial" w:eastAsia="Arial" w:hAnsi="Arial"/>
                <w:sz w:val="18"/>
                <w:szCs w:val="18"/>
                <w:color w:val="auto"/>
              </w:rPr>
              <w:t>1,591</w:t>
            </w:r>
          </w:p>
        </w:tc>
        <w:tc>
          <w:tcPr>
            <w:tcW w:w="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980" w:type="dxa"/>
            <w:vAlign w:val="bottom"/>
          </w:tcPr>
          <w:p>
            <w:pPr>
              <w:jc w:val="right"/>
              <w:spacing w:after="0"/>
              <w:rPr>
                <w:sz w:val="20"/>
                <w:szCs w:val="20"/>
                <w:color w:val="auto"/>
              </w:rPr>
            </w:pPr>
            <w:r>
              <w:rPr>
                <w:rFonts w:ascii="Arial" w:cs="Arial" w:eastAsia="Arial" w:hAnsi="Arial"/>
                <w:sz w:val="18"/>
                <w:szCs w:val="18"/>
                <w:color w:val="auto"/>
              </w:rPr>
              <w:t>1,678</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0"/>
        </w:trPr>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Backlog and Dealer Inventory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As Of</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438"/>
              <w:spacing w:after="0"/>
              <w:rPr>
                <w:sz w:val="20"/>
                <w:szCs w:val="20"/>
                <w:color w:val="auto"/>
              </w:rPr>
            </w:pPr>
            <w:r>
              <w:rPr>
                <w:rFonts w:ascii="Arial" w:cs="Arial" w:eastAsia="Arial" w:hAnsi="Arial"/>
                <w:sz w:val="18"/>
                <w:szCs w:val="18"/>
                <w:b w:val="1"/>
                <w:bCs w:val="1"/>
                <w:color w:val="auto"/>
              </w:rPr>
              <w:t>Change</w:t>
            </w:r>
          </w:p>
        </w:tc>
      </w:tr>
      <w:tr>
        <w:trPr>
          <w:trHeight w:val="173"/>
        </w:trPr>
        <w:tc>
          <w:tcPr>
            <w:tcW w:w="49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20" w:type="dxa"/>
            <w:vAlign w:val="bottom"/>
            <w:gridSpan w:val="2"/>
          </w:tcPr>
          <w:p>
            <w:pPr>
              <w:ind w:left="80"/>
              <w:spacing w:after="0" w:line="173" w:lineRule="exact"/>
              <w:rPr>
                <w:sz w:val="20"/>
                <w:szCs w:val="20"/>
                <w:color w:val="auto"/>
              </w:rPr>
            </w:pPr>
            <w:r>
              <w:rPr>
                <w:rFonts w:ascii="Arial" w:cs="Arial" w:eastAsia="Arial" w:hAnsi="Arial"/>
                <w:sz w:val="18"/>
                <w:szCs w:val="18"/>
                <w:b w:val="1"/>
                <w:bCs w:val="1"/>
                <w:color w:val="auto"/>
              </w:rPr>
              <w:t>May 29,</w:t>
            </w:r>
          </w:p>
        </w:tc>
        <w:tc>
          <w:tcPr>
            <w:tcW w:w="860" w:type="dxa"/>
            <w:vAlign w:val="bottom"/>
            <w:gridSpan w:val="2"/>
          </w:tcPr>
          <w:p>
            <w:pPr>
              <w:ind w:left="60"/>
              <w:spacing w:after="0" w:line="173" w:lineRule="exact"/>
              <w:rPr>
                <w:sz w:val="20"/>
                <w:szCs w:val="20"/>
                <w:color w:val="auto"/>
              </w:rPr>
            </w:pPr>
            <w:r>
              <w:rPr>
                <w:rFonts w:ascii="Arial" w:cs="Arial" w:eastAsia="Arial" w:hAnsi="Arial"/>
                <w:sz w:val="18"/>
                <w:szCs w:val="18"/>
                <w:b w:val="1"/>
                <w:bCs w:val="1"/>
                <w:color w:val="auto"/>
              </w:rPr>
              <w:t>Product</w:t>
            </w:r>
          </w:p>
        </w:tc>
        <w:tc>
          <w:tcPr>
            <w:tcW w:w="860" w:type="dxa"/>
            <w:vAlign w:val="bottom"/>
            <w:gridSpan w:val="2"/>
          </w:tcPr>
          <w:p>
            <w:pPr>
              <w:ind w:left="60"/>
              <w:spacing w:after="0" w:line="173" w:lineRule="exact"/>
              <w:rPr>
                <w:sz w:val="20"/>
                <w:szCs w:val="20"/>
                <w:color w:val="auto"/>
              </w:rPr>
            </w:pPr>
            <w:r>
              <w:rPr>
                <w:rFonts w:ascii="Arial" w:cs="Arial" w:eastAsia="Arial" w:hAnsi="Arial"/>
                <w:sz w:val="18"/>
                <w:szCs w:val="18"/>
                <w:b w:val="1"/>
                <w:bCs w:val="1"/>
                <w:color w:val="auto"/>
              </w:rPr>
              <w:t>May 30,</w:t>
            </w:r>
          </w:p>
        </w:tc>
        <w:tc>
          <w:tcPr>
            <w:tcW w:w="800" w:type="dxa"/>
            <w:vAlign w:val="bottom"/>
          </w:tcPr>
          <w:p>
            <w:pPr>
              <w:jc w:val="center"/>
              <w:spacing w:after="0" w:line="173" w:lineRule="exact"/>
              <w:rPr>
                <w:sz w:val="20"/>
                <w:szCs w:val="20"/>
                <w:color w:val="auto"/>
              </w:rPr>
            </w:pPr>
            <w:r>
              <w:rPr>
                <w:rFonts w:ascii="Arial" w:cs="Arial" w:eastAsia="Arial" w:hAnsi="Arial"/>
                <w:sz w:val="18"/>
                <w:szCs w:val="18"/>
                <w:b w:val="1"/>
                <w:bCs w:val="1"/>
                <w:color w:val="auto"/>
                <w:w w:val="99"/>
              </w:rPr>
              <w:t>Product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25"/>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Sales order backlog (units):</w:t>
            </w:r>
          </w:p>
        </w:tc>
        <w:tc>
          <w:tcPr>
            <w:tcW w:w="2140" w:type="dxa"/>
            <w:vAlign w:val="bottom"/>
            <w:tcBorders>
              <w:bottom w:val="single" w:sz="8" w:color="auto"/>
            </w:tcBorders>
            <w:gridSpan w:val="2"/>
          </w:tcPr>
          <w:p>
            <w:pPr>
              <w:jc w:val="right"/>
              <w:ind w:right="157"/>
              <w:spacing w:after="0"/>
              <w:rPr>
                <w:sz w:val="20"/>
                <w:szCs w:val="20"/>
                <w:color w:val="auto"/>
              </w:rPr>
            </w:pPr>
            <w:r>
              <w:rPr>
                <w:rFonts w:ascii="Arial" w:cs="Arial" w:eastAsia="Arial" w:hAnsi="Arial"/>
                <w:sz w:val="18"/>
                <w:szCs w:val="18"/>
                <w:b w:val="1"/>
                <w:bCs w:val="1"/>
                <w:color w:val="auto"/>
              </w:rPr>
              <w:t>2010</w:t>
            </w: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Mix</w:t>
            </w: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2009</w:t>
            </w:r>
          </w:p>
        </w:tc>
        <w:tc>
          <w:tcPr>
            <w:tcW w:w="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Mix</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Units</w:t>
            </w:r>
          </w:p>
        </w:tc>
        <w:tc>
          <w:tcPr>
            <w:tcW w:w="780" w:type="dxa"/>
            <w:vAlign w:val="bottom"/>
            <w:tcBorders>
              <w:bottom w:val="single" w:sz="8" w:color="auto"/>
            </w:tcBorders>
          </w:tcPr>
          <w:p>
            <w:pPr>
              <w:jc w:val="right"/>
              <w:ind w:right="238"/>
              <w:spacing w:after="0"/>
              <w:rPr>
                <w:sz w:val="20"/>
                <w:szCs w:val="20"/>
                <w:color w:val="auto"/>
              </w:rPr>
            </w:pPr>
            <w:r>
              <w:rPr>
                <w:rFonts w:ascii="Arial" w:cs="Arial" w:eastAsia="Arial" w:hAnsi="Arial"/>
                <w:sz w:val="18"/>
                <w:szCs w:val="18"/>
                <w:b w:val="1"/>
                <w:bCs w:val="1"/>
                <w:color w:val="auto"/>
              </w:rPr>
              <w:t>%</w:t>
            </w: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Class A gas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27.2%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210.6 %</w:t>
            </w:r>
          </w:p>
        </w:tc>
      </w:tr>
      <w:tr>
        <w:trPr>
          <w:trHeight w:val="216"/>
        </w:trPr>
        <w:tc>
          <w:tcPr>
            <w:tcW w:w="4940" w:type="dxa"/>
            <w:vAlign w:val="bottom"/>
          </w:tcPr>
          <w:p>
            <w:pPr>
              <w:spacing w:after="0"/>
              <w:rPr>
                <w:sz w:val="20"/>
                <w:szCs w:val="20"/>
                <w:color w:val="auto"/>
              </w:rPr>
            </w:pPr>
            <w:r>
              <w:rPr>
                <w:rFonts w:ascii="Arial" w:cs="Arial" w:eastAsia="Arial" w:hAnsi="Arial"/>
                <w:sz w:val="16"/>
                <w:szCs w:val="16"/>
                <w:color w:val="auto"/>
              </w:rPr>
              <w:t>Class A diesel</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234</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25.0%</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w:t>
            </w:r>
          </w:p>
        </w:tc>
        <w:tc>
          <w:tcPr>
            <w:tcW w:w="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18.9%</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225.0 %</w:t>
            </w:r>
          </w:p>
        </w:tc>
      </w:tr>
      <w:tr>
        <w:trPr>
          <w:trHeight w:val="20"/>
        </w:trPr>
        <w:tc>
          <w:tcPr>
            <w:tcW w:w="494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10"/>
        </w:trPr>
        <w:tc>
          <w:tcPr>
            <w:tcW w:w="4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Class A</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216.5 %</w:t>
            </w:r>
          </w:p>
        </w:tc>
      </w:tr>
      <w:tr>
        <w:trPr>
          <w:trHeight w:val="216"/>
        </w:trPr>
        <w:tc>
          <w:tcPr>
            <w:tcW w:w="4940" w:type="dxa"/>
            <w:vAlign w:val="bottom"/>
          </w:tcPr>
          <w:p>
            <w:pPr>
              <w:ind w:left="280"/>
              <w:spacing w:after="0"/>
              <w:rPr>
                <w:sz w:val="20"/>
                <w:szCs w:val="20"/>
                <w:color w:val="auto"/>
              </w:rPr>
            </w:pPr>
            <w:r>
              <w:rPr>
                <w:rFonts w:ascii="Arial" w:cs="Arial" w:eastAsia="Arial" w:hAnsi="Arial"/>
                <w:sz w:val="16"/>
                <w:szCs w:val="16"/>
                <w:color w:val="auto"/>
              </w:rPr>
              <w:t>Class B</w:t>
            </w:r>
          </w:p>
        </w:tc>
        <w:tc>
          <w:tcPr>
            <w:tcW w:w="214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0.5%</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NMF</w:t>
            </w:r>
          </w:p>
        </w:tc>
      </w:tr>
      <w:tr>
        <w:trPr>
          <w:trHeight w:val="216"/>
        </w:trPr>
        <w:tc>
          <w:tcPr>
            <w:tcW w:w="49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Class C</w:t>
            </w:r>
          </w:p>
        </w:tc>
        <w:tc>
          <w:tcPr>
            <w:tcW w:w="1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68.6 %</w:t>
            </w:r>
          </w:p>
        </w:tc>
      </w:tr>
      <w:tr>
        <w:trPr>
          <w:trHeight w:val="20"/>
        </w:trPr>
        <w:tc>
          <w:tcPr>
            <w:tcW w:w="4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10"/>
        </w:trPr>
        <w:tc>
          <w:tcPr>
            <w:tcW w:w="4940" w:type="dxa"/>
            <w:vAlign w:val="bottom"/>
          </w:tcPr>
          <w:p>
            <w:pPr>
              <w:ind w:left="500"/>
              <w:spacing w:after="0"/>
              <w:rPr>
                <w:sz w:val="20"/>
                <w:szCs w:val="20"/>
                <w:color w:val="auto"/>
              </w:rPr>
            </w:pPr>
            <w:r>
              <w:rPr>
                <w:rFonts w:ascii="Arial" w:cs="Arial" w:eastAsia="Arial" w:hAnsi="Arial"/>
                <w:sz w:val="16"/>
                <w:szCs w:val="16"/>
                <w:color w:val="auto"/>
              </w:rPr>
              <w:t>Total backlog*</w:t>
            </w:r>
          </w:p>
        </w:tc>
        <w:tc>
          <w:tcPr>
            <w:tcW w:w="1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935</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100.0%</w:t>
            </w: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382</w:t>
            </w:r>
          </w:p>
        </w:tc>
        <w:tc>
          <w:tcPr>
            <w:tcW w:w="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100.0%</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144.8 %</w:t>
            </w:r>
          </w:p>
        </w:tc>
      </w:tr>
      <w:tr>
        <w:trPr>
          <w:trHeight w:val="20"/>
        </w:trPr>
        <w:tc>
          <w:tcPr>
            <w:tcW w:w="4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4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Total approximate revenue dollars ($ in thousands)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93,214</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33,556</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59,658</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177.8 %</w:t>
            </w:r>
          </w:p>
        </w:tc>
      </w:tr>
      <w:tr>
        <w:trPr>
          <w:trHeight w:val="257"/>
        </w:trPr>
        <w:tc>
          <w:tcPr>
            <w:tcW w:w="49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6"/>
                <w:szCs w:val="16"/>
                <w:color w:val="auto"/>
              </w:rPr>
              <w:t>Dealer inventory (units)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2,324</w:t>
            </w: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r>
    </w:tbl>
    <w:p>
      <w:pPr>
        <w:spacing w:after="0" w:line="242" w:lineRule="exact"/>
        <w:rPr>
          <w:sz w:val="20"/>
          <w:szCs w:val="20"/>
          <w:color w:val="auto"/>
        </w:rPr>
      </w:pPr>
    </w:p>
    <w:p>
      <w:pPr>
        <w:ind w:left="220" w:hanging="212"/>
        <w:spacing w:after="0" w:line="256"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2019-12-10T03:00:35Z</dcterms:created>
  <dcterms:modified xsi:type="dcterms:W3CDTF">2019-12-10T03:00:35Z</dcterms:modified>
</cp:coreProperties>
</file>