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2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FORM 10-Q</w:t>
      </w:r>
    </w:p>
    <w:p>
      <w:pPr>
        <w:spacing w:after="0" w:line="23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(Mark One)</w:t>
      </w:r>
    </w:p>
    <w:p>
      <w:pPr>
        <w:spacing w:after="0" w:line="139" w:lineRule="exact"/>
        <w:rPr>
          <w:sz w:val="24"/>
          <w:szCs w:val="24"/>
          <w:color w:val="auto"/>
        </w:rPr>
      </w:pPr>
    </w:p>
    <w:p>
      <w:pPr>
        <w:ind w:left="800" w:right="240" w:hanging="562"/>
        <w:spacing w:after="0" w:line="256" w:lineRule="auto"/>
        <w:tabs>
          <w:tab w:leader="none" w:pos="8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1" w:lineRule="exact"/>
        <w:rPr>
          <w:sz w:val="24"/>
          <w:szCs w:val="24"/>
          <w:color w:val="auto"/>
        </w:rPr>
      </w:pPr>
    </w:p>
    <w:p>
      <w:pPr>
        <w:ind w:left="240"/>
        <w:spacing w:after="0"/>
        <w:rPr>
          <w:sz w:val="20"/>
          <w:szCs w:val="20"/>
          <w:color w:val="auto"/>
        </w:rPr>
      </w:pPr>
      <w:r>
        <w:rPr>
          <w:rFonts w:ascii="Arial" w:cs="Arial" w:eastAsia="Arial" w:hAnsi="Arial"/>
          <w:sz w:val="22"/>
          <w:szCs w:val="22"/>
          <w:color w:val="auto"/>
        </w:rPr>
        <w:t xml:space="preserve">For the quarterly period ended </w:t>
      </w:r>
      <w:r>
        <w:rPr>
          <w:rFonts w:ascii="Arial" w:cs="Arial" w:eastAsia="Arial" w:hAnsi="Arial"/>
          <w:sz w:val="22"/>
          <w:szCs w:val="22"/>
          <w:u w:val="single" w:color="auto"/>
          <w:color w:val="auto"/>
        </w:rPr>
        <w:t>February 28, 2009</w:t>
      </w:r>
    </w:p>
    <w:p>
      <w:pPr>
        <w:spacing w:after="0" w:line="152"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or</w:t>
      </w:r>
    </w:p>
    <w:p>
      <w:pPr>
        <w:spacing w:after="0" w:line="139" w:lineRule="exact"/>
        <w:rPr>
          <w:sz w:val="24"/>
          <w:szCs w:val="24"/>
          <w:color w:val="auto"/>
        </w:rPr>
      </w:pPr>
    </w:p>
    <w:p>
      <w:pPr>
        <w:ind w:left="800" w:right="220" w:hanging="562"/>
        <w:spacing w:after="0" w:line="256" w:lineRule="auto"/>
        <w:tabs>
          <w:tab w:leader="none" w:pos="8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1" w:lineRule="exact"/>
        <w:rPr>
          <w:sz w:val="24"/>
          <w:szCs w:val="24"/>
          <w:color w:val="auto"/>
        </w:rPr>
      </w:pPr>
    </w:p>
    <w:p>
      <w:pPr>
        <w:ind w:left="240"/>
        <w:spacing w:after="0"/>
        <w:rPr>
          <w:sz w:val="20"/>
          <w:szCs w:val="20"/>
          <w:color w:val="auto"/>
        </w:rPr>
      </w:pPr>
      <w:r>
        <w:rPr>
          <w:rFonts w:ascii="Arial" w:cs="Arial" w:eastAsia="Arial" w:hAnsi="Arial"/>
          <w:sz w:val="22"/>
          <w:szCs w:val="22"/>
          <w:color w:val="auto"/>
        </w:rPr>
        <w:t>For the transition period from ___________________________ to _________________________</w:t>
      </w:r>
    </w:p>
    <w:p>
      <w:pPr>
        <w:spacing w:after="0" w:line="152" w:lineRule="exact"/>
        <w:rPr>
          <w:sz w:val="24"/>
          <w:szCs w:val="24"/>
          <w:color w:val="auto"/>
        </w:rPr>
      </w:pPr>
    </w:p>
    <w:p>
      <w:pPr>
        <w:ind w:left="2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001-06403</w:t>
      </w:r>
    </w:p>
    <w:p>
      <w:pPr>
        <w:spacing w:after="0" w:line="190"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WINNEBAGO INDUSTRIES, INC.</w:t>
      </w:r>
    </w:p>
    <w:p>
      <w:pPr>
        <w:spacing w:after="0" w:line="54"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6960" w:type="dxa"/>
            <w:vAlign w:val="bottom"/>
          </w:tcPr>
          <w:p>
            <w:pPr>
              <w:jc w:val="center"/>
              <w:ind w:right="1362"/>
              <w:spacing w:after="0"/>
              <w:rPr>
                <w:sz w:val="20"/>
                <w:szCs w:val="20"/>
                <w:color w:val="auto"/>
              </w:rPr>
            </w:pPr>
            <w:r>
              <w:rPr>
                <w:rFonts w:ascii="Arial" w:cs="Arial" w:eastAsia="Arial" w:hAnsi="Arial"/>
                <w:sz w:val="22"/>
                <w:szCs w:val="22"/>
                <w:color w:val="auto"/>
                <w:w w:val="90"/>
              </w:rPr>
              <w:t>Iowa</w:t>
            </w:r>
          </w:p>
        </w:tc>
        <w:tc>
          <w:tcPr>
            <w:tcW w:w="2380" w:type="dxa"/>
            <w:vAlign w:val="bottom"/>
          </w:tcPr>
          <w:p>
            <w:pPr>
              <w:jc w:val="right"/>
              <w:ind w:right="44"/>
              <w:spacing w:after="0"/>
              <w:rPr>
                <w:sz w:val="20"/>
                <w:szCs w:val="20"/>
                <w:color w:val="auto"/>
              </w:rPr>
            </w:pPr>
            <w:r>
              <w:rPr>
                <w:rFonts w:ascii="Arial" w:cs="Arial" w:eastAsia="Arial" w:hAnsi="Arial"/>
                <w:sz w:val="22"/>
                <w:szCs w:val="22"/>
                <w:color w:val="auto"/>
              </w:rPr>
              <w:t>42-0802678</w:t>
            </w:r>
          </w:p>
        </w:tc>
      </w:tr>
      <w:tr>
        <w:trPr>
          <w:trHeight w:val="216"/>
        </w:trPr>
        <w:tc>
          <w:tcPr>
            <w:tcW w:w="6960" w:type="dxa"/>
            <w:vAlign w:val="bottom"/>
          </w:tcPr>
          <w:p>
            <w:pPr>
              <w:jc w:val="center"/>
              <w:ind w:right="1362"/>
              <w:spacing w:after="0"/>
              <w:rPr>
                <w:sz w:val="20"/>
                <w:szCs w:val="20"/>
                <w:color w:val="auto"/>
              </w:rPr>
            </w:pPr>
            <w:r>
              <w:rPr>
                <w:rFonts w:ascii="Arial" w:cs="Arial" w:eastAsia="Arial" w:hAnsi="Arial"/>
                <w:sz w:val="18"/>
                <w:szCs w:val="18"/>
                <w:color w:val="auto"/>
                <w:w w:val="90"/>
              </w:rPr>
              <w:t>(State or other jurisdiction</w:t>
            </w:r>
          </w:p>
        </w:tc>
        <w:tc>
          <w:tcPr>
            <w:tcW w:w="2380" w:type="dxa"/>
            <w:vAlign w:val="bottom"/>
          </w:tcPr>
          <w:p>
            <w:pPr>
              <w:jc w:val="center"/>
              <w:ind w:left="964"/>
              <w:spacing w:after="0"/>
              <w:rPr>
                <w:sz w:val="20"/>
                <w:szCs w:val="20"/>
                <w:color w:val="auto"/>
              </w:rPr>
            </w:pPr>
            <w:r>
              <w:rPr>
                <w:rFonts w:ascii="Arial" w:cs="Arial" w:eastAsia="Arial" w:hAnsi="Arial"/>
                <w:sz w:val="18"/>
                <w:szCs w:val="18"/>
                <w:color w:val="auto"/>
                <w:w w:val="90"/>
              </w:rPr>
              <w:t>(I.R.S. Employer</w:t>
            </w:r>
          </w:p>
        </w:tc>
      </w:tr>
      <w:tr>
        <w:trPr>
          <w:trHeight w:val="222"/>
        </w:trPr>
        <w:tc>
          <w:tcPr>
            <w:tcW w:w="6960" w:type="dxa"/>
            <w:vAlign w:val="bottom"/>
          </w:tcPr>
          <w:p>
            <w:pPr>
              <w:jc w:val="center"/>
              <w:ind w:right="1362"/>
              <w:spacing w:after="0"/>
              <w:rPr>
                <w:sz w:val="20"/>
                <w:szCs w:val="20"/>
                <w:color w:val="auto"/>
              </w:rPr>
            </w:pPr>
            <w:r>
              <w:rPr>
                <w:rFonts w:ascii="Arial" w:cs="Arial" w:eastAsia="Arial" w:hAnsi="Arial"/>
                <w:sz w:val="18"/>
                <w:szCs w:val="18"/>
                <w:color w:val="auto"/>
                <w:w w:val="90"/>
              </w:rPr>
              <w:t>of incorporation or organization)</w:t>
            </w:r>
          </w:p>
        </w:tc>
        <w:tc>
          <w:tcPr>
            <w:tcW w:w="2380" w:type="dxa"/>
            <w:vAlign w:val="bottom"/>
          </w:tcPr>
          <w:p>
            <w:pPr>
              <w:jc w:val="center"/>
              <w:ind w:left="984"/>
              <w:spacing w:after="0"/>
              <w:rPr>
                <w:sz w:val="20"/>
                <w:szCs w:val="20"/>
                <w:color w:val="auto"/>
              </w:rPr>
            </w:pPr>
            <w:r>
              <w:rPr>
                <w:rFonts w:ascii="Arial" w:cs="Arial" w:eastAsia="Arial" w:hAnsi="Arial"/>
                <w:sz w:val="18"/>
                <w:szCs w:val="18"/>
                <w:color w:val="auto"/>
                <w:w w:val="92"/>
              </w:rPr>
              <w:t>Identification No.)</w:t>
            </w:r>
          </w:p>
        </w:tc>
      </w:tr>
      <w:tr>
        <w:trPr>
          <w:trHeight w:val="385"/>
        </w:trPr>
        <w:tc>
          <w:tcPr>
            <w:tcW w:w="6960" w:type="dxa"/>
            <w:vAlign w:val="bottom"/>
          </w:tcPr>
          <w:p>
            <w:pPr>
              <w:jc w:val="center"/>
              <w:ind w:right="1362"/>
              <w:spacing w:after="0"/>
              <w:rPr>
                <w:sz w:val="20"/>
                <w:szCs w:val="20"/>
                <w:color w:val="auto"/>
              </w:rPr>
            </w:pPr>
            <w:r>
              <w:rPr>
                <w:rFonts w:ascii="Arial" w:cs="Arial" w:eastAsia="Arial" w:hAnsi="Arial"/>
                <w:sz w:val="22"/>
                <w:szCs w:val="22"/>
                <w:color w:val="auto"/>
                <w:w w:val="89"/>
              </w:rPr>
              <w:t>P. O. Box 152, Forest City, Iowa</w:t>
            </w:r>
          </w:p>
        </w:tc>
        <w:tc>
          <w:tcPr>
            <w:tcW w:w="2380" w:type="dxa"/>
            <w:vAlign w:val="bottom"/>
          </w:tcPr>
          <w:p>
            <w:pPr>
              <w:jc w:val="right"/>
              <w:ind w:right="284"/>
              <w:spacing w:after="0"/>
              <w:rPr>
                <w:sz w:val="20"/>
                <w:szCs w:val="20"/>
                <w:color w:val="auto"/>
              </w:rPr>
            </w:pPr>
            <w:r>
              <w:rPr>
                <w:rFonts w:ascii="Arial" w:cs="Arial" w:eastAsia="Arial" w:hAnsi="Arial"/>
                <w:sz w:val="22"/>
                <w:szCs w:val="22"/>
                <w:color w:val="auto"/>
              </w:rPr>
              <w:t>50436</w:t>
            </w:r>
          </w:p>
        </w:tc>
      </w:tr>
      <w:tr>
        <w:trPr>
          <w:trHeight w:val="222"/>
        </w:trPr>
        <w:tc>
          <w:tcPr>
            <w:tcW w:w="6960" w:type="dxa"/>
            <w:vAlign w:val="bottom"/>
          </w:tcPr>
          <w:p>
            <w:pPr>
              <w:jc w:val="center"/>
              <w:ind w:right="1362"/>
              <w:spacing w:after="0"/>
              <w:rPr>
                <w:sz w:val="20"/>
                <w:szCs w:val="20"/>
                <w:color w:val="auto"/>
              </w:rPr>
            </w:pPr>
            <w:r>
              <w:rPr>
                <w:rFonts w:ascii="Arial" w:cs="Arial" w:eastAsia="Arial" w:hAnsi="Arial"/>
                <w:sz w:val="18"/>
                <w:szCs w:val="18"/>
                <w:color w:val="auto"/>
                <w:w w:val="90"/>
              </w:rPr>
              <w:t>(Address of principal executive offices)</w:t>
            </w:r>
          </w:p>
        </w:tc>
        <w:tc>
          <w:tcPr>
            <w:tcW w:w="2380" w:type="dxa"/>
            <w:vAlign w:val="bottom"/>
          </w:tcPr>
          <w:p>
            <w:pPr>
              <w:jc w:val="center"/>
              <w:ind w:left="984"/>
              <w:spacing w:after="0"/>
              <w:rPr>
                <w:sz w:val="20"/>
                <w:szCs w:val="20"/>
                <w:color w:val="auto"/>
              </w:rPr>
            </w:pPr>
            <w:r>
              <w:rPr>
                <w:rFonts w:ascii="Arial" w:cs="Arial" w:eastAsia="Arial" w:hAnsi="Arial"/>
                <w:sz w:val="18"/>
                <w:szCs w:val="18"/>
                <w:color w:val="auto"/>
                <w:w w:val="91"/>
              </w:rPr>
              <w:t>(Zip Code)</w:t>
            </w:r>
          </w:p>
        </w:tc>
      </w:tr>
      <w:tr>
        <w:trPr>
          <w:trHeight w:val="471"/>
        </w:trPr>
        <w:tc>
          <w:tcPr>
            <w:tcW w:w="6960" w:type="dxa"/>
            <w:vAlign w:val="bottom"/>
          </w:tcPr>
          <w:p>
            <w:pPr>
              <w:spacing w:after="0"/>
              <w:rPr>
                <w:sz w:val="20"/>
                <w:szCs w:val="20"/>
                <w:color w:val="auto"/>
              </w:rPr>
            </w:pPr>
            <w:r>
              <w:rPr>
                <w:rFonts w:ascii="Arial" w:cs="Arial" w:eastAsia="Arial" w:hAnsi="Arial"/>
                <w:sz w:val="22"/>
                <w:szCs w:val="22"/>
                <w:color w:val="auto"/>
              </w:rPr>
              <w:t>Registrant’s telephone number, including area code: (641) 585-3535</w:t>
            </w:r>
          </w:p>
        </w:tc>
        <w:tc>
          <w:tcPr>
            <w:tcW w:w="2380" w:type="dxa"/>
            <w:vAlign w:val="bottom"/>
          </w:tcPr>
          <w:p>
            <w:pPr>
              <w:spacing w:after="0"/>
              <w:rPr>
                <w:sz w:val="24"/>
                <w:szCs w:val="24"/>
                <w:color w:val="auto"/>
              </w:rPr>
            </w:pPr>
          </w:p>
        </w:tc>
      </w:tr>
    </w:tbl>
    <w:p>
      <w:pPr>
        <w:spacing w:after="0" w:line="185" w:lineRule="exact"/>
        <w:rPr>
          <w:sz w:val="24"/>
          <w:szCs w:val="24"/>
          <w:color w:val="auto"/>
        </w:rPr>
      </w:pPr>
    </w:p>
    <w:p>
      <w:pPr>
        <w:spacing w:after="0" w:line="258" w:lineRule="auto"/>
        <w:rPr>
          <w:sz w:val="20"/>
          <w:szCs w:val="20"/>
          <w:color w:val="auto"/>
        </w:rPr>
      </w:pPr>
      <w:r>
        <w:rPr>
          <w:rFonts w:ascii="Arial" w:cs="Arial" w:eastAsia="Arial" w:hAnsi="Arial"/>
          <w:sz w:val="21"/>
          <w:szCs w:val="2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67" w:lineRule="exact"/>
        <w:rPr>
          <w:sz w:val="24"/>
          <w:szCs w:val="24"/>
          <w:color w:val="auto"/>
        </w:rPr>
      </w:pPr>
    </w:p>
    <w:p>
      <w:pPr>
        <w:jc w:val="both"/>
        <w:ind w:right="80"/>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Large accelerated filer o Accelerated filer x Non-accelerated filer o Smaller Reporting Company o</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is a shell company (as defined in Rule 12b-2 of the Exchange Act).</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Yes o No x.</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The number of shares of common stock, par value $0.50 per share, outstanding April 6, 2009 was 29,077,126.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400050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240" w:top="239" w:right="4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WINNEBAGO INDUSTRIES,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REPORT ON FORM 10-Q</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Page Number</w:t>
            </w:r>
          </w:p>
        </w:tc>
        <w:tc>
          <w:tcPr>
            <w:tcW w:w="40" w:type="dxa"/>
            <w:vAlign w:val="bottom"/>
          </w:tcPr>
          <w:p>
            <w:pPr>
              <w:spacing w:after="0"/>
              <w:rPr>
                <w:sz w:val="14"/>
                <w:szCs w:val="14"/>
                <w:color w:val="auto"/>
              </w:rPr>
            </w:pPr>
          </w:p>
        </w:tc>
      </w:tr>
      <w:tr>
        <w:trPr>
          <w:trHeight w:val="318"/>
        </w:trPr>
        <w:tc>
          <w:tcPr>
            <w:tcW w:w="126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0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160" w:type="dxa"/>
            <w:vAlign w:val="bottom"/>
          </w:tcPr>
          <w:p>
            <w:pPr>
              <w:jc w:val="right"/>
              <w:ind w:right="393"/>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62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ITEM 1.</w:t>
              </w:r>
            </w:hyperlink>
          </w:p>
        </w:tc>
        <w:tc>
          <w:tcPr>
            <w:tcW w:w="640" w:type="dxa"/>
            <w:vAlign w:val="bottom"/>
            <w:gridSpan w:val="3"/>
          </w:tcPr>
          <w:p>
            <w:pPr>
              <w:spacing w:after="0"/>
              <w:rPr>
                <w:sz w:val="24"/>
                <w:szCs w:val="24"/>
                <w:color w:val="auto"/>
              </w:rPr>
            </w:pPr>
          </w:p>
        </w:tc>
        <w:tc>
          <w:tcPr>
            <w:tcW w:w="148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520" w:type="dxa"/>
            <w:vAlign w:val="bottom"/>
            <w:gridSpan w:val="12"/>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Unaudited Consolidated Statements of Operations</w:t>
              </w:r>
            </w:hyperlink>
          </w:p>
        </w:tc>
        <w:tc>
          <w:tcPr>
            <w:tcW w:w="5300" w:type="dxa"/>
            <w:vAlign w:val="bottom"/>
            <w:gridSpan w:val="6"/>
          </w:tcPr>
          <w:p>
            <w:pPr>
              <w:spacing w:after="0"/>
              <w:rPr>
                <w:sz w:val="17"/>
                <w:szCs w:val="17"/>
                <w:color w:val="auto"/>
              </w:rPr>
            </w:pPr>
          </w:p>
        </w:tc>
        <w:tc>
          <w:tcPr>
            <w:tcW w:w="1160" w:type="dxa"/>
            <w:vAlign w:val="bottom"/>
          </w:tcPr>
          <w:p>
            <w:pPr>
              <w:jc w:val="right"/>
              <w:ind w:right="393"/>
              <w:spacing w:after="0" w:line="196"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Unaudited Consolidated Balance Sheets</w:t>
              </w:r>
            </w:hyperlink>
          </w:p>
        </w:tc>
        <w:tc>
          <w:tcPr>
            <w:tcW w:w="6020" w:type="dxa"/>
            <w:vAlign w:val="bottom"/>
            <w:gridSpan w:val="8"/>
          </w:tcPr>
          <w:p>
            <w:pPr>
              <w:spacing w:after="0"/>
              <w:rPr>
                <w:sz w:val="17"/>
                <w:szCs w:val="17"/>
                <w:color w:val="auto"/>
              </w:rPr>
            </w:pPr>
          </w:p>
        </w:tc>
        <w:tc>
          <w:tcPr>
            <w:tcW w:w="1160" w:type="dxa"/>
            <w:vAlign w:val="bottom"/>
          </w:tcPr>
          <w:p>
            <w:pPr>
              <w:jc w:val="right"/>
              <w:ind w:right="393"/>
              <w:spacing w:after="0" w:line="196"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Unaudited Consolidated Statements of Cash Flows</w:t>
              </w:r>
            </w:hyperlink>
          </w:p>
        </w:tc>
        <w:tc>
          <w:tcPr>
            <w:tcW w:w="5260" w:type="dxa"/>
            <w:vAlign w:val="bottom"/>
            <w:gridSpan w:val="5"/>
          </w:tcPr>
          <w:p>
            <w:pPr>
              <w:spacing w:after="0"/>
              <w:rPr>
                <w:sz w:val="17"/>
                <w:szCs w:val="17"/>
                <w:color w:val="auto"/>
              </w:rPr>
            </w:pPr>
          </w:p>
        </w:tc>
        <w:tc>
          <w:tcPr>
            <w:tcW w:w="1160" w:type="dxa"/>
            <w:vAlign w:val="bottom"/>
          </w:tcPr>
          <w:p>
            <w:pPr>
              <w:jc w:val="right"/>
              <w:ind w:right="393"/>
              <w:spacing w:after="0" w:line="196" w:lineRule="exact"/>
              <w:rPr>
                <w:sz w:val="20"/>
                <w:szCs w:val="20"/>
                <w:color w:val="auto"/>
              </w:rPr>
            </w:pPr>
            <w:r>
              <w:rPr>
                <w:rFonts w:ascii="Arial" w:cs="Arial" w:eastAsia="Arial" w:hAnsi="Arial"/>
                <w:sz w:val="18"/>
                <w:szCs w:val="18"/>
                <w:color w:val="auto"/>
              </w:rPr>
              <w:t>3</w:t>
            </w:r>
          </w:p>
        </w:tc>
        <w:tc>
          <w:tcPr>
            <w:tcW w:w="4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8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Unaudited Notes to Condensed Consolidated Financial Statements</w:t>
              </w:r>
            </w:hyperlink>
          </w:p>
        </w:tc>
        <w:tc>
          <w:tcPr>
            <w:tcW w:w="4160" w:type="dxa"/>
            <w:vAlign w:val="bottom"/>
            <w:gridSpan w:val="2"/>
          </w:tcPr>
          <w:p>
            <w:pPr>
              <w:spacing w:after="0"/>
              <w:rPr>
                <w:sz w:val="17"/>
                <w:szCs w:val="17"/>
                <w:color w:val="auto"/>
              </w:rPr>
            </w:pPr>
          </w:p>
        </w:tc>
        <w:tc>
          <w:tcPr>
            <w:tcW w:w="1160" w:type="dxa"/>
            <w:vAlign w:val="bottom"/>
          </w:tcPr>
          <w:p>
            <w:pPr>
              <w:jc w:val="right"/>
              <w:ind w:right="393"/>
              <w:spacing w:after="0" w:line="196"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7"/>
                <w:szCs w:val="17"/>
                <w:color w:val="auto"/>
              </w:rPr>
            </w:pPr>
          </w:p>
        </w:tc>
      </w:tr>
      <w:tr>
        <w:trPr>
          <w:trHeight w:val="365"/>
        </w:trPr>
        <w:tc>
          <w:tcPr>
            <w:tcW w:w="620" w:type="dxa"/>
            <w:vAlign w:val="bottom"/>
          </w:tcPr>
          <w:p>
            <w:pPr>
              <w:spacing w:after="0"/>
              <w:rPr>
                <w:rFonts w:ascii="Arial" w:cs="Arial" w:eastAsia="Arial" w:hAnsi="Arial"/>
                <w:sz w:val="18"/>
                <w:szCs w:val="18"/>
                <w:b w:val="1"/>
                <w:bCs w:val="1"/>
                <w:color w:val="0000EE"/>
                <w:w w:val="91"/>
              </w:rPr>
            </w:pPr>
            <w:hyperlink w:anchor="page13">
              <w:r>
                <w:rPr>
                  <w:rFonts w:ascii="Arial" w:cs="Arial" w:eastAsia="Arial" w:hAnsi="Arial"/>
                  <w:sz w:val="18"/>
                  <w:szCs w:val="18"/>
                  <w:b w:val="1"/>
                  <w:bCs w:val="1"/>
                  <w:color w:val="0000EE"/>
                  <w:w w:val="91"/>
                </w:rPr>
                <w:t>ITEM 2.</w:t>
              </w:r>
            </w:hyperlink>
          </w:p>
        </w:tc>
        <w:tc>
          <w:tcPr>
            <w:tcW w:w="640" w:type="dxa"/>
            <w:vAlign w:val="bottom"/>
            <w:gridSpan w:val="3"/>
          </w:tcPr>
          <w:p>
            <w:pPr>
              <w:spacing w:after="0"/>
              <w:rPr>
                <w:sz w:val="24"/>
                <w:szCs w:val="24"/>
                <w:color w:val="auto"/>
              </w:rPr>
            </w:pPr>
          </w:p>
        </w:tc>
        <w:tc>
          <w:tcPr>
            <w:tcW w:w="9000" w:type="dxa"/>
            <w:vAlign w:val="bottom"/>
            <w:gridSpan w:val="1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1160" w:type="dxa"/>
            <w:vAlign w:val="bottom"/>
          </w:tcPr>
          <w:p>
            <w:pPr>
              <w:jc w:val="right"/>
              <w:ind w:right="393"/>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4"/>
                <w:szCs w:val="24"/>
                <w:color w:val="auto"/>
              </w:rPr>
            </w:pPr>
          </w:p>
        </w:tc>
      </w:tr>
      <w:tr>
        <w:trPr>
          <w:trHeight w:val="345"/>
        </w:trPr>
        <w:tc>
          <w:tcPr>
            <w:tcW w:w="62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22">
              <w:r>
                <w:rPr>
                  <w:rFonts w:ascii="Arial" w:cs="Arial" w:eastAsia="Arial" w:hAnsi="Arial"/>
                  <w:sz w:val="18"/>
                  <w:szCs w:val="18"/>
                  <w:b w:val="1"/>
                  <w:bCs w:val="1"/>
                  <w:color w:val="0000EE"/>
                  <w:w w:val="91"/>
                </w:rPr>
                <w:t>ITEM 3.</w:t>
              </w:r>
            </w:hyperlink>
          </w:p>
        </w:tc>
        <w:tc>
          <w:tcPr>
            <w:tcW w:w="640" w:type="dxa"/>
            <w:vAlign w:val="bottom"/>
            <w:gridSpan w:val="3"/>
          </w:tcPr>
          <w:p>
            <w:pPr>
              <w:spacing w:after="0"/>
              <w:rPr>
                <w:sz w:val="24"/>
                <w:szCs w:val="24"/>
                <w:color w:val="auto"/>
              </w:rPr>
            </w:pPr>
          </w:p>
        </w:tc>
        <w:tc>
          <w:tcPr>
            <w:tcW w:w="42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2700" w:type="dxa"/>
            <w:vAlign w:val="bottom"/>
          </w:tcPr>
          <w:p>
            <w:pPr>
              <w:spacing w:after="0"/>
              <w:rPr>
                <w:sz w:val="24"/>
                <w:szCs w:val="24"/>
                <w:color w:val="auto"/>
              </w:rPr>
            </w:pPr>
          </w:p>
        </w:tc>
        <w:tc>
          <w:tcPr>
            <w:tcW w:w="1160" w:type="dxa"/>
            <w:vAlign w:val="bottom"/>
          </w:tcPr>
          <w:p>
            <w:pPr>
              <w:jc w:val="right"/>
              <w:ind w:right="393"/>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4"/>
                <w:szCs w:val="24"/>
                <w:color w:val="auto"/>
              </w:rPr>
            </w:pPr>
          </w:p>
        </w:tc>
      </w:tr>
      <w:tr>
        <w:trPr>
          <w:trHeight w:val="325"/>
        </w:trPr>
        <w:tc>
          <w:tcPr>
            <w:tcW w:w="620" w:type="dxa"/>
            <w:vAlign w:val="bottom"/>
          </w:tcPr>
          <w:p>
            <w:pPr>
              <w:spacing w:after="0"/>
              <w:rPr>
                <w:rFonts w:ascii="Arial" w:cs="Arial" w:eastAsia="Arial" w:hAnsi="Arial"/>
                <w:sz w:val="18"/>
                <w:szCs w:val="18"/>
                <w:b w:val="1"/>
                <w:bCs w:val="1"/>
                <w:color w:val="0000EE"/>
                <w:w w:val="91"/>
              </w:rPr>
            </w:pPr>
            <w:hyperlink w:anchor="page23">
              <w:r>
                <w:rPr>
                  <w:rFonts w:ascii="Arial" w:cs="Arial" w:eastAsia="Arial" w:hAnsi="Arial"/>
                  <w:sz w:val="18"/>
                  <w:szCs w:val="18"/>
                  <w:b w:val="1"/>
                  <w:bCs w:val="1"/>
                  <w:color w:val="0000EE"/>
                  <w:w w:val="91"/>
                </w:rPr>
                <w:t>ITEM 4.</w:t>
              </w:r>
            </w:hyperlink>
          </w:p>
        </w:tc>
        <w:tc>
          <w:tcPr>
            <w:tcW w:w="640" w:type="dxa"/>
            <w:vAlign w:val="bottom"/>
            <w:gridSpan w:val="3"/>
          </w:tcPr>
          <w:p>
            <w:pPr>
              <w:spacing w:after="0"/>
              <w:rPr>
                <w:sz w:val="24"/>
                <w:szCs w:val="24"/>
                <w:color w:val="auto"/>
              </w:rPr>
            </w:pPr>
          </w:p>
        </w:tc>
        <w:tc>
          <w:tcPr>
            <w:tcW w:w="900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1160" w:type="dxa"/>
            <w:vAlign w:val="bottom"/>
          </w:tcPr>
          <w:p>
            <w:pPr>
              <w:jc w:val="right"/>
              <w:ind w:right="393"/>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700" w:type="dxa"/>
            <w:vAlign w:val="bottom"/>
            <w:gridSpan w:val="2"/>
          </w:tcPr>
          <w:p>
            <w:pPr>
              <w:spacing w:after="0"/>
              <w:rPr>
                <w:rFonts w:ascii="Arial" w:cs="Arial" w:eastAsia="Arial" w:hAnsi="Arial"/>
                <w:sz w:val="18"/>
                <w:szCs w:val="18"/>
                <w:b w:val="1"/>
                <w:bCs w:val="1"/>
                <w:color w:val="0000EE"/>
                <w:w w:val="98"/>
              </w:rPr>
            </w:pPr>
            <w:hyperlink w:anchor="page24">
              <w:r>
                <w:rPr>
                  <w:rFonts w:ascii="Arial" w:cs="Arial" w:eastAsia="Arial" w:hAnsi="Arial"/>
                  <w:sz w:val="18"/>
                  <w:szCs w:val="18"/>
                  <w:b w:val="1"/>
                  <w:bCs w:val="1"/>
                  <w:color w:val="0000EE"/>
                  <w:w w:val="98"/>
                </w:rPr>
                <w:t>PART II.</w:t>
              </w:r>
            </w:hyperlink>
          </w:p>
        </w:tc>
        <w:tc>
          <w:tcPr>
            <w:tcW w:w="560" w:type="dxa"/>
            <w:vAlign w:val="bottom"/>
            <w:gridSpan w:val="2"/>
          </w:tcPr>
          <w:p>
            <w:pPr>
              <w:spacing w:after="0"/>
              <w:rPr>
                <w:sz w:val="24"/>
                <w:szCs w:val="24"/>
                <w:color w:val="auto"/>
              </w:rPr>
            </w:pPr>
          </w:p>
        </w:tc>
        <w:tc>
          <w:tcPr>
            <w:tcW w:w="900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1160" w:type="dxa"/>
            <w:vAlign w:val="bottom"/>
          </w:tcPr>
          <w:p>
            <w:pPr>
              <w:jc w:val="right"/>
              <w:ind w:right="393"/>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r>
      <w:tr>
        <w:trPr>
          <w:trHeight w:val="345"/>
        </w:trPr>
        <w:tc>
          <w:tcPr>
            <w:tcW w:w="62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24">
              <w:r>
                <w:rPr>
                  <w:rFonts w:ascii="Arial" w:cs="Arial" w:eastAsia="Arial" w:hAnsi="Arial"/>
                  <w:sz w:val="18"/>
                  <w:szCs w:val="18"/>
                  <w:b w:val="1"/>
                  <w:bCs w:val="1"/>
                  <w:color w:val="0000EE"/>
                  <w:w w:val="91"/>
                </w:rPr>
                <w:t>ITEM 1.</w:t>
              </w:r>
            </w:hyperlink>
          </w:p>
        </w:tc>
        <w:tc>
          <w:tcPr>
            <w:tcW w:w="80" w:type="dxa"/>
            <w:vAlign w:val="bottom"/>
            <w:tcBorders>
              <w:top w:val="single" w:sz="8" w:color="0000EE"/>
            </w:tcBorders>
          </w:tcPr>
          <w:p>
            <w:pPr>
              <w:spacing w:after="0"/>
              <w:rPr>
                <w:sz w:val="24"/>
                <w:szCs w:val="24"/>
                <w:color w:val="auto"/>
              </w:rPr>
            </w:pPr>
          </w:p>
        </w:tc>
        <w:tc>
          <w:tcPr>
            <w:tcW w:w="560" w:type="dxa"/>
            <w:vAlign w:val="bottom"/>
            <w:gridSpan w:val="2"/>
          </w:tcPr>
          <w:p>
            <w:pPr>
              <w:spacing w:after="0"/>
              <w:rPr>
                <w:sz w:val="24"/>
                <w:szCs w:val="24"/>
                <w:color w:val="auto"/>
              </w:rPr>
            </w:pPr>
          </w:p>
        </w:tc>
        <w:tc>
          <w:tcPr>
            <w:tcW w:w="1840" w:type="dxa"/>
            <w:vAlign w:val="bottom"/>
            <w:tcBorders>
              <w:top w:val="single" w:sz="8" w:color="0000EE"/>
            </w:tcBorders>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7160" w:type="dxa"/>
            <w:vAlign w:val="bottom"/>
            <w:gridSpan w:val="10"/>
          </w:tcPr>
          <w:p>
            <w:pPr>
              <w:spacing w:after="0"/>
              <w:rPr>
                <w:sz w:val="24"/>
                <w:szCs w:val="24"/>
                <w:color w:val="auto"/>
              </w:rPr>
            </w:pPr>
          </w:p>
        </w:tc>
        <w:tc>
          <w:tcPr>
            <w:tcW w:w="1160" w:type="dxa"/>
            <w:vAlign w:val="bottom"/>
          </w:tcPr>
          <w:p>
            <w:pPr>
              <w:jc w:val="right"/>
              <w:ind w:right="393"/>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780" w:type="dxa"/>
            <w:vAlign w:val="bottom"/>
            <w:gridSpan w:val="3"/>
          </w:tcPr>
          <w:p>
            <w:pPr>
              <w:spacing w:after="0"/>
              <w:rPr>
                <w:rFonts w:ascii="Arial" w:cs="Arial" w:eastAsia="Arial" w:hAnsi="Arial"/>
                <w:sz w:val="18"/>
                <w:szCs w:val="18"/>
                <w:b w:val="1"/>
                <w:bCs w:val="1"/>
                <w:color w:val="0000EE"/>
                <w:w w:val="99"/>
              </w:rPr>
            </w:pPr>
            <w:hyperlink w:anchor="page24">
              <w:r>
                <w:rPr>
                  <w:rFonts w:ascii="Arial" w:cs="Arial" w:eastAsia="Arial" w:hAnsi="Arial"/>
                  <w:sz w:val="18"/>
                  <w:szCs w:val="18"/>
                  <w:b w:val="1"/>
                  <w:bCs w:val="1"/>
                  <w:color w:val="0000EE"/>
                  <w:w w:val="99"/>
                </w:rPr>
                <w:t>ITEM 1A.</w:t>
              </w:r>
            </w:hyperlink>
          </w:p>
        </w:tc>
        <w:tc>
          <w:tcPr>
            <w:tcW w:w="48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160" w:type="dxa"/>
            <w:vAlign w:val="bottom"/>
          </w:tcPr>
          <w:p>
            <w:pPr>
              <w:jc w:val="right"/>
              <w:ind w:right="393"/>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5"/>
        </w:trPr>
        <w:tc>
          <w:tcPr>
            <w:tcW w:w="620" w:type="dxa"/>
            <w:vAlign w:val="bottom"/>
          </w:tcPr>
          <w:p>
            <w:pPr>
              <w:spacing w:after="0"/>
              <w:rPr>
                <w:rFonts w:ascii="Arial" w:cs="Arial" w:eastAsia="Arial" w:hAnsi="Arial"/>
                <w:sz w:val="18"/>
                <w:szCs w:val="18"/>
                <w:b w:val="1"/>
                <w:bCs w:val="1"/>
                <w:color w:val="0000EE"/>
                <w:w w:val="91"/>
              </w:rPr>
            </w:pPr>
            <w:hyperlink w:anchor="page24">
              <w:r>
                <w:rPr>
                  <w:rFonts w:ascii="Arial" w:cs="Arial" w:eastAsia="Arial" w:hAnsi="Arial"/>
                  <w:sz w:val="18"/>
                  <w:szCs w:val="18"/>
                  <w:b w:val="1"/>
                  <w:bCs w:val="1"/>
                  <w:color w:val="0000EE"/>
                  <w:w w:val="91"/>
                </w:rPr>
                <w:t>ITEM 2.</w:t>
              </w:r>
            </w:hyperlink>
          </w:p>
        </w:tc>
        <w:tc>
          <w:tcPr>
            <w:tcW w:w="16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1160" w:type="dxa"/>
            <w:vAlign w:val="bottom"/>
          </w:tcPr>
          <w:p>
            <w:pPr>
              <w:jc w:val="right"/>
              <w:ind w:right="393"/>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r>
      <w:tr>
        <w:trPr>
          <w:trHeight w:val="325"/>
        </w:trPr>
        <w:tc>
          <w:tcPr>
            <w:tcW w:w="62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24">
              <w:r>
                <w:rPr>
                  <w:rFonts w:ascii="Arial" w:cs="Arial" w:eastAsia="Arial" w:hAnsi="Arial"/>
                  <w:sz w:val="18"/>
                  <w:szCs w:val="18"/>
                  <w:b w:val="1"/>
                  <w:bCs w:val="1"/>
                  <w:color w:val="0000EE"/>
                  <w:w w:val="91"/>
                </w:rPr>
                <w:t>ITEM 4.</w:t>
              </w:r>
            </w:hyperlink>
          </w:p>
        </w:tc>
        <w:tc>
          <w:tcPr>
            <w:tcW w:w="640" w:type="dxa"/>
            <w:vAlign w:val="bottom"/>
            <w:gridSpan w:val="3"/>
          </w:tcPr>
          <w:p>
            <w:pPr>
              <w:spacing w:after="0"/>
              <w:rPr>
                <w:sz w:val="24"/>
                <w:szCs w:val="24"/>
                <w:color w:val="auto"/>
              </w:rPr>
            </w:pPr>
          </w:p>
        </w:tc>
        <w:tc>
          <w:tcPr>
            <w:tcW w:w="36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Submission of Matters to a Vote of Security Holders</w:t>
              </w:r>
            </w:hyperlink>
          </w:p>
        </w:tc>
        <w:tc>
          <w:tcPr>
            <w:tcW w:w="560" w:type="dxa"/>
            <w:vAlign w:val="bottom"/>
            <w:tcBorders>
              <w:top w:val="single" w:sz="8" w:color="0000EE"/>
            </w:tcBorders>
            <w:gridSpan w:val="3"/>
          </w:tcPr>
          <w:p>
            <w:pPr>
              <w:spacing w:after="0"/>
              <w:rPr>
                <w:sz w:val="24"/>
                <w:szCs w:val="24"/>
                <w:color w:val="auto"/>
              </w:rPr>
            </w:pPr>
          </w:p>
        </w:tc>
        <w:tc>
          <w:tcPr>
            <w:tcW w:w="4760" w:type="dxa"/>
            <w:vAlign w:val="bottom"/>
            <w:gridSpan w:val="4"/>
          </w:tcPr>
          <w:p>
            <w:pPr>
              <w:spacing w:after="0"/>
              <w:rPr>
                <w:sz w:val="24"/>
                <w:szCs w:val="24"/>
                <w:color w:val="auto"/>
              </w:rPr>
            </w:pPr>
          </w:p>
        </w:tc>
        <w:tc>
          <w:tcPr>
            <w:tcW w:w="1160" w:type="dxa"/>
            <w:vAlign w:val="bottom"/>
          </w:tcPr>
          <w:p>
            <w:pPr>
              <w:jc w:val="right"/>
              <w:ind w:right="393"/>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r>
      <w:tr>
        <w:trPr>
          <w:trHeight w:val="345"/>
        </w:trPr>
        <w:tc>
          <w:tcPr>
            <w:tcW w:w="620" w:type="dxa"/>
            <w:vAlign w:val="bottom"/>
          </w:tcPr>
          <w:p>
            <w:pPr>
              <w:spacing w:after="0"/>
              <w:rPr>
                <w:rFonts w:ascii="Arial" w:cs="Arial" w:eastAsia="Arial" w:hAnsi="Arial"/>
                <w:sz w:val="18"/>
                <w:szCs w:val="18"/>
                <w:b w:val="1"/>
                <w:bCs w:val="1"/>
                <w:color w:val="0000EE"/>
                <w:w w:val="91"/>
              </w:rPr>
            </w:pPr>
            <w:hyperlink w:anchor="page25">
              <w:r>
                <w:rPr>
                  <w:rFonts w:ascii="Arial" w:cs="Arial" w:eastAsia="Arial" w:hAnsi="Arial"/>
                  <w:sz w:val="18"/>
                  <w:szCs w:val="18"/>
                  <w:b w:val="1"/>
                  <w:bCs w:val="1"/>
                  <w:color w:val="0000EE"/>
                  <w:w w:val="91"/>
                </w:rPr>
                <w:t>ITEM 6.</w:t>
              </w:r>
            </w:hyperlink>
          </w:p>
        </w:tc>
        <w:tc>
          <w:tcPr>
            <w:tcW w:w="640" w:type="dxa"/>
            <w:vAlign w:val="bottom"/>
            <w:gridSpan w:val="3"/>
          </w:tcPr>
          <w:p>
            <w:pPr>
              <w:spacing w:after="0"/>
              <w:rPr>
                <w:sz w:val="24"/>
                <w:szCs w:val="24"/>
                <w:color w:val="auto"/>
              </w:rPr>
            </w:pPr>
          </w:p>
        </w:tc>
        <w:tc>
          <w:tcPr>
            <w:tcW w:w="900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1160" w:type="dxa"/>
            <w:vAlign w:val="bottom"/>
          </w:tcPr>
          <w:p>
            <w:pPr>
              <w:jc w:val="right"/>
              <w:ind w:right="393"/>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4"/>
                <w:szCs w:val="24"/>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40" w:type="dxa"/>
            <w:vAlign w:val="bottom"/>
            <w:gridSpan w:val="1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1160" w:type="dxa"/>
            <w:vAlign w:val="bottom"/>
          </w:tcPr>
          <w:p>
            <w:pPr>
              <w:jc w:val="right"/>
              <w:ind w:right="393"/>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40" w:type="dxa"/>
            <w:vAlign w:val="bottom"/>
            <w:gridSpan w:val="1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 Index</w:t>
              </w:r>
            </w:hyperlink>
          </w:p>
        </w:tc>
        <w:tc>
          <w:tcPr>
            <w:tcW w:w="1160" w:type="dxa"/>
            <w:vAlign w:val="bottom"/>
          </w:tcPr>
          <w:p>
            <w:pPr>
              <w:jc w:val="right"/>
              <w:ind w:right="393"/>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4"/>
                <w:szCs w:val="24"/>
                <w:color w:val="auto"/>
              </w:rPr>
            </w:pPr>
          </w:p>
        </w:tc>
      </w:tr>
      <w:tr>
        <w:trPr>
          <w:trHeight w:val="395"/>
        </w:trPr>
        <w:tc>
          <w:tcPr>
            <w:tcW w:w="6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gridSpan w:val="2"/>
          </w:tcPr>
          <w:p>
            <w:pPr>
              <w:spacing w:after="0"/>
              <w:rPr>
                <w:sz w:val="20"/>
                <w:szCs w:val="20"/>
                <w:color w:val="auto"/>
              </w:rPr>
            </w:pPr>
            <w:r>
              <w:rPr>
                <w:rFonts w:ascii="Arial" w:cs="Arial" w:eastAsia="Arial" w:hAnsi="Arial"/>
                <w:sz w:val="22"/>
                <w:szCs w:val="22"/>
                <w:b w:val="1"/>
                <w:bCs w:val="1"/>
                <w:color w:val="auto"/>
              </w:rPr>
              <w:t>PART I.</w:t>
            </w:r>
          </w:p>
        </w:tc>
        <w:tc>
          <w:tcPr>
            <w:tcW w:w="3640" w:type="dxa"/>
            <w:vAlign w:val="bottom"/>
          </w:tcPr>
          <w:p>
            <w:pPr>
              <w:ind w:left="20"/>
              <w:spacing w:after="0"/>
              <w:rPr>
                <w:sz w:val="20"/>
                <w:szCs w:val="20"/>
                <w:color w:val="auto"/>
              </w:rPr>
            </w:pPr>
            <w:r>
              <w:rPr>
                <w:rFonts w:ascii="Arial" w:cs="Arial" w:eastAsia="Arial" w:hAnsi="Arial"/>
                <w:sz w:val="22"/>
                <w:szCs w:val="22"/>
                <w:b w:val="1"/>
                <w:bCs w:val="1"/>
                <w:color w:val="auto"/>
              </w:rPr>
              <w:t>FINANCIAL INFORMATION</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1360" w:type="dxa"/>
            <w:vAlign w:val="bottom"/>
            <w:gridSpan w:val="2"/>
          </w:tcPr>
          <w:p>
            <w:pPr>
              <w:spacing w:after="0"/>
              <w:rPr>
                <w:sz w:val="20"/>
                <w:szCs w:val="20"/>
                <w:color w:val="auto"/>
              </w:rPr>
            </w:pPr>
            <w:r>
              <w:rPr>
                <w:rFonts w:ascii="Arial" w:cs="Arial" w:eastAsia="Arial" w:hAnsi="Arial"/>
                <w:sz w:val="22"/>
                <w:szCs w:val="22"/>
                <w:b w:val="1"/>
                <w:bCs w:val="1"/>
                <w:color w:val="auto"/>
              </w:rPr>
              <w:t>Item 1.</w:t>
            </w:r>
          </w:p>
        </w:tc>
        <w:tc>
          <w:tcPr>
            <w:tcW w:w="3640" w:type="dxa"/>
            <w:vAlign w:val="bottom"/>
          </w:tcPr>
          <w:p>
            <w:pPr>
              <w:ind w:left="20"/>
              <w:spacing w:after="0"/>
              <w:rPr>
                <w:sz w:val="20"/>
                <w:szCs w:val="20"/>
                <w:color w:val="auto"/>
              </w:rPr>
            </w:pPr>
            <w:r>
              <w:rPr>
                <w:rFonts w:ascii="Arial" w:cs="Arial" w:eastAsia="Arial" w:hAnsi="Arial"/>
                <w:sz w:val="22"/>
                <w:szCs w:val="22"/>
                <w:b w:val="1"/>
                <w:bCs w:val="1"/>
                <w:color w:val="auto"/>
              </w:rPr>
              <w:t>Financial Statements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Thirteen</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jc w:val="center"/>
              <w:ind w:right="296"/>
              <w:spacing w:after="0"/>
              <w:rPr>
                <w:sz w:val="20"/>
                <w:szCs w:val="20"/>
                <w:color w:val="auto"/>
              </w:rPr>
            </w:pPr>
            <w:r>
              <w:rPr>
                <w:rFonts w:ascii="Arial" w:cs="Arial" w:eastAsia="Arial" w:hAnsi="Arial"/>
                <w:sz w:val="14"/>
                <w:szCs w:val="14"/>
                <w:b w:val="1"/>
                <w:bCs w:val="1"/>
                <w:color w:val="auto"/>
                <w:w w:val="86"/>
              </w:rPr>
              <w:t>Twenty-Six</w:t>
            </w:r>
          </w:p>
        </w:tc>
        <w:tc>
          <w:tcPr>
            <w:tcW w:w="380" w:type="dxa"/>
            <w:vAlign w:val="bottom"/>
          </w:tcPr>
          <w:p>
            <w:pPr>
              <w:spacing w:after="0"/>
              <w:rPr>
                <w:sz w:val="24"/>
                <w:szCs w:val="24"/>
                <w:color w:val="auto"/>
              </w:rPr>
            </w:pPr>
          </w:p>
        </w:tc>
        <w:tc>
          <w:tcPr>
            <w:tcW w:w="1220" w:type="dxa"/>
            <w:vAlign w:val="bottom"/>
          </w:tcPr>
          <w:p>
            <w:pPr>
              <w:jc w:val="center"/>
              <w:ind w:right="275"/>
              <w:spacing w:after="0"/>
              <w:rPr>
                <w:sz w:val="20"/>
                <w:szCs w:val="20"/>
                <w:color w:val="auto"/>
              </w:rPr>
            </w:pPr>
            <w:r>
              <w:rPr>
                <w:rFonts w:ascii="Arial" w:cs="Arial" w:eastAsia="Arial" w:hAnsi="Arial"/>
                <w:sz w:val="14"/>
                <w:szCs w:val="14"/>
                <w:b w:val="1"/>
                <w:bCs w:val="1"/>
                <w:color w:val="auto"/>
                <w:w w:val="87"/>
              </w:rPr>
              <w:t>Twenty-Seven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Weeks Ended</w:t>
            </w:r>
          </w:p>
        </w:tc>
        <w:tc>
          <w:tcPr>
            <w:tcW w:w="1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Weeks Ended</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right"/>
              <w:ind w:right="396"/>
              <w:spacing w:after="0" w:line="129" w:lineRule="exact"/>
              <w:rPr>
                <w:sz w:val="20"/>
                <w:szCs w:val="20"/>
                <w:color w:val="auto"/>
              </w:rPr>
            </w:pPr>
            <w:r>
              <w:rPr>
                <w:rFonts w:ascii="Arial" w:cs="Arial" w:eastAsia="Arial" w:hAnsi="Arial"/>
                <w:sz w:val="14"/>
                <w:szCs w:val="14"/>
                <w:b w:val="1"/>
                <w:bCs w:val="1"/>
                <w:color w:val="auto"/>
                <w:w w:val="98"/>
              </w:rPr>
              <w:t>February 28,</w:t>
            </w:r>
          </w:p>
        </w:tc>
        <w:tc>
          <w:tcPr>
            <w:tcW w:w="460" w:type="dxa"/>
            <w:vAlign w:val="bottom"/>
          </w:tcPr>
          <w:p>
            <w:pPr>
              <w:spacing w:after="0"/>
              <w:rPr>
                <w:sz w:val="11"/>
                <w:szCs w:val="11"/>
                <w:color w:val="auto"/>
              </w:rPr>
            </w:pPr>
          </w:p>
        </w:tc>
        <w:tc>
          <w:tcPr>
            <w:tcW w:w="1160" w:type="dxa"/>
            <w:vAlign w:val="bottom"/>
          </w:tcPr>
          <w:p>
            <w:pPr>
              <w:jc w:val="right"/>
              <w:ind w:right="474"/>
              <w:spacing w:after="0" w:line="129" w:lineRule="exact"/>
              <w:rPr>
                <w:sz w:val="20"/>
                <w:szCs w:val="20"/>
                <w:color w:val="auto"/>
              </w:rPr>
            </w:pPr>
            <w:r>
              <w:rPr>
                <w:rFonts w:ascii="Arial" w:cs="Arial" w:eastAsia="Arial" w:hAnsi="Arial"/>
                <w:sz w:val="14"/>
                <w:szCs w:val="14"/>
                <w:b w:val="1"/>
                <w:bCs w:val="1"/>
                <w:color w:val="auto"/>
              </w:rPr>
              <w:t>March 1,</w:t>
            </w:r>
          </w:p>
        </w:tc>
        <w:tc>
          <w:tcPr>
            <w:tcW w:w="360" w:type="dxa"/>
            <w:vAlign w:val="bottom"/>
          </w:tcPr>
          <w:p>
            <w:pPr>
              <w:spacing w:after="0"/>
              <w:rPr>
                <w:sz w:val="11"/>
                <w:szCs w:val="11"/>
                <w:color w:val="auto"/>
              </w:rPr>
            </w:pPr>
          </w:p>
        </w:tc>
        <w:tc>
          <w:tcPr>
            <w:tcW w:w="1340" w:type="dxa"/>
            <w:vAlign w:val="bottom"/>
          </w:tcPr>
          <w:p>
            <w:pPr>
              <w:jc w:val="center"/>
              <w:ind w:right="296"/>
              <w:spacing w:after="0" w:line="129" w:lineRule="exact"/>
              <w:rPr>
                <w:sz w:val="20"/>
                <w:szCs w:val="20"/>
                <w:color w:val="auto"/>
              </w:rPr>
            </w:pPr>
            <w:r>
              <w:rPr>
                <w:rFonts w:ascii="Arial" w:cs="Arial" w:eastAsia="Arial" w:hAnsi="Arial"/>
                <w:sz w:val="14"/>
                <w:szCs w:val="14"/>
                <w:b w:val="1"/>
                <w:bCs w:val="1"/>
                <w:color w:val="auto"/>
                <w:w w:val="91"/>
              </w:rPr>
              <w:t>February 28,</w:t>
            </w:r>
          </w:p>
        </w:tc>
        <w:tc>
          <w:tcPr>
            <w:tcW w:w="380" w:type="dxa"/>
            <w:vAlign w:val="bottom"/>
          </w:tcPr>
          <w:p>
            <w:pPr>
              <w:spacing w:after="0"/>
              <w:rPr>
                <w:sz w:val="11"/>
                <w:szCs w:val="11"/>
                <w:color w:val="auto"/>
              </w:rPr>
            </w:pPr>
          </w:p>
        </w:tc>
        <w:tc>
          <w:tcPr>
            <w:tcW w:w="1220" w:type="dxa"/>
            <w:vAlign w:val="bottom"/>
          </w:tcPr>
          <w:p>
            <w:pPr>
              <w:jc w:val="center"/>
              <w:ind w:right="275"/>
              <w:spacing w:after="0" w:line="129" w:lineRule="exact"/>
              <w:rPr>
                <w:sz w:val="20"/>
                <w:szCs w:val="20"/>
                <w:color w:val="auto"/>
              </w:rPr>
            </w:pPr>
            <w:r>
              <w:rPr>
                <w:rFonts w:ascii="Arial" w:cs="Arial" w:eastAsia="Arial" w:hAnsi="Arial"/>
                <w:sz w:val="14"/>
                <w:szCs w:val="14"/>
                <w:b w:val="1"/>
                <w:bCs w:val="1"/>
                <w:color w:val="auto"/>
                <w:w w:val="94"/>
              </w:rPr>
              <w:t>March 1,</w:t>
            </w:r>
          </w:p>
        </w:tc>
        <w:tc>
          <w:tcPr>
            <w:tcW w:w="0" w:type="dxa"/>
            <w:vAlign w:val="bottom"/>
          </w:tcPr>
          <w:p>
            <w:pPr>
              <w:spacing w:after="0"/>
              <w:rPr>
                <w:sz w:val="1"/>
                <w:szCs w:val="1"/>
                <w:color w:val="auto"/>
              </w:rPr>
            </w:pPr>
          </w:p>
        </w:tc>
      </w:tr>
      <w:tr>
        <w:trPr>
          <w:trHeight w:val="161"/>
        </w:trPr>
        <w:tc>
          <w:tcPr>
            <w:tcW w:w="5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2008</w:t>
            </w: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89"/>
              </w:rPr>
              <w:t>2009</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83"/>
              </w:rPr>
              <w:t>2008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3640" w:type="dxa"/>
            <w:vAlign w:val="bottom"/>
            <w:shd w:val="clear" w:color="auto" w:fill="D6F3E8"/>
          </w:tcPr>
          <w:p>
            <w:pPr>
              <w:spacing w:after="0"/>
              <w:rPr>
                <w:sz w:val="18"/>
                <w:szCs w:val="18"/>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31,808</w:t>
            </w:r>
          </w:p>
        </w:tc>
        <w:tc>
          <w:tcPr>
            <w:tcW w:w="46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164,203</w:t>
            </w:r>
          </w:p>
        </w:tc>
        <w:tc>
          <w:tcPr>
            <w:tcW w:w="36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101,206</w:t>
            </w:r>
          </w:p>
        </w:tc>
        <w:tc>
          <w:tcPr>
            <w:tcW w:w="3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1220" w:type="dxa"/>
            <w:vAlign w:val="bottom"/>
            <w:shd w:val="clear" w:color="auto" w:fill="D6F3E8"/>
          </w:tcPr>
          <w:p>
            <w:pPr>
              <w:jc w:val="right"/>
              <w:ind w:right="35"/>
              <w:spacing w:after="0"/>
              <w:rPr>
                <w:sz w:val="20"/>
                <w:szCs w:val="20"/>
                <w:color w:val="auto"/>
              </w:rPr>
            </w:pPr>
            <w:r>
              <w:rPr>
                <w:rFonts w:ascii="Arial" w:cs="Arial" w:eastAsia="Arial" w:hAnsi="Arial"/>
                <w:sz w:val="18"/>
                <w:szCs w:val="18"/>
                <w:color w:val="auto"/>
              </w:rPr>
              <w:t>379,345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88"/>
              </w:rPr>
              <w:t>Cost of goods sold</w:t>
            </w:r>
          </w:p>
        </w:tc>
        <w:tc>
          <w:tcPr>
            <w:tcW w:w="3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43,600</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152,034</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121,892</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341,536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bottom w:val="single" w:sz="8" w:color="D6F3E8"/>
            </w:tcBorders>
            <w:gridSpan w:val="2"/>
            <w:shd w:val="clear" w:color="auto" w:fill="D6F3E8"/>
          </w:tcPr>
          <w:p>
            <w:pPr>
              <w:spacing w:after="0"/>
              <w:rPr>
                <w:sz w:val="20"/>
                <w:szCs w:val="20"/>
                <w:color w:val="auto"/>
              </w:rPr>
            </w:pPr>
            <w:r>
              <w:rPr>
                <w:rFonts w:ascii="Arial" w:cs="Arial" w:eastAsia="Arial" w:hAnsi="Arial"/>
                <w:sz w:val="18"/>
                <w:szCs w:val="18"/>
                <w:color w:val="auto"/>
              </w:rPr>
              <w:t>Gross (deficit) profit</w:t>
            </w:r>
          </w:p>
        </w:tc>
        <w:tc>
          <w:tcPr>
            <w:tcW w:w="180" w:type="dxa"/>
            <w:vAlign w:val="bottom"/>
            <w:tcBorders>
              <w:bottom w:val="single" w:sz="8" w:color="auto"/>
            </w:tcBorders>
            <w:shd w:val="clear" w:color="auto" w:fill="D6F3E8"/>
          </w:tcPr>
          <w:p>
            <w:pPr>
              <w:spacing w:after="0"/>
              <w:rPr>
                <w:sz w:val="18"/>
                <w:szCs w:val="18"/>
                <w:color w:val="auto"/>
              </w:rPr>
            </w:pPr>
          </w:p>
        </w:tc>
        <w:tc>
          <w:tcPr>
            <w:tcW w:w="1320" w:type="dxa"/>
            <w:vAlign w:val="bottom"/>
            <w:tcBorders>
              <w:bottom w:val="single" w:sz="8" w:color="auto"/>
            </w:tcBorders>
            <w:shd w:val="clear" w:color="auto" w:fill="D6F3E8"/>
          </w:tcPr>
          <w:p>
            <w:pPr>
              <w:jc w:val="right"/>
              <w:ind w:right="56"/>
              <w:spacing w:after="0"/>
              <w:rPr>
                <w:sz w:val="20"/>
                <w:szCs w:val="20"/>
                <w:color w:val="auto"/>
              </w:rPr>
            </w:pPr>
            <w:r>
              <w:rPr>
                <w:rFonts w:ascii="Arial" w:cs="Arial" w:eastAsia="Arial" w:hAnsi="Arial"/>
                <w:sz w:val="18"/>
                <w:szCs w:val="18"/>
                <w:color w:val="auto"/>
              </w:rPr>
              <w:t>(11,792)</w:t>
            </w:r>
          </w:p>
        </w:tc>
        <w:tc>
          <w:tcPr>
            <w:tcW w:w="460" w:type="dxa"/>
            <w:vAlign w:val="bottom"/>
            <w:tcBorders>
              <w:bottom w:val="single" w:sz="8" w:color="auto"/>
            </w:tcBorders>
            <w:shd w:val="clear" w:color="auto" w:fill="D6F3E8"/>
          </w:tcPr>
          <w:p>
            <w:pPr>
              <w:spacing w:after="0"/>
              <w:rPr>
                <w:sz w:val="18"/>
                <w:szCs w:val="18"/>
                <w:color w:val="auto"/>
              </w:rPr>
            </w:pPr>
          </w:p>
        </w:tc>
        <w:tc>
          <w:tcPr>
            <w:tcW w:w="1160" w:type="dxa"/>
            <w:vAlign w:val="bottom"/>
            <w:tcBorders>
              <w:bottom w:val="single" w:sz="8" w:color="auto"/>
            </w:tcBorders>
            <w:shd w:val="clear" w:color="auto" w:fill="D6F3E8"/>
          </w:tcPr>
          <w:p>
            <w:pPr>
              <w:jc w:val="right"/>
              <w:ind w:right="94"/>
              <w:spacing w:after="0"/>
              <w:rPr>
                <w:sz w:val="20"/>
                <w:szCs w:val="20"/>
                <w:color w:val="auto"/>
              </w:rPr>
            </w:pPr>
            <w:r>
              <w:rPr>
                <w:rFonts w:ascii="Arial" w:cs="Arial" w:eastAsia="Arial" w:hAnsi="Arial"/>
                <w:sz w:val="18"/>
                <w:szCs w:val="18"/>
                <w:color w:val="auto"/>
              </w:rPr>
              <w:t>12,169</w:t>
            </w:r>
          </w:p>
        </w:tc>
        <w:tc>
          <w:tcPr>
            <w:tcW w:w="360" w:type="dxa"/>
            <w:vAlign w:val="bottom"/>
            <w:tcBorders>
              <w:bottom w:val="single" w:sz="8" w:color="auto"/>
            </w:tcBorders>
            <w:shd w:val="clear" w:color="auto" w:fill="D6F3E8"/>
          </w:tcPr>
          <w:p>
            <w:pPr>
              <w:spacing w:after="0"/>
              <w:rPr>
                <w:sz w:val="18"/>
                <w:szCs w:val="18"/>
                <w:color w:val="auto"/>
              </w:rPr>
            </w:pPr>
          </w:p>
        </w:tc>
        <w:tc>
          <w:tcPr>
            <w:tcW w:w="1340" w:type="dxa"/>
            <w:vAlign w:val="bottom"/>
            <w:tcBorders>
              <w:bottom w:val="single" w:sz="8" w:color="auto"/>
            </w:tcBorders>
            <w:shd w:val="clear" w:color="auto" w:fill="D6F3E8"/>
          </w:tcPr>
          <w:p>
            <w:pPr>
              <w:jc w:val="right"/>
              <w:ind w:right="76"/>
              <w:spacing w:after="0"/>
              <w:rPr>
                <w:sz w:val="20"/>
                <w:szCs w:val="20"/>
                <w:color w:val="auto"/>
              </w:rPr>
            </w:pPr>
            <w:r>
              <w:rPr>
                <w:rFonts w:ascii="Arial" w:cs="Arial" w:eastAsia="Arial" w:hAnsi="Arial"/>
                <w:sz w:val="18"/>
                <w:szCs w:val="18"/>
                <w:color w:val="auto"/>
              </w:rPr>
              <w:t>(20,686)</w:t>
            </w:r>
          </w:p>
        </w:tc>
        <w:tc>
          <w:tcPr>
            <w:tcW w:w="380" w:type="dxa"/>
            <w:vAlign w:val="bottom"/>
            <w:tcBorders>
              <w:bottom w:val="single" w:sz="8" w:color="auto"/>
            </w:tcBorders>
            <w:shd w:val="clear" w:color="auto" w:fill="D6F3E8"/>
          </w:tcPr>
          <w:p>
            <w:pPr>
              <w:spacing w:after="0"/>
              <w:rPr>
                <w:sz w:val="18"/>
                <w:szCs w:val="18"/>
                <w:color w:val="auto"/>
              </w:rPr>
            </w:pPr>
          </w:p>
        </w:tc>
        <w:tc>
          <w:tcPr>
            <w:tcW w:w="1220" w:type="dxa"/>
            <w:vAlign w:val="bottom"/>
            <w:tcBorders>
              <w:bottom w:val="single" w:sz="8" w:color="auto"/>
            </w:tcBorders>
            <w:shd w:val="clear" w:color="auto" w:fill="D6F3E8"/>
          </w:tcPr>
          <w:p>
            <w:pPr>
              <w:jc w:val="right"/>
              <w:ind w:right="35"/>
              <w:spacing w:after="0"/>
              <w:rPr>
                <w:sz w:val="20"/>
                <w:szCs w:val="20"/>
                <w:color w:val="auto"/>
              </w:rPr>
            </w:pPr>
            <w:r>
              <w:rPr>
                <w:rFonts w:ascii="Arial" w:cs="Arial" w:eastAsia="Arial" w:hAnsi="Arial"/>
                <w:sz w:val="18"/>
                <w:szCs w:val="18"/>
                <w:color w:val="auto"/>
              </w:rPr>
              <w:t>37,809</w:t>
            </w:r>
          </w:p>
        </w:tc>
        <w:tc>
          <w:tcPr>
            <w:tcW w:w="0" w:type="dxa"/>
            <w:vAlign w:val="bottom"/>
          </w:tcPr>
          <w:p>
            <w:pPr>
              <w:spacing w:after="0"/>
              <w:rPr>
                <w:sz w:val="1"/>
                <w:szCs w:val="1"/>
                <w:color w:val="auto"/>
              </w:rPr>
            </w:pPr>
          </w:p>
        </w:tc>
      </w:tr>
      <w:tr>
        <w:trPr>
          <w:trHeight w:val="357"/>
        </w:trPr>
        <w:tc>
          <w:tcPr>
            <w:tcW w:w="50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Selling</w:t>
            </w:r>
          </w:p>
        </w:tc>
        <w:tc>
          <w:tcPr>
            <w:tcW w:w="36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32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2,816</w:t>
            </w:r>
          </w:p>
        </w:tc>
        <w:tc>
          <w:tcPr>
            <w:tcW w:w="460" w:type="dxa"/>
            <w:vAlign w:val="bottom"/>
            <w:shd w:val="clear" w:color="auto" w:fill="D6F3E8"/>
          </w:tcPr>
          <w:p>
            <w:pPr>
              <w:spacing w:after="0"/>
              <w:rPr>
                <w:sz w:val="18"/>
                <w:szCs w:val="18"/>
                <w:color w:val="auto"/>
              </w:rPr>
            </w:pPr>
          </w:p>
        </w:tc>
        <w:tc>
          <w:tcPr>
            <w:tcW w:w="11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4,258</w:t>
            </w:r>
          </w:p>
        </w:tc>
        <w:tc>
          <w:tcPr>
            <w:tcW w:w="360" w:type="dxa"/>
            <w:vAlign w:val="bottom"/>
            <w:shd w:val="clear" w:color="auto" w:fill="D6F3E8"/>
          </w:tcPr>
          <w:p>
            <w:pPr>
              <w:spacing w:after="0"/>
              <w:rPr>
                <w:sz w:val="18"/>
                <w:szCs w:val="18"/>
                <w:color w:val="auto"/>
              </w:rPr>
            </w:pPr>
          </w:p>
        </w:tc>
        <w:tc>
          <w:tcPr>
            <w:tcW w:w="134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6,481</w:t>
            </w:r>
          </w:p>
        </w:tc>
        <w:tc>
          <w:tcPr>
            <w:tcW w:w="38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35"/>
              <w:spacing w:after="0"/>
              <w:rPr>
                <w:sz w:val="20"/>
                <w:szCs w:val="20"/>
                <w:color w:val="auto"/>
              </w:rPr>
            </w:pPr>
            <w:r>
              <w:rPr>
                <w:rFonts w:ascii="Arial" w:cs="Arial" w:eastAsia="Arial" w:hAnsi="Arial"/>
                <w:sz w:val="18"/>
                <w:szCs w:val="18"/>
                <w:color w:val="auto"/>
              </w:rPr>
              <w:t>9,863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4,003</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5,457</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8,334</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11,908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D6F3E8"/>
            </w:tcBorders>
            <w:gridSpan w:val="2"/>
            <w:shd w:val="clear" w:color="auto" w:fill="D6F3E8"/>
          </w:tcPr>
          <w:p>
            <w:pPr>
              <w:ind w:left="3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D6F3E8"/>
          </w:tcPr>
          <w:p>
            <w:pPr>
              <w:spacing w:after="0"/>
              <w:rPr>
                <w:sz w:val="18"/>
                <w:szCs w:val="18"/>
                <w:color w:val="auto"/>
              </w:rPr>
            </w:pPr>
          </w:p>
        </w:tc>
        <w:tc>
          <w:tcPr>
            <w:tcW w:w="1320" w:type="dxa"/>
            <w:vAlign w:val="bottom"/>
            <w:tcBorders>
              <w:bottom w:val="single" w:sz="8" w:color="auto"/>
            </w:tcBorders>
            <w:shd w:val="clear" w:color="auto" w:fill="D6F3E8"/>
          </w:tcPr>
          <w:p>
            <w:pPr>
              <w:jc w:val="right"/>
              <w:ind w:right="116"/>
              <w:spacing w:after="0"/>
              <w:rPr>
                <w:sz w:val="20"/>
                <w:szCs w:val="20"/>
                <w:color w:val="auto"/>
              </w:rPr>
            </w:pPr>
            <w:r>
              <w:rPr>
                <w:rFonts w:ascii="Arial" w:cs="Arial" w:eastAsia="Arial" w:hAnsi="Arial"/>
                <w:sz w:val="18"/>
                <w:szCs w:val="18"/>
                <w:color w:val="auto"/>
              </w:rPr>
              <w:t>6,819</w:t>
            </w:r>
          </w:p>
        </w:tc>
        <w:tc>
          <w:tcPr>
            <w:tcW w:w="460" w:type="dxa"/>
            <w:vAlign w:val="bottom"/>
            <w:tcBorders>
              <w:bottom w:val="single" w:sz="8" w:color="auto"/>
            </w:tcBorders>
            <w:shd w:val="clear" w:color="auto" w:fill="D6F3E8"/>
          </w:tcPr>
          <w:p>
            <w:pPr>
              <w:spacing w:after="0"/>
              <w:rPr>
                <w:sz w:val="18"/>
                <w:szCs w:val="18"/>
                <w:color w:val="auto"/>
              </w:rPr>
            </w:pPr>
          </w:p>
        </w:tc>
        <w:tc>
          <w:tcPr>
            <w:tcW w:w="1160" w:type="dxa"/>
            <w:vAlign w:val="bottom"/>
            <w:tcBorders>
              <w:bottom w:val="single" w:sz="8" w:color="auto"/>
            </w:tcBorders>
            <w:shd w:val="clear" w:color="auto" w:fill="D6F3E8"/>
          </w:tcPr>
          <w:p>
            <w:pPr>
              <w:jc w:val="right"/>
              <w:ind w:right="94"/>
              <w:spacing w:after="0"/>
              <w:rPr>
                <w:sz w:val="20"/>
                <w:szCs w:val="20"/>
                <w:color w:val="auto"/>
              </w:rPr>
            </w:pPr>
            <w:r>
              <w:rPr>
                <w:rFonts w:ascii="Arial" w:cs="Arial" w:eastAsia="Arial" w:hAnsi="Arial"/>
                <w:sz w:val="18"/>
                <w:szCs w:val="18"/>
                <w:color w:val="auto"/>
              </w:rPr>
              <w:t>9,715</w:t>
            </w:r>
          </w:p>
        </w:tc>
        <w:tc>
          <w:tcPr>
            <w:tcW w:w="360" w:type="dxa"/>
            <w:vAlign w:val="bottom"/>
            <w:tcBorders>
              <w:bottom w:val="single" w:sz="8" w:color="auto"/>
            </w:tcBorders>
            <w:shd w:val="clear" w:color="auto" w:fill="D6F3E8"/>
          </w:tcPr>
          <w:p>
            <w:pPr>
              <w:spacing w:after="0"/>
              <w:rPr>
                <w:sz w:val="18"/>
                <w:szCs w:val="18"/>
                <w:color w:val="auto"/>
              </w:rPr>
            </w:pPr>
          </w:p>
        </w:tc>
        <w:tc>
          <w:tcPr>
            <w:tcW w:w="1340" w:type="dxa"/>
            <w:vAlign w:val="bottom"/>
            <w:tcBorders>
              <w:bottom w:val="single" w:sz="8" w:color="auto"/>
            </w:tcBorders>
            <w:shd w:val="clear" w:color="auto" w:fill="D6F3E8"/>
          </w:tcPr>
          <w:p>
            <w:pPr>
              <w:jc w:val="right"/>
              <w:ind w:right="116"/>
              <w:spacing w:after="0"/>
              <w:rPr>
                <w:sz w:val="20"/>
                <w:szCs w:val="20"/>
                <w:color w:val="auto"/>
              </w:rPr>
            </w:pPr>
            <w:r>
              <w:rPr>
                <w:rFonts w:ascii="Arial" w:cs="Arial" w:eastAsia="Arial" w:hAnsi="Arial"/>
                <w:sz w:val="18"/>
                <w:szCs w:val="18"/>
                <w:color w:val="auto"/>
              </w:rPr>
              <w:t>14,815</w:t>
            </w:r>
          </w:p>
        </w:tc>
        <w:tc>
          <w:tcPr>
            <w:tcW w:w="380" w:type="dxa"/>
            <w:vAlign w:val="bottom"/>
            <w:tcBorders>
              <w:bottom w:val="single" w:sz="8" w:color="auto"/>
            </w:tcBorders>
            <w:shd w:val="clear" w:color="auto" w:fill="D6F3E8"/>
          </w:tcPr>
          <w:p>
            <w:pPr>
              <w:spacing w:after="0"/>
              <w:rPr>
                <w:sz w:val="18"/>
                <w:szCs w:val="18"/>
                <w:color w:val="auto"/>
              </w:rPr>
            </w:pPr>
          </w:p>
        </w:tc>
        <w:tc>
          <w:tcPr>
            <w:tcW w:w="1220" w:type="dxa"/>
            <w:vAlign w:val="bottom"/>
            <w:tcBorders>
              <w:bottom w:val="single" w:sz="8" w:color="auto"/>
            </w:tcBorders>
            <w:shd w:val="clear" w:color="auto" w:fill="D6F3E8"/>
          </w:tcPr>
          <w:p>
            <w:pPr>
              <w:jc w:val="right"/>
              <w:ind w:right="35"/>
              <w:spacing w:after="0"/>
              <w:rPr>
                <w:sz w:val="20"/>
                <w:szCs w:val="20"/>
                <w:color w:val="auto"/>
              </w:rPr>
            </w:pPr>
            <w:r>
              <w:rPr>
                <w:rFonts w:ascii="Arial" w:cs="Arial" w:eastAsia="Arial" w:hAnsi="Arial"/>
                <w:sz w:val="18"/>
                <w:szCs w:val="18"/>
                <w:color w:val="auto"/>
              </w:rPr>
              <w:t>21,771</w:t>
            </w:r>
          </w:p>
        </w:tc>
        <w:tc>
          <w:tcPr>
            <w:tcW w:w="0" w:type="dxa"/>
            <w:vAlign w:val="bottom"/>
          </w:tcPr>
          <w:p>
            <w:pPr>
              <w:spacing w:after="0"/>
              <w:rPr>
                <w:sz w:val="1"/>
                <w:szCs w:val="1"/>
                <w:color w:val="auto"/>
              </w:rPr>
            </w:pPr>
          </w:p>
        </w:tc>
      </w:tr>
      <w:tr>
        <w:trPr>
          <w:trHeight w:val="356"/>
        </w:trPr>
        <w:tc>
          <w:tcPr>
            <w:tcW w:w="5000" w:type="dxa"/>
            <w:vAlign w:val="bottom"/>
            <w:gridSpan w:val="3"/>
          </w:tcPr>
          <w:p>
            <w:pPr>
              <w:spacing w:after="0"/>
              <w:rPr>
                <w:sz w:val="20"/>
                <w:szCs w:val="20"/>
                <w:color w:val="auto"/>
              </w:rPr>
            </w:pPr>
            <w:r>
              <w:rPr>
                <w:rFonts w:ascii="Arial" w:cs="Arial" w:eastAsia="Arial" w:hAnsi="Arial"/>
                <w:sz w:val="18"/>
                <w:szCs w:val="18"/>
                <w:color w:val="auto"/>
              </w:rPr>
              <w:t>Operating (loss) income</w:t>
            </w:r>
          </w:p>
        </w:tc>
        <w:tc>
          <w:tcPr>
            <w:tcW w:w="180" w:type="dxa"/>
            <w:vAlign w:val="bottom"/>
          </w:tcPr>
          <w:p>
            <w:pPr>
              <w:spacing w:after="0"/>
              <w:rPr>
                <w:sz w:val="24"/>
                <w:szCs w:val="24"/>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(18,611)</w:t>
            </w:r>
          </w:p>
        </w:tc>
        <w:tc>
          <w:tcPr>
            <w:tcW w:w="460" w:type="dxa"/>
            <w:vAlign w:val="bottom"/>
          </w:tcPr>
          <w:p>
            <w:pPr>
              <w:spacing w:after="0"/>
              <w:rPr>
                <w:sz w:val="24"/>
                <w:szCs w:val="24"/>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2,454</w:t>
            </w:r>
          </w:p>
        </w:tc>
        <w:tc>
          <w:tcPr>
            <w:tcW w:w="360" w:type="dxa"/>
            <w:vAlign w:val="bottom"/>
          </w:tcPr>
          <w:p>
            <w:pPr>
              <w:spacing w:after="0"/>
              <w:rPr>
                <w:sz w:val="24"/>
                <w:szCs w:val="24"/>
                <w:color w:val="auto"/>
              </w:rPr>
            </w:pPr>
          </w:p>
        </w:tc>
        <w:tc>
          <w:tcPr>
            <w:tcW w:w="1340" w:type="dxa"/>
            <w:vAlign w:val="bottom"/>
          </w:tcPr>
          <w:p>
            <w:pPr>
              <w:jc w:val="right"/>
              <w:ind w:right="76"/>
              <w:spacing w:after="0"/>
              <w:rPr>
                <w:sz w:val="20"/>
                <w:szCs w:val="20"/>
                <w:color w:val="auto"/>
              </w:rPr>
            </w:pPr>
            <w:r>
              <w:rPr>
                <w:rFonts w:ascii="Arial" w:cs="Arial" w:eastAsia="Arial" w:hAnsi="Arial"/>
                <w:sz w:val="18"/>
                <w:szCs w:val="18"/>
                <w:color w:val="auto"/>
              </w:rPr>
              <w:t>(35,501)</w:t>
            </w:r>
          </w:p>
        </w:tc>
        <w:tc>
          <w:tcPr>
            <w:tcW w:w="380" w:type="dxa"/>
            <w:vAlign w:val="bottom"/>
          </w:tcPr>
          <w:p>
            <w:pPr>
              <w:spacing w:after="0"/>
              <w:rPr>
                <w:sz w:val="24"/>
                <w:szCs w:val="24"/>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16,038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w w:val="97"/>
              </w:rPr>
              <w:t>Financial income</w:t>
            </w:r>
          </w:p>
        </w:tc>
        <w:tc>
          <w:tcPr>
            <w:tcW w:w="3640" w:type="dxa"/>
            <w:vAlign w:val="bottom"/>
            <w:tcBorders>
              <w:bottom w:val="single" w:sz="8" w:color="D6F3E8"/>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320" w:type="dxa"/>
            <w:vAlign w:val="bottom"/>
            <w:tcBorders>
              <w:bottom w:val="single" w:sz="8" w:color="auto"/>
            </w:tcBorders>
            <w:shd w:val="clear" w:color="auto" w:fill="D6F3E8"/>
          </w:tcPr>
          <w:p>
            <w:pPr>
              <w:jc w:val="right"/>
              <w:ind w:right="116"/>
              <w:spacing w:after="0"/>
              <w:rPr>
                <w:sz w:val="20"/>
                <w:szCs w:val="20"/>
                <w:color w:val="auto"/>
              </w:rPr>
            </w:pPr>
            <w:r>
              <w:rPr>
                <w:rFonts w:ascii="Arial" w:cs="Arial" w:eastAsia="Arial" w:hAnsi="Arial"/>
                <w:sz w:val="18"/>
                <w:szCs w:val="18"/>
                <w:color w:val="auto"/>
              </w:rPr>
              <w:t>633</w:t>
            </w:r>
          </w:p>
        </w:tc>
        <w:tc>
          <w:tcPr>
            <w:tcW w:w="460" w:type="dxa"/>
            <w:vAlign w:val="bottom"/>
            <w:tcBorders>
              <w:bottom w:val="single" w:sz="8" w:color="auto"/>
            </w:tcBorders>
            <w:shd w:val="clear" w:color="auto" w:fill="D6F3E8"/>
          </w:tcPr>
          <w:p>
            <w:pPr>
              <w:spacing w:after="0"/>
              <w:rPr>
                <w:sz w:val="18"/>
                <w:szCs w:val="18"/>
                <w:color w:val="auto"/>
              </w:rPr>
            </w:pPr>
          </w:p>
        </w:tc>
        <w:tc>
          <w:tcPr>
            <w:tcW w:w="1160" w:type="dxa"/>
            <w:vAlign w:val="bottom"/>
            <w:tcBorders>
              <w:bottom w:val="single" w:sz="8" w:color="auto"/>
            </w:tcBorders>
            <w:shd w:val="clear" w:color="auto" w:fill="D6F3E8"/>
          </w:tcPr>
          <w:p>
            <w:pPr>
              <w:jc w:val="right"/>
              <w:ind w:right="94"/>
              <w:spacing w:after="0"/>
              <w:rPr>
                <w:sz w:val="20"/>
                <w:szCs w:val="20"/>
                <w:color w:val="auto"/>
              </w:rPr>
            </w:pPr>
            <w:r>
              <w:rPr>
                <w:rFonts w:ascii="Arial" w:cs="Arial" w:eastAsia="Arial" w:hAnsi="Arial"/>
                <w:sz w:val="18"/>
                <w:szCs w:val="18"/>
                <w:color w:val="auto"/>
              </w:rPr>
              <w:t>1,236</w:t>
            </w:r>
          </w:p>
        </w:tc>
        <w:tc>
          <w:tcPr>
            <w:tcW w:w="360" w:type="dxa"/>
            <w:vAlign w:val="bottom"/>
            <w:tcBorders>
              <w:bottom w:val="single" w:sz="8" w:color="auto"/>
            </w:tcBorders>
            <w:shd w:val="clear" w:color="auto" w:fill="D6F3E8"/>
          </w:tcPr>
          <w:p>
            <w:pPr>
              <w:spacing w:after="0"/>
              <w:rPr>
                <w:sz w:val="18"/>
                <w:szCs w:val="18"/>
                <w:color w:val="auto"/>
              </w:rPr>
            </w:pPr>
          </w:p>
        </w:tc>
        <w:tc>
          <w:tcPr>
            <w:tcW w:w="1340" w:type="dxa"/>
            <w:vAlign w:val="bottom"/>
            <w:tcBorders>
              <w:bottom w:val="single" w:sz="8" w:color="auto"/>
            </w:tcBorders>
            <w:shd w:val="clear" w:color="auto" w:fill="D6F3E8"/>
          </w:tcPr>
          <w:p>
            <w:pPr>
              <w:jc w:val="right"/>
              <w:ind w:right="116"/>
              <w:spacing w:after="0"/>
              <w:rPr>
                <w:sz w:val="20"/>
                <w:szCs w:val="20"/>
                <w:color w:val="auto"/>
              </w:rPr>
            </w:pPr>
            <w:r>
              <w:rPr>
                <w:rFonts w:ascii="Arial" w:cs="Arial" w:eastAsia="Arial" w:hAnsi="Arial"/>
                <w:sz w:val="18"/>
                <w:szCs w:val="18"/>
                <w:color w:val="auto"/>
              </w:rPr>
              <w:t>1,157</w:t>
            </w:r>
          </w:p>
        </w:tc>
        <w:tc>
          <w:tcPr>
            <w:tcW w:w="380" w:type="dxa"/>
            <w:vAlign w:val="bottom"/>
            <w:tcBorders>
              <w:bottom w:val="single" w:sz="8" w:color="auto"/>
            </w:tcBorders>
            <w:shd w:val="clear" w:color="auto" w:fill="D6F3E8"/>
          </w:tcPr>
          <w:p>
            <w:pPr>
              <w:spacing w:after="0"/>
              <w:rPr>
                <w:sz w:val="18"/>
                <w:szCs w:val="18"/>
                <w:color w:val="auto"/>
              </w:rPr>
            </w:pPr>
          </w:p>
        </w:tc>
        <w:tc>
          <w:tcPr>
            <w:tcW w:w="1220" w:type="dxa"/>
            <w:vAlign w:val="bottom"/>
            <w:tcBorders>
              <w:bottom w:val="single" w:sz="8" w:color="auto"/>
            </w:tcBorders>
            <w:shd w:val="clear" w:color="auto" w:fill="D6F3E8"/>
          </w:tcPr>
          <w:p>
            <w:pPr>
              <w:jc w:val="right"/>
              <w:ind w:right="35"/>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(Loss) income before income taxes</w:t>
            </w:r>
          </w:p>
        </w:tc>
        <w:tc>
          <w:tcPr>
            <w:tcW w:w="180" w:type="dxa"/>
            <w:vAlign w:val="bottom"/>
          </w:tcPr>
          <w:p>
            <w:pPr>
              <w:spacing w:after="0"/>
              <w:rPr>
                <w:sz w:val="18"/>
                <w:szCs w:val="18"/>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(17,978)</w:t>
            </w:r>
          </w:p>
        </w:tc>
        <w:tc>
          <w:tcPr>
            <w:tcW w:w="460" w:type="dxa"/>
            <w:vAlign w:val="bottom"/>
          </w:tcPr>
          <w:p>
            <w:pPr>
              <w:spacing w:after="0"/>
              <w:rPr>
                <w:sz w:val="18"/>
                <w:szCs w:val="18"/>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3,690</w:t>
            </w:r>
          </w:p>
        </w:tc>
        <w:tc>
          <w:tcPr>
            <w:tcW w:w="360" w:type="dxa"/>
            <w:vAlign w:val="bottom"/>
          </w:tcPr>
          <w:p>
            <w:pPr>
              <w:spacing w:after="0"/>
              <w:rPr>
                <w:sz w:val="18"/>
                <w:szCs w:val="18"/>
                <w:color w:val="auto"/>
              </w:rPr>
            </w:pPr>
          </w:p>
        </w:tc>
        <w:tc>
          <w:tcPr>
            <w:tcW w:w="1340" w:type="dxa"/>
            <w:vAlign w:val="bottom"/>
          </w:tcPr>
          <w:p>
            <w:pPr>
              <w:jc w:val="right"/>
              <w:ind w:right="76"/>
              <w:spacing w:after="0"/>
              <w:rPr>
                <w:sz w:val="20"/>
                <w:szCs w:val="20"/>
                <w:color w:val="auto"/>
              </w:rPr>
            </w:pPr>
            <w:r>
              <w:rPr>
                <w:rFonts w:ascii="Arial" w:cs="Arial" w:eastAsia="Arial" w:hAnsi="Arial"/>
                <w:sz w:val="18"/>
                <w:szCs w:val="18"/>
                <w:color w:val="auto"/>
              </w:rPr>
              <w:t>(34,344)</w:t>
            </w:r>
          </w:p>
        </w:tc>
        <w:tc>
          <w:tcPr>
            <w:tcW w:w="38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18,514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bottom w:val="single" w:sz="8" w:color="D6F3E8"/>
            </w:tcBorders>
            <w:gridSpan w:val="2"/>
            <w:shd w:val="clear" w:color="auto" w:fill="D6F3E8"/>
          </w:tcPr>
          <w:p>
            <w:pPr>
              <w:spacing w:after="0"/>
              <w:rPr>
                <w:sz w:val="20"/>
                <w:szCs w:val="20"/>
                <w:color w:val="auto"/>
              </w:rPr>
            </w:pPr>
            <w:r>
              <w:rPr>
                <w:rFonts w:ascii="Arial" w:cs="Arial" w:eastAsia="Arial" w:hAnsi="Arial"/>
                <w:sz w:val="18"/>
                <w:szCs w:val="18"/>
                <w:color w:val="auto"/>
              </w:rPr>
              <w:t>(Benefit) provision for taxes</w:t>
            </w:r>
          </w:p>
        </w:tc>
        <w:tc>
          <w:tcPr>
            <w:tcW w:w="180" w:type="dxa"/>
            <w:vAlign w:val="bottom"/>
            <w:tcBorders>
              <w:bottom w:val="single" w:sz="8" w:color="auto"/>
            </w:tcBorders>
            <w:shd w:val="clear" w:color="auto" w:fill="D6F3E8"/>
          </w:tcPr>
          <w:p>
            <w:pPr>
              <w:spacing w:after="0"/>
              <w:rPr>
                <w:sz w:val="18"/>
                <w:szCs w:val="18"/>
                <w:color w:val="auto"/>
              </w:rPr>
            </w:pPr>
          </w:p>
        </w:tc>
        <w:tc>
          <w:tcPr>
            <w:tcW w:w="1320" w:type="dxa"/>
            <w:vAlign w:val="bottom"/>
            <w:tcBorders>
              <w:bottom w:val="single" w:sz="8" w:color="auto"/>
            </w:tcBorders>
            <w:shd w:val="clear" w:color="auto" w:fill="D6F3E8"/>
          </w:tcPr>
          <w:p>
            <w:pPr>
              <w:jc w:val="right"/>
              <w:ind w:right="56"/>
              <w:spacing w:after="0"/>
              <w:rPr>
                <w:sz w:val="20"/>
                <w:szCs w:val="20"/>
                <w:color w:val="auto"/>
              </w:rPr>
            </w:pPr>
            <w:r>
              <w:rPr>
                <w:rFonts w:ascii="Arial" w:cs="Arial" w:eastAsia="Arial" w:hAnsi="Arial"/>
                <w:sz w:val="18"/>
                <w:szCs w:val="18"/>
                <w:color w:val="auto"/>
              </w:rPr>
              <w:t>(7,597)</w:t>
            </w:r>
          </w:p>
        </w:tc>
        <w:tc>
          <w:tcPr>
            <w:tcW w:w="460" w:type="dxa"/>
            <w:vAlign w:val="bottom"/>
            <w:tcBorders>
              <w:bottom w:val="single" w:sz="8" w:color="auto"/>
            </w:tcBorders>
            <w:shd w:val="clear" w:color="auto" w:fill="D6F3E8"/>
          </w:tcPr>
          <w:p>
            <w:pPr>
              <w:spacing w:after="0"/>
              <w:rPr>
                <w:sz w:val="18"/>
                <w:szCs w:val="18"/>
                <w:color w:val="auto"/>
              </w:rPr>
            </w:pPr>
          </w:p>
        </w:tc>
        <w:tc>
          <w:tcPr>
            <w:tcW w:w="1160" w:type="dxa"/>
            <w:vAlign w:val="bottom"/>
            <w:tcBorders>
              <w:bottom w:val="single" w:sz="8" w:color="auto"/>
            </w:tcBorders>
            <w:shd w:val="clear" w:color="auto" w:fill="D6F3E8"/>
          </w:tcPr>
          <w:p>
            <w:pPr>
              <w:jc w:val="right"/>
              <w:ind w:right="94"/>
              <w:spacing w:after="0"/>
              <w:rPr>
                <w:sz w:val="20"/>
                <w:szCs w:val="20"/>
                <w:color w:val="auto"/>
              </w:rPr>
            </w:pPr>
            <w:r>
              <w:rPr>
                <w:rFonts w:ascii="Arial" w:cs="Arial" w:eastAsia="Arial" w:hAnsi="Arial"/>
                <w:sz w:val="18"/>
                <w:szCs w:val="18"/>
                <w:color w:val="auto"/>
              </w:rPr>
              <w:t>1,173</w:t>
            </w:r>
          </w:p>
        </w:tc>
        <w:tc>
          <w:tcPr>
            <w:tcW w:w="360" w:type="dxa"/>
            <w:vAlign w:val="bottom"/>
            <w:tcBorders>
              <w:bottom w:val="single" w:sz="8" w:color="auto"/>
            </w:tcBorders>
            <w:shd w:val="clear" w:color="auto" w:fill="D6F3E8"/>
          </w:tcPr>
          <w:p>
            <w:pPr>
              <w:spacing w:after="0"/>
              <w:rPr>
                <w:sz w:val="18"/>
                <w:szCs w:val="18"/>
                <w:color w:val="auto"/>
              </w:rPr>
            </w:pPr>
          </w:p>
        </w:tc>
        <w:tc>
          <w:tcPr>
            <w:tcW w:w="1340" w:type="dxa"/>
            <w:vAlign w:val="bottom"/>
            <w:tcBorders>
              <w:bottom w:val="single" w:sz="8" w:color="auto"/>
            </w:tcBorders>
            <w:shd w:val="clear" w:color="auto" w:fill="D6F3E8"/>
          </w:tcPr>
          <w:p>
            <w:pPr>
              <w:jc w:val="right"/>
              <w:ind w:right="76"/>
              <w:spacing w:after="0"/>
              <w:rPr>
                <w:sz w:val="20"/>
                <w:szCs w:val="20"/>
                <w:color w:val="auto"/>
              </w:rPr>
            </w:pPr>
            <w:r>
              <w:rPr>
                <w:rFonts w:ascii="Arial" w:cs="Arial" w:eastAsia="Arial" w:hAnsi="Arial"/>
                <w:sz w:val="18"/>
                <w:szCs w:val="18"/>
                <w:color w:val="auto"/>
              </w:rPr>
              <w:t>(14,367)</w:t>
            </w:r>
          </w:p>
        </w:tc>
        <w:tc>
          <w:tcPr>
            <w:tcW w:w="380" w:type="dxa"/>
            <w:vAlign w:val="bottom"/>
            <w:tcBorders>
              <w:bottom w:val="single" w:sz="8" w:color="auto"/>
            </w:tcBorders>
            <w:shd w:val="clear" w:color="auto" w:fill="D6F3E8"/>
          </w:tcPr>
          <w:p>
            <w:pPr>
              <w:spacing w:after="0"/>
              <w:rPr>
                <w:sz w:val="18"/>
                <w:szCs w:val="18"/>
                <w:color w:val="auto"/>
              </w:rPr>
            </w:pPr>
          </w:p>
        </w:tc>
        <w:tc>
          <w:tcPr>
            <w:tcW w:w="1220" w:type="dxa"/>
            <w:vAlign w:val="bottom"/>
            <w:tcBorders>
              <w:bottom w:val="single" w:sz="8" w:color="auto"/>
            </w:tcBorders>
            <w:shd w:val="clear" w:color="auto" w:fill="D6F3E8"/>
          </w:tcPr>
          <w:p>
            <w:pPr>
              <w:jc w:val="right"/>
              <w:ind w:right="35"/>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4"/>
              </w:rPr>
              <w:t>Net (loss) income</w:t>
            </w:r>
          </w:p>
        </w:tc>
        <w:tc>
          <w:tcPr>
            <w:tcW w:w="36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(10,381)</w:t>
            </w:r>
          </w:p>
        </w:tc>
        <w:tc>
          <w:tcPr>
            <w:tcW w:w="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2,517</w:t>
            </w: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(19,977)</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12,479</w:t>
            </w:r>
          </w:p>
        </w:tc>
        <w:tc>
          <w:tcPr>
            <w:tcW w:w="0" w:type="dxa"/>
            <w:vAlign w:val="bottom"/>
          </w:tcPr>
          <w:p>
            <w:pPr>
              <w:spacing w:after="0"/>
              <w:rPr>
                <w:sz w:val="1"/>
                <w:szCs w:val="1"/>
                <w:color w:val="auto"/>
              </w:rPr>
            </w:pPr>
          </w:p>
        </w:tc>
      </w:tr>
      <w:tr>
        <w:trPr>
          <w:trHeight w:val="20"/>
        </w:trPr>
        <w:tc>
          <w:tcPr>
            <w:tcW w:w="500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98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(Loss) income per common share:</w:t>
            </w:r>
          </w:p>
        </w:tc>
        <w:tc>
          <w:tcPr>
            <w:tcW w:w="180" w:type="dxa"/>
            <w:vAlign w:val="bottom"/>
            <w:shd w:val="clear" w:color="auto" w:fill="D6F3E8"/>
          </w:tcPr>
          <w:p>
            <w:pPr>
              <w:spacing w:after="0"/>
              <w:rPr>
                <w:sz w:val="18"/>
                <w:szCs w:val="18"/>
                <w:color w:val="auto"/>
              </w:rPr>
            </w:pPr>
          </w:p>
        </w:tc>
        <w:tc>
          <w:tcPr>
            <w:tcW w:w="13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34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8"/>
                <w:szCs w:val="18"/>
                <w:color w:val="auto"/>
              </w:rPr>
              <w:t>Basic</w:t>
            </w:r>
          </w:p>
        </w:tc>
        <w:tc>
          <w:tcPr>
            <w:tcW w:w="36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(0.36)</w:t>
            </w:r>
          </w:p>
        </w:tc>
        <w:tc>
          <w:tcPr>
            <w:tcW w:w="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0.09</w:t>
            </w: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(0.69)</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Borders>
              <w:bottom w:val="single" w:sz="8" w:color="D6F3E8"/>
            </w:tcBorders>
            <w:shd w:val="clear" w:color="auto" w:fill="D6F3E8"/>
          </w:tcPr>
          <w:p>
            <w:pPr>
              <w:ind w:left="140"/>
              <w:spacing w:after="0" w:line="196" w:lineRule="exact"/>
              <w:rPr>
                <w:sz w:val="20"/>
                <w:szCs w:val="20"/>
                <w:color w:val="auto"/>
              </w:rPr>
            </w:pPr>
            <w:r>
              <w:rPr>
                <w:rFonts w:ascii="Arial" w:cs="Arial" w:eastAsia="Arial" w:hAnsi="Arial"/>
                <w:sz w:val="18"/>
                <w:szCs w:val="18"/>
                <w:color w:val="auto"/>
              </w:rPr>
              <w:t>Diluted</w:t>
            </w:r>
          </w:p>
        </w:tc>
        <w:tc>
          <w:tcPr>
            <w:tcW w:w="3640" w:type="dxa"/>
            <w:vAlign w:val="bottom"/>
            <w:tcBorders>
              <w:bottom w:val="single" w:sz="8" w:color="D6F3E8"/>
            </w:tcBorders>
            <w:shd w:val="clear" w:color="auto" w:fill="D6F3E8"/>
          </w:tcPr>
          <w:p>
            <w:pPr>
              <w:spacing w:after="0"/>
              <w:rPr>
                <w:sz w:val="20"/>
                <w:szCs w:val="20"/>
                <w:color w:val="auto"/>
              </w:rPr>
            </w:pPr>
          </w:p>
        </w:tc>
        <w:tc>
          <w:tcPr>
            <w:tcW w:w="18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D6F3E8"/>
          </w:tcPr>
          <w:p>
            <w:pPr>
              <w:jc w:val="right"/>
              <w:ind w:right="56"/>
              <w:spacing w:after="0" w:line="196" w:lineRule="exact"/>
              <w:rPr>
                <w:sz w:val="20"/>
                <w:szCs w:val="20"/>
                <w:color w:val="auto"/>
              </w:rPr>
            </w:pPr>
            <w:r>
              <w:rPr>
                <w:rFonts w:ascii="Arial" w:cs="Arial" w:eastAsia="Arial" w:hAnsi="Arial"/>
                <w:sz w:val="18"/>
                <w:szCs w:val="18"/>
                <w:color w:val="auto"/>
              </w:rPr>
              <w:t>(0.36)</w:t>
            </w:r>
          </w:p>
        </w:tc>
        <w:tc>
          <w:tcPr>
            <w:tcW w:w="460" w:type="dxa"/>
            <w:vAlign w:val="bottom"/>
            <w:tcBorders>
              <w:bottom w:val="single" w:sz="8" w:color="auto"/>
            </w:tcBorders>
            <w:shd w:val="clear" w:color="auto" w:fill="D6F3E8"/>
          </w:tcPr>
          <w:p>
            <w:pPr>
              <w:jc w:val="right"/>
              <w:ind w:right="132"/>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6F3E8"/>
          </w:tcPr>
          <w:p>
            <w:pPr>
              <w:jc w:val="right"/>
              <w:ind w:right="94"/>
              <w:spacing w:after="0" w:line="196" w:lineRule="exact"/>
              <w:rPr>
                <w:sz w:val="20"/>
                <w:szCs w:val="20"/>
                <w:color w:val="auto"/>
              </w:rPr>
            </w:pPr>
            <w:r>
              <w:rPr>
                <w:rFonts w:ascii="Arial" w:cs="Arial" w:eastAsia="Arial" w:hAnsi="Arial"/>
                <w:sz w:val="18"/>
                <w:szCs w:val="18"/>
                <w:color w:val="auto"/>
              </w:rPr>
              <w:t>0.09</w:t>
            </w:r>
          </w:p>
        </w:tc>
        <w:tc>
          <w:tcPr>
            <w:tcW w:w="360" w:type="dxa"/>
            <w:vAlign w:val="bottom"/>
            <w:tcBorders>
              <w:bottom w:val="single" w:sz="8" w:color="auto"/>
            </w:tcBorders>
            <w:shd w:val="clear" w:color="auto" w:fill="D6F3E8"/>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6F3E8"/>
          </w:tcPr>
          <w:p>
            <w:pPr>
              <w:jc w:val="right"/>
              <w:ind w:right="76"/>
              <w:spacing w:after="0" w:line="196" w:lineRule="exact"/>
              <w:rPr>
                <w:sz w:val="20"/>
                <w:szCs w:val="20"/>
                <w:color w:val="auto"/>
              </w:rPr>
            </w:pPr>
            <w:r>
              <w:rPr>
                <w:rFonts w:ascii="Arial" w:cs="Arial" w:eastAsia="Arial" w:hAnsi="Arial"/>
                <w:sz w:val="18"/>
                <w:szCs w:val="18"/>
                <w:color w:val="auto"/>
              </w:rPr>
              <w:t>(0.69)</w:t>
            </w:r>
          </w:p>
        </w:tc>
        <w:tc>
          <w:tcPr>
            <w:tcW w:w="380" w:type="dxa"/>
            <w:vAlign w:val="bottom"/>
            <w:tcBorders>
              <w:bottom w:val="single" w:sz="8" w:color="auto"/>
            </w:tcBorders>
            <w:shd w:val="clear" w:color="auto" w:fill="D6F3E8"/>
          </w:tcPr>
          <w:p>
            <w:pPr>
              <w:jc w:val="right"/>
              <w:ind w:right="72"/>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6F3E8"/>
          </w:tcPr>
          <w:p>
            <w:pPr>
              <w:jc w:val="right"/>
              <w:ind w:right="35"/>
              <w:spacing w:after="0" w:line="196" w:lineRule="exact"/>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344"/>
        </w:trPr>
        <w:tc>
          <w:tcPr>
            <w:tcW w:w="500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Basic</w:t>
            </w:r>
          </w:p>
        </w:tc>
        <w:tc>
          <w:tcPr>
            <w:tcW w:w="36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32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29,037</w:t>
            </w:r>
          </w:p>
        </w:tc>
        <w:tc>
          <w:tcPr>
            <w:tcW w:w="460" w:type="dxa"/>
            <w:vAlign w:val="bottom"/>
            <w:shd w:val="clear" w:color="auto" w:fill="D6F3E8"/>
          </w:tcPr>
          <w:p>
            <w:pPr>
              <w:spacing w:after="0"/>
              <w:rPr>
                <w:sz w:val="18"/>
                <w:szCs w:val="18"/>
                <w:color w:val="auto"/>
              </w:rPr>
            </w:pPr>
          </w:p>
        </w:tc>
        <w:tc>
          <w:tcPr>
            <w:tcW w:w="11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28,964</w:t>
            </w:r>
          </w:p>
        </w:tc>
        <w:tc>
          <w:tcPr>
            <w:tcW w:w="360" w:type="dxa"/>
            <w:vAlign w:val="bottom"/>
            <w:shd w:val="clear" w:color="auto" w:fill="D6F3E8"/>
          </w:tcPr>
          <w:p>
            <w:pPr>
              <w:spacing w:after="0"/>
              <w:rPr>
                <w:sz w:val="18"/>
                <w:szCs w:val="18"/>
                <w:color w:val="auto"/>
              </w:rPr>
            </w:pPr>
          </w:p>
        </w:tc>
        <w:tc>
          <w:tcPr>
            <w:tcW w:w="134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29,032</w:t>
            </w:r>
          </w:p>
        </w:tc>
        <w:tc>
          <w:tcPr>
            <w:tcW w:w="38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35"/>
              <w:spacing w:after="0"/>
              <w:rPr>
                <w:sz w:val="20"/>
                <w:szCs w:val="20"/>
                <w:color w:val="auto"/>
              </w:rPr>
            </w:pPr>
            <w:r>
              <w:rPr>
                <w:rFonts w:ascii="Arial" w:cs="Arial" w:eastAsia="Arial" w:hAnsi="Arial"/>
                <w:sz w:val="18"/>
                <w:szCs w:val="18"/>
                <w:color w:val="auto"/>
              </w:rPr>
              <w:t>29,165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Arial" w:cs="Arial" w:eastAsia="Arial" w:hAnsi="Arial"/>
                <w:sz w:val="18"/>
                <w:szCs w:val="18"/>
                <w:color w:val="auto"/>
              </w:rPr>
              <w:t>Diluted</w:t>
            </w: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116"/>
              <w:spacing w:after="0"/>
              <w:rPr>
                <w:sz w:val="20"/>
                <w:szCs w:val="20"/>
                <w:color w:val="auto"/>
              </w:rPr>
            </w:pPr>
            <w:r>
              <w:rPr>
                <w:rFonts w:ascii="Arial" w:cs="Arial" w:eastAsia="Arial" w:hAnsi="Arial"/>
                <w:sz w:val="18"/>
                <w:szCs w:val="18"/>
                <w:color w:val="auto"/>
              </w:rPr>
              <w:t>29,046</w:t>
            </w:r>
          </w:p>
        </w:tc>
        <w:tc>
          <w:tcPr>
            <w:tcW w:w="460" w:type="dxa"/>
            <w:vAlign w:val="bottom"/>
          </w:tcPr>
          <w:p>
            <w:pPr>
              <w:spacing w:after="0"/>
              <w:rPr>
                <w:sz w:val="19"/>
                <w:szCs w:val="19"/>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29,034</w:t>
            </w:r>
          </w:p>
        </w:tc>
        <w:tc>
          <w:tcPr>
            <w:tcW w:w="360" w:type="dxa"/>
            <w:vAlign w:val="bottom"/>
          </w:tcPr>
          <w:p>
            <w:pPr>
              <w:spacing w:after="0"/>
              <w:rPr>
                <w:sz w:val="19"/>
                <w:szCs w:val="19"/>
                <w:color w:val="auto"/>
              </w:rPr>
            </w:pPr>
          </w:p>
        </w:tc>
        <w:tc>
          <w:tcPr>
            <w:tcW w:w="1340" w:type="dxa"/>
            <w:vAlign w:val="bottom"/>
          </w:tcPr>
          <w:p>
            <w:pPr>
              <w:jc w:val="right"/>
              <w:ind w:right="116"/>
              <w:spacing w:after="0"/>
              <w:rPr>
                <w:sz w:val="20"/>
                <w:szCs w:val="20"/>
                <w:color w:val="auto"/>
              </w:rPr>
            </w:pPr>
            <w:r>
              <w:rPr>
                <w:rFonts w:ascii="Arial" w:cs="Arial" w:eastAsia="Arial" w:hAnsi="Arial"/>
                <w:sz w:val="18"/>
                <w:szCs w:val="18"/>
                <w:color w:val="auto"/>
              </w:rPr>
              <w:t>29,041</w:t>
            </w:r>
          </w:p>
        </w:tc>
        <w:tc>
          <w:tcPr>
            <w:tcW w:w="38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29,245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Dividends paid per common share</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w:t>
            </w:r>
          </w:p>
        </w:tc>
        <w:tc>
          <w:tcPr>
            <w:tcW w:w="46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0.12</w:t>
            </w:r>
          </w:p>
        </w:tc>
        <w:tc>
          <w:tcPr>
            <w:tcW w:w="36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0.12</w:t>
            </w:r>
          </w:p>
        </w:tc>
        <w:tc>
          <w:tcPr>
            <w:tcW w:w="3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1220" w:type="dxa"/>
            <w:vAlign w:val="bottom"/>
            <w:shd w:val="clear" w:color="auto" w:fill="D6F3E8"/>
          </w:tcPr>
          <w:p>
            <w:pPr>
              <w:jc w:val="right"/>
              <w:ind w:right="35"/>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73"/>
              <w:spacing w:after="0"/>
              <w:rPr>
                <w:sz w:val="20"/>
                <w:szCs w:val="20"/>
                <w:color w:val="auto"/>
              </w:rPr>
            </w:pPr>
            <w:r>
              <w:rPr>
                <w:rFonts w:ascii="Arial" w:cs="Arial" w:eastAsia="Arial" w:hAnsi="Arial"/>
                <w:sz w:val="14"/>
                <w:szCs w:val="14"/>
                <w:b w:val="1"/>
                <w:bCs w:val="1"/>
                <w:color w:val="auto"/>
              </w:rPr>
              <w:t>February 28,</w:t>
            </w:r>
          </w:p>
        </w:tc>
        <w:tc>
          <w:tcPr>
            <w:tcW w:w="400" w:type="dxa"/>
            <w:vAlign w:val="bottom"/>
          </w:tcPr>
          <w:p>
            <w:pPr>
              <w:spacing w:after="0"/>
              <w:rPr>
                <w:sz w:val="14"/>
                <w:szCs w:val="14"/>
                <w:color w:val="auto"/>
              </w:rPr>
            </w:pPr>
          </w:p>
        </w:tc>
        <w:tc>
          <w:tcPr>
            <w:tcW w:w="1360" w:type="dxa"/>
            <w:vAlign w:val="bottom"/>
          </w:tcPr>
          <w:p>
            <w:pPr>
              <w:jc w:val="right"/>
              <w:ind w:right="473"/>
              <w:spacing w:after="0"/>
              <w:rPr>
                <w:sz w:val="20"/>
                <w:szCs w:val="20"/>
                <w:color w:val="auto"/>
              </w:rPr>
            </w:pPr>
            <w:r>
              <w:rPr>
                <w:rFonts w:ascii="Arial" w:cs="Arial" w:eastAsia="Arial" w:hAnsi="Arial"/>
                <w:sz w:val="14"/>
                <w:szCs w:val="14"/>
                <w:b w:val="1"/>
                <w:bCs w:val="1"/>
                <w:color w:val="auto"/>
              </w:rPr>
              <w:t>August 30,</w:t>
            </w:r>
          </w:p>
        </w:tc>
        <w:tc>
          <w:tcPr>
            <w:tcW w:w="0" w:type="dxa"/>
            <w:vAlign w:val="bottom"/>
          </w:tcPr>
          <w:p>
            <w:pPr>
              <w:spacing w:after="0"/>
              <w:rPr>
                <w:sz w:val="1"/>
                <w:szCs w:val="1"/>
                <w:color w:val="auto"/>
              </w:rPr>
            </w:pPr>
          </w:p>
        </w:tc>
      </w:tr>
      <w:tr>
        <w:trPr>
          <w:trHeight w:val="161"/>
        </w:trPr>
        <w:tc>
          <w:tcPr>
            <w:tcW w:w="7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D6F3E8"/>
          </w:tcPr>
          <w:p>
            <w:pPr>
              <w:jc w:val="right"/>
              <w:ind w:right="113"/>
              <w:spacing w:after="0"/>
              <w:rPr>
                <w:sz w:val="20"/>
                <w:szCs w:val="20"/>
                <w:color w:val="auto"/>
              </w:rPr>
            </w:pPr>
            <w:r>
              <w:rPr>
                <w:rFonts w:ascii="Arial" w:cs="Arial" w:eastAsia="Arial" w:hAnsi="Arial"/>
                <w:sz w:val="18"/>
                <w:szCs w:val="18"/>
                <w:color w:val="auto"/>
              </w:rPr>
              <w:t>27,454</w:t>
            </w:r>
          </w:p>
        </w:tc>
        <w:tc>
          <w:tcPr>
            <w:tcW w:w="40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136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8"/>
                <w:szCs w:val="18"/>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Receivables, less allowance for doubtful accounts ($157 and $177, respectively)</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3"/>
              <w:spacing w:after="0"/>
              <w:rPr>
                <w:sz w:val="20"/>
                <w:szCs w:val="20"/>
                <w:color w:val="auto"/>
              </w:rPr>
            </w:pPr>
            <w:r>
              <w:rPr>
                <w:rFonts w:ascii="Arial" w:cs="Arial" w:eastAsia="Arial" w:hAnsi="Arial"/>
                <w:sz w:val="18"/>
                <w:szCs w:val="18"/>
                <w:color w:val="auto"/>
              </w:rPr>
              <w:t>8,237</w:t>
            </w:r>
          </w:p>
        </w:tc>
        <w:tc>
          <w:tcPr>
            <w:tcW w:w="400" w:type="dxa"/>
            <w:vAlign w:val="bottom"/>
            <w:shd w:val="clear" w:color="auto" w:fill="D6F3E8"/>
          </w:tcPr>
          <w:p>
            <w:pPr>
              <w:spacing w:after="0"/>
              <w:rPr>
                <w:sz w:val="18"/>
                <w:szCs w:val="18"/>
                <w:color w:val="auto"/>
              </w:rPr>
            </w:pPr>
          </w:p>
        </w:tc>
        <w:tc>
          <w:tcPr>
            <w:tcW w:w="136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72,778</w:t>
            </w:r>
          </w:p>
        </w:tc>
        <w:tc>
          <w:tcPr>
            <w:tcW w:w="400" w:type="dxa"/>
            <w:vAlign w:val="bottom"/>
          </w:tcPr>
          <w:p>
            <w:pPr>
              <w:spacing w:after="0"/>
              <w:rPr>
                <w:sz w:val="18"/>
                <w:szCs w:val="18"/>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110,596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3"/>
              <w:spacing w:after="0"/>
              <w:rPr>
                <w:sz w:val="20"/>
                <w:szCs w:val="20"/>
                <w:color w:val="auto"/>
              </w:rPr>
            </w:pPr>
            <w:r>
              <w:rPr>
                <w:rFonts w:ascii="Arial" w:cs="Arial" w:eastAsia="Arial" w:hAnsi="Arial"/>
                <w:sz w:val="18"/>
                <w:szCs w:val="18"/>
                <w:color w:val="auto"/>
              </w:rPr>
              <w:t>3,596</w:t>
            </w:r>
          </w:p>
        </w:tc>
        <w:tc>
          <w:tcPr>
            <w:tcW w:w="400" w:type="dxa"/>
            <w:vAlign w:val="bottom"/>
            <w:shd w:val="clear" w:color="auto" w:fill="D6F3E8"/>
          </w:tcPr>
          <w:p>
            <w:pPr>
              <w:spacing w:after="0"/>
              <w:rPr>
                <w:sz w:val="18"/>
                <w:szCs w:val="18"/>
                <w:color w:val="auto"/>
              </w:rPr>
            </w:pPr>
          </w:p>
        </w:tc>
        <w:tc>
          <w:tcPr>
            <w:tcW w:w="136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9,705</w:t>
            </w:r>
          </w:p>
        </w:tc>
        <w:tc>
          <w:tcPr>
            <w:tcW w:w="400" w:type="dxa"/>
            <w:vAlign w:val="bottom"/>
          </w:tcPr>
          <w:p>
            <w:pPr>
              <w:spacing w:after="0"/>
              <w:rPr>
                <w:sz w:val="18"/>
                <w:szCs w:val="18"/>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11,575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Income taxes receivable</w:t>
            </w:r>
          </w:p>
        </w:tc>
        <w:tc>
          <w:tcPr>
            <w:tcW w:w="220" w:type="dxa"/>
            <w:vAlign w:val="bottom"/>
            <w:tcBorders>
              <w:bottom w:val="single" w:sz="8" w:color="auto"/>
            </w:tcBorders>
            <w:shd w:val="clear" w:color="auto" w:fill="D6F3E8"/>
          </w:tcPr>
          <w:p>
            <w:pPr>
              <w:spacing w:after="0"/>
              <w:rPr>
                <w:sz w:val="18"/>
                <w:szCs w:val="18"/>
                <w:color w:val="auto"/>
              </w:rPr>
            </w:pPr>
          </w:p>
        </w:tc>
        <w:tc>
          <w:tcPr>
            <w:tcW w:w="1460" w:type="dxa"/>
            <w:vAlign w:val="bottom"/>
            <w:tcBorders>
              <w:bottom w:val="single" w:sz="8" w:color="auto"/>
            </w:tcBorders>
            <w:shd w:val="clear" w:color="auto" w:fill="D6F3E8"/>
          </w:tcPr>
          <w:p>
            <w:pPr>
              <w:jc w:val="right"/>
              <w:ind w:right="113"/>
              <w:spacing w:after="0"/>
              <w:rPr>
                <w:sz w:val="20"/>
                <w:szCs w:val="20"/>
                <w:color w:val="auto"/>
              </w:rPr>
            </w:pPr>
            <w:r>
              <w:rPr>
                <w:rFonts w:ascii="Arial" w:cs="Arial" w:eastAsia="Arial" w:hAnsi="Arial"/>
                <w:sz w:val="18"/>
                <w:szCs w:val="18"/>
                <w:color w:val="auto"/>
              </w:rPr>
              <w:t>19,477</w:t>
            </w:r>
          </w:p>
        </w:tc>
        <w:tc>
          <w:tcPr>
            <w:tcW w:w="400" w:type="dxa"/>
            <w:vAlign w:val="bottom"/>
            <w:tcBorders>
              <w:bottom w:val="single" w:sz="8" w:color="auto"/>
            </w:tcBorders>
            <w:shd w:val="clear" w:color="auto" w:fill="D6F3E8"/>
          </w:tcPr>
          <w:p>
            <w:pPr>
              <w:spacing w:after="0"/>
              <w:rPr>
                <w:sz w:val="18"/>
                <w:szCs w:val="18"/>
                <w:color w:val="auto"/>
              </w:rPr>
            </w:pPr>
          </w:p>
        </w:tc>
        <w:tc>
          <w:tcPr>
            <w:tcW w:w="1360" w:type="dxa"/>
            <w:vAlign w:val="bottom"/>
            <w:tcBorders>
              <w:bottom w:val="single" w:sz="8" w:color="auto"/>
            </w:tcBorders>
            <w:shd w:val="clear" w:color="auto" w:fill="D6F3E8"/>
          </w:tcPr>
          <w:p>
            <w:pPr>
              <w:jc w:val="right"/>
              <w:ind w:right="33"/>
              <w:spacing w:after="0"/>
              <w:rPr>
                <w:sz w:val="20"/>
                <w:szCs w:val="20"/>
                <w:color w:val="auto"/>
              </w:rPr>
            </w:pPr>
            <w:r>
              <w:rPr>
                <w:rFonts w:ascii="Arial" w:cs="Arial" w:eastAsia="Arial" w:hAnsi="Arial"/>
                <w:sz w:val="18"/>
                <w:szCs w:val="18"/>
                <w:color w:val="auto"/>
              </w:rPr>
              <w:t>6,618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141,247</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162,881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Property and equipment, at cost:</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Land</w:t>
            </w:r>
          </w:p>
        </w:tc>
        <w:tc>
          <w:tcPr>
            <w:tcW w:w="220" w:type="dxa"/>
            <w:vAlign w:val="bottom"/>
          </w:tcPr>
          <w:p>
            <w:pPr>
              <w:spacing w:after="0"/>
              <w:rPr>
                <w:sz w:val="18"/>
                <w:szCs w:val="18"/>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848</w:t>
            </w:r>
          </w:p>
        </w:tc>
        <w:tc>
          <w:tcPr>
            <w:tcW w:w="400" w:type="dxa"/>
            <w:vAlign w:val="bottom"/>
          </w:tcPr>
          <w:p>
            <w:pPr>
              <w:spacing w:after="0"/>
              <w:rPr>
                <w:sz w:val="18"/>
                <w:szCs w:val="18"/>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Buildings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3"/>
              <w:spacing w:after="0"/>
              <w:rPr>
                <w:sz w:val="20"/>
                <w:szCs w:val="20"/>
                <w:color w:val="auto"/>
              </w:rPr>
            </w:pPr>
            <w:r>
              <w:rPr>
                <w:rFonts w:ascii="Arial" w:cs="Arial" w:eastAsia="Arial" w:hAnsi="Arial"/>
                <w:sz w:val="18"/>
                <w:szCs w:val="18"/>
                <w:color w:val="auto"/>
              </w:rPr>
              <w:t>56,121</w:t>
            </w:r>
          </w:p>
        </w:tc>
        <w:tc>
          <w:tcPr>
            <w:tcW w:w="400" w:type="dxa"/>
            <w:vAlign w:val="bottom"/>
            <w:shd w:val="clear" w:color="auto" w:fill="D6F3E8"/>
          </w:tcPr>
          <w:p>
            <w:pPr>
              <w:spacing w:after="0"/>
              <w:rPr>
                <w:sz w:val="18"/>
                <w:szCs w:val="18"/>
                <w:color w:val="auto"/>
              </w:rPr>
            </w:pPr>
          </w:p>
        </w:tc>
        <w:tc>
          <w:tcPr>
            <w:tcW w:w="136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55,977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Machinery and equipment</w:t>
            </w:r>
          </w:p>
        </w:tc>
        <w:tc>
          <w:tcPr>
            <w:tcW w:w="220" w:type="dxa"/>
            <w:vAlign w:val="bottom"/>
          </w:tcPr>
          <w:p>
            <w:pPr>
              <w:spacing w:after="0"/>
              <w:rPr>
                <w:sz w:val="18"/>
                <w:szCs w:val="18"/>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96,569</w:t>
            </w:r>
          </w:p>
        </w:tc>
        <w:tc>
          <w:tcPr>
            <w:tcW w:w="400" w:type="dxa"/>
            <w:vAlign w:val="bottom"/>
          </w:tcPr>
          <w:p>
            <w:pPr>
              <w:spacing w:after="0"/>
              <w:rPr>
                <w:sz w:val="18"/>
                <w:szCs w:val="18"/>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97,002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Transportation equipment</w:t>
            </w:r>
          </w:p>
        </w:tc>
        <w:tc>
          <w:tcPr>
            <w:tcW w:w="220" w:type="dxa"/>
            <w:vAlign w:val="bottom"/>
            <w:tcBorders>
              <w:bottom w:val="single" w:sz="8" w:color="auto"/>
            </w:tcBorders>
            <w:shd w:val="clear" w:color="auto" w:fill="D6F3E8"/>
          </w:tcPr>
          <w:p>
            <w:pPr>
              <w:spacing w:after="0"/>
              <w:rPr>
                <w:sz w:val="18"/>
                <w:szCs w:val="18"/>
                <w:color w:val="auto"/>
              </w:rPr>
            </w:pPr>
          </w:p>
        </w:tc>
        <w:tc>
          <w:tcPr>
            <w:tcW w:w="1460" w:type="dxa"/>
            <w:vAlign w:val="bottom"/>
            <w:tcBorders>
              <w:bottom w:val="single" w:sz="8" w:color="auto"/>
            </w:tcBorders>
            <w:shd w:val="clear" w:color="auto" w:fill="D6F3E8"/>
          </w:tcPr>
          <w:p>
            <w:pPr>
              <w:jc w:val="right"/>
              <w:ind w:right="113"/>
              <w:spacing w:after="0"/>
              <w:rPr>
                <w:sz w:val="20"/>
                <w:szCs w:val="20"/>
                <w:color w:val="auto"/>
              </w:rPr>
            </w:pPr>
            <w:r>
              <w:rPr>
                <w:rFonts w:ascii="Arial" w:cs="Arial" w:eastAsia="Arial" w:hAnsi="Arial"/>
                <w:sz w:val="18"/>
                <w:szCs w:val="18"/>
                <w:color w:val="auto"/>
              </w:rPr>
              <w:t>9,260</w:t>
            </w:r>
          </w:p>
        </w:tc>
        <w:tc>
          <w:tcPr>
            <w:tcW w:w="400" w:type="dxa"/>
            <w:vAlign w:val="bottom"/>
            <w:tcBorders>
              <w:bottom w:val="single" w:sz="8" w:color="auto"/>
            </w:tcBorders>
            <w:shd w:val="clear" w:color="auto" w:fill="D6F3E8"/>
          </w:tcPr>
          <w:p>
            <w:pPr>
              <w:spacing w:after="0"/>
              <w:rPr>
                <w:sz w:val="18"/>
                <w:szCs w:val="18"/>
                <w:color w:val="auto"/>
              </w:rPr>
            </w:pPr>
          </w:p>
        </w:tc>
        <w:tc>
          <w:tcPr>
            <w:tcW w:w="1360" w:type="dxa"/>
            <w:vAlign w:val="bottom"/>
            <w:tcBorders>
              <w:bottom w:val="single" w:sz="8" w:color="auto"/>
            </w:tcBorders>
            <w:shd w:val="clear" w:color="auto" w:fill="D6F3E8"/>
          </w:tcPr>
          <w:p>
            <w:pPr>
              <w:jc w:val="right"/>
              <w:ind w:right="33"/>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Total property and equipment, at cost</w:t>
            </w:r>
          </w:p>
        </w:tc>
        <w:tc>
          <w:tcPr>
            <w:tcW w:w="220" w:type="dxa"/>
            <w:vAlign w:val="bottom"/>
          </w:tcPr>
          <w:p>
            <w:pPr>
              <w:spacing w:after="0"/>
              <w:rPr>
                <w:sz w:val="18"/>
                <w:szCs w:val="18"/>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162,798</w:t>
            </w:r>
          </w:p>
        </w:tc>
        <w:tc>
          <w:tcPr>
            <w:tcW w:w="400" w:type="dxa"/>
            <w:vAlign w:val="bottom"/>
          </w:tcPr>
          <w:p>
            <w:pPr>
              <w:spacing w:after="0"/>
              <w:rPr>
                <w:sz w:val="18"/>
                <w:szCs w:val="18"/>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163,368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auto"/>
            </w:tcBorders>
            <w:shd w:val="clear" w:color="auto" w:fill="D6F3E8"/>
          </w:tcPr>
          <w:p>
            <w:pPr>
              <w:spacing w:after="0"/>
              <w:rPr>
                <w:sz w:val="18"/>
                <w:szCs w:val="18"/>
                <w:color w:val="auto"/>
              </w:rPr>
            </w:pPr>
          </w:p>
        </w:tc>
        <w:tc>
          <w:tcPr>
            <w:tcW w:w="1460" w:type="dxa"/>
            <w:vAlign w:val="bottom"/>
            <w:tcBorders>
              <w:bottom w:val="single" w:sz="8" w:color="auto"/>
            </w:tcBorders>
            <w:shd w:val="clear" w:color="auto" w:fill="D6F3E8"/>
          </w:tcPr>
          <w:p>
            <w:pPr>
              <w:jc w:val="right"/>
              <w:ind w:right="53"/>
              <w:spacing w:after="0"/>
              <w:rPr>
                <w:sz w:val="20"/>
                <w:szCs w:val="20"/>
                <w:color w:val="auto"/>
              </w:rPr>
            </w:pPr>
            <w:r>
              <w:rPr>
                <w:rFonts w:ascii="Arial" w:cs="Arial" w:eastAsia="Arial" w:hAnsi="Arial"/>
                <w:sz w:val="18"/>
                <w:szCs w:val="18"/>
                <w:color w:val="auto"/>
              </w:rPr>
              <w:t>(125,707)</w:t>
            </w:r>
          </w:p>
        </w:tc>
        <w:tc>
          <w:tcPr>
            <w:tcW w:w="400" w:type="dxa"/>
            <w:vAlign w:val="bottom"/>
            <w:tcBorders>
              <w:bottom w:val="single" w:sz="8" w:color="auto"/>
            </w:tcBorders>
            <w:shd w:val="clear" w:color="auto" w:fill="D6F3E8"/>
          </w:tcPr>
          <w:p>
            <w:pPr>
              <w:spacing w:after="0"/>
              <w:rPr>
                <w:sz w:val="18"/>
                <w:szCs w:val="18"/>
                <w:color w:val="auto"/>
              </w:rPr>
            </w:pPr>
          </w:p>
        </w:tc>
        <w:tc>
          <w:tcPr>
            <w:tcW w:w="13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(123,271)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37,091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40,097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Long-term investments less impairment</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3"/>
              <w:spacing w:after="0"/>
              <w:rPr>
                <w:sz w:val="20"/>
                <w:szCs w:val="20"/>
                <w:color w:val="auto"/>
              </w:rPr>
            </w:pPr>
            <w:r>
              <w:rPr>
                <w:rFonts w:ascii="Arial" w:cs="Arial" w:eastAsia="Arial" w:hAnsi="Arial"/>
                <w:sz w:val="18"/>
                <w:szCs w:val="18"/>
                <w:color w:val="auto"/>
              </w:rPr>
              <w:t>33,476</w:t>
            </w:r>
          </w:p>
        </w:tc>
        <w:tc>
          <w:tcPr>
            <w:tcW w:w="400" w:type="dxa"/>
            <w:vAlign w:val="bottom"/>
            <w:shd w:val="clear" w:color="auto" w:fill="D6F3E8"/>
          </w:tcPr>
          <w:p>
            <w:pPr>
              <w:spacing w:after="0"/>
              <w:rPr>
                <w:sz w:val="18"/>
                <w:szCs w:val="18"/>
                <w:color w:val="auto"/>
              </w:rPr>
            </w:pPr>
          </w:p>
        </w:tc>
        <w:tc>
          <w:tcPr>
            <w:tcW w:w="136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37,538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Investment in life insurance</w:t>
            </w:r>
          </w:p>
        </w:tc>
        <w:tc>
          <w:tcPr>
            <w:tcW w:w="220" w:type="dxa"/>
            <w:vAlign w:val="bottom"/>
          </w:tcPr>
          <w:p>
            <w:pPr>
              <w:spacing w:after="0"/>
              <w:rPr>
                <w:sz w:val="18"/>
                <w:szCs w:val="18"/>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22,492</w:t>
            </w:r>
          </w:p>
        </w:tc>
        <w:tc>
          <w:tcPr>
            <w:tcW w:w="400" w:type="dxa"/>
            <w:vAlign w:val="bottom"/>
          </w:tcPr>
          <w:p>
            <w:pPr>
              <w:spacing w:after="0"/>
              <w:rPr>
                <w:sz w:val="18"/>
                <w:szCs w:val="18"/>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22,123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3"/>
              <w:spacing w:after="0"/>
              <w:rPr>
                <w:sz w:val="20"/>
                <w:szCs w:val="20"/>
                <w:color w:val="auto"/>
              </w:rPr>
            </w:pPr>
            <w:r>
              <w:rPr>
                <w:rFonts w:ascii="Arial" w:cs="Arial" w:eastAsia="Arial" w:hAnsi="Arial"/>
                <w:sz w:val="18"/>
                <w:szCs w:val="18"/>
                <w:color w:val="auto"/>
              </w:rPr>
              <w:t>28,342</w:t>
            </w:r>
          </w:p>
        </w:tc>
        <w:tc>
          <w:tcPr>
            <w:tcW w:w="400" w:type="dxa"/>
            <w:vAlign w:val="bottom"/>
            <w:shd w:val="clear" w:color="auto" w:fill="D6F3E8"/>
          </w:tcPr>
          <w:p>
            <w:pPr>
              <w:spacing w:after="0"/>
              <w:rPr>
                <w:sz w:val="18"/>
                <w:szCs w:val="18"/>
                <w:color w:val="auto"/>
              </w:rPr>
            </w:pPr>
          </w:p>
        </w:tc>
        <w:tc>
          <w:tcPr>
            <w:tcW w:w="136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26,862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11,550</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15,954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D6F3E8"/>
          </w:tcPr>
          <w:p>
            <w:pPr>
              <w:jc w:val="right"/>
              <w:ind w:right="113"/>
              <w:spacing w:after="0"/>
              <w:rPr>
                <w:sz w:val="20"/>
                <w:szCs w:val="20"/>
                <w:color w:val="auto"/>
              </w:rPr>
            </w:pPr>
            <w:r>
              <w:rPr>
                <w:rFonts w:ascii="Arial" w:cs="Arial" w:eastAsia="Arial" w:hAnsi="Arial"/>
                <w:sz w:val="18"/>
                <w:szCs w:val="18"/>
                <w:color w:val="auto"/>
              </w:rPr>
              <w:t>274,198</w:t>
            </w:r>
          </w:p>
        </w:tc>
        <w:tc>
          <w:tcPr>
            <w:tcW w:w="400" w:type="dxa"/>
            <w:vAlign w:val="bottom"/>
            <w:tcBorders>
              <w:bottom w:val="single" w:sz="8" w:color="auto"/>
            </w:tcBorders>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D6F3E8"/>
          </w:tcPr>
          <w:p>
            <w:pPr>
              <w:jc w:val="right"/>
              <w:ind w:right="33"/>
              <w:spacing w:after="0"/>
              <w:rPr>
                <w:sz w:val="20"/>
                <w:szCs w:val="20"/>
                <w:color w:val="auto"/>
              </w:rPr>
            </w:pPr>
            <w:r>
              <w:rPr>
                <w:rFonts w:ascii="Arial" w:cs="Arial" w:eastAsia="Arial" w:hAnsi="Arial"/>
                <w:sz w:val="18"/>
                <w:szCs w:val="18"/>
                <w:color w:val="auto"/>
              </w:rPr>
              <w:t>305,455</w:t>
            </w:r>
          </w:p>
        </w:tc>
        <w:tc>
          <w:tcPr>
            <w:tcW w:w="0" w:type="dxa"/>
            <w:vAlign w:val="bottom"/>
          </w:tcPr>
          <w:p>
            <w:pPr>
              <w:spacing w:after="0"/>
              <w:rPr>
                <w:sz w:val="1"/>
                <w:szCs w:val="1"/>
                <w:color w:val="auto"/>
              </w:rPr>
            </w:pPr>
          </w:p>
        </w:tc>
      </w:tr>
      <w:tr>
        <w:trPr>
          <w:trHeight w:val="343"/>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7,182</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Short-term ARS borrowings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3"/>
              <w:spacing w:after="0"/>
              <w:rPr>
                <w:sz w:val="20"/>
                <w:szCs w:val="20"/>
                <w:color w:val="auto"/>
              </w:rPr>
            </w:pPr>
            <w:r>
              <w:rPr>
                <w:rFonts w:ascii="Arial" w:cs="Arial" w:eastAsia="Arial" w:hAnsi="Arial"/>
                <w:sz w:val="18"/>
                <w:szCs w:val="18"/>
                <w:color w:val="auto"/>
              </w:rPr>
              <w:t>9,100</w:t>
            </w:r>
          </w:p>
        </w:tc>
        <w:tc>
          <w:tcPr>
            <w:tcW w:w="400" w:type="dxa"/>
            <w:vAlign w:val="bottom"/>
            <w:shd w:val="clear" w:color="auto" w:fill="D6F3E8"/>
          </w:tcPr>
          <w:p>
            <w:pPr>
              <w:spacing w:after="0"/>
              <w:rPr>
                <w:sz w:val="18"/>
                <w:szCs w:val="18"/>
                <w:color w:val="auto"/>
              </w:rPr>
            </w:pPr>
          </w:p>
        </w:tc>
        <w:tc>
          <w:tcPr>
            <w:tcW w:w="136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8"/>
                <w:szCs w:val="18"/>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9,681</w:t>
            </w:r>
          </w:p>
        </w:tc>
        <w:tc>
          <w:tcPr>
            <w:tcW w:w="400" w:type="dxa"/>
            <w:vAlign w:val="bottom"/>
          </w:tcPr>
          <w:p>
            <w:pPr>
              <w:spacing w:after="0"/>
              <w:rPr>
                <w:sz w:val="18"/>
                <w:szCs w:val="18"/>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300"/>
              <w:spacing w:after="0"/>
              <w:rPr>
                <w:sz w:val="20"/>
                <w:szCs w:val="20"/>
                <w:color w:val="auto"/>
              </w:rPr>
            </w:pPr>
            <w:r>
              <w:rPr>
                <w:rFonts w:ascii="Arial" w:cs="Arial" w:eastAsia="Arial" w:hAnsi="Arial"/>
                <w:sz w:val="18"/>
                <w:szCs w:val="18"/>
                <w:color w:val="auto"/>
              </w:rPr>
              <w:t>Product warranties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3"/>
              <w:spacing w:after="0"/>
              <w:rPr>
                <w:sz w:val="20"/>
                <w:szCs w:val="20"/>
                <w:color w:val="auto"/>
              </w:rPr>
            </w:pPr>
            <w:r>
              <w:rPr>
                <w:rFonts w:ascii="Arial" w:cs="Arial" w:eastAsia="Arial" w:hAnsi="Arial"/>
                <w:sz w:val="18"/>
                <w:szCs w:val="18"/>
                <w:color w:val="auto"/>
              </w:rPr>
              <w:t>7,552</w:t>
            </w:r>
          </w:p>
        </w:tc>
        <w:tc>
          <w:tcPr>
            <w:tcW w:w="400" w:type="dxa"/>
            <w:vAlign w:val="bottom"/>
            <w:shd w:val="clear" w:color="auto" w:fill="D6F3E8"/>
          </w:tcPr>
          <w:p>
            <w:pPr>
              <w:spacing w:after="0"/>
              <w:rPr>
                <w:sz w:val="18"/>
                <w:szCs w:val="18"/>
                <w:color w:val="auto"/>
              </w:rPr>
            </w:pPr>
          </w:p>
        </w:tc>
        <w:tc>
          <w:tcPr>
            <w:tcW w:w="136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9,859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Self-insurance</w:t>
            </w:r>
          </w:p>
        </w:tc>
        <w:tc>
          <w:tcPr>
            <w:tcW w:w="220" w:type="dxa"/>
            <w:vAlign w:val="bottom"/>
          </w:tcPr>
          <w:p>
            <w:pPr>
              <w:spacing w:after="0"/>
              <w:rPr>
                <w:sz w:val="18"/>
                <w:szCs w:val="18"/>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5,788</w:t>
            </w:r>
          </w:p>
        </w:tc>
        <w:tc>
          <w:tcPr>
            <w:tcW w:w="400" w:type="dxa"/>
            <w:vAlign w:val="bottom"/>
          </w:tcPr>
          <w:p>
            <w:pPr>
              <w:spacing w:after="0"/>
              <w:rPr>
                <w:sz w:val="18"/>
                <w:szCs w:val="18"/>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300"/>
              <w:spacing w:after="0"/>
              <w:rPr>
                <w:sz w:val="20"/>
                <w:szCs w:val="20"/>
                <w:color w:val="auto"/>
              </w:rPr>
            </w:pPr>
            <w:r>
              <w:rPr>
                <w:rFonts w:ascii="Arial" w:cs="Arial" w:eastAsia="Arial" w:hAnsi="Arial"/>
                <w:sz w:val="18"/>
                <w:szCs w:val="18"/>
                <w:color w:val="auto"/>
              </w:rPr>
              <w:t>Accrued loss on repurchases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3"/>
              <w:spacing w:after="0"/>
              <w:rPr>
                <w:sz w:val="20"/>
                <w:szCs w:val="20"/>
                <w:color w:val="auto"/>
              </w:rPr>
            </w:pPr>
            <w:r>
              <w:rPr>
                <w:rFonts w:ascii="Arial" w:cs="Arial" w:eastAsia="Arial" w:hAnsi="Arial"/>
                <w:sz w:val="18"/>
                <w:szCs w:val="18"/>
                <w:color w:val="auto"/>
              </w:rPr>
              <w:t>2,668</w:t>
            </w:r>
          </w:p>
        </w:tc>
        <w:tc>
          <w:tcPr>
            <w:tcW w:w="400" w:type="dxa"/>
            <w:vAlign w:val="bottom"/>
            <w:shd w:val="clear" w:color="auto" w:fill="D6F3E8"/>
          </w:tcPr>
          <w:p>
            <w:pPr>
              <w:spacing w:after="0"/>
              <w:rPr>
                <w:sz w:val="18"/>
                <w:szCs w:val="18"/>
                <w:color w:val="auto"/>
              </w:rPr>
            </w:pPr>
          </w:p>
        </w:tc>
        <w:tc>
          <w:tcPr>
            <w:tcW w:w="136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Promotional</w:t>
            </w:r>
          </w:p>
        </w:tc>
        <w:tc>
          <w:tcPr>
            <w:tcW w:w="220" w:type="dxa"/>
            <w:vAlign w:val="bottom"/>
          </w:tcPr>
          <w:p>
            <w:pPr>
              <w:spacing w:after="0"/>
              <w:rPr>
                <w:sz w:val="18"/>
                <w:szCs w:val="18"/>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1,690</w:t>
            </w:r>
          </w:p>
        </w:tc>
        <w:tc>
          <w:tcPr>
            <w:tcW w:w="400" w:type="dxa"/>
            <w:vAlign w:val="bottom"/>
          </w:tcPr>
          <w:p>
            <w:pPr>
              <w:spacing w:after="0"/>
              <w:rPr>
                <w:sz w:val="18"/>
                <w:szCs w:val="18"/>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300"/>
              <w:spacing w:after="0"/>
              <w:rPr>
                <w:sz w:val="20"/>
                <w:szCs w:val="20"/>
                <w:color w:val="auto"/>
              </w:rPr>
            </w:pPr>
            <w:r>
              <w:rPr>
                <w:rFonts w:ascii="Arial" w:cs="Arial" w:eastAsia="Arial" w:hAnsi="Arial"/>
                <w:sz w:val="18"/>
                <w:szCs w:val="18"/>
                <w:color w:val="auto"/>
              </w:rPr>
              <w:t>Accrued dividends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3"/>
              <w:spacing w:after="0"/>
              <w:rPr>
                <w:sz w:val="20"/>
                <w:szCs w:val="20"/>
                <w:color w:val="auto"/>
              </w:rPr>
            </w:pPr>
            <w:r>
              <w:rPr>
                <w:rFonts w:ascii="Arial" w:cs="Arial" w:eastAsia="Arial" w:hAnsi="Arial"/>
                <w:sz w:val="18"/>
                <w:szCs w:val="18"/>
                <w:color w:val="auto"/>
              </w:rPr>
              <w:t>—</w:t>
            </w:r>
          </w:p>
        </w:tc>
        <w:tc>
          <w:tcPr>
            <w:tcW w:w="400" w:type="dxa"/>
            <w:vAlign w:val="bottom"/>
            <w:shd w:val="clear" w:color="auto" w:fill="D6F3E8"/>
          </w:tcPr>
          <w:p>
            <w:pPr>
              <w:spacing w:after="0"/>
              <w:rPr>
                <w:sz w:val="18"/>
                <w:szCs w:val="18"/>
                <w:color w:val="auto"/>
              </w:rPr>
            </w:pPr>
          </w:p>
        </w:tc>
        <w:tc>
          <w:tcPr>
            <w:tcW w:w="136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4,834</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D6F3E8"/>
            </w:tcBorders>
            <w:shd w:val="clear" w:color="auto" w:fill="D6F3E8"/>
          </w:tcPr>
          <w:p>
            <w:pPr>
              <w:ind w:left="4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D6F3E8"/>
          </w:tcPr>
          <w:p>
            <w:pPr>
              <w:spacing w:after="0"/>
              <w:rPr>
                <w:sz w:val="18"/>
                <w:szCs w:val="18"/>
                <w:color w:val="auto"/>
              </w:rPr>
            </w:pPr>
          </w:p>
        </w:tc>
        <w:tc>
          <w:tcPr>
            <w:tcW w:w="1460" w:type="dxa"/>
            <w:vAlign w:val="bottom"/>
            <w:tcBorders>
              <w:bottom w:val="single" w:sz="8" w:color="auto"/>
            </w:tcBorders>
            <w:shd w:val="clear" w:color="auto" w:fill="D6F3E8"/>
          </w:tcPr>
          <w:p>
            <w:pPr>
              <w:jc w:val="right"/>
              <w:ind w:right="113"/>
              <w:spacing w:after="0"/>
              <w:rPr>
                <w:sz w:val="20"/>
                <w:szCs w:val="20"/>
                <w:color w:val="auto"/>
              </w:rPr>
            </w:pPr>
            <w:r>
              <w:rPr>
                <w:rFonts w:ascii="Arial" w:cs="Arial" w:eastAsia="Arial" w:hAnsi="Arial"/>
                <w:sz w:val="18"/>
                <w:szCs w:val="18"/>
                <w:color w:val="auto"/>
              </w:rPr>
              <w:t>48,525</w:t>
            </w:r>
          </w:p>
        </w:tc>
        <w:tc>
          <w:tcPr>
            <w:tcW w:w="400" w:type="dxa"/>
            <w:vAlign w:val="bottom"/>
            <w:tcBorders>
              <w:bottom w:val="single" w:sz="8" w:color="auto"/>
            </w:tcBorders>
            <w:shd w:val="clear" w:color="auto" w:fill="D6F3E8"/>
          </w:tcPr>
          <w:p>
            <w:pPr>
              <w:spacing w:after="0"/>
              <w:rPr>
                <w:sz w:val="18"/>
                <w:szCs w:val="18"/>
                <w:color w:val="auto"/>
              </w:rPr>
            </w:pPr>
          </w:p>
        </w:tc>
        <w:tc>
          <w:tcPr>
            <w:tcW w:w="1360" w:type="dxa"/>
            <w:vAlign w:val="bottom"/>
            <w:tcBorders>
              <w:bottom w:val="single" w:sz="8" w:color="auto"/>
            </w:tcBorders>
            <w:shd w:val="clear" w:color="auto" w:fill="D6F3E8"/>
          </w:tcPr>
          <w:p>
            <w:pPr>
              <w:jc w:val="right"/>
              <w:ind w:right="33"/>
              <w:spacing w:after="0"/>
              <w:rPr>
                <w:sz w:val="20"/>
                <w:szCs w:val="20"/>
                <w:color w:val="auto"/>
              </w:rPr>
            </w:pPr>
            <w:r>
              <w:rPr>
                <w:rFonts w:ascii="Arial" w:cs="Arial" w:eastAsia="Arial" w:hAnsi="Arial"/>
                <w:sz w:val="18"/>
                <w:szCs w:val="18"/>
                <w:color w:val="auto"/>
              </w:rPr>
              <w:t>54,333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Unrecognized tax benefits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3"/>
              <w:spacing w:after="0"/>
              <w:rPr>
                <w:sz w:val="20"/>
                <w:szCs w:val="20"/>
                <w:color w:val="auto"/>
              </w:rPr>
            </w:pPr>
            <w:r>
              <w:rPr>
                <w:rFonts w:ascii="Arial" w:cs="Arial" w:eastAsia="Arial" w:hAnsi="Arial"/>
                <w:sz w:val="18"/>
                <w:szCs w:val="18"/>
                <w:color w:val="auto"/>
              </w:rPr>
              <w:t>8,943</w:t>
            </w:r>
          </w:p>
        </w:tc>
        <w:tc>
          <w:tcPr>
            <w:tcW w:w="400" w:type="dxa"/>
            <w:vAlign w:val="bottom"/>
            <w:shd w:val="clear" w:color="auto" w:fill="D6F3E8"/>
          </w:tcPr>
          <w:p>
            <w:pPr>
              <w:spacing w:after="0"/>
              <w:rPr>
                <w:sz w:val="18"/>
                <w:szCs w:val="18"/>
                <w:color w:val="auto"/>
              </w:rPr>
            </w:pPr>
          </w:p>
        </w:tc>
        <w:tc>
          <w:tcPr>
            <w:tcW w:w="136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9,469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Postretirement health care and deferred compensation benefits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63,047</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67,729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D6F3E8"/>
            </w:tcBorders>
            <w:shd w:val="clear" w:color="auto" w:fill="D6F3E8"/>
          </w:tcPr>
          <w:p>
            <w:pPr>
              <w:ind w:left="30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auto"/>
            </w:tcBorders>
            <w:shd w:val="clear" w:color="auto" w:fill="D6F3E8"/>
          </w:tcPr>
          <w:p>
            <w:pPr>
              <w:spacing w:after="0"/>
              <w:rPr>
                <w:sz w:val="18"/>
                <w:szCs w:val="18"/>
                <w:color w:val="auto"/>
              </w:rPr>
            </w:pPr>
          </w:p>
        </w:tc>
        <w:tc>
          <w:tcPr>
            <w:tcW w:w="1460" w:type="dxa"/>
            <w:vAlign w:val="bottom"/>
            <w:tcBorders>
              <w:bottom w:val="single" w:sz="8" w:color="auto"/>
            </w:tcBorders>
            <w:shd w:val="clear" w:color="auto" w:fill="D6F3E8"/>
          </w:tcPr>
          <w:p>
            <w:pPr>
              <w:jc w:val="right"/>
              <w:ind w:right="113"/>
              <w:spacing w:after="0"/>
              <w:rPr>
                <w:sz w:val="20"/>
                <w:szCs w:val="20"/>
                <w:color w:val="auto"/>
              </w:rPr>
            </w:pPr>
            <w:r>
              <w:rPr>
                <w:rFonts w:ascii="Arial" w:cs="Arial" w:eastAsia="Arial" w:hAnsi="Arial"/>
                <w:sz w:val="18"/>
                <w:szCs w:val="18"/>
                <w:color w:val="auto"/>
              </w:rPr>
              <w:t>71,990</w:t>
            </w:r>
          </w:p>
        </w:tc>
        <w:tc>
          <w:tcPr>
            <w:tcW w:w="400" w:type="dxa"/>
            <w:vAlign w:val="bottom"/>
            <w:tcBorders>
              <w:bottom w:val="single" w:sz="8" w:color="auto"/>
            </w:tcBorders>
            <w:shd w:val="clear" w:color="auto" w:fill="D6F3E8"/>
          </w:tcPr>
          <w:p>
            <w:pPr>
              <w:spacing w:after="0"/>
              <w:rPr>
                <w:sz w:val="18"/>
                <w:szCs w:val="18"/>
                <w:color w:val="auto"/>
              </w:rPr>
            </w:pPr>
          </w:p>
        </w:tc>
        <w:tc>
          <w:tcPr>
            <w:tcW w:w="1360" w:type="dxa"/>
            <w:vAlign w:val="bottom"/>
            <w:tcBorders>
              <w:bottom w:val="single" w:sz="8" w:color="auto"/>
            </w:tcBorders>
            <w:shd w:val="clear" w:color="auto" w:fill="D6F3E8"/>
          </w:tcPr>
          <w:p>
            <w:pPr>
              <w:jc w:val="right"/>
              <w:ind w:right="33"/>
              <w:spacing w:after="0"/>
              <w:rPr>
                <w:sz w:val="20"/>
                <w:szCs w:val="20"/>
                <w:color w:val="auto"/>
              </w:rPr>
            </w:pPr>
            <w:r>
              <w:rPr>
                <w:rFonts w:ascii="Arial" w:cs="Arial" w:eastAsia="Arial" w:hAnsi="Arial"/>
                <w:sz w:val="18"/>
                <w:szCs w:val="18"/>
                <w:color w:val="auto"/>
              </w:rPr>
              <w:t>77,198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spacing w:after="0" w:line="201" w:lineRule="exact"/>
              <w:rPr>
                <w:sz w:val="20"/>
                <w:szCs w:val="20"/>
                <w:color w:val="auto"/>
              </w:rPr>
            </w:pPr>
            <w:r>
              <w:rPr>
                <w:rFonts w:ascii="Arial" w:cs="Arial" w:eastAsia="Arial" w:hAnsi="Arial"/>
                <w:sz w:val="18"/>
                <w:szCs w:val="18"/>
                <w:color w:val="auto"/>
              </w:rPr>
              <w:t>Contingent liabilities and commitments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Capital stock common, par value $0.50; authorized 60,000 shares, issued 51,776 shares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3"/>
              <w:spacing w:after="0"/>
              <w:rPr>
                <w:sz w:val="20"/>
                <w:szCs w:val="20"/>
                <w:color w:val="auto"/>
              </w:rPr>
            </w:pPr>
            <w:r>
              <w:rPr>
                <w:rFonts w:ascii="Arial" w:cs="Arial" w:eastAsia="Arial" w:hAnsi="Arial"/>
                <w:sz w:val="18"/>
                <w:szCs w:val="18"/>
                <w:color w:val="auto"/>
              </w:rPr>
              <w:t>25,888</w:t>
            </w:r>
          </w:p>
        </w:tc>
        <w:tc>
          <w:tcPr>
            <w:tcW w:w="400" w:type="dxa"/>
            <w:vAlign w:val="bottom"/>
            <w:shd w:val="clear" w:color="auto" w:fill="D6F3E8"/>
          </w:tcPr>
          <w:p>
            <w:pPr>
              <w:spacing w:after="0"/>
              <w:rPr>
                <w:sz w:val="18"/>
                <w:szCs w:val="18"/>
                <w:color w:val="auto"/>
              </w:rPr>
            </w:pPr>
          </w:p>
        </w:tc>
        <w:tc>
          <w:tcPr>
            <w:tcW w:w="136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25,888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29,479</w:t>
            </w:r>
          </w:p>
        </w:tc>
        <w:tc>
          <w:tcPr>
            <w:tcW w:w="400" w:type="dxa"/>
            <w:vAlign w:val="bottom"/>
          </w:tcPr>
          <w:p>
            <w:pPr>
              <w:spacing w:after="0"/>
              <w:rPr>
                <w:sz w:val="18"/>
                <w:szCs w:val="18"/>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29,632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3"/>
              <w:spacing w:after="0"/>
              <w:rPr>
                <w:sz w:val="20"/>
                <w:szCs w:val="20"/>
                <w:color w:val="auto"/>
              </w:rPr>
            </w:pPr>
            <w:r>
              <w:rPr>
                <w:rFonts w:ascii="Arial" w:cs="Arial" w:eastAsia="Arial" w:hAnsi="Arial"/>
                <w:sz w:val="18"/>
                <w:szCs w:val="18"/>
                <w:color w:val="auto"/>
              </w:rPr>
              <w:t>469,217</w:t>
            </w:r>
          </w:p>
        </w:tc>
        <w:tc>
          <w:tcPr>
            <w:tcW w:w="400" w:type="dxa"/>
            <w:vAlign w:val="bottom"/>
            <w:shd w:val="clear" w:color="auto" w:fill="D6F3E8"/>
          </w:tcPr>
          <w:p>
            <w:pPr>
              <w:spacing w:after="0"/>
              <w:rPr>
                <w:sz w:val="18"/>
                <w:szCs w:val="18"/>
                <w:color w:val="auto"/>
              </w:rPr>
            </w:pPr>
          </w:p>
        </w:tc>
        <w:tc>
          <w:tcPr>
            <w:tcW w:w="1360" w:type="dxa"/>
            <w:vAlign w:val="bottom"/>
            <w:shd w:val="clear" w:color="auto" w:fill="D6F3E8"/>
          </w:tcPr>
          <w:p>
            <w:pPr>
              <w:jc w:val="right"/>
              <w:ind w:right="33"/>
              <w:spacing w:after="0"/>
              <w:rPr>
                <w:sz w:val="20"/>
                <w:szCs w:val="20"/>
                <w:color w:val="auto"/>
              </w:rPr>
            </w:pPr>
            <w:r>
              <w:rPr>
                <w:rFonts w:ascii="Arial" w:cs="Arial" w:eastAsia="Arial" w:hAnsi="Arial"/>
                <w:sz w:val="18"/>
                <w:szCs w:val="18"/>
                <w:color w:val="auto"/>
              </w:rPr>
              <w:t>489,194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8"/>
                <w:szCs w:val="18"/>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9,591</w:t>
            </w:r>
          </w:p>
        </w:tc>
        <w:tc>
          <w:tcPr>
            <w:tcW w:w="400" w:type="dxa"/>
            <w:vAlign w:val="bottom"/>
          </w:tcPr>
          <w:p>
            <w:pPr>
              <w:spacing w:after="0"/>
              <w:rPr>
                <w:sz w:val="18"/>
                <w:szCs w:val="18"/>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Treasury stock, at cost (22,704 and 22,706 shares, respectively)</w:t>
            </w:r>
          </w:p>
        </w:tc>
        <w:tc>
          <w:tcPr>
            <w:tcW w:w="220" w:type="dxa"/>
            <w:vAlign w:val="bottom"/>
            <w:tcBorders>
              <w:bottom w:val="single" w:sz="8" w:color="auto"/>
            </w:tcBorders>
            <w:shd w:val="clear" w:color="auto" w:fill="D6F3E8"/>
          </w:tcPr>
          <w:p>
            <w:pPr>
              <w:spacing w:after="0"/>
              <w:rPr>
                <w:sz w:val="18"/>
                <w:szCs w:val="18"/>
                <w:color w:val="auto"/>
              </w:rPr>
            </w:pPr>
          </w:p>
        </w:tc>
        <w:tc>
          <w:tcPr>
            <w:tcW w:w="1460" w:type="dxa"/>
            <w:vAlign w:val="bottom"/>
            <w:tcBorders>
              <w:bottom w:val="single" w:sz="8" w:color="auto"/>
            </w:tcBorders>
            <w:shd w:val="clear" w:color="auto" w:fill="D6F3E8"/>
          </w:tcPr>
          <w:p>
            <w:pPr>
              <w:jc w:val="right"/>
              <w:ind w:right="53"/>
              <w:spacing w:after="0"/>
              <w:rPr>
                <w:sz w:val="20"/>
                <w:szCs w:val="20"/>
                <w:color w:val="auto"/>
              </w:rPr>
            </w:pPr>
            <w:r>
              <w:rPr>
                <w:rFonts w:ascii="Arial" w:cs="Arial" w:eastAsia="Arial" w:hAnsi="Arial"/>
                <w:sz w:val="18"/>
                <w:szCs w:val="18"/>
                <w:color w:val="auto"/>
              </w:rPr>
              <w:t>(380,492)</w:t>
            </w:r>
          </w:p>
        </w:tc>
        <w:tc>
          <w:tcPr>
            <w:tcW w:w="400" w:type="dxa"/>
            <w:vAlign w:val="bottom"/>
            <w:tcBorders>
              <w:bottom w:val="single" w:sz="8" w:color="auto"/>
            </w:tcBorders>
            <w:shd w:val="clear" w:color="auto" w:fill="D6F3E8"/>
          </w:tcPr>
          <w:p>
            <w:pPr>
              <w:spacing w:after="0"/>
              <w:rPr>
                <w:sz w:val="18"/>
                <w:szCs w:val="18"/>
                <w:color w:val="auto"/>
              </w:rPr>
            </w:pPr>
          </w:p>
        </w:tc>
        <w:tc>
          <w:tcPr>
            <w:tcW w:w="13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(380,603)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153,683</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173,924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D6F3E8"/>
            </w:tcBorders>
            <w:shd w:val="clear" w:color="auto" w:fill="D6F3E8"/>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D6F3E8"/>
          </w:tcPr>
          <w:p>
            <w:pPr>
              <w:jc w:val="right"/>
              <w:ind w:right="113"/>
              <w:spacing w:after="0"/>
              <w:rPr>
                <w:sz w:val="20"/>
                <w:szCs w:val="20"/>
                <w:color w:val="auto"/>
              </w:rPr>
            </w:pPr>
            <w:r>
              <w:rPr>
                <w:rFonts w:ascii="Arial" w:cs="Arial" w:eastAsia="Arial" w:hAnsi="Arial"/>
                <w:sz w:val="18"/>
                <w:szCs w:val="18"/>
                <w:color w:val="auto"/>
              </w:rPr>
              <w:t>274,198</w:t>
            </w:r>
          </w:p>
        </w:tc>
        <w:tc>
          <w:tcPr>
            <w:tcW w:w="400" w:type="dxa"/>
            <w:vAlign w:val="bottom"/>
            <w:tcBorders>
              <w:bottom w:val="single" w:sz="8" w:color="auto"/>
            </w:tcBorders>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D6F3E8"/>
          </w:tcPr>
          <w:p>
            <w:pPr>
              <w:jc w:val="right"/>
              <w:ind w:right="33"/>
              <w:spacing w:after="0"/>
              <w:rPr>
                <w:sz w:val="20"/>
                <w:szCs w:val="20"/>
                <w:color w:val="auto"/>
              </w:rPr>
            </w:pPr>
            <w:r>
              <w:rPr>
                <w:rFonts w:ascii="Arial" w:cs="Arial" w:eastAsia="Arial" w:hAnsi="Arial"/>
                <w:sz w:val="18"/>
                <w:szCs w:val="18"/>
                <w:color w:val="auto"/>
              </w:rPr>
              <w:t>305,455</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334"/>
              <w:spacing w:after="0"/>
              <w:rPr>
                <w:sz w:val="20"/>
                <w:szCs w:val="20"/>
                <w:color w:val="auto"/>
              </w:rPr>
            </w:pPr>
            <w:r>
              <w:rPr>
                <w:rFonts w:ascii="Arial" w:cs="Arial" w:eastAsia="Arial" w:hAnsi="Arial"/>
                <w:sz w:val="14"/>
                <w:szCs w:val="14"/>
                <w:b w:val="1"/>
                <w:bCs w:val="1"/>
                <w:color w:val="auto"/>
                <w:w w:val="86"/>
              </w:rPr>
              <w:t>Twenty-Six</w:t>
            </w:r>
          </w:p>
        </w:tc>
        <w:tc>
          <w:tcPr>
            <w:tcW w:w="460" w:type="dxa"/>
            <w:vAlign w:val="bottom"/>
          </w:tcPr>
          <w:p>
            <w:pPr>
              <w:spacing w:after="0"/>
              <w:rPr>
                <w:sz w:val="14"/>
                <w:szCs w:val="14"/>
                <w:color w:val="auto"/>
              </w:rPr>
            </w:pPr>
          </w:p>
        </w:tc>
        <w:tc>
          <w:tcPr>
            <w:tcW w:w="1300" w:type="dxa"/>
            <w:vAlign w:val="bottom"/>
          </w:tcPr>
          <w:p>
            <w:pPr>
              <w:jc w:val="center"/>
              <w:ind w:right="354"/>
              <w:spacing w:after="0"/>
              <w:rPr>
                <w:sz w:val="20"/>
                <w:szCs w:val="20"/>
                <w:color w:val="auto"/>
              </w:rPr>
            </w:pPr>
            <w:r>
              <w:rPr>
                <w:rFonts w:ascii="Arial" w:cs="Arial" w:eastAsia="Arial" w:hAnsi="Arial"/>
                <w:sz w:val="14"/>
                <w:szCs w:val="14"/>
                <w:b w:val="1"/>
                <w:bCs w:val="1"/>
                <w:color w:val="auto"/>
                <w:w w:val="87"/>
              </w:rPr>
              <w:t>Twenty-Seven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Weeks Ended</w:t>
            </w: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jc w:val="center"/>
              <w:ind w:right="334"/>
              <w:spacing w:after="0" w:line="129" w:lineRule="exact"/>
              <w:rPr>
                <w:sz w:val="20"/>
                <w:szCs w:val="20"/>
                <w:color w:val="auto"/>
              </w:rPr>
            </w:pPr>
            <w:r>
              <w:rPr>
                <w:rFonts w:ascii="Arial" w:cs="Arial" w:eastAsia="Arial" w:hAnsi="Arial"/>
                <w:sz w:val="14"/>
                <w:szCs w:val="14"/>
                <w:b w:val="1"/>
                <w:bCs w:val="1"/>
                <w:color w:val="auto"/>
                <w:w w:val="91"/>
              </w:rPr>
              <w:t>February 28,</w:t>
            </w:r>
          </w:p>
        </w:tc>
        <w:tc>
          <w:tcPr>
            <w:tcW w:w="460" w:type="dxa"/>
            <w:vAlign w:val="bottom"/>
          </w:tcPr>
          <w:p>
            <w:pPr>
              <w:spacing w:after="0"/>
              <w:rPr>
                <w:sz w:val="11"/>
                <w:szCs w:val="11"/>
                <w:color w:val="auto"/>
              </w:rPr>
            </w:pPr>
          </w:p>
        </w:tc>
        <w:tc>
          <w:tcPr>
            <w:tcW w:w="1300" w:type="dxa"/>
            <w:vAlign w:val="bottom"/>
          </w:tcPr>
          <w:p>
            <w:pPr>
              <w:jc w:val="center"/>
              <w:ind w:right="354"/>
              <w:spacing w:after="0" w:line="129" w:lineRule="exact"/>
              <w:rPr>
                <w:sz w:val="20"/>
                <w:szCs w:val="20"/>
                <w:color w:val="auto"/>
              </w:rPr>
            </w:pPr>
            <w:r>
              <w:rPr>
                <w:rFonts w:ascii="Arial" w:cs="Arial" w:eastAsia="Arial" w:hAnsi="Arial"/>
                <w:sz w:val="14"/>
                <w:szCs w:val="14"/>
                <w:b w:val="1"/>
                <w:bCs w:val="1"/>
                <w:color w:val="auto"/>
                <w:w w:val="94"/>
              </w:rPr>
              <w:t>March 1,</w:t>
            </w:r>
          </w:p>
        </w:tc>
        <w:tc>
          <w:tcPr>
            <w:tcW w:w="0" w:type="dxa"/>
            <w:vAlign w:val="bottom"/>
          </w:tcPr>
          <w:p>
            <w:pPr>
              <w:spacing w:after="0"/>
              <w:rPr>
                <w:sz w:val="1"/>
                <w:szCs w:val="1"/>
                <w:color w:val="auto"/>
              </w:rPr>
            </w:pPr>
          </w:p>
        </w:tc>
      </w:tr>
      <w:tr>
        <w:trPr>
          <w:trHeight w:val="161"/>
        </w:trPr>
        <w:tc>
          <w:tcPr>
            <w:tcW w:w="7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89"/>
              </w:rPr>
              <w:t>2009</w:t>
            </w: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83"/>
              </w:rPr>
              <w:t>2008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(19,977)</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460" w:type="dxa"/>
            <w:vAlign w:val="bottom"/>
          </w:tcPr>
          <w:p>
            <w:pPr>
              <w:jc w:val="right"/>
              <w:ind w:right="114"/>
              <w:spacing w:after="0"/>
              <w:rPr>
                <w:sz w:val="20"/>
                <w:szCs w:val="20"/>
                <w:color w:val="auto"/>
              </w:rPr>
            </w:pPr>
            <w:r>
              <w:rPr>
                <w:rFonts w:ascii="Arial" w:cs="Arial" w:eastAsia="Arial" w:hAnsi="Arial"/>
                <w:sz w:val="18"/>
                <w:szCs w:val="18"/>
                <w:color w:val="auto"/>
              </w:rPr>
              <w:t>4,146</w:t>
            </w:r>
          </w:p>
        </w:tc>
        <w:tc>
          <w:tcPr>
            <w:tcW w:w="46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526</w:t>
            </w:r>
          </w:p>
        </w:tc>
        <w:tc>
          <w:tcPr>
            <w:tcW w:w="46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Postretirement benefit income and deferred compensation expense</w:t>
            </w:r>
          </w:p>
        </w:tc>
        <w:tc>
          <w:tcPr>
            <w:tcW w:w="220" w:type="dxa"/>
            <w:vAlign w:val="bottom"/>
          </w:tcPr>
          <w:p>
            <w:pPr>
              <w:spacing w:after="0"/>
              <w:rPr>
                <w:sz w:val="18"/>
                <w:szCs w:val="18"/>
                <w:color w:val="auto"/>
              </w:rPr>
            </w:pPr>
          </w:p>
        </w:tc>
        <w:tc>
          <w:tcPr>
            <w:tcW w:w="1460" w:type="dxa"/>
            <w:vAlign w:val="bottom"/>
          </w:tcPr>
          <w:p>
            <w:pPr>
              <w:jc w:val="right"/>
              <w:ind w:right="114"/>
              <w:spacing w:after="0"/>
              <w:rPr>
                <w:sz w:val="20"/>
                <w:szCs w:val="20"/>
                <w:color w:val="auto"/>
              </w:rPr>
            </w:pPr>
            <w:r>
              <w:rPr>
                <w:rFonts w:ascii="Arial" w:cs="Arial" w:eastAsia="Arial" w:hAnsi="Arial"/>
                <w:sz w:val="18"/>
                <w:szCs w:val="18"/>
                <w:color w:val="auto"/>
              </w:rPr>
              <w:t>711</w:t>
            </w:r>
          </w:p>
        </w:tc>
        <w:tc>
          <w:tcPr>
            <w:tcW w:w="46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Provision for doubtful accounts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18</w:t>
            </w:r>
          </w:p>
        </w:tc>
        <w:tc>
          <w:tcPr>
            <w:tcW w:w="46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(503)</w:t>
            </w:r>
          </w:p>
        </w:tc>
        <w:tc>
          <w:tcPr>
            <w:tcW w:w="46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Excess tax benefit of stock-based compensation</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w:t>
            </w:r>
          </w:p>
        </w:tc>
        <w:tc>
          <w:tcPr>
            <w:tcW w:w="46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Increase in cash surrender value of life insurance policies</w:t>
            </w:r>
          </w:p>
        </w:tc>
        <w:tc>
          <w:tcPr>
            <w:tcW w:w="22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(513)</w:t>
            </w: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Loss on disposal of property</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29</w:t>
            </w:r>
          </w:p>
        </w:tc>
        <w:tc>
          <w:tcPr>
            <w:tcW w:w="46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460" w:type="dxa"/>
            <w:vAlign w:val="bottom"/>
          </w:tcPr>
          <w:p>
            <w:pPr>
              <w:jc w:val="right"/>
              <w:ind w:right="114"/>
              <w:spacing w:after="0"/>
              <w:rPr>
                <w:sz w:val="20"/>
                <w:szCs w:val="20"/>
                <w:color w:val="auto"/>
              </w:rPr>
            </w:pPr>
            <w:r>
              <w:rPr>
                <w:rFonts w:ascii="Arial" w:cs="Arial" w:eastAsia="Arial" w:hAnsi="Arial"/>
                <w:sz w:val="18"/>
                <w:szCs w:val="18"/>
                <w:color w:val="auto"/>
              </w:rPr>
              <w:t>111</w:t>
            </w:r>
          </w:p>
        </w:tc>
        <w:tc>
          <w:tcPr>
            <w:tcW w:w="46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Change in assets and liabilities: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460" w:type="dxa"/>
            <w:vAlign w:val="bottom"/>
          </w:tcPr>
          <w:p>
            <w:pPr>
              <w:jc w:val="right"/>
              <w:ind w:right="114"/>
              <w:spacing w:after="0"/>
              <w:rPr>
                <w:sz w:val="20"/>
                <w:szCs w:val="20"/>
                <w:color w:val="auto"/>
              </w:rPr>
            </w:pPr>
            <w:r>
              <w:rPr>
                <w:rFonts w:ascii="Arial" w:cs="Arial" w:eastAsia="Arial" w:hAnsi="Arial"/>
                <w:sz w:val="18"/>
                <w:szCs w:val="18"/>
                <w:color w:val="auto"/>
              </w:rPr>
              <w:t>37,818</w:t>
            </w: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Receivables and prepaid assets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1,290</w:t>
            </w:r>
          </w:p>
        </w:tc>
        <w:tc>
          <w:tcPr>
            <w:tcW w:w="46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(11,734)</w:t>
            </w: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Income taxes (receivable) payable and unrecognized tax benefits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54"/>
              <w:spacing w:after="0"/>
              <w:rPr>
                <w:sz w:val="20"/>
                <w:szCs w:val="20"/>
                <w:color w:val="auto"/>
              </w:rPr>
            </w:pPr>
            <w:r>
              <w:rPr>
                <w:rFonts w:ascii="Arial" w:cs="Arial" w:eastAsia="Arial" w:hAnsi="Arial"/>
                <w:sz w:val="18"/>
                <w:szCs w:val="18"/>
                <w:color w:val="auto"/>
              </w:rPr>
              <w:t>(12,756)</w:t>
            </w:r>
          </w:p>
        </w:tc>
        <w:tc>
          <w:tcPr>
            <w:tcW w:w="46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Postretirement and deferred compensation benefits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(1,424)</w:t>
            </w: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auto"/>
            </w:tcBorders>
            <w:shd w:val="clear" w:color="auto" w:fill="D6F3E8"/>
          </w:tcPr>
          <w:p>
            <w:pPr>
              <w:spacing w:after="0"/>
              <w:rPr>
                <w:sz w:val="18"/>
                <w:szCs w:val="18"/>
                <w:color w:val="auto"/>
              </w:rPr>
            </w:pPr>
          </w:p>
        </w:tc>
        <w:tc>
          <w:tcPr>
            <w:tcW w:w="1460" w:type="dxa"/>
            <w:vAlign w:val="bottom"/>
            <w:tcBorders>
              <w:bottom w:val="single" w:sz="8" w:color="auto"/>
            </w:tcBorders>
            <w:shd w:val="clear" w:color="auto" w:fill="D6F3E8"/>
          </w:tcPr>
          <w:p>
            <w:pPr>
              <w:jc w:val="right"/>
              <w:ind w:right="54"/>
              <w:spacing w:after="0"/>
              <w:rPr>
                <w:sz w:val="20"/>
                <w:szCs w:val="20"/>
                <w:color w:val="auto"/>
              </w:rPr>
            </w:pPr>
            <w:r>
              <w:rPr>
                <w:rFonts w:ascii="Arial" w:cs="Arial" w:eastAsia="Arial" w:hAnsi="Arial"/>
                <w:sz w:val="18"/>
                <w:szCs w:val="18"/>
                <w:color w:val="auto"/>
              </w:rPr>
              <w:t>(2,258)</w:t>
            </w:r>
          </w:p>
        </w:tc>
        <w:tc>
          <w:tcPr>
            <w:tcW w:w="460" w:type="dxa"/>
            <w:vAlign w:val="bottom"/>
            <w:tcBorders>
              <w:bottom w:val="single" w:sz="8" w:color="auto"/>
            </w:tcBorders>
            <w:shd w:val="clear" w:color="auto" w:fill="D6F3E8"/>
          </w:tcPr>
          <w:p>
            <w:pPr>
              <w:spacing w:after="0"/>
              <w:rPr>
                <w:sz w:val="18"/>
                <w:szCs w:val="18"/>
                <w:color w:val="auto"/>
              </w:rPr>
            </w:pPr>
          </w:p>
        </w:tc>
        <w:tc>
          <w:tcPr>
            <w:tcW w:w="13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(12,633)</w:t>
            </w:r>
          </w:p>
        </w:tc>
        <w:tc>
          <w:tcPr>
            <w:tcW w:w="0" w:type="dxa"/>
            <w:vAlign w:val="bottom"/>
          </w:tcPr>
          <w:p>
            <w:pPr>
              <w:spacing w:after="0"/>
              <w:rPr>
                <w:sz w:val="1"/>
                <w:szCs w:val="1"/>
                <w:color w:val="auto"/>
              </w:rPr>
            </w:pPr>
          </w:p>
        </w:tc>
      </w:tr>
      <w:tr>
        <w:trPr>
          <w:trHeight w:val="357"/>
        </w:trPr>
        <w:tc>
          <w:tcPr>
            <w:tcW w:w="79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Purchases of investments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w:t>
            </w:r>
          </w:p>
        </w:tc>
        <w:tc>
          <w:tcPr>
            <w:tcW w:w="46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(228,069)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Proceeds from the sale or maturity of investments</w:t>
            </w:r>
          </w:p>
        </w:tc>
        <w:tc>
          <w:tcPr>
            <w:tcW w:w="220" w:type="dxa"/>
            <w:vAlign w:val="bottom"/>
          </w:tcPr>
          <w:p>
            <w:pPr>
              <w:spacing w:after="0"/>
              <w:rPr>
                <w:sz w:val="18"/>
                <w:szCs w:val="18"/>
                <w:color w:val="auto"/>
              </w:rPr>
            </w:pPr>
          </w:p>
        </w:tc>
        <w:tc>
          <w:tcPr>
            <w:tcW w:w="1460" w:type="dxa"/>
            <w:vAlign w:val="bottom"/>
          </w:tcPr>
          <w:p>
            <w:pPr>
              <w:jc w:val="right"/>
              <w:ind w:right="114"/>
              <w:spacing w:after="0"/>
              <w:rPr>
                <w:sz w:val="20"/>
                <w:szCs w:val="20"/>
                <w:color w:val="auto"/>
              </w:rPr>
            </w:pPr>
            <w:r>
              <w:rPr>
                <w:rFonts w:ascii="Arial" w:cs="Arial" w:eastAsia="Arial" w:hAnsi="Arial"/>
                <w:sz w:val="18"/>
                <w:szCs w:val="18"/>
                <w:color w:val="auto"/>
              </w:rPr>
              <w:t>8,500</w:t>
            </w:r>
          </w:p>
        </w:tc>
        <w:tc>
          <w:tcPr>
            <w:tcW w:w="46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276,519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54"/>
              <w:spacing w:after="0"/>
              <w:rPr>
                <w:sz w:val="20"/>
                <w:szCs w:val="20"/>
                <w:color w:val="auto"/>
              </w:rPr>
            </w:pPr>
            <w:r>
              <w:rPr>
                <w:rFonts w:ascii="Arial" w:cs="Arial" w:eastAsia="Arial" w:hAnsi="Arial"/>
                <w:sz w:val="18"/>
                <w:szCs w:val="18"/>
                <w:color w:val="auto"/>
              </w:rPr>
              <w:t>(1,344)</w:t>
            </w:r>
          </w:p>
        </w:tc>
        <w:tc>
          <w:tcPr>
            <w:tcW w:w="46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Proceeds from the sale of property</w:t>
            </w:r>
          </w:p>
        </w:tc>
        <w:tc>
          <w:tcPr>
            <w:tcW w:w="220" w:type="dxa"/>
            <w:vAlign w:val="bottom"/>
          </w:tcPr>
          <w:p>
            <w:pPr>
              <w:spacing w:after="0"/>
              <w:rPr>
                <w:sz w:val="18"/>
                <w:szCs w:val="18"/>
                <w:color w:val="auto"/>
              </w:rPr>
            </w:pPr>
          </w:p>
        </w:tc>
        <w:tc>
          <w:tcPr>
            <w:tcW w:w="1460" w:type="dxa"/>
            <w:vAlign w:val="bottom"/>
          </w:tcPr>
          <w:p>
            <w:pPr>
              <w:jc w:val="right"/>
              <w:ind w:right="114"/>
              <w:spacing w:after="0"/>
              <w:rPr>
                <w:sz w:val="20"/>
                <w:szCs w:val="20"/>
                <w:color w:val="auto"/>
              </w:rPr>
            </w:pPr>
            <w:r>
              <w:rPr>
                <w:rFonts w:ascii="Arial" w:cs="Arial" w:eastAsia="Arial" w:hAnsi="Arial"/>
                <w:sz w:val="18"/>
                <w:szCs w:val="18"/>
                <w:color w:val="auto"/>
              </w:rPr>
              <w:t>214</w:t>
            </w:r>
          </w:p>
        </w:tc>
        <w:tc>
          <w:tcPr>
            <w:tcW w:w="46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6F3E8"/>
          </w:tcPr>
          <w:p>
            <w:pPr>
              <w:spacing w:after="0"/>
              <w:rPr>
                <w:sz w:val="18"/>
                <w:szCs w:val="18"/>
                <w:color w:val="auto"/>
              </w:rPr>
            </w:pPr>
          </w:p>
        </w:tc>
        <w:tc>
          <w:tcPr>
            <w:tcW w:w="1460" w:type="dxa"/>
            <w:vAlign w:val="bottom"/>
            <w:tcBorders>
              <w:bottom w:val="single" w:sz="8" w:color="auto"/>
            </w:tcBorders>
            <w:shd w:val="clear" w:color="auto" w:fill="D6F3E8"/>
          </w:tcPr>
          <w:p>
            <w:pPr>
              <w:jc w:val="right"/>
              <w:ind w:right="54"/>
              <w:spacing w:after="0"/>
              <w:rPr>
                <w:sz w:val="20"/>
                <w:szCs w:val="20"/>
                <w:color w:val="auto"/>
              </w:rPr>
            </w:pPr>
            <w:r>
              <w:rPr>
                <w:rFonts w:ascii="Arial" w:cs="Arial" w:eastAsia="Arial" w:hAnsi="Arial"/>
                <w:sz w:val="18"/>
                <w:szCs w:val="18"/>
                <w:color w:val="auto"/>
              </w:rPr>
              <w:t>(958)</w:t>
            </w:r>
          </w:p>
        </w:tc>
        <w:tc>
          <w:tcPr>
            <w:tcW w:w="460" w:type="dxa"/>
            <w:vAlign w:val="bottom"/>
            <w:tcBorders>
              <w:bottom w:val="single" w:sz="8" w:color="auto"/>
            </w:tcBorders>
            <w:shd w:val="clear" w:color="auto" w:fill="D6F3E8"/>
          </w:tcPr>
          <w:p>
            <w:pPr>
              <w:spacing w:after="0"/>
              <w:rPr>
                <w:sz w:val="18"/>
                <w:szCs w:val="18"/>
                <w:color w:val="auto"/>
              </w:rPr>
            </w:pPr>
          </w:p>
        </w:tc>
        <w:tc>
          <w:tcPr>
            <w:tcW w:w="13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6,412</w:t>
            </w: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45,359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Payments for purchase of common stock</w:t>
            </w:r>
          </w:p>
        </w:tc>
        <w:tc>
          <w:tcPr>
            <w:tcW w:w="22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(162)</w:t>
            </w: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Payments of cash dividends</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54"/>
              <w:spacing w:after="0"/>
              <w:rPr>
                <w:sz w:val="20"/>
                <w:szCs w:val="20"/>
                <w:color w:val="auto"/>
              </w:rPr>
            </w:pPr>
            <w:r>
              <w:rPr>
                <w:rFonts w:ascii="Arial" w:cs="Arial" w:eastAsia="Arial" w:hAnsi="Arial"/>
                <w:sz w:val="18"/>
                <w:szCs w:val="18"/>
                <w:color w:val="auto"/>
              </w:rPr>
              <w:t>(3,489)</w:t>
            </w:r>
          </w:p>
        </w:tc>
        <w:tc>
          <w:tcPr>
            <w:tcW w:w="46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Borrowings on ARS portfolio</w:t>
            </w:r>
          </w:p>
        </w:tc>
        <w:tc>
          <w:tcPr>
            <w:tcW w:w="220" w:type="dxa"/>
            <w:vAlign w:val="bottom"/>
          </w:tcPr>
          <w:p>
            <w:pPr>
              <w:spacing w:after="0"/>
              <w:rPr>
                <w:sz w:val="18"/>
                <w:szCs w:val="18"/>
                <w:color w:val="auto"/>
              </w:rPr>
            </w:pPr>
          </w:p>
        </w:tc>
        <w:tc>
          <w:tcPr>
            <w:tcW w:w="1460" w:type="dxa"/>
            <w:vAlign w:val="bottom"/>
          </w:tcPr>
          <w:p>
            <w:pPr>
              <w:jc w:val="right"/>
              <w:ind w:right="114"/>
              <w:spacing w:after="0"/>
              <w:rPr>
                <w:sz w:val="20"/>
                <w:szCs w:val="20"/>
                <w:color w:val="auto"/>
              </w:rPr>
            </w:pPr>
            <w:r>
              <w:rPr>
                <w:rFonts w:ascii="Arial" w:cs="Arial" w:eastAsia="Arial" w:hAnsi="Arial"/>
                <w:sz w:val="18"/>
                <w:szCs w:val="18"/>
                <w:color w:val="auto"/>
              </w:rPr>
              <w:t>9,100</w:t>
            </w:r>
          </w:p>
        </w:tc>
        <w:tc>
          <w:tcPr>
            <w:tcW w:w="46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Proceeds from issuance of treasury stock</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w:t>
            </w:r>
          </w:p>
        </w:tc>
        <w:tc>
          <w:tcPr>
            <w:tcW w:w="46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Excess tax benefit of stock-based compensation</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shd w:val="clear" w:color="auto" w:fill="D6F3E8"/>
          </w:tcPr>
          <w:p>
            <w:pPr>
              <w:spacing w:after="0"/>
              <w:rPr>
                <w:sz w:val="18"/>
                <w:szCs w:val="18"/>
                <w:color w:val="auto"/>
              </w:rPr>
            </w:pPr>
          </w:p>
        </w:tc>
        <w:tc>
          <w:tcPr>
            <w:tcW w:w="1460" w:type="dxa"/>
            <w:vAlign w:val="bottom"/>
            <w:tcBorders>
              <w:bottom w:val="single" w:sz="8" w:color="auto"/>
            </w:tcBorders>
            <w:shd w:val="clear" w:color="auto" w:fill="D6F3E8"/>
          </w:tcPr>
          <w:p>
            <w:pPr>
              <w:jc w:val="right"/>
              <w:ind w:right="114"/>
              <w:spacing w:after="0"/>
              <w:rPr>
                <w:sz w:val="20"/>
                <w:szCs w:val="20"/>
                <w:color w:val="auto"/>
              </w:rPr>
            </w:pPr>
            <w:r>
              <w:rPr>
                <w:rFonts w:ascii="Arial" w:cs="Arial" w:eastAsia="Arial" w:hAnsi="Arial"/>
                <w:sz w:val="18"/>
                <w:szCs w:val="18"/>
                <w:color w:val="auto"/>
              </w:rPr>
              <w:t>5,449</w:t>
            </w:r>
          </w:p>
        </w:tc>
        <w:tc>
          <w:tcPr>
            <w:tcW w:w="460" w:type="dxa"/>
            <w:vAlign w:val="bottom"/>
            <w:tcBorders>
              <w:bottom w:val="single" w:sz="8" w:color="auto"/>
            </w:tcBorders>
            <w:shd w:val="clear" w:color="auto" w:fill="D6F3E8"/>
          </w:tcPr>
          <w:p>
            <w:pPr>
              <w:spacing w:after="0"/>
              <w:rPr>
                <w:sz w:val="18"/>
                <w:szCs w:val="18"/>
                <w:color w:val="auto"/>
              </w:rPr>
            </w:pPr>
          </w:p>
        </w:tc>
        <w:tc>
          <w:tcPr>
            <w:tcW w:w="13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(24,079)</w:t>
            </w:r>
          </w:p>
        </w:tc>
        <w:tc>
          <w:tcPr>
            <w:tcW w:w="0" w:type="dxa"/>
            <w:vAlign w:val="bottom"/>
          </w:tcPr>
          <w:p>
            <w:pPr>
              <w:spacing w:after="0"/>
              <w:rPr>
                <w:sz w:val="1"/>
                <w:szCs w:val="1"/>
                <w:color w:val="auto"/>
              </w:rPr>
            </w:pPr>
          </w:p>
        </w:tc>
      </w:tr>
      <w:tr>
        <w:trPr>
          <w:trHeight w:val="356"/>
        </w:trPr>
        <w:tc>
          <w:tcPr>
            <w:tcW w:w="798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Pr>
          <w:p>
            <w:pPr>
              <w:spacing w:after="0"/>
              <w:rPr>
                <w:sz w:val="24"/>
                <w:szCs w:val="24"/>
                <w:color w:val="auto"/>
              </w:rPr>
            </w:pPr>
          </w:p>
        </w:tc>
        <w:tc>
          <w:tcPr>
            <w:tcW w:w="1460" w:type="dxa"/>
            <w:vAlign w:val="bottom"/>
          </w:tcPr>
          <w:p>
            <w:pPr>
              <w:jc w:val="right"/>
              <w:ind w:right="114"/>
              <w:spacing w:after="0"/>
              <w:rPr>
                <w:sz w:val="20"/>
                <w:szCs w:val="20"/>
                <w:color w:val="auto"/>
              </w:rPr>
            </w:pPr>
            <w:r>
              <w:rPr>
                <w:rFonts w:ascii="Arial" w:cs="Arial" w:eastAsia="Arial" w:hAnsi="Arial"/>
                <w:sz w:val="18"/>
                <w:szCs w:val="18"/>
                <w:color w:val="auto"/>
              </w:rPr>
              <w:t>9,603</w:t>
            </w:r>
          </w:p>
        </w:tc>
        <w:tc>
          <w:tcPr>
            <w:tcW w:w="460" w:type="dxa"/>
            <w:vAlign w:val="bottom"/>
          </w:tcPr>
          <w:p>
            <w:pPr>
              <w:spacing w:after="0"/>
              <w:rPr>
                <w:sz w:val="24"/>
                <w:szCs w:val="24"/>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8,647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shd w:val="clear" w:color="auto" w:fill="D6F3E8"/>
          </w:tcPr>
          <w:p>
            <w:pPr>
              <w:spacing w:after="0"/>
              <w:rPr>
                <w:sz w:val="18"/>
                <w:szCs w:val="18"/>
                <w:color w:val="auto"/>
              </w:rPr>
            </w:pPr>
          </w:p>
        </w:tc>
        <w:tc>
          <w:tcPr>
            <w:tcW w:w="1460" w:type="dxa"/>
            <w:vAlign w:val="bottom"/>
            <w:tcBorders>
              <w:bottom w:val="single" w:sz="8" w:color="auto"/>
            </w:tcBorders>
            <w:shd w:val="clear" w:color="auto" w:fill="D6F3E8"/>
          </w:tcPr>
          <w:p>
            <w:pPr>
              <w:jc w:val="right"/>
              <w:ind w:right="114"/>
              <w:spacing w:after="0"/>
              <w:rPr>
                <w:sz w:val="20"/>
                <w:szCs w:val="20"/>
                <w:color w:val="auto"/>
              </w:rPr>
            </w:pPr>
            <w:r>
              <w:rPr>
                <w:rFonts w:ascii="Arial" w:cs="Arial" w:eastAsia="Arial" w:hAnsi="Arial"/>
                <w:sz w:val="18"/>
                <w:szCs w:val="18"/>
                <w:color w:val="auto"/>
              </w:rPr>
              <w:t>17,851</w:t>
            </w:r>
          </w:p>
        </w:tc>
        <w:tc>
          <w:tcPr>
            <w:tcW w:w="460" w:type="dxa"/>
            <w:vAlign w:val="bottom"/>
            <w:tcBorders>
              <w:bottom w:val="single" w:sz="8" w:color="auto"/>
            </w:tcBorders>
            <w:shd w:val="clear" w:color="auto" w:fill="D6F3E8"/>
          </w:tcPr>
          <w:p>
            <w:pPr>
              <w:spacing w:after="0"/>
              <w:rPr>
                <w:sz w:val="18"/>
                <w:szCs w:val="18"/>
                <w:color w:val="auto"/>
              </w:rPr>
            </w:pPr>
          </w:p>
        </w:tc>
        <w:tc>
          <w:tcPr>
            <w:tcW w:w="1300" w:type="dxa"/>
            <w:vAlign w:val="bottom"/>
            <w:tcBorders>
              <w:bottom w:val="single" w:sz="8" w:color="auto"/>
            </w:tcBorders>
            <w:shd w:val="clear" w:color="auto" w:fill="D6F3E8"/>
          </w:tcPr>
          <w:p>
            <w:pPr>
              <w:jc w:val="right"/>
              <w:ind w:right="34"/>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27,454</w:t>
            </w:r>
          </w:p>
        </w:tc>
        <w:tc>
          <w:tcPr>
            <w:tcW w:w="4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15,536</w:t>
            </w:r>
          </w:p>
        </w:tc>
        <w:tc>
          <w:tcPr>
            <w:tcW w:w="0" w:type="dxa"/>
            <w:vAlign w:val="bottom"/>
          </w:tcPr>
          <w:p>
            <w:pPr>
              <w:spacing w:after="0"/>
              <w:rPr>
                <w:sz w:val="1"/>
                <w:szCs w:val="1"/>
                <w:color w:val="auto"/>
              </w:rPr>
            </w:pPr>
          </w:p>
        </w:tc>
      </w:tr>
      <w:tr>
        <w:trPr>
          <w:trHeight w:val="20"/>
        </w:trPr>
        <w:tc>
          <w:tcPr>
            <w:tcW w:w="79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Supplemental cash flow disclosure:</w:t>
            </w:r>
          </w:p>
        </w:tc>
        <w:tc>
          <w:tcPr>
            <w:tcW w:w="220" w:type="dxa"/>
            <w:vAlign w:val="bottom"/>
            <w:shd w:val="clear" w:color="auto" w:fill="D6F3E8"/>
          </w:tcPr>
          <w:p>
            <w:pPr>
              <w:spacing w:after="0"/>
              <w:rPr>
                <w:sz w:val="18"/>
                <w:szCs w:val="18"/>
                <w:color w:val="auto"/>
              </w:rPr>
            </w:pPr>
          </w:p>
        </w:tc>
        <w:tc>
          <w:tcPr>
            <w:tcW w:w="14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Income taxes paid</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123</w:t>
            </w:r>
          </w:p>
        </w:tc>
        <w:tc>
          <w:tcPr>
            <w:tcW w:w="4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Notes to Condensed Consolidated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“we,” “our” and “us” are used interchangeably to refer to Winnebago Industries, Inc. At February 28, 2009, the Company had no subsidiaries.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accompanying unaudited condensed consolidated financial statements contain all adjustments, consisting of normal recurring accruals, necessary to present fairly the consolidated financial position as of February 28, 2009 and the consolidated results of operations for the thirteen and twenty-six weeks ended February 28, 2009 and the thirteen and twenty-seven weeks ended March 1, 2008 and consolidated cash flows for the twenty-six weeks ended February 28, 2009 and the twenty-seven weeks ended March 1, 2008. The consolidated statement of operations for the twenty-six weeks ended February 28, 2009 is not necessarily indicative of the results to be expected for the full year. The balance sheet data as of August 30, 2008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our Annual Report to Shareholders for the year ended August 30,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23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September 2006, the Financial Accounting Standards Board (FASB) issued Statement of Financial Accounting Standards (SFAS) No. 157, Fair Value Measurements. SFAS No. 157 establishes a single definition of fair value and a framework for measuring fair value, sets out a fair value hierarchy to be used to classify the source of information used in fair value measurements, and requires new disclosures of assets and liabilities measured at fair value based on their level in the hierarchy. This statement applies under other accounting pronouncements that require or permit fair value measurements. On August 31, 2008, we adopted, on a prospective basis, the SFAS No. 157 definition of fair value and became subject to the new disclosure requirements with respect to our fair value measurements of (a) nonfinancial assets and liabilities that are recognized or disclosed at fair value in our financial statements on a recurring basis and (b) all financial assets and liabilities. Our adoption did not impact our consolidated financial position or results of operations. The additional disclosures required by SFAS No. 157 are included in Note 3, Fair Value Measurements.</w:t>
      </w:r>
    </w:p>
    <w:p>
      <w:pPr>
        <w:spacing w:after="0" w:line="17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including an Amendment of FASB Statement No. 115, which permits an entity to measure many financial assets and financial liabilities at fair value that are not currently required to be measured at fair value. Entities that elect the fair value option will report unrealized gains and losses in earnings at each subsequent reporting date. The fair value option may be elected on an instrument-by-instrument basis, with few exceptions. SFAS No. 159 amends previous guidance to extend the use of the fair value option to available for sale and held to maturity securities. The statement also establishes presentation and disclosure requirements to help financial statement users understand the effect of the election. On August 31, 2008, we adopted SFAS No. 159 and elected the fair value option for the rights associated with our auction rate securities (ARSs) (see Note 4). This adoption and election did not have a material impact on our consolidated financial position or results of operations.</w:t>
      </w:r>
    </w:p>
    <w:p>
      <w:pPr>
        <w:spacing w:after="0" w:line="17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June 2008, the FASB issued a FASB Staff Position (FSP) on the FASB’s Emerging Issues Task Force (EITF) Issue No. 03-06-1, </w:t>
      </w:r>
      <w:r>
        <w:rPr>
          <w:rFonts w:ascii="Arial" w:cs="Arial" w:eastAsia="Arial" w:hAnsi="Arial"/>
          <w:sz w:val="16"/>
          <w:szCs w:val="16"/>
          <w:i w:val="1"/>
          <w:iCs w:val="1"/>
          <w:color w:val="auto"/>
        </w:rPr>
        <w:t>Determining Whether</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Granted in Share-Based Payment Transactions Are Participating Securities</w:t>
      </w:r>
      <w:r>
        <w:rPr>
          <w:rFonts w:ascii="Arial" w:cs="Arial" w:eastAsia="Arial" w:hAnsi="Arial"/>
          <w:sz w:val="16"/>
          <w:szCs w:val="16"/>
          <w:color w:val="auto"/>
        </w:rPr>
        <w:t>, (FSP EITF 03-06-1). This FSP addresses whether instruments granted in</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payment transactions are participating securities prior to vesting and, therefore, need to be included in the earnings allocation in computing earnings per share (EPS) under the two-class method described in SFAS No. 128, Earnings Per Share. It affects entities that accrue or pay nonforfeitable cash dividends on share-based payment awards during the awards’ service period. FSP EITF 03-06-1 is effective for fiscal years beginning after December 15, 2008 (our Fiscal 2010) and interim periods within those fiscal years and will require a retrospective adjustment to all prior period EPS. We are currently evaluating the impact this FSP will have on our calculation and presentation of EPS.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31" w:lineRule="exact"/>
        <w:rPr>
          <w:sz w:val="20"/>
          <w:szCs w:val="20"/>
          <w:color w:val="auto"/>
        </w:rPr>
      </w:pPr>
    </w:p>
    <w:p>
      <w:pPr>
        <w:jc w:val="both"/>
        <w:ind w:right="260"/>
        <w:spacing w:after="0" w:line="298" w:lineRule="auto"/>
        <w:rPr>
          <w:sz w:val="20"/>
          <w:szCs w:val="20"/>
          <w:color w:val="auto"/>
        </w:rPr>
      </w:pPr>
      <w:r>
        <w:rPr>
          <w:rFonts w:ascii="Arial" w:cs="Arial" w:eastAsia="Arial" w:hAnsi="Arial"/>
          <w:sz w:val="16"/>
          <w:szCs w:val="16"/>
          <w:color w:val="auto"/>
        </w:rPr>
        <w:t>As discussed in Note 2, we adopted SFAS No. 157 on August 31, 2008. This standard defines fair value, establishes a framework for measuring fair value and expands disclosure requirements about fair value measurements. SFAS No. 157 defines fair value as the price that would be received to sell an asset or paid to transfer a liability (an exit price) in the principal or most advantageous market for the asset or liability in an orderly transaction between market participants on the measurement date. The fair value hierarchy prescribed by SFAS No. 157 contains three levels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that are available in active markets for the identical assets or liabilities at the measurement 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Other observable inputs available at the measurement date, other than quoted prices included in Level 1, either directly or indirectly, including:</w:t>
      </w:r>
    </w:p>
    <w:p>
      <w:pPr>
        <w:spacing w:after="0" w:line="262" w:lineRule="exact"/>
        <w:rPr>
          <w:sz w:val="20"/>
          <w:szCs w:val="20"/>
          <w:color w:val="auto"/>
        </w:rPr>
      </w:pPr>
    </w:p>
    <w:p>
      <w:pPr>
        <w:ind w:left="580" w:hanging="31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57" w:lineRule="exact"/>
        <w:rPr>
          <w:rFonts w:ascii="Arial" w:cs="Arial" w:eastAsia="Arial" w:hAnsi="Arial"/>
          <w:sz w:val="18"/>
          <w:szCs w:val="18"/>
          <w:color w:val="auto"/>
        </w:rPr>
      </w:pPr>
    </w:p>
    <w:p>
      <w:pPr>
        <w:ind w:left="580" w:hanging="31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identical or similar assets in nonactive markets;</w:t>
      </w:r>
    </w:p>
    <w:p>
      <w:pPr>
        <w:spacing w:after="0" w:line="157" w:lineRule="exact"/>
        <w:rPr>
          <w:rFonts w:ascii="Arial" w:cs="Arial" w:eastAsia="Arial" w:hAnsi="Arial"/>
          <w:sz w:val="18"/>
          <w:szCs w:val="18"/>
          <w:color w:val="auto"/>
        </w:rPr>
      </w:pPr>
    </w:p>
    <w:p>
      <w:pPr>
        <w:ind w:left="580" w:hanging="31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 and</w:t>
      </w:r>
    </w:p>
    <w:p>
      <w:pPr>
        <w:spacing w:after="0" w:line="157" w:lineRule="exact"/>
        <w:rPr>
          <w:rFonts w:ascii="Arial" w:cs="Arial" w:eastAsia="Arial" w:hAnsi="Arial"/>
          <w:sz w:val="18"/>
          <w:szCs w:val="18"/>
          <w:color w:val="auto"/>
        </w:rPr>
      </w:pPr>
    </w:p>
    <w:p>
      <w:pPr>
        <w:ind w:left="580" w:hanging="31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other observable market data.</w:t>
      </w:r>
    </w:p>
    <w:p>
      <w:pPr>
        <w:spacing w:after="0" w:line="22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cannot be corroborated by observable market data and reflect the use of significant management judgment. These values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determined using pricing models for which the assumptions utilize management’s estimates of market participant assumptions.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that are Measured at Fair Value on a Recurring Basis</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 The following table sets forth by level within the fair value hierarchy our financial assets that were accounted for at fair value on a recurring basis at February 28, 2009, according to the valuation techniques we used to determine their fair values: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center"/>
              <w:ind w:right="422"/>
              <w:spacing w:after="0"/>
              <w:rPr>
                <w:sz w:val="20"/>
                <w:szCs w:val="20"/>
                <w:color w:val="auto"/>
              </w:rPr>
            </w:pPr>
            <w:r>
              <w:rPr>
                <w:rFonts w:ascii="Arial" w:cs="Arial" w:eastAsia="Arial" w:hAnsi="Arial"/>
                <w:sz w:val="14"/>
                <w:szCs w:val="14"/>
                <w:b w:val="1"/>
                <w:bCs w:val="1"/>
                <w:color w:val="auto"/>
                <w:w w:val="91"/>
              </w:rPr>
              <w:t>Fair Value at</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80" w:type="dxa"/>
            <w:vAlign w:val="bottom"/>
          </w:tcPr>
          <w:p>
            <w:pPr>
              <w:jc w:val="center"/>
              <w:ind w:left="7"/>
              <w:spacing w:after="0"/>
              <w:rPr>
                <w:sz w:val="20"/>
                <w:szCs w:val="20"/>
                <w:color w:val="auto"/>
              </w:rPr>
            </w:pPr>
            <w:r>
              <w:rPr>
                <w:rFonts w:ascii="Arial" w:cs="Arial" w:eastAsia="Arial" w:hAnsi="Arial"/>
                <w:sz w:val="14"/>
                <w:szCs w:val="14"/>
                <w:b w:val="1"/>
                <w:bCs w:val="1"/>
                <w:color w:val="auto"/>
                <w:w w:val="88"/>
              </w:rPr>
              <w:t>Fair Value Measurements</w:t>
            </w:r>
          </w:p>
        </w:tc>
        <w:tc>
          <w:tcPr>
            <w:tcW w:w="14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center"/>
              <w:ind w:right="422"/>
              <w:spacing w:after="0"/>
              <w:rPr>
                <w:sz w:val="20"/>
                <w:szCs w:val="20"/>
                <w:color w:val="auto"/>
              </w:rPr>
            </w:pPr>
            <w:r>
              <w:rPr>
                <w:rFonts w:ascii="Arial" w:cs="Arial" w:eastAsia="Arial" w:hAnsi="Arial"/>
                <w:sz w:val="14"/>
                <w:szCs w:val="14"/>
                <w:b w:val="1"/>
                <w:bCs w:val="1"/>
                <w:color w:val="auto"/>
                <w:w w:val="91"/>
              </w:rPr>
              <w:t>February 28,</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6"/>
              </w:rPr>
              <w:t>Using Inputs Considered As</w:t>
            </w:r>
          </w:p>
        </w:tc>
        <w:tc>
          <w:tcPr>
            <w:tcW w:w="1460" w:type="dxa"/>
            <w:vAlign w:val="bottom"/>
            <w:tcBorders>
              <w:bottom w:val="single" w:sz="8" w:color="auto"/>
            </w:tcBorders>
          </w:tcPr>
          <w:p>
            <w:pPr>
              <w:spacing w:after="0"/>
              <w:rPr>
                <w:sz w:val="14"/>
                <w:szCs w:val="14"/>
                <w:color w:val="auto"/>
              </w:rPr>
            </w:pPr>
          </w:p>
        </w:tc>
      </w:tr>
      <w:tr>
        <w:trPr>
          <w:trHeight w:val="142"/>
        </w:trPr>
        <w:tc>
          <w:tcPr>
            <w:tcW w:w="42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2"/>
                <w:szCs w:val="12"/>
                <w:color w:val="auto"/>
              </w:rPr>
            </w:pPr>
          </w:p>
        </w:tc>
        <w:tc>
          <w:tcPr>
            <w:tcW w:w="1420" w:type="dxa"/>
            <w:vAlign w:val="bottom"/>
          </w:tcPr>
          <w:p>
            <w:pPr>
              <w:jc w:val="center"/>
              <w:ind w:right="422"/>
              <w:spacing w:after="0" w:line="142" w:lineRule="exact"/>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2"/>
                <w:szCs w:val="12"/>
                <w:color w:val="auto"/>
              </w:rPr>
            </w:pPr>
          </w:p>
        </w:tc>
        <w:tc>
          <w:tcPr>
            <w:tcW w:w="1120" w:type="dxa"/>
            <w:vAlign w:val="bottom"/>
          </w:tcPr>
          <w:p>
            <w:pPr>
              <w:jc w:val="right"/>
              <w:ind w:right="459"/>
              <w:spacing w:after="0" w:line="142" w:lineRule="exact"/>
              <w:rPr>
                <w:sz w:val="20"/>
                <w:szCs w:val="20"/>
                <w:color w:val="auto"/>
              </w:rPr>
            </w:pPr>
            <w:r>
              <w:rPr>
                <w:rFonts w:ascii="Arial" w:cs="Arial" w:eastAsia="Arial" w:hAnsi="Arial"/>
                <w:sz w:val="14"/>
                <w:szCs w:val="14"/>
                <w:b w:val="1"/>
                <w:bCs w:val="1"/>
                <w:color w:val="auto"/>
              </w:rPr>
              <w:t>Level 1</w:t>
            </w:r>
          </w:p>
        </w:tc>
        <w:tc>
          <w:tcPr>
            <w:tcW w:w="1780" w:type="dxa"/>
            <w:vAlign w:val="bottom"/>
          </w:tcPr>
          <w:p>
            <w:pPr>
              <w:jc w:val="right"/>
              <w:ind w:right="627"/>
              <w:spacing w:after="0" w:line="142" w:lineRule="exact"/>
              <w:rPr>
                <w:sz w:val="20"/>
                <w:szCs w:val="20"/>
                <w:color w:val="auto"/>
              </w:rPr>
            </w:pPr>
            <w:r>
              <w:rPr>
                <w:rFonts w:ascii="Arial" w:cs="Arial" w:eastAsia="Arial" w:hAnsi="Arial"/>
                <w:sz w:val="14"/>
                <w:szCs w:val="14"/>
                <w:b w:val="1"/>
                <w:bCs w:val="1"/>
                <w:color w:val="auto"/>
              </w:rPr>
              <w:t>Level 2</w:t>
            </w:r>
          </w:p>
        </w:tc>
        <w:tc>
          <w:tcPr>
            <w:tcW w:w="1460" w:type="dxa"/>
            <w:vAlign w:val="bottom"/>
          </w:tcPr>
          <w:p>
            <w:pPr>
              <w:jc w:val="right"/>
              <w:ind w:right="479"/>
              <w:spacing w:after="0" w:line="142" w:lineRule="exact"/>
              <w:rPr>
                <w:sz w:val="20"/>
                <w:szCs w:val="20"/>
                <w:color w:val="auto"/>
              </w:rPr>
            </w:pPr>
            <w:r>
              <w:rPr>
                <w:rFonts w:ascii="Arial" w:cs="Arial" w:eastAsia="Arial" w:hAnsi="Arial"/>
                <w:sz w:val="14"/>
                <w:szCs w:val="14"/>
                <w:b w:val="1"/>
                <w:bCs w:val="1"/>
                <w:color w:val="auto"/>
              </w:rPr>
              <w:t>Level 3</w:t>
            </w:r>
          </w:p>
        </w:tc>
      </w:tr>
      <w:tr>
        <w:trPr>
          <w:trHeight w:val="210"/>
        </w:trPr>
        <w:tc>
          <w:tcPr>
            <w:tcW w:w="20" w:type="dxa"/>
            <w:vAlign w:val="bottom"/>
          </w:tcPr>
          <w:p>
            <w:pPr>
              <w:spacing w:after="0"/>
              <w:rPr>
                <w:sz w:val="18"/>
                <w:szCs w:val="18"/>
                <w:color w:val="auto"/>
              </w:rPr>
            </w:pPr>
          </w:p>
        </w:tc>
        <w:tc>
          <w:tcPr>
            <w:tcW w:w="424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Assets</w:t>
            </w:r>
          </w:p>
        </w:tc>
        <w:tc>
          <w:tcPr>
            <w:tcW w:w="1120" w:type="dxa"/>
            <w:vAlign w:val="bottom"/>
            <w:tcBorders>
              <w:top w:val="single" w:sz="8" w:color="auto"/>
            </w:tcBorders>
            <w:shd w:val="clear" w:color="auto" w:fill="D6F3E8"/>
          </w:tcPr>
          <w:p>
            <w:pPr>
              <w:spacing w:after="0"/>
              <w:rPr>
                <w:sz w:val="18"/>
                <w:szCs w:val="18"/>
                <w:color w:val="auto"/>
              </w:rPr>
            </w:pPr>
          </w:p>
        </w:tc>
        <w:tc>
          <w:tcPr>
            <w:tcW w:w="1420" w:type="dxa"/>
            <w:vAlign w:val="bottom"/>
            <w:tcBorders>
              <w:top w:val="single" w:sz="8" w:color="auto"/>
            </w:tcBorders>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1120" w:type="dxa"/>
            <w:vAlign w:val="bottom"/>
            <w:tcBorders>
              <w:top w:val="single" w:sz="8" w:color="auto"/>
            </w:tcBorders>
            <w:shd w:val="clear" w:color="auto" w:fill="D6F3E8"/>
          </w:tcPr>
          <w:p>
            <w:pPr>
              <w:spacing w:after="0"/>
              <w:rPr>
                <w:sz w:val="18"/>
                <w:szCs w:val="18"/>
                <w:color w:val="auto"/>
              </w:rPr>
            </w:pPr>
          </w:p>
        </w:tc>
        <w:tc>
          <w:tcPr>
            <w:tcW w:w="1780" w:type="dxa"/>
            <w:vAlign w:val="bottom"/>
            <w:tcBorders>
              <w:top w:val="single" w:sz="8" w:color="auto"/>
            </w:tcBorders>
            <w:shd w:val="clear" w:color="auto" w:fill="D6F3E8"/>
          </w:tcPr>
          <w:p>
            <w:pPr>
              <w:spacing w:after="0"/>
              <w:rPr>
                <w:sz w:val="18"/>
                <w:szCs w:val="18"/>
                <w:color w:val="auto"/>
              </w:rPr>
            </w:pPr>
          </w:p>
        </w:tc>
        <w:tc>
          <w:tcPr>
            <w:tcW w:w="1460" w:type="dxa"/>
            <w:vAlign w:val="bottom"/>
            <w:tcBorders>
              <w:top w:val="single" w:sz="8" w:color="auto"/>
            </w:tcBorders>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62"/>
              <w:spacing w:after="0"/>
              <w:rPr>
                <w:sz w:val="20"/>
                <w:szCs w:val="20"/>
                <w:color w:val="auto"/>
              </w:rPr>
            </w:pPr>
            <w:r>
              <w:rPr>
                <w:rFonts w:ascii="Arial" w:cs="Arial" w:eastAsia="Arial" w:hAnsi="Arial"/>
                <w:sz w:val="18"/>
                <w:szCs w:val="18"/>
                <w:color w:val="auto"/>
              </w:rPr>
              <w:t>27,454</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27,454</w:t>
            </w:r>
          </w:p>
        </w:tc>
        <w:tc>
          <w:tcPr>
            <w:tcW w:w="1780" w:type="dxa"/>
            <w:vAlign w:val="bottom"/>
          </w:tcPr>
          <w:p>
            <w:pPr>
              <w:jc w:val="right"/>
              <w:ind w:right="1387"/>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3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Long-term investments (includes Put Rights)</w:t>
            </w:r>
          </w:p>
        </w:tc>
        <w:tc>
          <w:tcPr>
            <w:tcW w:w="1120" w:type="dxa"/>
            <w:vAlign w:val="bottom"/>
            <w:shd w:val="clear" w:color="auto" w:fill="D6F3E8"/>
          </w:tcPr>
          <w:p>
            <w:pPr>
              <w:spacing w:after="0"/>
              <w:rPr>
                <w:sz w:val="18"/>
                <w:szCs w:val="18"/>
                <w:color w:val="auto"/>
              </w:rPr>
            </w:pPr>
          </w:p>
        </w:tc>
        <w:tc>
          <w:tcPr>
            <w:tcW w:w="1420" w:type="dxa"/>
            <w:vAlign w:val="bottom"/>
            <w:shd w:val="clear" w:color="auto" w:fill="D6F3E8"/>
          </w:tcPr>
          <w:p>
            <w:pPr>
              <w:jc w:val="right"/>
              <w:ind w:right="262"/>
              <w:spacing w:after="0"/>
              <w:rPr>
                <w:sz w:val="20"/>
                <w:szCs w:val="20"/>
                <w:color w:val="auto"/>
              </w:rPr>
            </w:pPr>
            <w:r>
              <w:rPr>
                <w:rFonts w:ascii="Arial" w:cs="Arial" w:eastAsia="Arial" w:hAnsi="Arial"/>
                <w:sz w:val="18"/>
                <w:szCs w:val="18"/>
                <w:color w:val="auto"/>
              </w:rPr>
              <w:t>33,476</w:t>
            </w:r>
          </w:p>
        </w:tc>
        <w:tc>
          <w:tcPr>
            <w:tcW w:w="26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1780" w:type="dxa"/>
            <w:vAlign w:val="bottom"/>
            <w:shd w:val="clear" w:color="auto" w:fill="D6F3E8"/>
          </w:tcPr>
          <w:p>
            <w:pPr>
              <w:spacing w:after="0"/>
              <w:rPr>
                <w:sz w:val="18"/>
                <w:szCs w:val="18"/>
                <w:color w:val="auto"/>
              </w:rPr>
            </w:pPr>
          </w:p>
        </w:tc>
        <w:tc>
          <w:tcPr>
            <w:tcW w:w="1460" w:type="dxa"/>
            <w:vAlign w:val="bottom"/>
            <w:shd w:val="clear" w:color="auto" w:fill="D6F3E8"/>
          </w:tcPr>
          <w:p>
            <w:pPr>
              <w:jc w:val="right"/>
              <w:ind w:right="39"/>
              <w:spacing w:after="0"/>
              <w:rPr>
                <w:sz w:val="20"/>
                <w:szCs w:val="20"/>
                <w:color w:val="auto"/>
              </w:rPr>
            </w:pPr>
            <w:r>
              <w:rPr>
                <w:rFonts w:ascii="Arial" w:cs="Arial" w:eastAsia="Arial" w:hAnsi="Arial"/>
                <w:sz w:val="18"/>
                <w:szCs w:val="18"/>
                <w:color w:val="auto"/>
              </w:rPr>
              <w:t>33,476</w:t>
            </w:r>
          </w:p>
        </w:tc>
      </w:tr>
      <w:tr>
        <w:trPr>
          <w:trHeight w:val="222"/>
        </w:trPr>
        <w:tc>
          <w:tcPr>
            <w:tcW w:w="20" w:type="dxa"/>
            <w:vAlign w:val="bottom"/>
          </w:tcPr>
          <w:p>
            <w:pPr>
              <w:spacing w:after="0"/>
              <w:rPr>
                <w:sz w:val="19"/>
                <w:szCs w:val="19"/>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Assets that fund deferred compensation</w:t>
            </w:r>
          </w:p>
        </w:tc>
        <w:tc>
          <w:tcPr>
            <w:tcW w:w="1120" w:type="dxa"/>
            <w:vAlign w:val="bottom"/>
          </w:tcPr>
          <w:p>
            <w:pPr>
              <w:spacing w:after="0"/>
              <w:rPr>
                <w:sz w:val="19"/>
                <w:szCs w:val="19"/>
                <w:color w:val="auto"/>
              </w:rPr>
            </w:pPr>
          </w:p>
        </w:tc>
        <w:tc>
          <w:tcPr>
            <w:tcW w:w="1420" w:type="dxa"/>
            <w:vAlign w:val="bottom"/>
          </w:tcPr>
          <w:p>
            <w:pPr>
              <w:jc w:val="right"/>
              <w:ind w:right="262"/>
              <w:spacing w:after="0"/>
              <w:rPr>
                <w:sz w:val="20"/>
                <w:szCs w:val="20"/>
                <w:color w:val="auto"/>
              </w:rPr>
            </w:pPr>
            <w:r>
              <w:rPr>
                <w:rFonts w:ascii="Arial" w:cs="Arial" w:eastAsia="Arial" w:hAnsi="Arial"/>
                <w:sz w:val="18"/>
                <w:szCs w:val="18"/>
                <w:color w:val="auto"/>
              </w:rPr>
              <w:t>8,169</w:t>
            </w:r>
          </w:p>
        </w:tc>
        <w:tc>
          <w:tcPr>
            <w:tcW w:w="2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8,169</w:t>
            </w:r>
          </w:p>
        </w:tc>
        <w:tc>
          <w:tcPr>
            <w:tcW w:w="178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0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in the table above that used significant unobservable inputs (Level 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ind w:right="440"/>
              <w:spacing w:after="0"/>
              <w:rPr>
                <w:sz w:val="20"/>
                <w:szCs w:val="20"/>
                <w:color w:val="auto"/>
              </w:rPr>
            </w:pPr>
            <w:r>
              <w:rPr>
                <w:rFonts w:ascii="Arial" w:cs="Arial" w:eastAsia="Arial" w:hAnsi="Arial"/>
                <w:sz w:val="14"/>
                <w:szCs w:val="14"/>
                <w:b w:val="1"/>
                <w:bCs w:val="1"/>
                <w:color w:val="auto"/>
              </w:rPr>
              <w:t>Thirteen</w:t>
            </w:r>
          </w:p>
        </w:tc>
        <w:tc>
          <w:tcPr>
            <w:tcW w:w="300" w:type="dxa"/>
            <w:vAlign w:val="bottom"/>
          </w:tcPr>
          <w:p>
            <w:pPr>
              <w:spacing w:after="0"/>
              <w:rPr>
                <w:sz w:val="14"/>
                <w:szCs w:val="14"/>
                <w:color w:val="auto"/>
              </w:rPr>
            </w:pPr>
          </w:p>
        </w:tc>
        <w:tc>
          <w:tcPr>
            <w:tcW w:w="1180" w:type="dxa"/>
            <w:vAlign w:val="bottom"/>
          </w:tcPr>
          <w:p>
            <w:pPr>
              <w:jc w:val="right"/>
              <w:ind w:right="318"/>
              <w:spacing w:after="0"/>
              <w:rPr>
                <w:sz w:val="20"/>
                <w:szCs w:val="20"/>
                <w:color w:val="auto"/>
              </w:rPr>
            </w:pPr>
            <w:r>
              <w:rPr>
                <w:rFonts w:ascii="Arial" w:cs="Arial" w:eastAsia="Arial" w:hAnsi="Arial"/>
                <w:sz w:val="14"/>
                <w:szCs w:val="14"/>
                <w:b w:val="1"/>
                <w:bCs w:val="1"/>
                <w:color w:val="auto"/>
              </w:rPr>
              <w:t>Twenty-Six</w:t>
            </w:r>
          </w:p>
        </w:tc>
        <w:tc>
          <w:tcPr>
            <w:tcW w:w="0" w:type="dxa"/>
            <w:vAlign w:val="bottom"/>
          </w:tcPr>
          <w:p>
            <w:pPr>
              <w:spacing w:after="0"/>
              <w:rPr>
                <w:sz w:val="1"/>
                <w:szCs w:val="1"/>
                <w:color w:val="auto"/>
              </w:rPr>
            </w:pPr>
          </w:p>
        </w:tc>
      </w:tr>
      <w:tr>
        <w:trPr>
          <w:trHeight w:val="161"/>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90"/>
              </w:rPr>
              <w:t>Weeks Ended</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w w:val="92"/>
              </w:rPr>
              <w:t>Weeks Ended</w:t>
            </w:r>
          </w:p>
        </w:tc>
        <w:tc>
          <w:tcPr>
            <w:tcW w:w="0" w:type="dxa"/>
            <w:vAlign w:val="bottom"/>
          </w:tcPr>
          <w:p>
            <w:pPr>
              <w:spacing w:after="0"/>
              <w:rPr>
                <w:sz w:val="1"/>
                <w:szCs w:val="1"/>
                <w:color w:val="auto"/>
              </w:rPr>
            </w:pPr>
          </w:p>
        </w:tc>
      </w:tr>
      <w:tr>
        <w:trPr>
          <w:trHeight w:val="142"/>
        </w:trPr>
        <w:tc>
          <w:tcPr>
            <w:tcW w:w="498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3"/>
          </w:tcPr>
          <w:p>
            <w:pPr>
              <w:jc w:val="right"/>
              <w:ind w:right="878"/>
              <w:spacing w:after="0" w:line="142" w:lineRule="exact"/>
              <w:rPr>
                <w:sz w:val="20"/>
                <w:szCs w:val="20"/>
                <w:color w:val="auto"/>
              </w:rPr>
            </w:pPr>
            <w:r>
              <w:rPr>
                <w:rFonts w:ascii="Arial" w:cs="Arial" w:eastAsia="Arial" w:hAnsi="Arial"/>
                <w:sz w:val="14"/>
                <w:szCs w:val="14"/>
                <w:b w:val="1"/>
                <w:bCs w:val="1"/>
                <w:color w:val="auto"/>
              </w:rPr>
              <w:t>February 28,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Balance at beginning of period</w:t>
            </w:r>
          </w:p>
        </w:tc>
        <w:tc>
          <w:tcPr>
            <w:tcW w:w="1460" w:type="dxa"/>
            <w:vAlign w:val="bottom"/>
            <w:tcBorders>
              <w:top w:val="single" w:sz="8" w:color="auto"/>
            </w:tcBorders>
            <w:gridSpan w:val="2"/>
            <w:shd w:val="clear" w:color="auto" w:fill="D6F3E8"/>
          </w:tcPr>
          <w:p>
            <w:pPr>
              <w:jc w:val="right"/>
              <w:ind w:right="3"/>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D6F3E8"/>
          </w:tcPr>
          <w:p>
            <w:pPr>
              <w:jc w:val="right"/>
              <w:ind w:right="60"/>
              <w:spacing w:after="0"/>
              <w:rPr>
                <w:sz w:val="20"/>
                <w:szCs w:val="20"/>
                <w:color w:val="auto"/>
              </w:rPr>
            </w:pPr>
            <w:r>
              <w:rPr>
                <w:rFonts w:ascii="Arial" w:cs="Arial" w:eastAsia="Arial" w:hAnsi="Arial"/>
                <w:sz w:val="18"/>
                <w:szCs w:val="18"/>
                <w:color w:val="auto"/>
              </w:rPr>
              <w:t>32,750</w:t>
            </w:r>
          </w:p>
        </w:tc>
        <w:tc>
          <w:tcPr>
            <w:tcW w:w="3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D6F3E8"/>
          </w:tcPr>
          <w:p>
            <w:pPr>
              <w:jc w:val="right"/>
              <w:ind w:right="18"/>
              <w:spacing w:after="0"/>
              <w:rPr>
                <w:sz w:val="20"/>
                <w:szCs w:val="20"/>
                <w:color w:val="auto"/>
              </w:rPr>
            </w:pPr>
            <w:r>
              <w:rPr>
                <w:rFonts w:ascii="Arial" w:cs="Arial" w:eastAsia="Arial" w:hAnsi="Arial"/>
                <w:sz w:val="18"/>
                <w:szCs w:val="18"/>
                <w:color w:val="auto"/>
              </w:rPr>
              <w:t>37,538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realized gain (loss) included in earnings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60"/>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D6F3E8"/>
          </w:tcPr>
          <w:p>
            <w:pPr>
              <w:spacing w:after="0"/>
              <w:rPr>
                <w:sz w:val="20"/>
                <w:szCs w:val="20"/>
                <w:color w:val="auto"/>
              </w:rPr>
            </w:pPr>
            <w:r>
              <w:rPr>
                <w:rFonts w:ascii="Arial" w:cs="Arial" w:eastAsia="Arial" w:hAnsi="Arial"/>
                <w:sz w:val="18"/>
                <w:szCs w:val="18"/>
                <w:color w:val="auto"/>
              </w:rPr>
              <w:t>Net change included in other comprehensive income</w:t>
            </w:r>
          </w:p>
        </w:tc>
        <w:tc>
          <w:tcPr>
            <w:tcW w:w="13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60"/>
              <w:spacing w:after="0"/>
              <w:rPr>
                <w:sz w:val="20"/>
                <w:szCs w:val="20"/>
                <w:color w:val="auto"/>
              </w:rPr>
            </w:pPr>
            <w:r>
              <w:rPr>
                <w:rFonts w:ascii="Arial" w:cs="Arial" w:eastAsia="Arial" w:hAnsi="Arial"/>
                <w:sz w:val="18"/>
                <w:szCs w:val="18"/>
                <w:color w:val="auto"/>
              </w:rPr>
              <w:t>559</w:t>
            </w:r>
          </w:p>
        </w:tc>
        <w:tc>
          <w:tcPr>
            <w:tcW w:w="30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18"/>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Transfer out of Level 3</w:t>
            </w:r>
          </w:p>
        </w:tc>
        <w:tc>
          <w:tcPr>
            <w:tcW w:w="1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Balance at February 28, 2009</w:t>
            </w:r>
          </w:p>
        </w:tc>
        <w:tc>
          <w:tcPr>
            <w:tcW w:w="1300" w:type="dxa"/>
            <w:vAlign w:val="bottom"/>
            <w:tcBorders>
              <w:bottom w:val="single" w:sz="8" w:color="D6F3E8"/>
            </w:tcBorders>
            <w:shd w:val="clear" w:color="auto" w:fill="D6F3E8"/>
          </w:tcPr>
          <w:p>
            <w:pPr>
              <w:spacing w:after="0"/>
              <w:rPr>
                <w:sz w:val="21"/>
                <w:szCs w:val="21"/>
                <w:color w:val="auto"/>
              </w:rPr>
            </w:pPr>
          </w:p>
        </w:tc>
        <w:tc>
          <w:tcPr>
            <w:tcW w:w="160" w:type="dxa"/>
            <w:vAlign w:val="bottom"/>
            <w:tcBorders>
              <w:bottom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D6F3E8"/>
          </w:tcPr>
          <w:p>
            <w:pPr>
              <w:jc w:val="right"/>
              <w:ind w:right="60"/>
              <w:spacing w:after="0"/>
              <w:rPr>
                <w:sz w:val="20"/>
                <w:szCs w:val="20"/>
                <w:color w:val="auto"/>
              </w:rPr>
            </w:pPr>
            <w:r>
              <w:rPr>
                <w:rFonts w:ascii="Arial" w:cs="Arial" w:eastAsia="Arial" w:hAnsi="Arial"/>
                <w:sz w:val="18"/>
                <w:szCs w:val="18"/>
                <w:color w:val="auto"/>
              </w:rPr>
              <w:t>33,476</w:t>
            </w:r>
          </w:p>
        </w:tc>
        <w:tc>
          <w:tcPr>
            <w:tcW w:w="3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6F3E8"/>
          </w:tcPr>
          <w:p>
            <w:pPr>
              <w:jc w:val="right"/>
              <w:ind w:right="18"/>
              <w:spacing w:after="0"/>
              <w:rPr>
                <w:sz w:val="20"/>
                <w:szCs w:val="20"/>
                <w:color w:val="auto"/>
              </w:rPr>
            </w:pPr>
            <w:r>
              <w:rPr>
                <w:rFonts w:ascii="Arial" w:cs="Arial" w:eastAsia="Arial" w:hAnsi="Arial"/>
                <w:sz w:val="18"/>
                <w:szCs w:val="18"/>
                <w:color w:val="auto"/>
              </w:rPr>
              <w:t>33,476</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carrying value of cash equivalents approximates fair value as maturities are less than three months. Our cash equivalents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of money market funds traded in an active market with no restrictions and are classified as Level 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Long-term investments. </w:t>
      </w:r>
      <w:r>
        <w:rPr>
          <w:rFonts w:ascii="Arial" w:cs="Arial" w:eastAsia="Arial" w:hAnsi="Arial"/>
          <w:sz w:val="16"/>
          <w:szCs w:val="16"/>
          <w:color w:val="auto"/>
        </w:rPr>
        <w:t>Our debt securities are comprised of ARSs and Put Rights as described in Note 4, Investments. Our long-term ARS related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are classified as Level 3 as quoted prices were unavailable due to events described in Note 4, Investments. Due to limited market information, we utilized a discounted cash flow (“DCF”) model to derive an estimate of fair value at February 28, 2009.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Assets that fund deferred compensation</w:t>
      </w:r>
      <w:r>
        <w:rPr>
          <w:rFonts w:ascii="Arial" w:cs="Arial" w:eastAsia="Arial" w:hAnsi="Arial"/>
          <w:sz w:val="18"/>
          <w:szCs w:val="18"/>
          <w:color w:val="auto"/>
        </w:rPr>
        <w:t>. Our assets that fund deferred compensation are marketable equity securities measured at fair value using quoted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prices and primarily consist of equity-based mutual funds. They are classified as Level 1 as they are traded in an active market for which closing stock prices are readily available. These securities fund the Executive Share Option Plan, a deferred compensation program, and are presented as other assets in the accompanying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We own investments in marketable securities that have been designated as “available for sale” or “trading securities” in accordance with SFAS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Available for sale securities are carried at fair value with the unrealized gains and losses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“Accumulated Other Comprehensive Income,” a component of stockholders’ equity. Trading securities are carried at fair value with unrealized gains and losses reported in financial income/expense.</w:t>
      </w:r>
    </w:p>
    <w:p>
      <w:pPr>
        <w:spacing w:after="0" w:line="197" w:lineRule="exact"/>
        <w:rPr>
          <w:sz w:val="20"/>
          <w:szCs w:val="20"/>
          <w:color w:val="auto"/>
        </w:rPr>
      </w:pPr>
    </w:p>
    <w:p>
      <w:pPr>
        <w:jc w:val="both"/>
        <w:ind w:right="20"/>
        <w:spacing w:after="0" w:line="323" w:lineRule="auto"/>
        <w:rPr>
          <w:sz w:val="20"/>
          <w:szCs w:val="20"/>
          <w:color w:val="auto"/>
        </w:rPr>
      </w:pPr>
      <w:r>
        <w:rPr>
          <w:rFonts w:ascii="Arial" w:cs="Arial" w:eastAsia="Arial" w:hAnsi="Arial"/>
          <w:sz w:val="15"/>
          <w:szCs w:val="15"/>
          <w:color w:val="auto"/>
        </w:rPr>
        <w:t>At February 28, 2009, we held $34.1 million (par value) of investments comprised of tax-exempt ARSs, which are variable-rate debt securities and have a long-term maturity with the interest rate being reset through Dutch auctions that are typically held every 7, 28 or 35 days. The securities have historically traded at par and are callable at par at the option of the issuer. Interest is typically paid at the end of each auction period or semiannually. At February 28, 2009, all of the ARSs we held were AAA/Aaa rated, with most collateralized by student loans guaranteed by the U.S. government under the Federal Family Education Loan Program.</w:t>
      </w:r>
    </w:p>
    <w:p>
      <w:pPr>
        <w:spacing w:after="0" w:line="15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Since February 2008, most ARS auctions have failed for these securities and there is no assurance that future auctions will succeed and, as a result, our ability to liquidate our investment and fully recover the par value in the near term may be limited or nonexistent. We have no reason to believe that any of the underlying issuers of our ARSs are presently at risk of default. Through April 7, 2009, we have continued to receive interest payments on the ARSs in accordance with their terms. We believe we will ultimately be able to liquidate our ARS related investments without significant loss primarily due to the collateral securing ARSs and the legal settlement agreement we have entered into with UBS AG (“UBS”). As noted below, our UBS settlement allows for a portion of our ARS to be redeemed at par as early as June 30, 2010. However, the remaining portfolio could take until final maturity of the ARSs (up to 32 years) to realize our investments’ par value. Due to the changes and uncertainty in the ARS market, we believe the recovery period for these investments is likely to be longer than 12 months and as a result, we have classified these investments as long-term as of February 28, 2009.</w:t>
      </w:r>
    </w:p>
    <w:p>
      <w:pPr>
        <w:spacing w:after="0" w:line="172"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November 2008, we elected to participate in a rights offering by UBS, one of our brokers, which provide us with rights (the “Put Rights”) to sell to them $13.5 million at par value of our ARS portfolio, purchased through UBS, at any time during a two-year sale period beginning June 30, 2010.</w:t>
      </w:r>
    </w:p>
    <w:p>
      <w:pPr>
        <w:spacing w:after="0" w:line="13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By electing to participate in the rights offering, we granted UBS the right, exercisable at any time prior to June 30, 2010 or during the two-year sale period, to purchase or cause the sale of our ARSs (the “Call Right”). UBS has stated that it will only exercise the Call Right for the purpose of restructurings, dispositions or other solutions that will provide their clients with par value for their ARS. UBS has agreed to pay their clients the par value of their ARS within one day of settlement of any Call Right transaction. Notwithstanding the Call Right, we are permitted to sell ARSs to parties other than UBS, in which case the Put Rights attached to the ARSs that are sold would be extinguished. The terms of the legal settlement agreement also allowed us to borrow on a portion of our portfolio at “no net cost” and as a result, we borrowed $9.1 million under this arrangement, which is presented as short-term ARS borrowings on our balance sheet. We have the ability to maintain the “no net cost” loans until the securities are liquidated or they reach the June 2010 put date.</w:t>
      </w:r>
    </w:p>
    <w:p>
      <w:pPr>
        <w:spacing w:after="0" w:line="17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elected to adopt SFAS No. 159 on August 31, 2008 (details in Note 2) on the Put Rights and elected to treat this portion of our ARS portfolio as trading securities. As such, during Fiscal 2009, we have recorded a benefit of $375,000 related to the Put Rights provided by the settlement and an other-than-temporary impairment of $403,000 on the $13.5 million (par value) portion of our ARS portfolio as we may decide not to hold until final maturity with the opportunity provided by the Put Rights.</w:t>
      </w:r>
    </w:p>
    <w:p>
      <w:pPr>
        <w:spacing w:after="0" w:line="19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At February 28, 2009, there was insufficient observable ARS market information available to determine the fair value of our ARS investments, including the Put Rights.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we recorded a temporary impairment of $596,000 related to our long-term ARS investments of $20.6 million (par value) that were not part of the UBS settlement as of February 28, 2009. These same assumptions were used to estimate the fair value of our UBS ARS portfolio described above, including the Put Rights.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2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337"/>
              <w:spacing w:after="0"/>
              <w:rPr>
                <w:sz w:val="20"/>
                <w:szCs w:val="20"/>
                <w:color w:val="auto"/>
              </w:rPr>
            </w:pPr>
            <w:r>
              <w:rPr>
                <w:rFonts w:ascii="Arial" w:cs="Arial" w:eastAsia="Arial" w:hAnsi="Arial"/>
                <w:sz w:val="14"/>
                <w:szCs w:val="14"/>
                <w:b w:val="1"/>
                <w:bCs w:val="1"/>
                <w:color w:val="auto"/>
                <w:w w:val="96"/>
              </w:rPr>
              <w:t>February 28,</w:t>
            </w:r>
          </w:p>
        </w:tc>
        <w:tc>
          <w:tcPr>
            <w:tcW w:w="300" w:type="dxa"/>
            <w:vAlign w:val="bottom"/>
          </w:tcPr>
          <w:p>
            <w:pPr>
              <w:spacing w:after="0"/>
              <w:rPr>
                <w:sz w:val="14"/>
                <w:szCs w:val="14"/>
                <w:color w:val="auto"/>
              </w:rPr>
            </w:pP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w w:val="97"/>
              </w:rPr>
              <w:t>August 30,</w:t>
            </w:r>
          </w:p>
        </w:tc>
      </w:tr>
      <w:tr>
        <w:trPr>
          <w:trHeight w:val="161"/>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2008</w:t>
            </w:r>
          </w:p>
        </w:tc>
      </w:tr>
      <w:tr>
        <w:trPr>
          <w:trHeight w:val="210"/>
        </w:trPr>
        <w:tc>
          <w:tcPr>
            <w:tcW w:w="20" w:type="dxa"/>
            <w:vAlign w:val="bottom"/>
          </w:tcPr>
          <w:p>
            <w:pPr>
              <w:spacing w:after="0"/>
              <w:rPr>
                <w:sz w:val="18"/>
                <w:szCs w:val="18"/>
                <w:color w:val="auto"/>
              </w:rPr>
            </w:pPr>
          </w:p>
        </w:tc>
        <w:tc>
          <w:tcPr>
            <w:tcW w:w="6940" w:type="dxa"/>
            <w:vAlign w:val="bottom"/>
            <w:shd w:val="clear" w:color="auto" w:fill="D6F3E8"/>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D6F3E8"/>
          </w:tcPr>
          <w:p>
            <w:pPr>
              <w:jc w:val="right"/>
              <w:ind w:right="97"/>
              <w:spacing w:after="0"/>
              <w:rPr>
                <w:sz w:val="20"/>
                <w:szCs w:val="20"/>
                <w:color w:val="auto"/>
              </w:rPr>
            </w:pPr>
            <w:r>
              <w:rPr>
                <w:rFonts w:ascii="Arial" w:cs="Arial" w:eastAsia="Arial" w:hAnsi="Arial"/>
                <w:sz w:val="18"/>
                <w:szCs w:val="18"/>
                <w:color w:val="auto"/>
              </w:rPr>
              <w:t>32,777</w:t>
            </w:r>
          </w:p>
        </w:tc>
        <w:tc>
          <w:tcPr>
            <w:tcW w:w="3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ind w:right="37"/>
              <w:spacing w:after="0"/>
              <w:rPr>
                <w:sz w:val="20"/>
                <w:szCs w:val="20"/>
                <w:color w:val="auto"/>
              </w:rPr>
            </w:pPr>
            <w:r>
              <w:rPr>
                <w:rFonts w:ascii="Arial" w:cs="Arial" w:eastAsia="Arial" w:hAnsi="Arial"/>
                <w:sz w:val="18"/>
                <w:szCs w:val="18"/>
                <w:color w:val="auto"/>
              </w:rPr>
              <w:t>41,716</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20,682</w:t>
            </w:r>
          </w:p>
        </w:tc>
        <w:tc>
          <w:tcPr>
            <w:tcW w:w="30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31,187</w:t>
            </w:r>
          </w:p>
        </w:tc>
      </w:tr>
      <w:tr>
        <w:trPr>
          <w:trHeight w:val="216"/>
        </w:trPr>
        <w:tc>
          <w:tcPr>
            <w:tcW w:w="20" w:type="dxa"/>
            <w:vAlign w:val="bottom"/>
          </w:tcPr>
          <w:p>
            <w:pPr>
              <w:spacing w:after="0"/>
              <w:rPr>
                <w:sz w:val="18"/>
                <w:szCs w:val="18"/>
                <w:color w:val="auto"/>
              </w:rPr>
            </w:pPr>
          </w:p>
        </w:tc>
        <w:tc>
          <w:tcPr>
            <w:tcW w:w="69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auto"/>
            </w:tcBorders>
            <w:shd w:val="clear" w:color="auto" w:fill="D6F3E8"/>
          </w:tcPr>
          <w:p>
            <w:pPr>
              <w:spacing w:after="0"/>
              <w:rPr>
                <w:sz w:val="18"/>
                <w:szCs w:val="18"/>
                <w:color w:val="auto"/>
              </w:rPr>
            </w:pPr>
          </w:p>
        </w:tc>
        <w:tc>
          <w:tcPr>
            <w:tcW w:w="1240" w:type="dxa"/>
            <w:vAlign w:val="bottom"/>
            <w:tcBorders>
              <w:bottom w:val="single" w:sz="8" w:color="auto"/>
            </w:tcBorders>
            <w:shd w:val="clear" w:color="auto" w:fill="D6F3E8"/>
          </w:tcPr>
          <w:p>
            <w:pPr>
              <w:jc w:val="right"/>
              <w:ind w:right="97"/>
              <w:spacing w:after="0"/>
              <w:rPr>
                <w:sz w:val="20"/>
                <w:szCs w:val="20"/>
                <w:color w:val="auto"/>
              </w:rPr>
            </w:pPr>
            <w:r>
              <w:rPr>
                <w:rFonts w:ascii="Arial" w:cs="Arial" w:eastAsia="Arial" w:hAnsi="Arial"/>
                <w:sz w:val="18"/>
                <w:szCs w:val="18"/>
                <w:color w:val="auto"/>
              </w:rPr>
              <w:t>56,133</w:t>
            </w:r>
          </w:p>
        </w:tc>
        <w:tc>
          <w:tcPr>
            <w:tcW w:w="30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ind w:right="37"/>
              <w:spacing w:after="0"/>
              <w:rPr>
                <w:sz w:val="20"/>
                <w:szCs w:val="20"/>
                <w:color w:val="auto"/>
              </w:rPr>
            </w:pPr>
            <w:r>
              <w:rPr>
                <w:rFonts w:ascii="Arial" w:cs="Arial" w:eastAsia="Arial" w:hAnsi="Arial"/>
                <w:sz w:val="18"/>
                <w:szCs w:val="18"/>
                <w:color w:val="auto"/>
              </w:rPr>
              <w:t>75,010</w:t>
            </w: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109,592</w:t>
            </w:r>
          </w:p>
        </w:tc>
        <w:tc>
          <w:tcPr>
            <w:tcW w:w="30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147,913</w:t>
            </w:r>
          </w:p>
        </w:tc>
      </w:tr>
      <w:tr>
        <w:trPr>
          <w:trHeight w:val="216"/>
        </w:trPr>
        <w:tc>
          <w:tcPr>
            <w:tcW w:w="20" w:type="dxa"/>
            <w:vAlign w:val="bottom"/>
          </w:tcPr>
          <w:p>
            <w:pPr>
              <w:spacing w:after="0"/>
              <w:rPr>
                <w:sz w:val="18"/>
                <w:szCs w:val="18"/>
                <w:color w:val="auto"/>
              </w:rPr>
            </w:pPr>
          </w:p>
        </w:tc>
        <w:tc>
          <w:tcPr>
            <w:tcW w:w="69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LIFO reserve</w:t>
            </w:r>
          </w:p>
        </w:tc>
        <w:tc>
          <w:tcPr>
            <w:tcW w:w="160" w:type="dxa"/>
            <w:vAlign w:val="bottom"/>
            <w:tcBorders>
              <w:bottom w:val="single" w:sz="8" w:color="auto"/>
            </w:tcBorders>
            <w:shd w:val="clear" w:color="auto" w:fill="D6F3E8"/>
          </w:tcPr>
          <w:p>
            <w:pPr>
              <w:spacing w:after="0"/>
              <w:rPr>
                <w:sz w:val="18"/>
                <w:szCs w:val="18"/>
                <w:color w:val="auto"/>
              </w:rPr>
            </w:pPr>
          </w:p>
        </w:tc>
        <w:tc>
          <w:tcPr>
            <w:tcW w:w="1240" w:type="dxa"/>
            <w:vAlign w:val="bottom"/>
            <w:tcBorders>
              <w:bottom w:val="single" w:sz="8" w:color="auto"/>
            </w:tcBorders>
            <w:shd w:val="clear" w:color="auto" w:fill="D6F3E8"/>
          </w:tcPr>
          <w:p>
            <w:pPr>
              <w:jc w:val="right"/>
              <w:ind w:right="37"/>
              <w:spacing w:after="0"/>
              <w:rPr>
                <w:sz w:val="20"/>
                <w:szCs w:val="20"/>
                <w:color w:val="auto"/>
              </w:rPr>
            </w:pPr>
            <w:r>
              <w:rPr>
                <w:rFonts w:ascii="Arial" w:cs="Arial" w:eastAsia="Arial" w:hAnsi="Arial"/>
                <w:sz w:val="18"/>
                <w:szCs w:val="18"/>
                <w:color w:val="auto"/>
              </w:rPr>
              <w:t>(36,814)</w:t>
            </w:r>
          </w:p>
        </w:tc>
        <w:tc>
          <w:tcPr>
            <w:tcW w:w="30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(37,317)</w:t>
            </w: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72,778</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110,596</w:t>
            </w: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Warranty</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provide our motor home customers a comprehensive 12-month/15,000-mile warranty on the Class A, Class B and Class C coaches, and a 3-year/36,000-mile structural warranty on Class A and Class C sidewalls and floors. We have also incurred costs for certain warranty-type expenses which occurred after the normal warranty period. We have voluntarily agreed to pay such costs to help protect the reputation of our products and the goodwill of our customers. We record our warranty liabilities based on our estimate of the amounts necessary to settle future and existing claims on products sold as of the balance sheet date. We also incur costs as a result of additional service actions not covered by our warranties, including product recalls and customer satisfaction 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liability are as follows:</w:t>
      </w:r>
    </w:p>
    <w:p>
      <w:pPr>
        <w:spacing w:after="0" w:line="22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262"/>
              <w:spacing w:after="0"/>
              <w:rPr>
                <w:sz w:val="20"/>
                <w:szCs w:val="20"/>
                <w:color w:val="auto"/>
              </w:rPr>
            </w:pPr>
            <w:r>
              <w:rPr>
                <w:rFonts w:ascii="Arial" w:cs="Arial" w:eastAsia="Arial" w:hAnsi="Arial"/>
                <w:sz w:val="14"/>
                <w:szCs w:val="14"/>
                <w:b w:val="1"/>
                <w:bCs w:val="1"/>
                <w:color w:val="auto"/>
                <w:w w:val="89"/>
              </w:rPr>
              <w:t>Twenty-Six</w:t>
            </w:r>
          </w:p>
        </w:tc>
        <w:tc>
          <w:tcPr>
            <w:tcW w:w="260" w:type="dxa"/>
            <w:vAlign w:val="bottom"/>
          </w:tcPr>
          <w:p>
            <w:pPr>
              <w:spacing w:after="0"/>
              <w:rPr>
                <w:sz w:val="14"/>
                <w:szCs w:val="14"/>
                <w:color w:val="auto"/>
              </w:rPr>
            </w:pPr>
          </w:p>
        </w:tc>
        <w:tc>
          <w:tcPr>
            <w:tcW w:w="1180" w:type="dxa"/>
            <w:vAlign w:val="bottom"/>
          </w:tcPr>
          <w:p>
            <w:pPr>
              <w:jc w:val="center"/>
              <w:ind w:right="181"/>
              <w:spacing w:after="0"/>
              <w:rPr>
                <w:sz w:val="20"/>
                <w:szCs w:val="20"/>
                <w:color w:val="auto"/>
              </w:rPr>
            </w:pPr>
            <w:r>
              <w:rPr>
                <w:rFonts w:ascii="Arial" w:cs="Arial" w:eastAsia="Arial" w:hAnsi="Arial"/>
                <w:sz w:val="14"/>
                <w:szCs w:val="14"/>
                <w:b w:val="1"/>
                <w:bCs w:val="1"/>
                <w:color w:val="auto"/>
                <w:w w:val="84"/>
              </w:rPr>
              <w:t>Twenty-Seven</w:t>
            </w:r>
          </w:p>
        </w:tc>
      </w:t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3"/>
          </w:tcPr>
          <w:p>
            <w:pPr>
              <w:jc w:val="right"/>
              <w:ind w:right="1001"/>
              <w:spacing w:after="0"/>
              <w:rPr>
                <w:sz w:val="20"/>
                <w:szCs w:val="20"/>
                <w:color w:val="auto"/>
              </w:rPr>
            </w:pPr>
            <w:r>
              <w:rPr>
                <w:rFonts w:ascii="Arial" w:cs="Arial" w:eastAsia="Arial" w:hAnsi="Arial"/>
                <w:sz w:val="14"/>
                <w:szCs w:val="14"/>
                <w:b w:val="1"/>
                <w:bCs w:val="1"/>
                <w:color w:val="auto"/>
              </w:rPr>
              <w:t>Weeks Ended</w:t>
            </w:r>
          </w:p>
        </w:tc>
      </w:tr>
      <w:tr>
        <w:trPr>
          <w:trHeight w:val="129"/>
        </w:trPr>
        <w:tc>
          <w:tcPr>
            <w:tcW w:w="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262"/>
              <w:spacing w:after="0" w:line="129" w:lineRule="exact"/>
              <w:rPr>
                <w:sz w:val="20"/>
                <w:szCs w:val="20"/>
                <w:color w:val="auto"/>
              </w:rPr>
            </w:pPr>
            <w:r>
              <w:rPr>
                <w:rFonts w:ascii="Arial" w:cs="Arial" w:eastAsia="Arial" w:hAnsi="Arial"/>
                <w:sz w:val="14"/>
                <w:szCs w:val="14"/>
                <w:b w:val="1"/>
                <w:bCs w:val="1"/>
                <w:color w:val="auto"/>
                <w:w w:val="88"/>
              </w:rPr>
              <w:t>February 28,</w:t>
            </w:r>
          </w:p>
        </w:tc>
        <w:tc>
          <w:tcPr>
            <w:tcW w:w="260" w:type="dxa"/>
            <w:vAlign w:val="bottom"/>
          </w:tcPr>
          <w:p>
            <w:pPr>
              <w:spacing w:after="0"/>
              <w:rPr>
                <w:sz w:val="11"/>
                <w:szCs w:val="11"/>
                <w:color w:val="auto"/>
              </w:rPr>
            </w:pPr>
          </w:p>
        </w:tc>
        <w:tc>
          <w:tcPr>
            <w:tcW w:w="1180" w:type="dxa"/>
            <w:vAlign w:val="bottom"/>
          </w:tcPr>
          <w:p>
            <w:pPr>
              <w:jc w:val="center"/>
              <w:ind w:right="181"/>
              <w:spacing w:after="0" w:line="129" w:lineRule="exact"/>
              <w:rPr>
                <w:sz w:val="20"/>
                <w:szCs w:val="20"/>
                <w:color w:val="auto"/>
              </w:rPr>
            </w:pPr>
            <w:r>
              <w:rPr>
                <w:rFonts w:ascii="Arial" w:cs="Arial" w:eastAsia="Arial" w:hAnsi="Arial"/>
                <w:sz w:val="14"/>
                <w:szCs w:val="14"/>
                <w:b w:val="1"/>
                <w:bCs w:val="1"/>
                <w:color w:val="auto"/>
                <w:w w:val="91"/>
              </w:rPr>
              <w:t>March 1,</w:t>
            </w:r>
          </w:p>
        </w:tc>
      </w:tr>
      <w:tr>
        <w:trPr>
          <w:trHeight w:val="161"/>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w w:val="83"/>
              </w:rPr>
              <w:t>2009</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9"/>
              </w:rPr>
              <w:t>2008</w:t>
            </w:r>
          </w:p>
        </w:tc>
      </w:tr>
      <w:tr>
        <w:trPr>
          <w:trHeight w:val="210"/>
        </w:trPr>
        <w:tc>
          <w:tcPr>
            <w:tcW w:w="20" w:type="dxa"/>
            <w:vAlign w:val="bottom"/>
          </w:tcPr>
          <w:p>
            <w:pPr>
              <w:spacing w:after="0"/>
              <w:rPr>
                <w:sz w:val="18"/>
                <w:szCs w:val="18"/>
                <w:color w:val="auto"/>
              </w:rPr>
            </w:pPr>
          </w:p>
        </w:tc>
        <w:tc>
          <w:tcPr>
            <w:tcW w:w="6940" w:type="dxa"/>
            <w:vAlign w:val="bottom"/>
            <w:shd w:val="clear" w:color="auto" w:fill="D6F3E8"/>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D6F3E8"/>
          </w:tcPr>
          <w:p>
            <w:pPr>
              <w:jc w:val="right"/>
              <w:ind w:right="102"/>
              <w:spacing w:after="0"/>
              <w:rPr>
                <w:sz w:val="20"/>
                <w:szCs w:val="20"/>
                <w:color w:val="auto"/>
              </w:rPr>
            </w:pPr>
            <w:r>
              <w:rPr>
                <w:rFonts w:ascii="Arial" w:cs="Arial" w:eastAsia="Arial" w:hAnsi="Arial"/>
                <w:sz w:val="18"/>
                <w:szCs w:val="18"/>
                <w:color w:val="auto"/>
              </w:rPr>
              <w:t>9,859</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6F3E8"/>
          </w:tcPr>
          <w:p>
            <w:pPr>
              <w:jc w:val="right"/>
              <w:ind w:right="41"/>
              <w:spacing w:after="0"/>
              <w:rPr>
                <w:sz w:val="20"/>
                <w:szCs w:val="20"/>
                <w:color w:val="auto"/>
              </w:rPr>
            </w:pPr>
            <w:r>
              <w:rPr>
                <w:rFonts w:ascii="Arial" w:cs="Arial" w:eastAsia="Arial" w:hAnsi="Arial"/>
                <w:sz w:val="18"/>
                <w:szCs w:val="18"/>
                <w:color w:val="auto"/>
              </w:rPr>
              <w:t>11,259</w:t>
            </w:r>
          </w:p>
        </w:tc>
      </w:tr>
      <w:tr>
        <w:trPr>
          <w:trHeight w:val="216"/>
        </w:trPr>
        <w:tc>
          <w:tcPr>
            <w:tcW w:w="2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40" w:type="dxa"/>
            <w:vAlign w:val="bottom"/>
          </w:tcPr>
          <w:p>
            <w:pPr>
              <w:jc w:val="right"/>
              <w:ind w:right="102"/>
              <w:spacing w:after="0"/>
              <w:rPr>
                <w:sz w:val="20"/>
                <w:szCs w:val="20"/>
                <w:color w:val="auto"/>
              </w:rPr>
            </w:pPr>
            <w:r>
              <w:rPr>
                <w:rFonts w:ascii="Arial" w:cs="Arial" w:eastAsia="Arial" w:hAnsi="Arial"/>
                <w:sz w:val="18"/>
                <w:szCs w:val="18"/>
                <w:color w:val="auto"/>
              </w:rPr>
              <w:t>1,580</w:t>
            </w:r>
          </w:p>
        </w:tc>
        <w:tc>
          <w:tcPr>
            <w:tcW w:w="260" w:type="dxa"/>
            <w:vAlign w:val="bottom"/>
          </w:tcPr>
          <w:p>
            <w:pPr>
              <w:spacing w:after="0"/>
              <w:rPr>
                <w:sz w:val="18"/>
                <w:szCs w:val="18"/>
                <w:color w:val="auto"/>
              </w:rPr>
            </w:pP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6,378</w:t>
            </w:r>
          </w:p>
        </w:tc>
      </w:tr>
      <w:tr>
        <w:trPr>
          <w:trHeight w:val="216"/>
        </w:trPr>
        <w:tc>
          <w:tcPr>
            <w:tcW w:w="20" w:type="dxa"/>
            <w:vAlign w:val="bottom"/>
          </w:tcPr>
          <w:p>
            <w:pPr>
              <w:spacing w:after="0"/>
              <w:rPr>
                <w:sz w:val="18"/>
                <w:szCs w:val="18"/>
                <w:color w:val="auto"/>
              </w:rPr>
            </w:pPr>
          </w:p>
        </w:tc>
        <w:tc>
          <w:tcPr>
            <w:tcW w:w="6940" w:type="dxa"/>
            <w:vAlign w:val="bottom"/>
            <w:tcBorders>
              <w:bottom w:val="single" w:sz="8" w:color="D6F3E8"/>
            </w:tcBorders>
            <w:shd w:val="clear" w:color="auto" w:fill="D6F3E8"/>
          </w:tcPr>
          <w:p>
            <w:pPr>
              <w:ind w:left="120"/>
              <w:spacing w:after="0"/>
              <w:rPr>
                <w:sz w:val="20"/>
                <w:szCs w:val="20"/>
                <w:color w:val="auto"/>
              </w:rPr>
            </w:pPr>
            <w:r>
              <w:rPr>
                <w:rFonts w:ascii="Arial" w:cs="Arial" w:eastAsia="Arial" w:hAnsi="Arial"/>
                <w:sz w:val="18"/>
                <w:szCs w:val="18"/>
                <w:color w:val="auto"/>
              </w:rPr>
              <w:t>Claims paid</w:t>
            </w:r>
          </w:p>
        </w:tc>
        <w:tc>
          <w:tcPr>
            <w:tcW w:w="160" w:type="dxa"/>
            <w:vAlign w:val="bottom"/>
            <w:tcBorders>
              <w:bottom w:val="single" w:sz="8" w:color="auto"/>
            </w:tcBorders>
            <w:shd w:val="clear" w:color="auto" w:fill="D6F3E8"/>
          </w:tcPr>
          <w:p>
            <w:pPr>
              <w:spacing w:after="0"/>
              <w:rPr>
                <w:sz w:val="18"/>
                <w:szCs w:val="18"/>
                <w:color w:val="auto"/>
              </w:rPr>
            </w:pPr>
          </w:p>
        </w:tc>
        <w:tc>
          <w:tcPr>
            <w:tcW w:w="1240" w:type="dxa"/>
            <w:vAlign w:val="bottom"/>
            <w:tcBorders>
              <w:bottom w:val="single" w:sz="8" w:color="auto"/>
            </w:tcBorders>
            <w:shd w:val="clear" w:color="auto" w:fill="D6F3E8"/>
          </w:tcPr>
          <w:p>
            <w:pPr>
              <w:jc w:val="right"/>
              <w:ind w:right="42"/>
              <w:spacing w:after="0"/>
              <w:rPr>
                <w:sz w:val="20"/>
                <w:szCs w:val="20"/>
                <w:color w:val="auto"/>
              </w:rPr>
            </w:pPr>
            <w:r>
              <w:rPr>
                <w:rFonts w:ascii="Arial" w:cs="Arial" w:eastAsia="Arial" w:hAnsi="Arial"/>
                <w:sz w:val="18"/>
                <w:szCs w:val="18"/>
                <w:color w:val="auto"/>
              </w:rPr>
              <w:t>(3,887)</w:t>
            </w:r>
          </w:p>
        </w:tc>
        <w:tc>
          <w:tcPr>
            <w:tcW w:w="260" w:type="dxa"/>
            <w:vAlign w:val="bottom"/>
            <w:tcBorders>
              <w:bottom w:val="single" w:sz="8" w:color="auto"/>
            </w:tcBorders>
            <w:shd w:val="clear" w:color="auto" w:fill="D6F3E8"/>
          </w:tcPr>
          <w:p>
            <w:pPr>
              <w:spacing w:after="0"/>
              <w:rPr>
                <w:sz w:val="18"/>
                <w:szCs w:val="18"/>
                <w:color w:val="auto"/>
              </w:rPr>
            </w:pPr>
          </w:p>
        </w:tc>
        <w:tc>
          <w:tcPr>
            <w:tcW w:w="11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(6,191)</w:t>
            </w: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2"/>
              <w:spacing w:after="0"/>
              <w:rPr>
                <w:sz w:val="20"/>
                <w:szCs w:val="20"/>
                <w:color w:val="auto"/>
              </w:rPr>
            </w:pPr>
            <w:r>
              <w:rPr>
                <w:rFonts w:ascii="Arial" w:cs="Arial" w:eastAsia="Arial" w:hAnsi="Arial"/>
                <w:sz w:val="18"/>
                <w:szCs w:val="18"/>
                <w:color w:val="auto"/>
              </w:rPr>
              <w:t>7,552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11,446</w:t>
            </w: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account for income taxes under the provisions of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 Judgment is required in assessing the future tax consequences of events that have been recognized in our financial statements or tax returns.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February 28, 2009, our total unrecognized tax benefits were $8.9 million of which, if recognized, $5.4 million would positively affect our effective tax rate. It is our policy to recognize interest and penalties accrued relative to unrecognized tax benefits into tax expense. As of February 28, 2009, we had accrued $2.8 million in interest and penalties.</w:t>
      </w:r>
    </w:p>
    <w:p>
      <w:pPr>
        <w:spacing w:after="0" w:line="194"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We file tax returns in the U.S. federal jurisdiction, as well as various international and state jurisdictions. A number of years may elapse before an uncertain tax position is audited and finally resolved, and it is often very difficult to predict the outcome of such audits. Our federal returns are not subject to examination prior to Fiscal 2004. Periodically, various state and local jurisdictions conduct audits, therefore, a variety of other years are subject to state and local jurisdiction review.</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We do not believe there will be a significant change within the next twelve months in the total amount of unrecognized tax benefits as of February 28,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results may differ materially from our projected estimates.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Employee and Retiree Benefits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Reserves for long-term postretirement health care and deferred compensation benefits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337"/>
              <w:spacing w:after="0"/>
              <w:rPr>
                <w:sz w:val="20"/>
                <w:szCs w:val="20"/>
                <w:color w:val="auto"/>
              </w:rPr>
            </w:pPr>
            <w:r>
              <w:rPr>
                <w:rFonts w:ascii="Arial" w:cs="Arial" w:eastAsia="Arial" w:hAnsi="Arial"/>
                <w:sz w:val="14"/>
                <w:szCs w:val="14"/>
                <w:b w:val="1"/>
                <w:bCs w:val="1"/>
                <w:color w:val="auto"/>
                <w:w w:val="98"/>
              </w:rPr>
              <w:t>February 28,</w:t>
            </w:r>
          </w:p>
        </w:tc>
        <w:tc>
          <w:tcPr>
            <w:tcW w:w="380" w:type="dxa"/>
            <w:vAlign w:val="bottom"/>
          </w:tcPr>
          <w:p>
            <w:pPr>
              <w:spacing w:after="0"/>
              <w:rPr>
                <w:sz w:val="14"/>
                <w:szCs w:val="14"/>
                <w:color w:val="auto"/>
              </w:rPr>
            </w:pPr>
          </w:p>
        </w:tc>
        <w:tc>
          <w:tcPr>
            <w:tcW w:w="1180" w:type="dxa"/>
            <w:vAlign w:val="bottom"/>
          </w:tcPr>
          <w:p>
            <w:pPr>
              <w:jc w:val="right"/>
              <w:ind w:right="357"/>
              <w:spacing w:after="0"/>
              <w:rPr>
                <w:sz w:val="20"/>
                <w:szCs w:val="20"/>
                <w:color w:val="auto"/>
              </w:rPr>
            </w:pPr>
            <w:r>
              <w:rPr>
                <w:rFonts w:ascii="Arial" w:cs="Arial" w:eastAsia="Arial" w:hAnsi="Arial"/>
                <w:sz w:val="14"/>
                <w:szCs w:val="14"/>
                <w:b w:val="1"/>
                <w:bCs w:val="1"/>
                <w:color w:val="auto"/>
              </w:rPr>
              <w:t>August 30,</w:t>
            </w:r>
          </w:p>
        </w:tc>
      </w:tr>
      <w:tr>
        <w:trPr>
          <w:trHeight w:val="161"/>
        </w:trPr>
        <w:tc>
          <w:tcPr>
            <w:tcW w:w="8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2008</w:t>
            </w:r>
          </w:p>
        </w:tc>
      </w:tr>
      <w:tr>
        <w:trPr>
          <w:trHeight w:val="250"/>
        </w:trPr>
        <w:tc>
          <w:tcPr>
            <w:tcW w:w="20" w:type="dxa"/>
            <w:vAlign w:val="bottom"/>
          </w:tcPr>
          <w:p>
            <w:pPr>
              <w:spacing w:after="0"/>
              <w:rPr>
                <w:sz w:val="21"/>
                <w:szCs w:val="21"/>
                <w:color w:val="auto"/>
              </w:rPr>
            </w:pPr>
          </w:p>
        </w:tc>
        <w:tc>
          <w:tcPr>
            <w:tcW w:w="8420" w:type="dxa"/>
            <w:vAlign w:val="bottom"/>
            <w:shd w:val="clear" w:color="auto" w:fill="D6F3E8"/>
          </w:tcPr>
          <w:p>
            <w:pPr>
              <w:spacing w:after="0" w:line="250" w:lineRule="exact"/>
              <w:rPr>
                <w:sz w:val="20"/>
                <w:szCs w:val="20"/>
                <w:color w:val="auto"/>
              </w:rPr>
            </w:pPr>
            <w:r>
              <w:rPr>
                <w:rFonts w:ascii="Arial" w:cs="Arial" w:eastAsia="Arial" w:hAnsi="Arial"/>
                <w:sz w:val="17"/>
                <w:szCs w:val="17"/>
                <w:color w:val="auto"/>
              </w:rPr>
              <w:t xml:space="preserve">Postretirement health care benefit cost </w:t>
            </w:r>
            <w:r>
              <w:rPr>
                <w:rFonts w:ascii="Arial" w:cs="Arial" w:eastAsia="Arial" w:hAnsi="Arial"/>
                <w:sz w:val="28"/>
                <w:szCs w:val="28"/>
                <w:color w:val="auto"/>
                <w:vertAlign w:val="superscript"/>
              </w:rPr>
              <w:t>(1)</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D6F3E8"/>
          </w:tcPr>
          <w:p>
            <w:pPr>
              <w:jc w:val="right"/>
              <w:ind w:right="77"/>
              <w:spacing w:after="0"/>
              <w:rPr>
                <w:sz w:val="20"/>
                <w:szCs w:val="20"/>
                <w:color w:val="auto"/>
              </w:rPr>
            </w:pPr>
            <w:r>
              <w:rPr>
                <w:rFonts w:ascii="Arial" w:cs="Arial" w:eastAsia="Arial" w:hAnsi="Arial"/>
                <w:sz w:val="18"/>
                <w:szCs w:val="18"/>
                <w:color w:val="auto"/>
              </w:rPr>
              <w:t>30,569</w:t>
            </w:r>
          </w:p>
        </w:tc>
        <w:tc>
          <w:tcPr>
            <w:tcW w:w="38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D6F3E8"/>
          </w:tcPr>
          <w:p>
            <w:pPr>
              <w:jc w:val="right"/>
              <w:ind w:right="37"/>
              <w:spacing w:after="0"/>
              <w:rPr>
                <w:sz w:val="20"/>
                <w:szCs w:val="20"/>
                <w:color w:val="auto"/>
              </w:rPr>
            </w:pPr>
            <w:r>
              <w:rPr>
                <w:rFonts w:ascii="Arial" w:cs="Arial" w:eastAsia="Arial" w:hAnsi="Arial"/>
                <w:sz w:val="18"/>
                <w:szCs w:val="18"/>
                <w:color w:val="auto"/>
              </w:rPr>
              <w:t>29,752</w:t>
            </w:r>
          </w:p>
        </w:tc>
      </w:tr>
      <w:tr>
        <w:trPr>
          <w:trHeight w:val="257"/>
        </w:trPr>
        <w:tc>
          <w:tcPr>
            <w:tcW w:w="20" w:type="dxa"/>
            <w:vAlign w:val="bottom"/>
          </w:tcPr>
          <w:p>
            <w:pPr>
              <w:spacing w:after="0"/>
              <w:rPr>
                <w:sz w:val="22"/>
                <w:szCs w:val="22"/>
                <w:color w:val="auto"/>
              </w:rPr>
            </w:pPr>
          </w:p>
        </w:tc>
        <w:tc>
          <w:tcPr>
            <w:tcW w:w="8420" w:type="dxa"/>
            <w:vAlign w:val="bottom"/>
          </w:tcPr>
          <w:p>
            <w:pPr>
              <w:spacing w:after="0" w:line="256" w:lineRule="exact"/>
              <w:rPr>
                <w:sz w:val="20"/>
                <w:szCs w:val="20"/>
                <w:color w:val="auto"/>
              </w:rPr>
            </w:pPr>
            <w:r>
              <w:rPr>
                <w:rFonts w:ascii="Arial" w:cs="Arial" w:eastAsia="Arial" w:hAnsi="Arial"/>
                <w:sz w:val="18"/>
                <w:szCs w:val="18"/>
                <w:color w:val="auto"/>
              </w:rPr>
              <w:t xml:space="preserve">Non-qualified deferred compensation </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260" w:type="dxa"/>
            <w:vAlign w:val="bottom"/>
          </w:tcPr>
          <w:p>
            <w:pPr>
              <w:jc w:val="right"/>
              <w:ind w:right="77"/>
              <w:spacing w:after="0"/>
              <w:rPr>
                <w:sz w:val="20"/>
                <w:szCs w:val="20"/>
                <w:color w:val="auto"/>
              </w:rPr>
            </w:pPr>
            <w:r>
              <w:rPr>
                <w:rFonts w:ascii="Arial" w:cs="Arial" w:eastAsia="Arial" w:hAnsi="Arial"/>
                <w:sz w:val="18"/>
                <w:szCs w:val="18"/>
                <w:color w:val="auto"/>
              </w:rPr>
              <w:t>23,850</w:t>
            </w:r>
          </w:p>
        </w:tc>
        <w:tc>
          <w:tcPr>
            <w:tcW w:w="3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24,155</w:t>
            </w:r>
          </w:p>
        </w:tc>
      </w:tr>
      <w:tr>
        <w:trPr>
          <w:trHeight w:val="216"/>
        </w:trPr>
        <w:tc>
          <w:tcPr>
            <w:tcW w:w="20" w:type="dxa"/>
            <w:vAlign w:val="bottom"/>
          </w:tcPr>
          <w:p>
            <w:pPr>
              <w:spacing w:after="0"/>
              <w:rPr>
                <w:sz w:val="18"/>
                <w:szCs w:val="18"/>
                <w:color w:val="auto"/>
              </w:rPr>
            </w:pPr>
          </w:p>
        </w:tc>
        <w:tc>
          <w:tcPr>
            <w:tcW w:w="8420" w:type="dxa"/>
            <w:vAlign w:val="bottom"/>
            <w:shd w:val="clear" w:color="auto" w:fill="D6F3E8"/>
          </w:tcPr>
          <w:p>
            <w:pPr>
              <w:spacing w:after="0"/>
              <w:rPr>
                <w:sz w:val="20"/>
                <w:szCs w:val="20"/>
                <w:color w:val="auto"/>
              </w:rPr>
            </w:pPr>
            <w:r>
              <w:rPr>
                <w:rFonts w:ascii="Arial" w:cs="Arial" w:eastAsia="Arial" w:hAnsi="Arial"/>
                <w:sz w:val="18"/>
                <w:szCs w:val="18"/>
                <w:color w:val="auto"/>
              </w:rPr>
              <w:t>Executive share option plan liability</w:t>
            </w:r>
          </w:p>
        </w:tc>
        <w:tc>
          <w:tcPr>
            <w:tcW w:w="16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77"/>
              <w:spacing w:after="0"/>
              <w:rPr>
                <w:sz w:val="20"/>
                <w:szCs w:val="20"/>
                <w:color w:val="auto"/>
              </w:rPr>
            </w:pPr>
            <w:r>
              <w:rPr>
                <w:rFonts w:ascii="Arial" w:cs="Arial" w:eastAsia="Arial" w:hAnsi="Arial"/>
                <w:sz w:val="18"/>
                <w:szCs w:val="18"/>
                <w:color w:val="auto"/>
              </w:rPr>
              <w:t>5,734</w:t>
            </w:r>
          </w:p>
        </w:tc>
        <w:tc>
          <w:tcPr>
            <w:tcW w:w="38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37"/>
              <w:spacing w:after="0"/>
              <w:rPr>
                <w:sz w:val="20"/>
                <w:szCs w:val="20"/>
                <w:color w:val="auto"/>
              </w:rPr>
            </w:pPr>
            <w:r>
              <w:rPr>
                <w:rFonts w:ascii="Arial" w:cs="Arial" w:eastAsia="Arial" w:hAnsi="Arial"/>
                <w:sz w:val="18"/>
                <w:szCs w:val="18"/>
                <w:color w:val="auto"/>
              </w:rPr>
              <w:t>10,999</w:t>
            </w:r>
          </w:p>
        </w:tc>
      </w:tr>
      <w:tr>
        <w:trPr>
          <w:trHeight w:val="257"/>
        </w:trPr>
        <w:tc>
          <w:tcPr>
            <w:tcW w:w="20" w:type="dxa"/>
            <w:vAlign w:val="bottom"/>
          </w:tcPr>
          <w:p>
            <w:pPr>
              <w:spacing w:after="0"/>
              <w:rPr>
                <w:sz w:val="22"/>
                <w:szCs w:val="22"/>
                <w:color w:val="auto"/>
              </w:rPr>
            </w:pPr>
          </w:p>
        </w:tc>
        <w:tc>
          <w:tcPr>
            <w:tcW w:w="8420" w:type="dxa"/>
            <w:vAlign w:val="bottom"/>
          </w:tcPr>
          <w:p>
            <w:pPr>
              <w:spacing w:after="0" w:line="256" w:lineRule="exact"/>
              <w:rPr>
                <w:sz w:val="20"/>
                <w:szCs w:val="20"/>
                <w:color w:val="auto"/>
              </w:rPr>
            </w:pPr>
            <w:r>
              <w:rPr>
                <w:rFonts w:ascii="Arial" w:cs="Arial" w:eastAsia="Arial" w:hAnsi="Arial"/>
                <w:sz w:val="18"/>
                <w:szCs w:val="18"/>
                <w:color w:val="auto"/>
              </w:rPr>
              <w:t xml:space="preserve">SERP benefit liability </w:t>
            </w:r>
            <w:r>
              <w:rPr>
                <w:rFonts w:ascii="Arial" w:cs="Arial" w:eastAsia="Arial" w:hAnsi="Arial"/>
                <w:sz w:val="29"/>
                <w:szCs w:val="29"/>
                <w:color w:val="auto"/>
                <w:vertAlign w:val="superscript"/>
              </w:rPr>
              <w:t>(3)</w:t>
            </w:r>
          </w:p>
        </w:tc>
        <w:tc>
          <w:tcPr>
            <w:tcW w:w="160" w:type="dxa"/>
            <w:vAlign w:val="bottom"/>
          </w:tcPr>
          <w:p>
            <w:pPr>
              <w:spacing w:after="0"/>
              <w:rPr>
                <w:sz w:val="22"/>
                <w:szCs w:val="22"/>
                <w:color w:val="auto"/>
              </w:rPr>
            </w:pPr>
          </w:p>
        </w:tc>
        <w:tc>
          <w:tcPr>
            <w:tcW w:w="1260" w:type="dxa"/>
            <w:vAlign w:val="bottom"/>
          </w:tcPr>
          <w:p>
            <w:pPr>
              <w:jc w:val="right"/>
              <w:ind w:right="77"/>
              <w:spacing w:after="0"/>
              <w:rPr>
                <w:sz w:val="20"/>
                <w:szCs w:val="20"/>
                <w:color w:val="auto"/>
              </w:rPr>
            </w:pPr>
            <w:r>
              <w:rPr>
                <w:rFonts w:ascii="Arial" w:cs="Arial" w:eastAsia="Arial" w:hAnsi="Arial"/>
                <w:sz w:val="18"/>
                <w:szCs w:val="18"/>
                <w:color w:val="auto"/>
              </w:rPr>
              <w:t>2,842</w:t>
            </w:r>
          </w:p>
        </w:tc>
        <w:tc>
          <w:tcPr>
            <w:tcW w:w="3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2,767</w:t>
            </w:r>
          </w:p>
        </w:tc>
      </w:tr>
      <w:tr>
        <w:trPr>
          <w:trHeight w:val="216"/>
        </w:trPr>
        <w:tc>
          <w:tcPr>
            <w:tcW w:w="20" w:type="dxa"/>
            <w:vAlign w:val="bottom"/>
          </w:tcPr>
          <w:p>
            <w:pPr>
              <w:spacing w:after="0"/>
              <w:rPr>
                <w:sz w:val="18"/>
                <w:szCs w:val="18"/>
                <w:color w:val="auto"/>
              </w:rPr>
            </w:pPr>
          </w:p>
        </w:tc>
        <w:tc>
          <w:tcPr>
            <w:tcW w:w="842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Executive deferred compensation</w:t>
            </w:r>
          </w:p>
        </w:tc>
        <w:tc>
          <w:tcPr>
            <w:tcW w:w="160" w:type="dxa"/>
            <w:vAlign w:val="bottom"/>
            <w:tcBorders>
              <w:bottom w:val="single" w:sz="8" w:color="auto"/>
            </w:tcBorders>
            <w:shd w:val="clear" w:color="auto" w:fill="D6F3E8"/>
          </w:tcPr>
          <w:p>
            <w:pPr>
              <w:spacing w:after="0"/>
              <w:rPr>
                <w:sz w:val="18"/>
                <w:szCs w:val="18"/>
                <w:color w:val="auto"/>
              </w:rPr>
            </w:pPr>
          </w:p>
        </w:tc>
        <w:tc>
          <w:tcPr>
            <w:tcW w:w="1260" w:type="dxa"/>
            <w:vAlign w:val="bottom"/>
            <w:tcBorders>
              <w:bottom w:val="single" w:sz="8" w:color="auto"/>
            </w:tcBorders>
            <w:shd w:val="clear" w:color="auto" w:fill="D6F3E8"/>
          </w:tcPr>
          <w:p>
            <w:pPr>
              <w:jc w:val="right"/>
              <w:ind w:right="77"/>
              <w:spacing w:after="0"/>
              <w:rPr>
                <w:sz w:val="20"/>
                <w:szCs w:val="20"/>
                <w:color w:val="auto"/>
              </w:rPr>
            </w:pPr>
            <w:r>
              <w:rPr>
                <w:rFonts w:ascii="Arial" w:cs="Arial" w:eastAsia="Arial" w:hAnsi="Arial"/>
                <w:sz w:val="18"/>
                <w:szCs w:val="18"/>
                <w:color w:val="auto"/>
              </w:rPr>
              <w:t>52</w:t>
            </w:r>
          </w:p>
        </w:tc>
        <w:tc>
          <w:tcPr>
            <w:tcW w:w="380" w:type="dxa"/>
            <w:vAlign w:val="bottom"/>
            <w:tcBorders>
              <w:bottom w:val="single" w:sz="8" w:color="auto"/>
            </w:tcBorders>
            <w:shd w:val="clear" w:color="auto" w:fill="D6F3E8"/>
          </w:tcPr>
          <w:p>
            <w:pPr>
              <w:spacing w:after="0"/>
              <w:rPr>
                <w:sz w:val="18"/>
                <w:szCs w:val="18"/>
                <w:color w:val="auto"/>
              </w:rPr>
            </w:pPr>
          </w:p>
        </w:tc>
        <w:tc>
          <w:tcPr>
            <w:tcW w:w="1180" w:type="dxa"/>
            <w:vAlign w:val="bottom"/>
            <w:tcBorders>
              <w:bottom w:val="single" w:sz="8" w:color="auto"/>
            </w:tcBorders>
            <w:shd w:val="clear" w:color="auto" w:fill="D6F3E8"/>
          </w:tcPr>
          <w:p>
            <w:pPr>
              <w:jc w:val="right"/>
              <w:ind w:right="37"/>
              <w:spacing w:after="0"/>
              <w:rPr>
                <w:sz w:val="20"/>
                <w:szCs w:val="20"/>
                <w:color w:val="auto"/>
              </w:rPr>
            </w:pPr>
            <w:r>
              <w:rPr>
                <w:rFonts w:ascii="Arial" w:cs="Arial" w:eastAsia="Arial" w:hAnsi="Arial"/>
                <w:sz w:val="18"/>
                <w:szCs w:val="18"/>
                <w:color w:val="auto"/>
              </w:rPr>
              <w:t>56</w:t>
            </w: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Total postretirement health care and deferred compensation benefits</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63,047</w:t>
            </w: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67,729</w:t>
            </w: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580" w:right="120" w:hanging="572"/>
        <w:spacing w:after="0" w:line="194" w:lineRule="auto"/>
        <w:tabs>
          <w:tab w:leader="none" w:pos="5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The current portion of accrued postretirement benefit cost of $1.2 million and $1.1 million as of February 28, 2009 and August 30, 2008, respectively, is included within other accrued expenses.</w:t>
      </w:r>
    </w:p>
    <w:p>
      <w:pPr>
        <w:spacing w:after="0" w:line="1" w:lineRule="exact"/>
        <w:rPr>
          <w:rFonts w:ascii="Arial" w:cs="Arial" w:eastAsia="Arial" w:hAnsi="Arial"/>
          <w:sz w:val="29"/>
          <w:szCs w:val="29"/>
          <w:color w:val="auto"/>
          <w:vertAlign w:val="superscript"/>
        </w:rPr>
      </w:pPr>
    </w:p>
    <w:p>
      <w:pPr>
        <w:ind w:left="580" w:right="400" w:hanging="572"/>
        <w:spacing w:after="0" w:line="191" w:lineRule="auto"/>
        <w:tabs>
          <w:tab w:leader="none" w:pos="5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The current portion of deferred compensation liability of $2.6 million and $2.4 million as of February 28, 2009 and August 30, 2008, respectively, is included within accrued compensation.</w:t>
      </w:r>
    </w:p>
    <w:p>
      <w:pPr>
        <w:spacing w:after="0" w:line="2" w:lineRule="exact"/>
        <w:rPr>
          <w:rFonts w:ascii="Arial" w:cs="Arial" w:eastAsia="Arial" w:hAnsi="Arial"/>
          <w:sz w:val="29"/>
          <w:szCs w:val="29"/>
          <w:color w:val="auto"/>
          <w:vertAlign w:val="superscript"/>
        </w:rPr>
      </w:pPr>
    </w:p>
    <w:p>
      <w:pPr>
        <w:ind w:left="580" w:right="580" w:hanging="572"/>
        <w:spacing w:after="0" w:line="191" w:lineRule="auto"/>
        <w:tabs>
          <w:tab w:leader="none" w:pos="5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The current portion of the SERP liability of $201,000 and $186,000 as of February 28, 2009 and August 30, 2008, respectively, is included within accrued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Health Care Benefits</w:t>
      </w:r>
    </w:p>
    <w:p>
      <w:pPr>
        <w:spacing w:after="0" w:line="225"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of age 55 with 15 years of continuous service. Retirees are required to pay a monthly premium for medical coverage based on years of service at retirement and then current age. Our postretirement health care plan currently is not funded. We use a September 1 measurement date for this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benefit income consisted of the following components: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Thirteen</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301"/>
              <w:spacing w:after="0"/>
              <w:rPr>
                <w:sz w:val="20"/>
                <w:szCs w:val="20"/>
                <w:color w:val="auto"/>
              </w:rPr>
            </w:pPr>
            <w:r>
              <w:rPr>
                <w:rFonts w:ascii="Arial" w:cs="Arial" w:eastAsia="Arial" w:hAnsi="Arial"/>
                <w:sz w:val="14"/>
                <w:szCs w:val="14"/>
                <w:b w:val="1"/>
                <w:bCs w:val="1"/>
                <w:color w:val="auto"/>
                <w:w w:val="86"/>
              </w:rPr>
              <w:t>Twenty-Six</w:t>
            </w:r>
          </w:p>
        </w:tc>
        <w:tc>
          <w:tcPr>
            <w:tcW w:w="360" w:type="dxa"/>
            <w:vAlign w:val="bottom"/>
          </w:tcPr>
          <w:p>
            <w:pPr>
              <w:spacing w:after="0"/>
              <w:rPr>
                <w:sz w:val="14"/>
                <w:szCs w:val="14"/>
                <w:color w:val="auto"/>
              </w:rPr>
            </w:pPr>
          </w:p>
        </w:tc>
        <w:tc>
          <w:tcPr>
            <w:tcW w:w="1180" w:type="dxa"/>
            <w:vAlign w:val="bottom"/>
          </w:tcPr>
          <w:p>
            <w:pPr>
              <w:jc w:val="center"/>
              <w:ind w:right="260"/>
              <w:spacing w:after="0"/>
              <w:rPr>
                <w:sz w:val="20"/>
                <w:szCs w:val="20"/>
                <w:color w:val="auto"/>
              </w:rPr>
            </w:pPr>
            <w:r>
              <w:rPr>
                <w:rFonts w:ascii="Arial" w:cs="Arial" w:eastAsia="Arial" w:hAnsi="Arial"/>
                <w:sz w:val="14"/>
                <w:szCs w:val="14"/>
                <w:b w:val="1"/>
                <w:bCs w:val="1"/>
                <w:color w:val="auto"/>
                <w:w w:val="84"/>
              </w:rPr>
              <w:t>Twenty-Seven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Weeks Ended</w:t>
            </w: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Weeks Ended</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ind w:right="361"/>
              <w:spacing w:after="0" w:line="129" w:lineRule="exact"/>
              <w:rPr>
                <w:sz w:val="20"/>
                <w:szCs w:val="20"/>
                <w:color w:val="auto"/>
              </w:rPr>
            </w:pPr>
            <w:r>
              <w:rPr>
                <w:rFonts w:ascii="Arial" w:cs="Arial" w:eastAsia="Arial" w:hAnsi="Arial"/>
                <w:sz w:val="14"/>
                <w:szCs w:val="14"/>
                <w:b w:val="1"/>
                <w:bCs w:val="1"/>
                <w:color w:val="auto"/>
                <w:w w:val="98"/>
              </w:rPr>
              <w:t>February 28,</w:t>
            </w:r>
          </w:p>
        </w:tc>
        <w:tc>
          <w:tcPr>
            <w:tcW w:w="10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March 1,</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jc w:val="center"/>
              <w:ind w:right="301"/>
              <w:spacing w:after="0" w:line="129" w:lineRule="exact"/>
              <w:rPr>
                <w:sz w:val="20"/>
                <w:szCs w:val="20"/>
                <w:color w:val="auto"/>
              </w:rPr>
            </w:pPr>
            <w:r>
              <w:rPr>
                <w:rFonts w:ascii="Arial" w:cs="Arial" w:eastAsia="Arial" w:hAnsi="Arial"/>
                <w:sz w:val="14"/>
                <w:szCs w:val="14"/>
                <w:b w:val="1"/>
                <w:bCs w:val="1"/>
                <w:color w:val="auto"/>
                <w:w w:val="91"/>
              </w:rPr>
              <w:t>February 28,</w:t>
            </w:r>
          </w:p>
        </w:tc>
        <w:tc>
          <w:tcPr>
            <w:tcW w:w="360" w:type="dxa"/>
            <w:vAlign w:val="bottom"/>
          </w:tcPr>
          <w:p>
            <w:pPr>
              <w:spacing w:after="0"/>
              <w:rPr>
                <w:sz w:val="11"/>
                <w:szCs w:val="11"/>
                <w:color w:val="auto"/>
              </w:rPr>
            </w:pPr>
          </w:p>
        </w:tc>
        <w:tc>
          <w:tcPr>
            <w:tcW w:w="1180" w:type="dxa"/>
            <w:vAlign w:val="bottom"/>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March 1,</w:t>
            </w:r>
          </w:p>
        </w:tc>
        <w:tc>
          <w:tcPr>
            <w:tcW w:w="0" w:type="dxa"/>
            <w:vAlign w:val="bottom"/>
          </w:tcPr>
          <w:p>
            <w:pPr>
              <w:spacing w:after="0"/>
              <w:rPr>
                <w:sz w:val="1"/>
                <w:szCs w:val="1"/>
                <w:color w:val="auto"/>
              </w:rPr>
            </w:pPr>
          </w:p>
        </w:tc>
      </w:tr>
      <w:tr>
        <w:trPr>
          <w:trHeight w:val="161"/>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2009</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b w:val="1"/>
                <w:bCs w:val="1"/>
                <w:color w:val="auto"/>
                <w:w w:val="89"/>
              </w:rPr>
              <w:t>2009</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D6F3E8"/>
          </w:tcPr>
          <w:p>
            <w:pPr>
              <w:jc w:val="right"/>
              <w:ind w:right="121"/>
              <w:spacing w:after="0"/>
              <w:rPr>
                <w:sz w:val="20"/>
                <w:szCs w:val="20"/>
                <w:color w:val="auto"/>
              </w:rPr>
            </w:pPr>
            <w:r>
              <w:rPr>
                <w:rFonts w:ascii="Arial" w:cs="Arial" w:eastAsia="Arial" w:hAnsi="Arial"/>
                <w:sz w:val="18"/>
                <w:szCs w:val="18"/>
                <w:color w:val="auto"/>
              </w:rPr>
              <w:t>530</w:t>
            </w:r>
          </w:p>
        </w:tc>
        <w:tc>
          <w:tcPr>
            <w:tcW w:w="1060" w:type="dxa"/>
            <w:vAlign w:val="bottom"/>
            <w:shd w:val="clear" w:color="auto" w:fill="D6F3E8"/>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491</w:t>
            </w:r>
          </w:p>
        </w:tc>
        <w:tc>
          <w:tcPr>
            <w:tcW w:w="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ind w:right="121"/>
              <w:spacing w:after="0"/>
              <w:rPr>
                <w:sz w:val="20"/>
                <w:szCs w:val="20"/>
                <w:color w:val="auto"/>
              </w:rPr>
            </w:pPr>
            <w:r>
              <w:rPr>
                <w:rFonts w:ascii="Arial" w:cs="Arial" w:eastAsia="Arial" w:hAnsi="Arial"/>
                <w:sz w:val="18"/>
                <w:szCs w:val="18"/>
                <w:color w:val="auto"/>
              </w:rPr>
              <w:t>1,060</w:t>
            </w:r>
          </w:p>
        </w:tc>
        <w:tc>
          <w:tcPr>
            <w:tcW w:w="36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D6F3E8"/>
          </w:tcPr>
          <w:p>
            <w:pPr>
              <w:jc w:val="right"/>
              <w:ind w:right="4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Service cost</w:t>
            </w:r>
          </w:p>
        </w:tc>
        <w:tc>
          <w:tcPr>
            <w:tcW w:w="18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Arial" w:cs="Arial" w:eastAsia="Arial" w:hAnsi="Arial"/>
                <w:sz w:val="18"/>
                <w:szCs w:val="18"/>
                <w:color w:val="auto"/>
              </w:rPr>
              <w:t>147</w:t>
            </w:r>
          </w:p>
        </w:tc>
        <w:tc>
          <w:tcPr>
            <w:tcW w:w="1060" w:type="dxa"/>
            <w:vAlign w:val="bottom"/>
          </w:tcPr>
          <w:p>
            <w:pPr>
              <w:spacing w:after="0"/>
              <w:rPr>
                <w:sz w:val="18"/>
                <w:szCs w:val="18"/>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Arial" w:cs="Arial" w:eastAsia="Arial" w:hAnsi="Arial"/>
                <w:sz w:val="18"/>
                <w:szCs w:val="18"/>
                <w:color w:val="auto"/>
              </w:rPr>
              <w:t>295</w:t>
            </w:r>
          </w:p>
        </w:tc>
        <w:tc>
          <w:tcPr>
            <w:tcW w:w="36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amortization and deferral</w:t>
            </w:r>
          </w:p>
        </w:tc>
        <w:tc>
          <w:tcPr>
            <w:tcW w:w="180" w:type="dxa"/>
            <w:vAlign w:val="bottom"/>
            <w:tcBorders>
              <w:bottom w:val="single" w:sz="8" w:color="auto"/>
            </w:tcBorders>
            <w:shd w:val="clear" w:color="auto" w:fill="D6F3E8"/>
          </w:tcPr>
          <w:p>
            <w:pPr>
              <w:spacing w:after="0"/>
              <w:rPr>
                <w:sz w:val="18"/>
                <w:szCs w:val="18"/>
                <w:color w:val="auto"/>
              </w:rPr>
            </w:pPr>
          </w:p>
        </w:tc>
        <w:tc>
          <w:tcPr>
            <w:tcW w:w="1280" w:type="dxa"/>
            <w:vAlign w:val="bottom"/>
            <w:tcBorders>
              <w:bottom w:val="single" w:sz="8" w:color="auto"/>
            </w:tcBorders>
            <w:shd w:val="clear" w:color="auto" w:fill="D6F3E8"/>
          </w:tcPr>
          <w:p>
            <w:pPr>
              <w:jc w:val="right"/>
              <w:ind w:right="61"/>
              <w:spacing w:after="0"/>
              <w:rPr>
                <w:sz w:val="20"/>
                <w:szCs w:val="20"/>
                <w:color w:val="auto"/>
              </w:rPr>
            </w:pPr>
            <w:r>
              <w:rPr>
                <w:rFonts w:ascii="Arial" w:cs="Arial" w:eastAsia="Arial" w:hAnsi="Arial"/>
                <w:sz w:val="18"/>
                <w:szCs w:val="18"/>
                <w:color w:val="auto"/>
              </w:rPr>
              <w:t>(874)</w:t>
            </w:r>
          </w:p>
        </w:tc>
        <w:tc>
          <w:tcPr>
            <w:tcW w:w="1060" w:type="dxa"/>
            <w:vAlign w:val="bottom"/>
            <w:tcBorders>
              <w:bottom w:val="single" w:sz="8" w:color="auto"/>
            </w:tcBorders>
            <w:shd w:val="clear" w:color="auto" w:fill="D6F3E8"/>
          </w:tcPr>
          <w:p>
            <w:pPr>
              <w:spacing w:after="0"/>
              <w:rPr>
                <w:sz w:val="18"/>
                <w:szCs w:val="18"/>
                <w:color w:val="auto"/>
              </w:rPr>
            </w:pPr>
          </w:p>
        </w:tc>
        <w:tc>
          <w:tcPr>
            <w:tcW w:w="540" w:type="dxa"/>
            <w:vAlign w:val="bottom"/>
            <w:tcBorders>
              <w:bottom w:val="single" w:sz="8" w:color="auto"/>
            </w:tcBorders>
            <w:shd w:val="clear" w:color="auto" w:fill="D6F3E8"/>
          </w:tcPr>
          <w:p>
            <w:pPr>
              <w:jc w:val="right"/>
              <w:ind w:right="52"/>
              <w:spacing w:after="0"/>
              <w:rPr>
                <w:sz w:val="20"/>
                <w:szCs w:val="20"/>
                <w:color w:val="auto"/>
              </w:rPr>
            </w:pPr>
            <w:r>
              <w:rPr>
                <w:rFonts w:ascii="Arial" w:cs="Arial" w:eastAsia="Arial" w:hAnsi="Arial"/>
                <w:sz w:val="18"/>
                <w:szCs w:val="18"/>
                <w:color w:val="auto"/>
                <w:w w:val="90"/>
              </w:rPr>
              <w:t>(809)</w:t>
            </w:r>
          </w:p>
        </w:tc>
        <w:tc>
          <w:tcPr>
            <w:tcW w:w="320" w:type="dxa"/>
            <w:vAlign w:val="bottom"/>
            <w:tcBorders>
              <w:bottom w:val="single" w:sz="8" w:color="auto"/>
            </w:tcBorders>
            <w:shd w:val="clear" w:color="auto" w:fill="D6F3E8"/>
          </w:tcPr>
          <w:p>
            <w:pPr>
              <w:spacing w:after="0"/>
              <w:rPr>
                <w:sz w:val="18"/>
                <w:szCs w:val="18"/>
                <w:color w:val="auto"/>
              </w:rPr>
            </w:pPr>
          </w:p>
        </w:tc>
        <w:tc>
          <w:tcPr>
            <w:tcW w:w="1300" w:type="dxa"/>
            <w:vAlign w:val="bottom"/>
            <w:tcBorders>
              <w:bottom w:val="single" w:sz="8" w:color="auto"/>
            </w:tcBorders>
            <w:shd w:val="clear" w:color="auto" w:fill="D6F3E8"/>
          </w:tcPr>
          <w:p>
            <w:pPr>
              <w:jc w:val="right"/>
              <w:ind w:right="61"/>
              <w:spacing w:after="0"/>
              <w:rPr>
                <w:sz w:val="20"/>
                <w:szCs w:val="20"/>
                <w:color w:val="auto"/>
              </w:rPr>
            </w:pPr>
            <w:r>
              <w:rPr>
                <w:rFonts w:ascii="Arial" w:cs="Arial" w:eastAsia="Arial" w:hAnsi="Arial"/>
                <w:sz w:val="18"/>
                <w:szCs w:val="18"/>
                <w:color w:val="auto"/>
              </w:rPr>
              <w:t>(1,749)</w:t>
            </w:r>
          </w:p>
        </w:tc>
        <w:tc>
          <w:tcPr>
            <w:tcW w:w="360" w:type="dxa"/>
            <w:vAlign w:val="bottom"/>
            <w:tcBorders>
              <w:bottom w:val="single" w:sz="8" w:color="auto"/>
            </w:tcBorders>
            <w:shd w:val="clear" w:color="auto" w:fill="D6F3E8"/>
          </w:tcPr>
          <w:p>
            <w:pPr>
              <w:spacing w:after="0"/>
              <w:rPr>
                <w:sz w:val="18"/>
                <w:szCs w:val="18"/>
                <w:color w:val="auto"/>
              </w:rPr>
            </w:pPr>
          </w:p>
        </w:tc>
        <w:tc>
          <w:tcPr>
            <w:tcW w:w="11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periodic postretirement health care benefit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(197)</w:t>
            </w:r>
          </w:p>
        </w:tc>
        <w:tc>
          <w:tcPr>
            <w:tcW w:w="1060" w:type="dxa"/>
            <w:vAlign w:val="bottom"/>
            <w:tcBorders>
              <w:bottom w:val="single" w:sz="8" w:color="auto"/>
            </w:tcBorders>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0"/>
              </w:rPr>
              <w:t>(138)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(394)</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1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Payments for postretirement health care</w:t>
            </w:r>
          </w:p>
        </w:tc>
        <w:tc>
          <w:tcPr>
            <w:tcW w:w="1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D6F3E8"/>
          </w:tcPr>
          <w:p>
            <w:pPr>
              <w:jc w:val="right"/>
              <w:ind w:right="121"/>
              <w:spacing w:after="0"/>
              <w:rPr>
                <w:sz w:val="20"/>
                <w:szCs w:val="20"/>
                <w:color w:val="auto"/>
              </w:rPr>
            </w:pPr>
            <w:r>
              <w:rPr>
                <w:rFonts w:ascii="Arial" w:cs="Arial" w:eastAsia="Arial" w:hAnsi="Arial"/>
                <w:sz w:val="18"/>
                <w:szCs w:val="18"/>
                <w:color w:val="auto"/>
              </w:rPr>
              <w:t>217</w:t>
            </w:r>
          </w:p>
        </w:tc>
        <w:tc>
          <w:tcPr>
            <w:tcW w:w="1060" w:type="dxa"/>
            <w:vAlign w:val="bottom"/>
            <w:tcBorders>
              <w:bottom w:val="single" w:sz="8" w:color="auto"/>
            </w:tcBorders>
            <w:shd w:val="clear" w:color="auto" w:fill="D6F3E8"/>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D6F3E8"/>
          </w:tcPr>
          <w:p>
            <w:pPr>
              <w:jc w:val="right"/>
              <w:ind w:right="92"/>
              <w:spacing w:after="0"/>
              <w:rPr>
                <w:sz w:val="20"/>
                <w:szCs w:val="20"/>
                <w:color w:val="auto"/>
              </w:rPr>
            </w:pPr>
            <w:r>
              <w:rPr>
                <w:rFonts w:ascii="Arial" w:cs="Arial" w:eastAsia="Arial" w:hAnsi="Arial"/>
                <w:sz w:val="18"/>
                <w:szCs w:val="18"/>
                <w:color w:val="auto"/>
              </w:rPr>
              <w:t>290</w:t>
            </w:r>
          </w:p>
        </w:tc>
        <w:tc>
          <w:tcPr>
            <w:tcW w:w="3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6F3E8"/>
          </w:tcPr>
          <w:p>
            <w:pPr>
              <w:jc w:val="right"/>
              <w:ind w:right="121"/>
              <w:spacing w:after="0"/>
              <w:rPr>
                <w:sz w:val="20"/>
                <w:szCs w:val="20"/>
                <w:color w:val="auto"/>
              </w:rPr>
            </w:pPr>
            <w:r>
              <w:rPr>
                <w:rFonts w:ascii="Arial" w:cs="Arial" w:eastAsia="Arial" w:hAnsi="Arial"/>
                <w:sz w:val="18"/>
                <w:szCs w:val="18"/>
                <w:color w:val="auto"/>
              </w:rPr>
              <w:t>409</w:t>
            </w:r>
          </w:p>
        </w:tc>
        <w:tc>
          <w:tcPr>
            <w:tcW w:w="360" w:type="dxa"/>
            <w:vAlign w:val="bottom"/>
            <w:tcBorders>
              <w:bottom w:val="single" w:sz="8" w:color="auto"/>
            </w:tcBorders>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6F3E8"/>
          </w:tcPr>
          <w:p>
            <w:pPr>
              <w:jc w:val="right"/>
              <w:ind w:right="4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For accounting purposes, we recognized income from the plan for the first and second quarters of both Fiscal 2009 and Fiscal 2008 due to the amortization of the cost savings from the September 2004 amendment.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Contingent Liabilities and Commitments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Commitments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Generally, companies in the RV industry enter into repurchase agreements with lending institutions which have provided wholesale floor plan financing to dealers. Most dealers’ motor homes are financed on a “floor plan” basis under which a bank or finance company lends the dealer all, or substantially all, of the purchase price, collateralized by a security interest in the motor homes purchased.</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repurchase agreements provide that, in the event of default by the dealer on the agreement to pay the lending institution, we will repurchase the financed merchandise. The agreements provide that our liability will not exceed 100 percent of the dealer invoice and provide for periodic liability reductions based on the dealer’s equity in the inventory and the time since the date of the original invoice. Our contingent liability on these repurchase agreements was approximately $131.2 million at February 28, 2009.</w:t>
      </w:r>
    </w:p>
    <w:p>
      <w:pPr>
        <w:spacing w:after="0" w:line="197"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motor vehicles to repurchase current inventory if a dealership exits the business. Incremental repurchase exposure beyond existing repurchase agreements, related to dealer inventory in states that we have had historical experience of repurchasing inventory, totaled $6.7 million at February 28, 2009.</w:t>
      </w:r>
    </w:p>
    <w:p>
      <w:pPr>
        <w:sectPr>
          <w:pgSz w:w="11900" w:h="16838" w:orient="portrait"/>
          <w:cols w:equalWidth="0" w:num="1">
            <w:col w:w="11420"/>
          </w:cols>
          <w:pgMar w:left="240" w:top="131" w:right="239"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Based on our repurchase agreements and the incremental repurchase exposure explained above, we establish an associated loss reserve. Repurchased sales are not recorded as a revenue transaction, but the net difference between the original repurchase price and the resale price are recorded against the loss reserve, which is a deduction from gross revenue.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The percentage of dealer inventory we estimate we will repurchase is based on historical information, current trends and an analysis of dealer inventory aging for all dealers with inventory subject to this obligation. The estimated loss per repurchased unit is based primarily on recent history because until recently, we were generally able to sell repurchased units for minimal losses.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for repurchased units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Thirteen</w:t>
            </w: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ind w:right="261"/>
              <w:spacing w:after="0"/>
              <w:rPr>
                <w:sz w:val="20"/>
                <w:szCs w:val="20"/>
                <w:color w:val="auto"/>
              </w:rPr>
            </w:pPr>
            <w:r>
              <w:rPr>
                <w:rFonts w:ascii="Arial" w:cs="Arial" w:eastAsia="Arial" w:hAnsi="Arial"/>
                <w:sz w:val="14"/>
                <w:szCs w:val="14"/>
                <w:b w:val="1"/>
                <w:bCs w:val="1"/>
                <w:color w:val="auto"/>
                <w:w w:val="86"/>
              </w:rPr>
              <w:t>Twenty-Six</w:t>
            </w:r>
          </w:p>
        </w:tc>
        <w:tc>
          <w:tcPr>
            <w:tcW w:w="400" w:type="dxa"/>
            <w:vAlign w:val="bottom"/>
          </w:tcPr>
          <w:p>
            <w:pPr>
              <w:spacing w:after="0"/>
              <w:rPr>
                <w:sz w:val="14"/>
                <w:szCs w:val="14"/>
                <w:color w:val="auto"/>
              </w:rPr>
            </w:pPr>
          </w:p>
        </w:tc>
        <w:tc>
          <w:tcPr>
            <w:tcW w:w="1060" w:type="dxa"/>
            <w:vAlign w:val="bottom"/>
          </w:tcPr>
          <w:p>
            <w:pPr>
              <w:jc w:val="center"/>
              <w:ind w:right="140"/>
              <w:spacing w:after="0"/>
              <w:rPr>
                <w:sz w:val="20"/>
                <w:szCs w:val="20"/>
                <w:color w:val="auto"/>
              </w:rPr>
            </w:pPr>
            <w:r>
              <w:rPr>
                <w:rFonts w:ascii="Arial" w:cs="Arial" w:eastAsia="Arial" w:hAnsi="Arial"/>
                <w:sz w:val="14"/>
                <w:szCs w:val="14"/>
                <w:b w:val="1"/>
                <w:bCs w:val="1"/>
                <w:color w:val="auto"/>
                <w:w w:val="84"/>
              </w:rPr>
              <w:t>Twenty-Seven</w:t>
            </w:r>
          </w:p>
        </w:tc>
        <w:tc>
          <w:tcPr>
            <w:tcW w:w="120" w:type="dxa"/>
            <w:vAlign w:val="bottom"/>
          </w:tcPr>
          <w:p>
            <w:pPr>
              <w:spacing w:after="0"/>
              <w:rPr>
                <w:sz w:val="14"/>
                <w:szCs w:val="14"/>
                <w:color w:val="auto"/>
              </w:rPr>
            </w:pPr>
          </w:p>
        </w:tc>
      </w:tr>
      <w:tr>
        <w:trPr>
          <w:trHeight w:val="161"/>
        </w:trPr>
        <w:tc>
          <w:tcPr>
            <w:tcW w:w="5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Weeks Ended</w:t>
            </w:r>
          </w:p>
        </w:tc>
        <w:tc>
          <w:tcPr>
            <w:tcW w:w="1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Weeks Ended</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ind w:right="341"/>
              <w:spacing w:after="0" w:line="129" w:lineRule="exact"/>
              <w:rPr>
                <w:sz w:val="20"/>
                <w:szCs w:val="20"/>
                <w:color w:val="auto"/>
              </w:rPr>
            </w:pPr>
            <w:r>
              <w:rPr>
                <w:rFonts w:ascii="Arial" w:cs="Arial" w:eastAsia="Arial" w:hAnsi="Arial"/>
                <w:sz w:val="14"/>
                <w:szCs w:val="14"/>
                <w:b w:val="1"/>
                <w:bCs w:val="1"/>
                <w:color w:val="auto"/>
                <w:w w:val="98"/>
              </w:rPr>
              <w:t>February 28,</w:t>
            </w:r>
          </w:p>
        </w:tc>
        <w:tc>
          <w:tcPr>
            <w:tcW w:w="460" w:type="dxa"/>
            <w:vAlign w:val="bottom"/>
          </w:tcPr>
          <w:p>
            <w:pPr>
              <w:spacing w:after="0"/>
              <w:rPr>
                <w:sz w:val="11"/>
                <w:szCs w:val="11"/>
                <w:color w:val="auto"/>
              </w:rPr>
            </w:pPr>
          </w:p>
        </w:tc>
        <w:tc>
          <w:tcPr>
            <w:tcW w:w="1140" w:type="dxa"/>
            <w:vAlign w:val="bottom"/>
          </w:tcPr>
          <w:p>
            <w:pPr>
              <w:jc w:val="right"/>
              <w:ind w:right="458"/>
              <w:spacing w:after="0" w:line="129" w:lineRule="exact"/>
              <w:rPr>
                <w:sz w:val="20"/>
                <w:szCs w:val="20"/>
                <w:color w:val="auto"/>
              </w:rPr>
            </w:pPr>
            <w:r>
              <w:rPr>
                <w:rFonts w:ascii="Arial" w:cs="Arial" w:eastAsia="Arial" w:hAnsi="Arial"/>
                <w:sz w:val="14"/>
                <w:szCs w:val="14"/>
                <w:b w:val="1"/>
                <w:bCs w:val="1"/>
                <w:color w:val="auto"/>
              </w:rPr>
              <w:t>March 1,</w:t>
            </w:r>
          </w:p>
        </w:tc>
        <w:tc>
          <w:tcPr>
            <w:tcW w:w="340" w:type="dxa"/>
            <w:vAlign w:val="bottom"/>
          </w:tcPr>
          <w:p>
            <w:pPr>
              <w:spacing w:after="0"/>
              <w:rPr>
                <w:sz w:val="11"/>
                <w:szCs w:val="11"/>
                <w:color w:val="auto"/>
              </w:rPr>
            </w:pPr>
          </w:p>
        </w:tc>
        <w:tc>
          <w:tcPr>
            <w:tcW w:w="1260" w:type="dxa"/>
            <w:vAlign w:val="bottom"/>
          </w:tcPr>
          <w:p>
            <w:pPr>
              <w:jc w:val="center"/>
              <w:ind w:right="261"/>
              <w:spacing w:after="0" w:line="129" w:lineRule="exact"/>
              <w:rPr>
                <w:sz w:val="20"/>
                <w:szCs w:val="20"/>
                <w:color w:val="auto"/>
              </w:rPr>
            </w:pPr>
            <w:r>
              <w:rPr>
                <w:rFonts w:ascii="Arial" w:cs="Arial" w:eastAsia="Arial" w:hAnsi="Arial"/>
                <w:sz w:val="14"/>
                <w:szCs w:val="14"/>
                <w:b w:val="1"/>
                <w:bCs w:val="1"/>
                <w:color w:val="auto"/>
                <w:w w:val="91"/>
              </w:rPr>
              <w:t>February 28,</w:t>
            </w:r>
          </w:p>
        </w:tc>
        <w:tc>
          <w:tcPr>
            <w:tcW w:w="400" w:type="dxa"/>
            <w:vAlign w:val="bottom"/>
          </w:tcPr>
          <w:p>
            <w:pPr>
              <w:spacing w:after="0"/>
              <w:rPr>
                <w:sz w:val="11"/>
                <w:szCs w:val="11"/>
                <w:color w:val="auto"/>
              </w:rPr>
            </w:pPr>
          </w:p>
        </w:tc>
        <w:tc>
          <w:tcPr>
            <w:tcW w:w="1060" w:type="dxa"/>
            <w:vAlign w:val="bottom"/>
          </w:tcPr>
          <w:p>
            <w:pPr>
              <w:jc w:val="center"/>
              <w:ind w:right="140"/>
              <w:spacing w:after="0" w:line="129" w:lineRule="exact"/>
              <w:rPr>
                <w:sz w:val="20"/>
                <w:szCs w:val="20"/>
                <w:color w:val="auto"/>
              </w:rPr>
            </w:pPr>
            <w:r>
              <w:rPr>
                <w:rFonts w:ascii="Arial" w:cs="Arial" w:eastAsia="Arial" w:hAnsi="Arial"/>
                <w:sz w:val="14"/>
                <w:szCs w:val="14"/>
                <w:b w:val="1"/>
                <w:bCs w:val="1"/>
                <w:color w:val="auto"/>
                <w:w w:val="91"/>
              </w:rPr>
              <w:t>March 1,</w:t>
            </w:r>
          </w:p>
        </w:tc>
        <w:tc>
          <w:tcPr>
            <w:tcW w:w="120" w:type="dxa"/>
            <w:vAlign w:val="bottom"/>
          </w:tcPr>
          <w:p>
            <w:pPr>
              <w:spacing w:after="0"/>
              <w:rPr>
                <w:sz w:val="11"/>
                <w:szCs w:val="11"/>
                <w:color w:val="auto"/>
              </w:rPr>
            </w:pPr>
          </w:p>
        </w:tc>
      </w:tr>
      <w:tr>
        <w:trPr>
          <w:trHeight w:val="161"/>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b w:val="1"/>
                <w:bCs w:val="1"/>
                <w:color w:val="auto"/>
                <w:w w:val="89"/>
              </w:rPr>
              <w:t>2009</w:t>
            </w: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r>
      <w:tr>
        <w:trPr>
          <w:trHeight w:val="210"/>
        </w:trPr>
        <w:tc>
          <w:tcPr>
            <w:tcW w:w="5200" w:type="dxa"/>
            <w:vAlign w:val="bottom"/>
            <w:shd w:val="clear" w:color="auto" w:fill="D6F3E8"/>
          </w:tcPr>
          <w:p>
            <w:pPr>
              <w:spacing w:after="0"/>
              <w:rPr>
                <w:sz w:val="20"/>
                <w:szCs w:val="20"/>
                <w:color w:val="auto"/>
              </w:rPr>
            </w:pPr>
            <w:r>
              <w:rPr>
                <w:rFonts w:ascii="Arial" w:cs="Arial" w:eastAsia="Arial" w:hAnsi="Arial"/>
                <w:sz w:val="18"/>
                <w:szCs w:val="18"/>
                <w:color w:val="auto"/>
              </w:rPr>
              <w:t>Inventory repurchased</w:t>
            </w:r>
          </w:p>
        </w:tc>
        <w:tc>
          <w:tcPr>
            <w:tcW w:w="18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Units</w:t>
            </w:r>
          </w:p>
        </w:tc>
        <w:tc>
          <w:tcPr>
            <w:tcW w:w="180" w:type="dxa"/>
            <w:vAlign w:val="bottom"/>
          </w:tcPr>
          <w:p>
            <w:pPr>
              <w:spacing w:after="0"/>
              <w:rPr>
                <w:sz w:val="18"/>
                <w:szCs w:val="18"/>
                <w:color w:val="auto"/>
              </w:rPr>
            </w:pPr>
          </w:p>
        </w:tc>
        <w:tc>
          <w:tcPr>
            <w:tcW w:w="1260" w:type="dxa"/>
            <w:vAlign w:val="bottom"/>
          </w:tcPr>
          <w:p>
            <w:pPr>
              <w:jc w:val="right"/>
              <w:ind w:right="101"/>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114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r>
      <w:tr>
        <w:trPr>
          <w:trHeight w:val="216"/>
        </w:trPr>
        <w:tc>
          <w:tcPr>
            <w:tcW w:w="52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Dollars</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6F3E8"/>
          </w:tcPr>
          <w:p>
            <w:pPr>
              <w:jc w:val="right"/>
              <w:ind w:right="101"/>
              <w:spacing w:after="0"/>
              <w:rPr>
                <w:sz w:val="20"/>
                <w:szCs w:val="20"/>
                <w:color w:val="auto"/>
              </w:rPr>
            </w:pPr>
            <w:r>
              <w:rPr>
                <w:rFonts w:ascii="Arial" w:cs="Arial" w:eastAsia="Arial" w:hAnsi="Arial"/>
                <w:sz w:val="18"/>
                <w:szCs w:val="18"/>
                <w:color w:val="auto"/>
              </w:rPr>
              <w:t>1,559</w:t>
            </w:r>
          </w:p>
        </w:tc>
        <w:tc>
          <w:tcPr>
            <w:tcW w:w="46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ind w:right="78"/>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6F3E8"/>
          </w:tcPr>
          <w:p>
            <w:pPr>
              <w:jc w:val="right"/>
              <w:ind w:right="81"/>
              <w:spacing w:after="0"/>
              <w:rPr>
                <w:sz w:val="20"/>
                <w:szCs w:val="20"/>
                <w:color w:val="auto"/>
              </w:rPr>
            </w:pPr>
            <w:r>
              <w:rPr>
                <w:rFonts w:ascii="Arial" w:cs="Arial" w:eastAsia="Arial" w:hAnsi="Arial"/>
                <w:sz w:val="18"/>
                <w:szCs w:val="18"/>
                <w:color w:val="auto"/>
              </w:rPr>
              <w:t>6,468</w:t>
            </w:r>
          </w:p>
        </w:tc>
        <w:tc>
          <w:tcPr>
            <w:tcW w:w="40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1,697</w:t>
            </w:r>
          </w:p>
        </w:tc>
        <w:tc>
          <w:tcPr>
            <w:tcW w:w="120" w:type="dxa"/>
            <w:vAlign w:val="bottom"/>
            <w:shd w:val="clear" w:color="auto" w:fill="D6F3E8"/>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Inventory resold</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Units</w:t>
            </w:r>
          </w:p>
        </w:tc>
        <w:tc>
          <w:tcPr>
            <w:tcW w:w="18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101"/>
              <w:spacing w:after="0"/>
              <w:rPr>
                <w:sz w:val="20"/>
                <w:szCs w:val="20"/>
                <w:color w:val="auto"/>
              </w:rPr>
            </w:pPr>
            <w:r>
              <w:rPr>
                <w:rFonts w:ascii="Arial" w:cs="Arial" w:eastAsia="Arial" w:hAnsi="Arial"/>
                <w:sz w:val="18"/>
                <w:szCs w:val="18"/>
                <w:color w:val="auto"/>
              </w:rPr>
              <w:t>28</w:t>
            </w:r>
          </w:p>
        </w:tc>
        <w:tc>
          <w:tcPr>
            <w:tcW w:w="46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78"/>
              <w:spacing w:after="0"/>
              <w:rPr>
                <w:sz w:val="20"/>
                <w:szCs w:val="20"/>
                <w:color w:val="auto"/>
              </w:rPr>
            </w:pPr>
            <w:r>
              <w:rPr>
                <w:rFonts w:ascii="Arial" w:cs="Arial" w:eastAsia="Arial" w:hAnsi="Arial"/>
                <w:sz w:val="18"/>
                <w:szCs w:val="18"/>
                <w:color w:val="auto"/>
              </w:rPr>
              <w:t>7</w:t>
            </w:r>
          </w:p>
        </w:tc>
        <w:tc>
          <w:tcPr>
            <w:tcW w:w="34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81"/>
              <w:spacing w:after="0"/>
              <w:rPr>
                <w:sz w:val="20"/>
                <w:szCs w:val="20"/>
                <w:color w:val="auto"/>
              </w:rPr>
            </w:pPr>
            <w:r>
              <w:rPr>
                <w:rFonts w:ascii="Arial" w:cs="Arial" w:eastAsia="Arial" w:hAnsi="Arial"/>
                <w:sz w:val="18"/>
                <w:szCs w:val="18"/>
                <w:color w:val="auto"/>
              </w:rPr>
              <w:t>70</w:t>
            </w:r>
          </w:p>
        </w:tc>
        <w:tc>
          <w:tcPr>
            <w:tcW w:w="40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6F3E8"/>
          </w:tcPr>
          <w:p>
            <w:pPr>
              <w:spacing w:after="0"/>
              <w:rPr>
                <w:sz w:val="18"/>
                <w:szCs w:val="18"/>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Cash collected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1"/>
              <w:spacing w:after="0"/>
              <w:rPr>
                <w:sz w:val="20"/>
                <w:szCs w:val="20"/>
                <w:color w:val="auto"/>
              </w:rPr>
            </w:pPr>
            <w:r>
              <w:rPr>
                <w:rFonts w:ascii="Arial" w:cs="Arial" w:eastAsia="Arial" w:hAnsi="Arial"/>
                <w:sz w:val="18"/>
                <w:szCs w:val="18"/>
                <w:color w:val="auto"/>
              </w:rPr>
              <w:t>1,906</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8"/>
              <w:spacing w:after="0"/>
              <w:rPr>
                <w:sz w:val="20"/>
                <w:szCs w:val="20"/>
                <w:color w:val="auto"/>
              </w:rPr>
            </w:pPr>
            <w:r>
              <w:rPr>
                <w:rFonts w:ascii="Arial" w:cs="Arial" w:eastAsia="Arial" w:hAnsi="Arial"/>
                <w:sz w:val="18"/>
                <w:szCs w:val="18"/>
                <w:color w:val="auto"/>
              </w:rPr>
              <w:t>522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81"/>
              <w:spacing w:after="0"/>
              <w:rPr>
                <w:sz w:val="20"/>
                <w:szCs w:val="20"/>
                <w:color w:val="auto"/>
              </w:rPr>
            </w:pPr>
            <w:r>
              <w:rPr>
                <w:rFonts w:ascii="Arial" w:cs="Arial" w:eastAsia="Arial" w:hAnsi="Arial"/>
                <w:sz w:val="18"/>
                <w:szCs w:val="18"/>
                <w:color w:val="auto"/>
              </w:rPr>
              <w:t>5,243</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18"/>
                <w:szCs w:val="18"/>
                <w:color w:val="auto"/>
              </w:rPr>
            </w:pPr>
          </w:p>
        </w:tc>
      </w:tr>
      <w:tr>
        <w:trPr>
          <w:trHeight w:val="216"/>
        </w:trPr>
        <w:tc>
          <w:tcPr>
            <w:tcW w:w="52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Loss recognized</w:t>
            </w:r>
          </w:p>
        </w:tc>
        <w:tc>
          <w:tcPr>
            <w:tcW w:w="18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101"/>
              <w:spacing w:after="0"/>
              <w:rPr>
                <w:sz w:val="20"/>
                <w:szCs w:val="20"/>
                <w:color w:val="auto"/>
              </w:rPr>
            </w:pPr>
            <w:r>
              <w:rPr>
                <w:rFonts w:ascii="Arial" w:cs="Arial" w:eastAsia="Arial" w:hAnsi="Arial"/>
                <w:sz w:val="18"/>
                <w:szCs w:val="18"/>
                <w:color w:val="auto"/>
              </w:rPr>
              <w:t>477</w:t>
            </w:r>
          </w:p>
        </w:tc>
        <w:tc>
          <w:tcPr>
            <w:tcW w:w="46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78"/>
              <w:spacing w:after="0"/>
              <w:rPr>
                <w:sz w:val="20"/>
                <w:szCs w:val="20"/>
                <w:color w:val="auto"/>
              </w:rPr>
            </w:pPr>
            <w:r>
              <w:rPr>
                <w:rFonts w:ascii="Arial" w:cs="Arial" w:eastAsia="Arial" w:hAnsi="Arial"/>
                <w:sz w:val="18"/>
                <w:szCs w:val="18"/>
                <w:color w:val="auto"/>
              </w:rPr>
              <w:t>63</w:t>
            </w:r>
          </w:p>
        </w:tc>
        <w:tc>
          <w:tcPr>
            <w:tcW w:w="340" w:type="dxa"/>
            <w:vAlign w:val="bottom"/>
            <w:shd w:val="clear" w:color="auto" w:fill="D6F3E8"/>
          </w:tcPr>
          <w:p>
            <w:pPr>
              <w:spacing w:after="0"/>
              <w:rPr>
                <w:sz w:val="18"/>
                <w:szCs w:val="18"/>
                <w:color w:val="auto"/>
              </w:rPr>
            </w:pPr>
          </w:p>
        </w:tc>
        <w:tc>
          <w:tcPr>
            <w:tcW w:w="1260" w:type="dxa"/>
            <w:vAlign w:val="bottom"/>
            <w:shd w:val="clear" w:color="auto" w:fill="D6F3E8"/>
          </w:tcPr>
          <w:p>
            <w:pPr>
              <w:jc w:val="right"/>
              <w:ind w:right="81"/>
              <w:spacing w:after="0"/>
              <w:rPr>
                <w:sz w:val="20"/>
                <w:szCs w:val="20"/>
                <w:color w:val="auto"/>
              </w:rPr>
            </w:pPr>
            <w:r>
              <w:rPr>
                <w:rFonts w:ascii="Arial" w:cs="Arial" w:eastAsia="Arial" w:hAnsi="Arial"/>
                <w:sz w:val="18"/>
                <w:szCs w:val="18"/>
                <w:color w:val="auto"/>
              </w:rPr>
              <w:t>956</w:t>
            </w:r>
          </w:p>
        </w:tc>
        <w:tc>
          <w:tcPr>
            <w:tcW w:w="40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D6F3E8"/>
          </w:tcPr>
          <w:p>
            <w:pPr>
              <w:spacing w:after="0"/>
              <w:rPr>
                <w:sz w:val="18"/>
                <w:szCs w:val="18"/>
                <w:color w:val="auto"/>
              </w:rPr>
            </w:pPr>
          </w:p>
        </w:tc>
      </w:tr>
    </w:tbl>
    <w:p>
      <w:pPr>
        <w:spacing w:after="0" w:line="208"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As noted in the table above, during the first two quarters of Fiscal 2009, we incurred a significant increase in losses associated with repurchases due to challenging motor home industry conditions. As a result, we significantly increased our repurchase loss reserve in the past few consecutive fiscal quarters to provide for potential future losses due to unfavorable experience, which at February 28, 2009 and August 30, 2008 were $2.7 million and $661,000,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For Suppliers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second quarter of Fiscal 2004, we entered into a five-year limited guaranty agreement (“Guaranty Agreement”) with a leasing corporation (“Landlord”) and an unaffiliated third-party paint supplier (the “Supplier”). The Landlord constructed a paint facility through debt financing on land adjoining our Charles City manufacturing plant for the Supplier. The Landlord and the Supplier have signed a ten-year lease agreement which commenced on August 1, 2004. The Guaranty Agreement states that we will guarantee the first 60 monthly lease payments (totaling approximately $1.6 million of which $130,000 was remaining as of February 28, 2009). In the event of rental default before August 2009 and the Supplier’s failure to correct the default, the Landlord shall give us (Guarantor) written notice of its intent to terminate said lease. At the time of this notification, we will have various options that we must exercise in a timely manner. One is to exercise an option to purchase the real estate with improvements from the Landlord. The price we would pay would be the outstanding loan owed by the Landlord to construct the paint facility, which was approximately $1.2 million as of February 28, 2009. As of February 28, 2009, the Supplier is current with its lease payment obligations to the Landlord. In August 2004, approximately $315,000 was recorded by us as the estimated fair value for the guarantee. As of February 28, 2009, the fair value of the guarantee was approximately $26,000 and presented as prepaid expenses and other accrued liabilities in the accompanying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Per Share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calculation of basic and diluted income per share: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Thirteen</w:t>
            </w: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center"/>
              <w:ind w:right="299"/>
              <w:spacing w:after="0"/>
              <w:rPr>
                <w:sz w:val="20"/>
                <w:szCs w:val="20"/>
                <w:color w:val="auto"/>
              </w:rPr>
            </w:pPr>
            <w:r>
              <w:rPr>
                <w:rFonts w:ascii="Arial" w:cs="Arial" w:eastAsia="Arial" w:hAnsi="Arial"/>
                <w:sz w:val="14"/>
                <w:szCs w:val="14"/>
                <w:b w:val="1"/>
                <w:bCs w:val="1"/>
                <w:color w:val="auto"/>
                <w:w w:val="86"/>
              </w:rPr>
              <w:t>Twenty-Six</w:t>
            </w:r>
          </w:p>
        </w:tc>
        <w:tc>
          <w:tcPr>
            <w:tcW w:w="360" w:type="dxa"/>
            <w:vAlign w:val="bottom"/>
          </w:tcPr>
          <w:p>
            <w:pPr>
              <w:spacing w:after="0"/>
              <w:rPr>
                <w:sz w:val="14"/>
                <w:szCs w:val="14"/>
                <w:color w:val="auto"/>
              </w:rPr>
            </w:pPr>
          </w:p>
        </w:tc>
        <w:tc>
          <w:tcPr>
            <w:tcW w:w="1180" w:type="dxa"/>
            <w:vAlign w:val="bottom"/>
          </w:tcPr>
          <w:p>
            <w:pPr>
              <w:jc w:val="center"/>
              <w:ind w:right="258"/>
              <w:spacing w:after="0"/>
              <w:rPr>
                <w:sz w:val="20"/>
                <w:szCs w:val="20"/>
                <w:color w:val="auto"/>
              </w:rPr>
            </w:pPr>
            <w:r>
              <w:rPr>
                <w:rFonts w:ascii="Arial" w:cs="Arial" w:eastAsia="Arial" w:hAnsi="Arial"/>
                <w:sz w:val="14"/>
                <w:szCs w:val="14"/>
                <w:b w:val="1"/>
                <w:bCs w:val="1"/>
                <w:color w:val="auto"/>
                <w:w w:val="84"/>
              </w:rPr>
              <w:t>Twenty-Seven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Weeks Ended</w:t>
            </w:r>
          </w:p>
        </w:tc>
        <w:tc>
          <w:tcPr>
            <w:tcW w:w="1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Weeks Ended</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ind w:right="359"/>
              <w:spacing w:after="0" w:line="129" w:lineRule="exact"/>
              <w:rPr>
                <w:sz w:val="20"/>
                <w:szCs w:val="20"/>
                <w:color w:val="auto"/>
              </w:rPr>
            </w:pPr>
            <w:r>
              <w:rPr>
                <w:rFonts w:ascii="Arial" w:cs="Arial" w:eastAsia="Arial" w:hAnsi="Arial"/>
                <w:sz w:val="14"/>
                <w:szCs w:val="14"/>
                <w:b w:val="1"/>
                <w:bCs w:val="1"/>
                <w:color w:val="auto"/>
                <w:w w:val="98"/>
              </w:rPr>
              <w:t>February 28,</w:t>
            </w:r>
          </w:p>
        </w:tc>
        <w:tc>
          <w:tcPr>
            <w:tcW w:w="440" w:type="dxa"/>
            <w:vAlign w:val="bottom"/>
          </w:tcPr>
          <w:p>
            <w:pPr>
              <w:spacing w:after="0"/>
              <w:rPr>
                <w:sz w:val="11"/>
                <w:szCs w:val="11"/>
                <w:color w:val="auto"/>
              </w:rPr>
            </w:pPr>
          </w:p>
        </w:tc>
        <w:tc>
          <w:tcPr>
            <w:tcW w:w="1140" w:type="dxa"/>
            <w:vAlign w:val="bottom"/>
          </w:tcPr>
          <w:p>
            <w:pPr>
              <w:jc w:val="right"/>
              <w:ind w:right="456"/>
              <w:spacing w:after="0" w:line="129" w:lineRule="exact"/>
              <w:rPr>
                <w:sz w:val="20"/>
                <w:szCs w:val="20"/>
                <w:color w:val="auto"/>
              </w:rPr>
            </w:pPr>
            <w:r>
              <w:rPr>
                <w:rFonts w:ascii="Arial" w:cs="Arial" w:eastAsia="Arial" w:hAnsi="Arial"/>
                <w:sz w:val="14"/>
                <w:szCs w:val="14"/>
                <w:b w:val="1"/>
                <w:bCs w:val="1"/>
                <w:color w:val="auto"/>
              </w:rPr>
              <w:t>March 1,</w:t>
            </w:r>
          </w:p>
        </w:tc>
        <w:tc>
          <w:tcPr>
            <w:tcW w:w="340" w:type="dxa"/>
            <w:vAlign w:val="bottom"/>
          </w:tcPr>
          <w:p>
            <w:pPr>
              <w:spacing w:after="0"/>
              <w:rPr>
                <w:sz w:val="11"/>
                <w:szCs w:val="11"/>
                <w:color w:val="auto"/>
              </w:rPr>
            </w:pPr>
          </w:p>
        </w:tc>
        <w:tc>
          <w:tcPr>
            <w:tcW w:w="1300" w:type="dxa"/>
            <w:vAlign w:val="bottom"/>
          </w:tcPr>
          <w:p>
            <w:pPr>
              <w:jc w:val="center"/>
              <w:ind w:right="299"/>
              <w:spacing w:after="0" w:line="129" w:lineRule="exact"/>
              <w:rPr>
                <w:sz w:val="20"/>
                <w:szCs w:val="20"/>
                <w:color w:val="auto"/>
              </w:rPr>
            </w:pPr>
            <w:r>
              <w:rPr>
                <w:rFonts w:ascii="Arial" w:cs="Arial" w:eastAsia="Arial" w:hAnsi="Arial"/>
                <w:sz w:val="14"/>
                <w:szCs w:val="14"/>
                <w:b w:val="1"/>
                <w:bCs w:val="1"/>
                <w:color w:val="auto"/>
                <w:w w:val="91"/>
              </w:rPr>
              <w:t>February 28,</w:t>
            </w:r>
          </w:p>
        </w:tc>
        <w:tc>
          <w:tcPr>
            <w:tcW w:w="360" w:type="dxa"/>
            <w:vAlign w:val="bottom"/>
          </w:tcPr>
          <w:p>
            <w:pPr>
              <w:spacing w:after="0"/>
              <w:rPr>
                <w:sz w:val="11"/>
                <w:szCs w:val="11"/>
                <w:color w:val="auto"/>
              </w:rPr>
            </w:pPr>
          </w:p>
        </w:tc>
        <w:tc>
          <w:tcPr>
            <w:tcW w:w="1180" w:type="dxa"/>
            <w:vAlign w:val="bottom"/>
          </w:tcPr>
          <w:p>
            <w:pPr>
              <w:jc w:val="center"/>
              <w:ind w:right="258"/>
              <w:spacing w:after="0" w:line="129" w:lineRule="exact"/>
              <w:rPr>
                <w:sz w:val="20"/>
                <w:szCs w:val="20"/>
                <w:color w:val="auto"/>
              </w:rPr>
            </w:pPr>
            <w:r>
              <w:rPr>
                <w:rFonts w:ascii="Arial" w:cs="Arial" w:eastAsia="Arial" w:hAnsi="Arial"/>
                <w:sz w:val="14"/>
                <w:szCs w:val="14"/>
                <w:b w:val="1"/>
                <w:bCs w:val="1"/>
                <w:color w:val="auto"/>
                <w:w w:val="91"/>
              </w:rPr>
              <w:t>March 1,</w:t>
            </w:r>
          </w:p>
        </w:tc>
        <w:tc>
          <w:tcPr>
            <w:tcW w:w="0" w:type="dxa"/>
            <w:vAlign w:val="bottom"/>
          </w:tcPr>
          <w:p>
            <w:pPr>
              <w:spacing w:after="0"/>
              <w:rPr>
                <w:sz w:val="1"/>
                <w:szCs w:val="1"/>
                <w:color w:val="auto"/>
              </w:rPr>
            </w:pPr>
          </w:p>
        </w:tc>
      </w:tr>
      <w:tr>
        <w:trPr>
          <w:trHeight w:val="161"/>
        </w:trPr>
        <w:tc>
          <w:tcPr>
            <w:tcW w:w="52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99"/>
              <w:spacing w:after="0"/>
              <w:rPr>
                <w:sz w:val="20"/>
                <w:szCs w:val="20"/>
                <w:color w:val="auto"/>
              </w:rPr>
            </w:pPr>
            <w:r>
              <w:rPr>
                <w:rFonts w:ascii="Arial" w:cs="Arial" w:eastAsia="Arial" w:hAnsi="Arial"/>
                <w:sz w:val="14"/>
                <w:szCs w:val="14"/>
                <w:b w:val="1"/>
                <w:bCs w:val="1"/>
                <w:color w:val="auto"/>
                <w:w w:val="89"/>
              </w:rPr>
              <w:t>2009</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80" w:type="dxa"/>
            <w:vAlign w:val="bottom"/>
            <w:gridSpan w:val="3"/>
            <w:shd w:val="clear" w:color="auto" w:fill="D6F3E8"/>
          </w:tcPr>
          <w:p>
            <w:pPr>
              <w:spacing w:after="0" w:line="170" w:lineRule="exact"/>
              <w:rPr>
                <w:sz w:val="20"/>
                <w:szCs w:val="20"/>
                <w:color w:val="auto"/>
              </w:rPr>
            </w:pPr>
            <w:r>
              <w:rPr>
                <w:rFonts w:ascii="Arial" w:cs="Arial" w:eastAsia="Arial" w:hAnsi="Arial"/>
                <w:sz w:val="18"/>
                <w:szCs w:val="18"/>
                <w:color w:val="auto"/>
              </w:rPr>
              <w:t>(Loss) income per share - basic</w:t>
            </w:r>
          </w:p>
        </w:tc>
        <w:tc>
          <w:tcPr>
            <w:tcW w:w="180" w:type="dxa"/>
            <w:vAlign w:val="bottom"/>
            <w:shd w:val="clear" w:color="auto" w:fill="D6F3E8"/>
          </w:tcPr>
          <w:p>
            <w:pPr>
              <w:spacing w:after="0"/>
              <w:rPr>
                <w:sz w:val="16"/>
                <w:szCs w:val="16"/>
                <w:color w:val="auto"/>
              </w:rPr>
            </w:pPr>
          </w:p>
        </w:tc>
        <w:tc>
          <w:tcPr>
            <w:tcW w:w="1280" w:type="dxa"/>
            <w:vAlign w:val="bottom"/>
            <w:shd w:val="clear" w:color="auto" w:fill="D6F3E8"/>
          </w:tcPr>
          <w:p>
            <w:pPr>
              <w:spacing w:after="0"/>
              <w:rPr>
                <w:sz w:val="16"/>
                <w:szCs w:val="16"/>
                <w:color w:val="auto"/>
              </w:rPr>
            </w:pPr>
          </w:p>
        </w:tc>
        <w:tc>
          <w:tcPr>
            <w:tcW w:w="440" w:type="dxa"/>
            <w:vAlign w:val="bottom"/>
            <w:shd w:val="clear" w:color="auto" w:fill="D6F3E8"/>
          </w:tcPr>
          <w:p>
            <w:pPr>
              <w:spacing w:after="0"/>
              <w:rPr>
                <w:sz w:val="16"/>
                <w:szCs w:val="16"/>
                <w:color w:val="auto"/>
              </w:rPr>
            </w:pPr>
          </w:p>
        </w:tc>
        <w:tc>
          <w:tcPr>
            <w:tcW w:w="1140" w:type="dxa"/>
            <w:vAlign w:val="bottom"/>
            <w:shd w:val="clear" w:color="auto" w:fill="D6F3E8"/>
          </w:tcPr>
          <w:p>
            <w:pPr>
              <w:spacing w:after="0"/>
              <w:rPr>
                <w:sz w:val="16"/>
                <w:szCs w:val="16"/>
                <w:color w:val="auto"/>
              </w:rPr>
            </w:pPr>
          </w:p>
        </w:tc>
        <w:tc>
          <w:tcPr>
            <w:tcW w:w="340" w:type="dxa"/>
            <w:vAlign w:val="bottom"/>
            <w:shd w:val="clear" w:color="auto" w:fill="D6F3E8"/>
          </w:tcPr>
          <w:p>
            <w:pPr>
              <w:spacing w:after="0"/>
              <w:rPr>
                <w:sz w:val="16"/>
                <w:szCs w:val="16"/>
                <w:color w:val="auto"/>
              </w:rPr>
            </w:pPr>
          </w:p>
        </w:tc>
        <w:tc>
          <w:tcPr>
            <w:tcW w:w="1300" w:type="dxa"/>
            <w:vAlign w:val="bottom"/>
            <w:shd w:val="clear" w:color="auto" w:fill="D6F3E8"/>
          </w:tcPr>
          <w:p>
            <w:pPr>
              <w:spacing w:after="0"/>
              <w:rPr>
                <w:sz w:val="16"/>
                <w:szCs w:val="16"/>
                <w:color w:val="auto"/>
              </w:rPr>
            </w:pPr>
          </w:p>
        </w:tc>
        <w:tc>
          <w:tcPr>
            <w:tcW w:w="360" w:type="dxa"/>
            <w:vAlign w:val="bottom"/>
            <w:shd w:val="clear" w:color="auto" w:fill="D6F3E8"/>
          </w:tcPr>
          <w:p>
            <w:pPr>
              <w:spacing w:after="0"/>
              <w:rPr>
                <w:sz w:val="16"/>
                <w:szCs w:val="16"/>
                <w:color w:val="auto"/>
              </w:rPr>
            </w:pPr>
          </w:p>
        </w:tc>
        <w:tc>
          <w:tcPr>
            <w:tcW w:w="1180" w:type="dxa"/>
            <w:vAlign w:val="bottom"/>
            <w:shd w:val="clear" w:color="auto" w:fill="D6F3E8"/>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Net (loss) income</w:t>
            </w:r>
          </w:p>
        </w:tc>
        <w:tc>
          <w:tcPr>
            <w:tcW w:w="3000" w:type="dxa"/>
            <w:vAlign w:val="bottom"/>
            <w:tcBorders>
              <w:top w:val="single" w:sz="8" w:color="D6F3E8"/>
            </w:tcBorders>
            <w:gridSpan w:val="2"/>
          </w:tcPr>
          <w:p>
            <w:pPr>
              <w:spacing w:after="0"/>
              <w:rPr>
                <w:sz w:val="18"/>
                <w:szCs w:val="18"/>
                <w:color w:val="auto"/>
              </w:rPr>
            </w:pPr>
          </w:p>
        </w:tc>
        <w:tc>
          <w:tcPr>
            <w:tcW w:w="180" w:type="dxa"/>
            <w:vAlign w:val="bottom"/>
            <w:tcBorders>
              <w:top w:val="single" w:sz="8" w:color="D6F3E8"/>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D6F3E8"/>
            </w:tcBorders>
          </w:tcPr>
          <w:p>
            <w:pPr>
              <w:jc w:val="right"/>
              <w:ind w:right="59"/>
              <w:spacing w:after="0"/>
              <w:rPr>
                <w:sz w:val="20"/>
                <w:szCs w:val="20"/>
                <w:color w:val="auto"/>
              </w:rPr>
            </w:pPr>
            <w:r>
              <w:rPr>
                <w:rFonts w:ascii="Arial" w:cs="Arial" w:eastAsia="Arial" w:hAnsi="Arial"/>
                <w:sz w:val="18"/>
                <w:szCs w:val="18"/>
                <w:color w:val="auto"/>
              </w:rPr>
              <w:t>(10,381)</w:t>
            </w:r>
          </w:p>
        </w:tc>
        <w:tc>
          <w:tcPr>
            <w:tcW w:w="440" w:type="dxa"/>
            <w:vAlign w:val="bottom"/>
            <w:tcBorders>
              <w:top w:val="single" w:sz="8" w:color="D6F3E8"/>
            </w:tcBorders>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D6F3E8"/>
            </w:tcBorders>
          </w:tcPr>
          <w:p>
            <w:pPr>
              <w:jc w:val="right"/>
              <w:ind w:right="76"/>
              <w:spacing w:after="0"/>
              <w:rPr>
                <w:sz w:val="20"/>
                <w:szCs w:val="20"/>
                <w:color w:val="auto"/>
              </w:rPr>
            </w:pPr>
            <w:r>
              <w:rPr>
                <w:rFonts w:ascii="Arial" w:cs="Arial" w:eastAsia="Arial" w:hAnsi="Arial"/>
                <w:sz w:val="18"/>
                <w:szCs w:val="18"/>
                <w:color w:val="auto"/>
              </w:rPr>
              <w:t>2,517</w:t>
            </w:r>
          </w:p>
        </w:tc>
        <w:tc>
          <w:tcPr>
            <w:tcW w:w="340" w:type="dxa"/>
            <w:vAlign w:val="bottom"/>
            <w:tcBorders>
              <w:top w:val="single" w:sz="8" w:color="D6F3E8"/>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D6F3E8"/>
            </w:tcBorders>
          </w:tcPr>
          <w:p>
            <w:pPr>
              <w:jc w:val="right"/>
              <w:ind w:right="59"/>
              <w:spacing w:after="0"/>
              <w:rPr>
                <w:sz w:val="20"/>
                <w:szCs w:val="20"/>
                <w:color w:val="auto"/>
              </w:rPr>
            </w:pPr>
            <w:r>
              <w:rPr>
                <w:rFonts w:ascii="Arial" w:cs="Arial" w:eastAsia="Arial" w:hAnsi="Arial"/>
                <w:sz w:val="18"/>
                <w:szCs w:val="18"/>
                <w:color w:val="auto"/>
              </w:rPr>
              <w:t>(19,977)</w:t>
            </w:r>
          </w:p>
        </w:tc>
        <w:tc>
          <w:tcPr>
            <w:tcW w:w="360" w:type="dxa"/>
            <w:vAlign w:val="bottom"/>
            <w:tcBorders>
              <w:top w:val="single" w:sz="8" w:color="D6F3E8"/>
            </w:tcBorders>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D6F3E8"/>
            </w:tcBorders>
          </w:tcPr>
          <w:p>
            <w:pPr>
              <w:jc w:val="right"/>
              <w:ind w:right="38"/>
              <w:spacing w:after="0"/>
              <w:rPr>
                <w:sz w:val="20"/>
                <w:szCs w:val="20"/>
                <w:color w:val="auto"/>
              </w:rPr>
            </w:pPr>
            <w:r>
              <w:rPr>
                <w:rFonts w:ascii="Arial" w:cs="Arial" w:eastAsia="Arial" w:hAnsi="Arial"/>
                <w:sz w:val="18"/>
                <w:szCs w:val="18"/>
                <w:color w:val="auto"/>
              </w:rPr>
              <w:t>12,479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D6F3E8"/>
          </w:tcPr>
          <w:p>
            <w:pPr>
              <w:ind w:left="1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119"/>
              <w:spacing w:after="0"/>
              <w:rPr>
                <w:sz w:val="20"/>
                <w:szCs w:val="20"/>
                <w:color w:val="auto"/>
              </w:rPr>
            </w:pPr>
            <w:r>
              <w:rPr>
                <w:rFonts w:ascii="Arial" w:cs="Arial" w:eastAsia="Arial" w:hAnsi="Arial"/>
                <w:sz w:val="18"/>
                <w:szCs w:val="18"/>
                <w:color w:val="auto"/>
              </w:rPr>
              <w:t>29,037</w:t>
            </w:r>
          </w:p>
        </w:tc>
        <w:tc>
          <w:tcPr>
            <w:tcW w:w="4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76"/>
              <w:spacing w:after="0"/>
              <w:rPr>
                <w:sz w:val="20"/>
                <w:szCs w:val="20"/>
                <w:color w:val="auto"/>
              </w:rPr>
            </w:pPr>
            <w:r>
              <w:rPr>
                <w:rFonts w:ascii="Arial" w:cs="Arial" w:eastAsia="Arial" w:hAnsi="Arial"/>
                <w:sz w:val="18"/>
                <w:szCs w:val="18"/>
                <w:color w:val="auto"/>
              </w:rPr>
              <w:t>28,964</w:t>
            </w:r>
          </w:p>
        </w:tc>
        <w:tc>
          <w:tcPr>
            <w:tcW w:w="34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119"/>
              <w:spacing w:after="0"/>
              <w:rPr>
                <w:sz w:val="20"/>
                <w:szCs w:val="20"/>
                <w:color w:val="auto"/>
              </w:rPr>
            </w:pPr>
            <w:r>
              <w:rPr>
                <w:rFonts w:ascii="Arial" w:cs="Arial" w:eastAsia="Arial" w:hAnsi="Arial"/>
                <w:sz w:val="18"/>
                <w:szCs w:val="18"/>
                <w:color w:val="auto"/>
              </w:rPr>
              <w:t>29,032</w:t>
            </w:r>
          </w:p>
        </w:tc>
        <w:tc>
          <w:tcPr>
            <w:tcW w:w="36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38"/>
              <w:spacing w:after="0"/>
              <w:rPr>
                <w:sz w:val="20"/>
                <w:szCs w:val="20"/>
                <w:color w:val="auto"/>
              </w:rPr>
            </w:pPr>
            <w:r>
              <w:rPr>
                <w:rFonts w:ascii="Arial" w:cs="Arial" w:eastAsia="Arial" w:hAnsi="Arial"/>
                <w:sz w:val="18"/>
                <w:szCs w:val="18"/>
                <w:color w:val="auto"/>
              </w:rPr>
              <w:t>29,165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Net (loss) income per share - 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(0.36)</w:t>
            </w:r>
          </w:p>
        </w:tc>
        <w:tc>
          <w:tcPr>
            <w:tcW w:w="4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0.09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(0.69)</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80" w:type="dxa"/>
            <w:vAlign w:val="bottom"/>
            <w:tcBorders>
              <w:bottom w:val="single" w:sz="8" w:color="auto"/>
            </w:tcBorders>
            <w:gridSpan w:val="2"/>
            <w:shd w:val="clear" w:color="auto" w:fill="D6F3E8"/>
          </w:tcPr>
          <w:p>
            <w:pPr>
              <w:spacing w:after="0" w:line="176" w:lineRule="exact"/>
              <w:rPr>
                <w:sz w:val="20"/>
                <w:szCs w:val="20"/>
                <w:color w:val="auto"/>
              </w:rPr>
            </w:pPr>
            <w:r>
              <w:rPr>
                <w:rFonts w:ascii="Arial" w:cs="Arial" w:eastAsia="Arial" w:hAnsi="Arial"/>
                <w:sz w:val="18"/>
                <w:szCs w:val="18"/>
                <w:color w:val="auto"/>
                <w:w w:val="87"/>
              </w:rPr>
              <w:t>(Loss) income per share - assuming dilution</w:t>
            </w:r>
          </w:p>
        </w:tc>
        <w:tc>
          <w:tcPr>
            <w:tcW w:w="2100" w:type="dxa"/>
            <w:vAlign w:val="bottom"/>
            <w:tcBorders>
              <w:bottom w:val="single" w:sz="8" w:color="D6F3E8"/>
            </w:tcBorders>
            <w:shd w:val="clear" w:color="auto" w:fill="D6F3E8"/>
          </w:tcPr>
          <w:p>
            <w:pPr>
              <w:spacing w:after="0"/>
              <w:rPr>
                <w:sz w:val="17"/>
                <w:szCs w:val="17"/>
                <w:color w:val="auto"/>
              </w:rPr>
            </w:pPr>
          </w:p>
        </w:tc>
        <w:tc>
          <w:tcPr>
            <w:tcW w:w="180" w:type="dxa"/>
            <w:vAlign w:val="bottom"/>
            <w:tcBorders>
              <w:bottom w:val="single" w:sz="8" w:color="D6F3E8"/>
            </w:tcBorders>
            <w:shd w:val="clear" w:color="auto" w:fill="D6F3E8"/>
          </w:tcPr>
          <w:p>
            <w:pPr>
              <w:spacing w:after="0"/>
              <w:rPr>
                <w:sz w:val="17"/>
                <w:szCs w:val="17"/>
                <w:color w:val="auto"/>
              </w:rPr>
            </w:pPr>
          </w:p>
        </w:tc>
        <w:tc>
          <w:tcPr>
            <w:tcW w:w="1280" w:type="dxa"/>
            <w:vAlign w:val="bottom"/>
            <w:tcBorders>
              <w:bottom w:val="single" w:sz="8" w:color="D6F3E8"/>
            </w:tcBorders>
            <w:shd w:val="clear" w:color="auto" w:fill="D6F3E8"/>
          </w:tcPr>
          <w:p>
            <w:pPr>
              <w:spacing w:after="0"/>
              <w:rPr>
                <w:sz w:val="17"/>
                <w:szCs w:val="17"/>
                <w:color w:val="auto"/>
              </w:rPr>
            </w:pPr>
          </w:p>
        </w:tc>
        <w:tc>
          <w:tcPr>
            <w:tcW w:w="440" w:type="dxa"/>
            <w:vAlign w:val="bottom"/>
            <w:tcBorders>
              <w:bottom w:val="single" w:sz="8" w:color="D6F3E8"/>
            </w:tcBorders>
            <w:shd w:val="clear" w:color="auto" w:fill="D6F3E8"/>
          </w:tcPr>
          <w:p>
            <w:pPr>
              <w:spacing w:after="0"/>
              <w:rPr>
                <w:sz w:val="17"/>
                <w:szCs w:val="17"/>
                <w:color w:val="auto"/>
              </w:rPr>
            </w:pPr>
          </w:p>
        </w:tc>
        <w:tc>
          <w:tcPr>
            <w:tcW w:w="1140" w:type="dxa"/>
            <w:vAlign w:val="bottom"/>
            <w:tcBorders>
              <w:bottom w:val="single" w:sz="8" w:color="D6F3E8"/>
            </w:tcBorders>
            <w:shd w:val="clear" w:color="auto" w:fill="D6F3E8"/>
          </w:tcPr>
          <w:p>
            <w:pPr>
              <w:spacing w:after="0"/>
              <w:rPr>
                <w:sz w:val="17"/>
                <w:szCs w:val="17"/>
                <w:color w:val="auto"/>
              </w:rPr>
            </w:pPr>
          </w:p>
        </w:tc>
        <w:tc>
          <w:tcPr>
            <w:tcW w:w="340" w:type="dxa"/>
            <w:vAlign w:val="bottom"/>
            <w:tcBorders>
              <w:bottom w:val="single" w:sz="8" w:color="D6F3E8"/>
            </w:tcBorders>
            <w:shd w:val="clear" w:color="auto" w:fill="D6F3E8"/>
          </w:tcPr>
          <w:p>
            <w:pPr>
              <w:spacing w:after="0"/>
              <w:rPr>
                <w:sz w:val="17"/>
                <w:szCs w:val="17"/>
                <w:color w:val="auto"/>
              </w:rPr>
            </w:pPr>
          </w:p>
        </w:tc>
        <w:tc>
          <w:tcPr>
            <w:tcW w:w="1300" w:type="dxa"/>
            <w:vAlign w:val="bottom"/>
            <w:tcBorders>
              <w:bottom w:val="single" w:sz="8" w:color="D6F3E8"/>
            </w:tcBorders>
            <w:shd w:val="clear" w:color="auto" w:fill="D6F3E8"/>
          </w:tcPr>
          <w:p>
            <w:pPr>
              <w:spacing w:after="0"/>
              <w:rPr>
                <w:sz w:val="17"/>
                <w:szCs w:val="17"/>
                <w:color w:val="auto"/>
              </w:rPr>
            </w:pPr>
          </w:p>
        </w:tc>
        <w:tc>
          <w:tcPr>
            <w:tcW w:w="360" w:type="dxa"/>
            <w:vAlign w:val="bottom"/>
            <w:tcBorders>
              <w:bottom w:val="single" w:sz="8" w:color="D6F3E8"/>
            </w:tcBorders>
            <w:shd w:val="clear" w:color="auto" w:fill="D6F3E8"/>
          </w:tcPr>
          <w:p>
            <w:pPr>
              <w:spacing w:after="0"/>
              <w:rPr>
                <w:sz w:val="17"/>
                <w:szCs w:val="17"/>
                <w:color w:val="auto"/>
              </w:rPr>
            </w:pPr>
          </w:p>
        </w:tc>
        <w:tc>
          <w:tcPr>
            <w:tcW w:w="1180" w:type="dxa"/>
            <w:vAlign w:val="bottom"/>
            <w:tcBorders>
              <w:bottom w:val="single" w:sz="8" w:color="D6F3E8"/>
            </w:tcBorders>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9"/>
              <w:spacing w:after="0"/>
              <w:rPr>
                <w:sz w:val="20"/>
                <w:szCs w:val="20"/>
                <w:color w:val="auto"/>
              </w:rPr>
            </w:pPr>
            <w:r>
              <w:rPr>
                <w:rFonts w:ascii="Arial" w:cs="Arial" w:eastAsia="Arial" w:hAnsi="Arial"/>
                <w:sz w:val="18"/>
                <w:szCs w:val="18"/>
                <w:color w:val="auto"/>
              </w:rPr>
              <w:t>(10,381)</w:t>
            </w: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2,517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9"/>
              <w:spacing w:after="0"/>
              <w:rPr>
                <w:sz w:val="20"/>
                <w:szCs w:val="20"/>
                <w:color w:val="auto"/>
              </w:rPr>
            </w:pPr>
            <w:r>
              <w:rPr>
                <w:rFonts w:ascii="Arial" w:cs="Arial" w:eastAsia="Arial" w:hAnsi="Arial"/>
                <w:sz w:val="18"/>
                <w:szCs w:val="18"/>
                <w:color w:val="auto"/>
              </w:rPr>
              <w:t>(19,977)</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12,479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D6F3E8"/>
          </w:tcPr>
          <w:p>
            <w:pPr>
              <w:ind w:left="1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119"/>
              <w:spacing w:after="0"/>
              <w:rPr>
                <w:sz w:val="20"/>
                <w:szCs w:val="20"/>
                <w:color w:val="auto"/>
              </w:rPr>
            </w:pPr>
            <w:r>
              <w:rPr>
                <w:rFonts w:ascii="Arial" w:cs="Arial" w:eastAsia="Arial" w:hAnsi="Arial"/>
                <w:sz w:val="18"/>
                <w:szCs w:val="18"/>
                <w:color w:val="auto"/>
              </w:rPr>
              <w:t>29,037</w:t>
            </w:r>
          </w:p>
        </w:tc>
        <w:tc>
          <w:tcPr>
            <w:tcW w:w="4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76"/>
              <w:spacing w:after="0"/>
              <w:rPr>
                <w:sz w:val="20"/>
                <w:szCs w:val="20"/>
                <w:color w:val="auto"/>
              </w:rPr>
            </w:pPr>
            <w:r>
              <w:rPr>
                <w:rFonts w:ascii="Arial" w:cs="Arial" w:eastAsia="Arial" w:hAnsi="Arial"/>
                <w:sz w:val="18"/>
                <w:szCs w:val="18"/>
                <w:color w:val="auto"/>
              </w:rPr>
              <w:t>28,964</w:t>
            </w:r>
          </w:p>
        </w:tc>
        <w:tc>
          <w:tcPr>
            <w:tcW w:w="34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119"/>
              <w:spacing w:after="0"/>
              <w:rPr>
                <w:sz w:val="20"/>
                <w:szCs w:val="20"/>
                <w:color w:val="auto"/>
              </w:rPr>
            </w:pPr>
            <w:r>
              <w:rPr>
                <w:rFonts w:ascii="Arial" w:cs="Arial" w:eastAsia="Arial" w:hAnsi="Arial"/>
                <w:sz w:val="18"/>
                <w:szCs w:val="18"/>
                <w:color w:val="auto"/>
              </w:rPr>
              <w:t>29,032</w:t>
            </w:r>
          </w:p>
        </w:tc>
        <w:tc>
          <w:tcPr>
            <w:tcW w:w="36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38"/>
              <w:spacing w:after="0"/>
              <w:rPr>
                <w:sz w:val="20"/>
                <w:szCs w:val="20"/>
                <w:color w:val="auto"/>
              </w:rPr>
            </w:pPr>
            <w:r>
              <w:rPr>
                <w:rFonts w:ascii="Arial" w:cs="Arial" w:eastAsia="Arial" w:hAnsi="Arial"/>
                <w:sz w:val="18"/>
                <w:szCs w:val="18"/>
                <w:color w:val="auto"/>
              </w:rPr>
              <w:t>29,165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Dilutive impact of options and awards outstanding</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3"/>
            <w:shd w:val="clear" w:color="auto" w:fill="D6F3E8"/>
          </w:tcPr>
          <w:p>
            <w:pPr>
              <w:ind w:left="140"/>
              <w:spacing w:after="0"/>
              <w:rPr>
                <w:sz w:val="20"/>
                <w:szCs w:val="20"/>
                <w:color w:val="auto"/>
              </w:rPr>
            </w:pPr>
            <w:r>
              <w:rPr>
                <w:rFonts w:ascii="Arial" w:cs="Arial" w:eastAsia="Arial" w:hAnsi="Arial"/>
                <w:sz w:val="18"/>
                <w:szCs w:val="18"/>
                <w:color w:val="auto"/>
                <w:w w:val="94"/>
              </w:rPr>
              <w:t>Weighted average shares and potential dilutive shares outstanding</w:t>
            </w: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119"/>
              <w:spacing w:after="0"/>
              <w:rPr>
                <w:sz w:val="20"/>
                <w:szCs w:val="20"/>
                <w:color w:val="auto"/>
              </w:rPr>
            </w:pPr>
            <w:r>
              <w:rPr>
                <w:rFonts w:ascii="Arial" w:cs="Arial" w:eastAsia="Arial" w:hAnsi="Arial"/>
                <w:sz w:val="18"/>
                <w:szCs w:val="18"/>
                <w:color w:val="auto"/>
              </w:rPr>
              <w:t>29,046</w:t>
            </w:r>
          </w:p>
        </w:tc>
        <w:tc>
          <w:tcPr>
            <w:tcW w:w="4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76"/>
              <w:spacing w:after="0"/>
              <w:rPr>
                <w:sz w:val="20"/>
                <w:szCs w:val="20"/>
                <w:color w:val="auto"/>
              </w:rPr>
            </w:pPr>
            <w:r>
              <w:rPr>
                <w:rFonts w:ascii="Arial" w:cs="Arial" w:eastAsia="Arial" w:hAnsi="Arial"/>
                <w:sz w:val="18"/>
                <w:szCs w:val="18"/>
                <w:color w:val="auto"/>
              </w:rPr>
              <w:t>29,034</w:t>
            </w:r>
          </w:p>
        </w:tc>
        <w:tc>
          <w:tcPr>
            <w:tcW w:w="34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119"/>
              <w:spacing w:after="0"/>
              <w:rPr>
                <w:sz w:val="20"/>
                <w:szCs w:val="20"/>
                <w:color w:val="auto"/>
              </w:rPr>
            </w:pPr>
            <w:r>
              <w:rPr>
                <w:rFonts w:ascii="Arial" w:cs="Arial" w:eastAsia="Arial" w:hAnsi="Arial"/>
                <w:sz w:val="18"/>
                <w:szCs w:val="18"/>
                <w:color w:val="auto"/>
              </w:rPr>
              <w:t>29,041</w:t>
            </w:r>
          </w:p>
        </w:tc>
        <w:tc>
          <w:tcPr>
            <w:tcW w:w="36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38"/>
              <w:spacing w:after="0"/>
              <w:rPr>
                <w:sz w:val="20"/>
                <w:szCs w:val="20"/>
                <w:color w:val="auto"/>
              </w:rPr>
            </w:pPr>
            <w:r>
              <w:rPr>
                <w:rFonts w:ascii="Arial" w:cs="Arial" w:eastAsia="Arial" w:hAnsi="Arial"/>
                <w:sz w:val="18"/>
                <w:szCs w:val="18"/>
                <w:color w:val="auto"/>
              </w:rPr>
              <w:t>29,245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Net (loss) income per share - assuming dilution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(0.36)</w:t>
            </w:r>
          </w:p>
        </w:tc>
        <w:tc>
          <w:tcPr>
            <w:tcW w:w="4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0.09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(0.69)</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At February 28, 2009 and March 1, 2008, there were options outstanding to purchase 1,018,732 shares and 888,981 shares, respectively, of common stock at an average price of $27.30 and $29.52, respectively, which were not included in the computation of diluted income per share because they are considered anti-dilutive under the treasury stock method per 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 amended).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Comprehensive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net of tax, consists of:</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Thirteen</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301"/>
              <w:spacing w:after="0"/>
              <w:rPr>
                <w:sz w:val="20"/>
                <w:szCs w:val="20"/>
                <w:color w:val="auto"/>
              </w:rPr>
            </w:pPr>
            <w:r>
              <w:rPr>
                <w:rFonts w:ascii="Arial" w:cs="Arial" w:eastAsia="Arial" w:hAnsi="Arial"/>
                <w:sz w:val="14"/>
                <w:szCs w:val="14"/>
                <w:b w:val="1"/>
                <w:bCs w:val="1"/>
                <w:color w:val="auto"/>
                <w:w w:val="86"/>
              </w:rPr>
              <w:t>Twenty-Six</w:t>
            </w:r>
          </w:p>
        </w:tc>
        <w:tc>
          <w:tcPr>
            <w:tcW w:w="360" w:type="dxa"/>
            <w:vAlign w:val="bottom"/>
          </w:tcPr>
          <w:p>
            <w:pPr>
              <w:spacing w:after="0"/>
              <w:rPr>
                <w:sz w:val="14"/>
                <w:szCs w:val="14"/>
                <w:color w:val="auto"/>
              </w:rPr>
            </w:pPr>
          </w:p>
        </w:tc>
        <w:tc>
          <w:tcPr>
            <w:tcW w:w="1180" w:type="dxa"/>
            <w:vAlign w:val="bottom"/>
          </w:tcPr>
          <w:p>
            <w:pPr>
              <w:jc w:val="center"/>
              <w:ind w:right="260"/>
              <w:spacing w:after="0"/>
              <w:rPr>
                <w:sz w:val="20"/>
                <w:szCs w:val="20"/>
                <w:color w:val="auto"/>
              </w:rPr>
            </w:pPr>
            <w:r>
              <w:rPr>
                <w:rFonts w:ascii="Arial" w:cs="Arial" w:eastAsia="Arial" w:hAnsi="Arial"/>
                <w:sz w:val="14"/>
                <w:szCs w:val="14"/>
                <w:b w:val="1"/>
                <w:bCs w:val="1"/>
                <w:color w:val="auto"/>
                <w:w w:val="84"/>
              </w:rPr>
              <w:t>Twenty-Seven</w:t>
            </w:r>
          </w:p>
        </w:tc>
      </w:tr>
      <w:tr>
        <w:trPr>
          <w:trHeight w:val="161"/>
        </w:trPr>
        <w:tc>
          <w:tcPr>
            <w:tcW w:w="5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Weeks Ended</w:t>
            </w:r>
          </w:p>
        </w:tc>
        <w:tc>
          <w:tcPr>
            <w:tcW w:w="1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Weeks Ended</w:t>
            </w:r>
          </w:p>
        </w:tc>
        <w:tc>
          <w:tcPr>
            <w:tcW w:w="1180" w:type="dxa"/>
            <w:vAlign w:val="bottom"/>
            <w:tcBorders>
              <w:bottom w:val="single" w:sz="8" w:color="auto"/>
            </w:tcBorders>
          </w:tcPr>
          <w:p>
            <w:pPr>
              <w:spacing w:after="0"/>
              <w:rPr>
                <w:sz w:val="14"/>
                <w:szCs w:val="14"/>
                <w:color w:val="auto"/>
              </w:rPr>
            </w:pPr>
          </w:p>
        </w:tc>
      </w:tr>
      <w:tr>
        <w:trPr>
          <w:trHeight w:val="129"/>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ind w:right="361"/>
              <w:spacing w:after="0" w:line="129" w:lineRule="exact"/>
              <w:rPr>
                <w:sz w:val="20"/>
                <w:szCs w:val="20"/>
                <w:color w:val="auto"/>
              </w:rPr>
            </w:pPr>
            <w:r>
              <w:rPr>
                <w:rFonts w:ascii="Arial" w:cs="Arial" w:eastAsia="Arial" w:hAnsi="Arial"/>
                <w:sz w:val="14"/>
                <w:szCs w:val="14"/>
                <w:b w:val="1"/>
                <w:bCs w:val="1"/>
                <w:color w:val="auto"/>
                <w:w w:val="98"/>
              </w:rPr>
              <w:t>February 28,</w:t>
            </w:r>
          </w:p>
        </w:tc>
        <w:tc>
          <w:tcPr>
            <w:tcW w:w="440" w:type="dxa"/>
            <w:vAlign w:val="bottom"/>
          </w:tcPr>
          <w:p>
            <w:pPr>
              <w:spacing w:after="0"/>
              <w:rPr>
                <w:sz w:val="11"/>
                <w:szCs w:val="11"/>
                <w:color w:val="auto"/>
              </w:rPr>
            </w:pPr>
          </w:p>
        </w:tc>
        <w:tc>
          <w:tcPr>
            <w:tcW w:w="1160" w:type="dxa"/>
            <w:vAlign w:val="bottom"/>
          </w:tcPr>
          <w:p>
            <w:pPr>
              <w:jc w:val="right"/>
              <w:ind w:right="478"/>
              <w:spacing w:after="0" w:line="129" w:lineRule="exact"/>
              <w:rPr>
                <w:sz w:val="20"/>
                <w:szCs w:val="20"/>
                <w:color w:val="auto"/>
              </w:rPr>
            </w:pPr>
            <w:r>
              <w:rPr>
                <w:rFonts w:ascii="Arial" w:cs="Arial" w:eastAsia="Arial" w:hAnsi="Arial"/>
                <w:sz w:val="14"/>
                <w:szCs w:val="14"/>
                <w:b w:val="1"/>
                <w:bCs w:val="1"/>
                <w:color w:val="auto"/>
              </w:rPr>
              <w:t>March 1,</w:t>
            </w:r>
          </w:p>
        </w:tc>
        <w:tc>
          <w:tcPr>
            <w:tcW w:w="320" w:type="dxa"/>
            <w:vAlign w:val="bottom"/>
          </w:tcPr>
          <w:p>
            <w:pPr>
              <w:spacing w:after="0"/>
              <w:rPr>
                <w:sz w:val="11"/>
                <w:szCs w:val="11"/>
                <w:color w:val="auto"/>
              </w:rPr>
            </w:pPr>
          </w:p>
        </w:tc>
        <w:tc>
          <w:tcPr>
            <w:tcW w:w="1300" w:type="dxa"/>
            <w:vAlign w:val="bottom"/>
          </w:tcPr>
          <w:p>
            <w:pPr>
              <w:jc w:val="center"/>
              <w:ind w:right="301"/>
              <w:spacing w:after="0" w:line="129" w:lineRule="exact"/>
              <w:rPr>
                <w:sz w:val="20"/>
                <w:szCs w:val="20"/>
                <w:color w:val="auto"/>
              </w:rPr>
            </w:pPr>
            <w:r>
              <w:rPr>
                <w:rFonts w:ascii="Arial" w:cs="Arial" w:eastAsia="Arial" w:hAnsi="Arial"/>
                <w:sz w:val="14"/>
                <w:szCs w:val="14"/>
                <w:b w:val="1"/>
                <w:bCs w:val="1"/>
                <w:color w:val="auto"/>
                <w:w w:val="91"/>
              </w:rPr>
              <w:t>February 28,</w:t>
            </w:r>
          </w:p>
        </w:tc>
        <w:tc>
          <w:tcPr>
            <w:tcW w:w="360" w:type="dxa"/>
            <w:vAlign w:val="bottom"/>
          </w:tcPr>
          <w:p>
            <w:pPr>
              <w:spacing w:after="0"/>
              <w:rPr>
                <w:sz w:val="11"/>
                <w:szCs w:val="11"/>
                <w:color w:val="auto"/>
              </w:rPr>
            </w:pPr>
          </w:p>
        </w:tc>
        <w:tc>
          <w:tcPr>
            <w:tcW w:w="1180" w:type="dxa"/>
            <w:vAlign w:val="bottom"/>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March 1,</w:t>
            </w:r>
          </w:p>
        </w:tc>
      </w:tr>
      <w:tr>
        <w:trPr>
          <w:trHeight w:val="161"/>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b w:val="1"/>
                <w:bCs w:val="1"/>
                <w:color w:val="auto"/>
                <w:w w:val="89"/>
              </w:rPr>
              <w:t>2009</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89"/>
              </w:rPr>
              <w:t>2008</w:t>
            </w:r>
          </w:p>
        </w:tc>
      </w:tr>
      <w:tr>
        <w:trPr>
          <w:trHeight w:val="210"/>
        </w:trPr>
        <w:tc>
          <w:tcPr>
            <w:tcW w:w="5200" w:type="dxa"/>
            <w:vAlign w:val="bottom"/>
            <w:shd w:val="clear" w:color="auto" w:fill="D6F3E8"/>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D6F3E8"/>
          </w:tcPr>
          <w:p>
            <w:pPr>
              <w:jc w:val="right"/>
              <w:ind w:right="61"/>
              <w:spacing w:after="0"/>
              <w:rPr>
                <w:sz w:val="20"/>
                <w:szCs w:val="20"/>
                <w:color w:val="auto"/>
              </w:rPr>
            </w:pPr>
            <w:r>
              <w:rPr>
                <w:rFonts w:ascii="Arial" w:cs="Arial" w:eastAsia="Arial" w:hAnsi="Arial"/>
                <w:sz w:val="18"/>
                <w:szCs w:val="18"/>
                <w:color w:val="auto"/>
              </w:rPr>
              <w:t>(10,381)</w:t>
            </w:r>
          </w:p>
        </w:tc>
        <w:tc>
          <w:tcPr>
            <w:tcW w:w="44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D6F3E8"/>
          </w:tcPr>
          <w:p>
            <w:pPr>
              <w:jc w:val="right"/>
              <w:ind w:right="98"/>
              <w:spacing w:after="0"/>
              <w:rPr>
                <w:sz w:val="20"/>
                <w:szCs w:val="20"/>
                <w:color w:val="auto"/>
              </w:rPr>
            </w:pPr>
            <w:r>
              <w:rPr>
                <w:rFonts w:ascii="Arial" w:cs="Arial" w:eastAsia="Arial" w:hAnsi="Arial"/>
                <w:sz w:val="18"/>
                <w:szCs w:val="18"/>
                <w:color w:val="auto"/>
              </w:rPr>
              <w:t>2,517</w:t>
            </w:r>
          </w:p>
        </w:tc>
        <w:tc>
          <w:tcPr>
            <w:tcW w:w="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ind w:right="61"/>
              <w:spacing w:after="0"/>
              <w:rPr>
                <w:sz w:val="20"/>
                <w:szCs w:val="20"/>
                <w:color w:val="auto"/>
              </w:rPr>
            </w:pPr>
            <w:r>
              <w:rPr>
                <w:rFonts w:ascii="Arial" w:cs="Arial" w:eastAsia="Arial" w:hAnsi="Arial"/>
                <w:sz w:val="18"/>
                <w:szCs w:val="18"/>
                <w:color w:val="auto"/>
              </w:rPr>
              <w:t>(19,977)</w:t>
            </w:r>
          </w:p>
        </w:tc>
        <w:tc>
          <w:tcPr>
            <w:tcW w:w="36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D6F3E8"/>
          </w:tcPr>
          <w:p>
            <w:pPr>
              <w:jc w:val="right"/>
              <w:ind w:right="40"/>
              <w:spacing w:after="0"/>
              <w:rPr>
                <w:sz w:val="20"/>
                <w:szCs w:val="20"/>
                <w:color w:val="auto"/>
              </w:rPr>
            </w:pPr>
            <w:r>
              <w:rPr>
                <w:rFonts w:ascii="Arial" w:cs="Arial" w:eastAsia="Arial" w:hAnsi="Arial"/>
                <w:sz w:val="18"/>
                <w:szCs w:val="18"/>
                <w:color w:val="auto"/>
              </w:rPr>
              <w:t>12,479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Change in temporary impairment of investments</w:t>
            </w:r>
          </w:p>
        </w:tc>
        <w:tc>
          <w:tcPr>
            <w:tcW w:w="18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Arial" w:cs="Arial" w:eastAsia="Arial" w:hAnsi="Arial"/>
                <w:sz w:val="18"/>
                <w:szCs w:val="18"/>
                <w:color w:val="auto"/>
              </w:rPr>
              <w:t>388</w:t>
            </w:r>
          </w:p>
        </w:tc>
        <w:tc>
          <w:tcPr>
            <w:tcW w:w="440" w:type="dxa"/>
            <w:vAlign w:val="bottom"/>
          </w:tcPr>
          <w:p>
            <w:pPr>
              <w:spacing w:after="0"/>
              <w:rPr>
                <w:sz w:val="18"/>
                <w:szCs w:val="18"/>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(2,103)</w:t>
            </w:r>
          </w:p>
        </w:tc>
        <w:tc>
          <w:tcPr>
            <w:tcW w:w="32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Arial" w:cs="Arial" w:eastAsia="Arial" w:hAnsi="Arial"/>
                <w:sz w:val="18"/>
                <w:szCs w:val="18"/>
                <w:color w:val="auto"/>
              </w:rPr>
              <w:t>851</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(2,103)</w:t>
            </w:r>
          </w:p>
        </w:tc>
      </w:tr>
      <w:tr>
        <w:trPr>
          <w:trHeight w:val="216"/>
        </w:trPr>
        <w:tc>
          <w:tcPr>
            <w:tcW w:w="5200" w:type="dxa"/>
            <w:vAlign w:val="bottom"/>
            <w:shd w:val="clear" w:color="auto" w:fill="D6F3E8"/>
          </w:tcPr>
          <w:p>
            <w:pPr>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61"/>
              <w:spacing w:after="0"/>
              <w:rPr>
                <w:sz w:val="20"/>
                <w:szCs w:val="20"/>
                <w:color w:val="auto"/>
              </w:rPr>
            </w:pPr>
            <w:r>
              <w:rPr>
                <w:rFonts w:ascii="Arial" w:cs="Arial" w:eastAsia="Arial" w:hAnsi="Arial"/>
                <w:sz w:val="18"/>
                <w:szCs w:val="18"/>
                <w:color w:val="auto"/>
              </w:rPr>
              <w:t>(656)</w:t>
            </w:r>
          </w:p>
        </w:tc>
        <w:tc>
          <w:tcPr>
            <w:tcW w:w="440" w:type="dxa"/>
            <w:vAlign w:val="bottom"/>
            <w:shd w:val="clear" w:color="auto" w:fill="D6F3E8"/>
          </w:tcPr>
          <w:p>
            <w:pPr>
              <w:spacing w:after="0"/>
              <w:rPr>
                <w:sz w:val="18"/>
                <w:szCs w:val="18"/>
                <w:color w:val="auto"/>
              </w:rPr>
            </w:pPr>
          </w:p>
        </w:tc>
        <w:tc>
          <w:tcPr>
            <w:tcW w:w="1160" w:type="dxa"/>
            <w:vAlign w:val="bottom"/>
            <w:shd w:val="clear" w:color="auto" w:fill="D6F3E8"/>
          </w:tcPr>
          <w:p>
            <w:pPr>
              <w:jc w:val="right"/>
              <w:ind w:right="58"/>
              <w:spacing w:after="0"/>
              <w:rPr>
                <w:sz w:val="20"/>
                <w:szCs w:val="20"/>
                <w:color w:val="auto"/>
              </w:rPr>
            </w:pPr>
            <w:r>
              <w:rPr>
                <w:rFonts w:ascii="Arial" w:cs="Arial" w:eastAsia="Arial" w:hAnsi="Arial"/>
                <w:sz w:val="18"/>
                <w:szCs w:val="18"/>
                <w:color w:val="auto"/>
              </w:rPr>
              <w:t>(650)</w:t>
            </w:r>
          </w:p>
        </w:tc>
        <w:tc>
          <w:tcPr>
            <w:tcW w:w="32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61"/>
              <w:spacing w:after="0"/>
              <w:rPr>
                <w:sz w:val="20"/>
                <w:szCs w:val="20"/>
                <w:color w:val="auto"/>
              </w:rPr>
            </w:pPr>
            <w:r>
              <w:rPr>
                <w:rFonts w:ascii="Arial" w:cs="Arial" w:eastAsia="Arial" w:hAnsi="Arial"/>
                <w:sz w:val="18"/>
                <w:szCs w:val="18"/>
                <w:color w:val="auto"/>
              </w:rPr>
              <w:t>(1,289)</w:t>
            </w:r>
          </w:p>
        </w:tc>
        <w:tc>
          <w:tcPr>
            <w:tcW w:w="360" w:type="dxa"/>
            <w:vAlign w:val="bottom"/>
            <w:shd w:val="clear" w:color="auto" w:fill="D6F3E8"/>
          </w:tcPr>
          <w:p>
            <w:pPr>
              <w:spacing w:after="0"/>
              <w:rPr>
                <w:sz w:val="18"/>
                <w:szCs w:val="18"/>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(1,359)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Amortization of actuarial loss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color w:val="auto"/>
              </w:rPr>
              <w:t>110</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146</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color w:val="auto"/>
              </w:rPr>
              <w:t>216</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304</w:t>
            </w:r>
          </w:p>
        </w:tc>
      </w:tr>
      <w:tr>
        <w:trPr>
          <w:trHeight w:val="250"/>
        </w:trPr>
        <w:tc>
          <w:tcPr>
            <w:tcW w:w="52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Comprehensive (loss) income</w:t>
            </w:r>
          </w:p>
        </w:tc>
        <w:tc>
          <w:tcPr>
            <w:tcW w:w="1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D6F3E8"/>
          </w:tcPr>
          <w:p>
            <w:pPr>
              <w:jc w:val="right"/>
              <w:ind w:right="61"/>
              <w:spacing w:after="0"/>
              <w:rPr>
                <w:sz w:val="20"/>
                <w:szCs w:val="20"/>
                <w:color w:val="auto"/>
              </w:rPr>
            </w:pPr>
            <w:r>
              <w:rPr>
                <w:rFonts w:ascii="Arial" w:cs="Arial" w:eastAsia="Arial" w:hAnsi="Arial"/>
                <w:sz w:val="18"/>
                <w:szCs w:val="18"/>
                <w:color w:val="auto"/>
              </w:rPr>
              <w:t>(10,539)</w:t>
            </w:r>
          </w:p>
        </w:tc>
        <w:tc>
          <w:tcPr>
            <w:tcW w:w="440" w:type="dxa"/>
            <w:vAlign w:val="bottom"/>
            <w:tcBorders>
              <w:bottom w:val="single" w:sz="8" w:color="auto"/>
            </w:tcBorders>
            <w:shd w:val="clear" w:color="auto" w:fill="D6F3E8"/>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6F3E8"/>
          </w:tcPr>
          <w:p>
            <w:pPr>
              <w:jc w:val="right"/>
              <w:ind w:right="58"/>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6F3E8"/>
          </w:tcPr>
          <w:p>
            <w:pPr>
              <w:jc w:val="right"/>
              <w:ind w:right="61"/>
              <w:spacing w:after="0"/>
              <w:rPr>
                <w:sz w:val="20"/>
                <w:szCs w:val="20"/>
                <w:color w:val="auto"/>
              </w:rPr>
            </w:pPr>
            <w:r>
              <w:rPr>
                <w:rFonts w:ascii="Arial" w:cs="Arial" w:eastAsia="Arial" w:hAnsi="Arial"/>
                <w:sz w:val="18"/>
                <w:szCs w:val="18"/>
                <w:color w:val="auto"/>
              </w:rPr>
              <w:t>(20,199)</w:t>
            </w:r>
          </w:p>
        </w:tc>
        <w:tc>
          <w:tcPr>
            <w:tcW w:w="360" w:type="dxa"/>
            <w:vAlign w:val="bottom"/>
            <w:tcBorders>
              <w:bottom w:val="single" w:sz="8" w:color="auto"/>
            </w:tcBorders>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6F3E8"/>
          </w:tcPr>
          <w:p>
            <w:pPr>
              <w:jc w:val="right"/>
              <w:ind w:right="40"/>
              <w:spacing w:after="0"/>
              <w:rPr>
                <w:sz w:val="20"/>
                <w:szCs w:val="20"/>
                <w:color w:val="auto"/>
              </w:rPr>
            </w:pPr>
            <w:r>
              <w:rPr>
                <w:rFonts w:ascii="Arial" w:cs="Arial" w:eastAsia="Arial" w:hAnsi="Arial"/>
                <w:sz w:val="18"/>
                <w:szCs w:val="18"/>
                <w:color w:val="auto"/>
              </w:rPr>
              <w:t>9,321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filed our Fiscal 2008 federal tax return during the second quarter of Fiscal 2009 and in March 2009 (our third quarter of Fiscal 2009), we received a federal tax refund of $5.8 million.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It is suggested that this management’s discussion be read in conjunction with the Management’s Discussion and Analysis included in our Annual Report to Shareholders for the year ended August 30,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3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interest rates and availability of credit, low consumer confidence, availability and price of fuel, a further slowdown in the economy, availability of chassis and other key component parts, sales order cancellations, slower than anticipated sales of new or existing products, new product introductions by competitors, the effect of global tensions, and other factors which may be disclosed throughout this report.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Winnebago Industries, Inc. is a leading motor home manufacturer with a proud history of manufacturing recreation vehicles for the last 50 years. Our strategy is to manufacture quality motor homes in a profitable manner. We produce all of our motor homes in highly vertically integrated manufacturing facilities in the state of Iowa. We distribute our product through independent dealers throughout the United States and Canada, who then retail the product to the end consumer. For calendar years 2008 and 2007, we led the industry in combined Class A and Class C U.S. motor home retail unit market share with 18.5 percent and 18.6 percent, respectively. We began producing Class B motor homes in February 2008 and in the U.S. for calendar 2008, we had a 3.7 percent retail unit market share. In Canada, we had a combined retail unit market share of Class A and Class C motor homes with 16.2 percent and 14.5 percent for calendar 2008 and calendar 2007, respectively. All of the retail unit market share information provided in this paragraph is according to Statistical Surveys,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Business Outlook</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RV industry saw substantial reductions in wholesale motor home shipments and retail registrations during calendar 2008. The trend has only worsened thus far in calendar 2009, as detailed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RV Industry</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RV Industry</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3"/>
        </w:trPr>
        <w:tc>
          <w:tcPr>
            <w:tcW w:w="25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574"/>
              <w:spacing w:after="0" w:line="193" w:lineRule="exact"/>
              <w:rPr>
                <w:sz w:val="20"/>
                <w:szCs w:val="20"/>
                <w:color w:val="auto"/>
              </w:rPr>
            </w:pPr>
            <w:r>
              <w:rPr>
                <w:rFonts w:ascii="Arial" w:cs="Arial" w:eastAsia="Arial" w:hAnsi="Arial"/>
                <w:sz w:val="14"/>
                <w:szCs w:val="14"/>
                <w:b w:val="1"/>
                <w:bCs w:val="1"/>
                <w:color w:val="auto"/>
                <w:w w:val="83"/>
              </w:rPr>
              <w:t>Wholesale Shipments</w:t>
            </w:r>
            <w:r>
              <w:rPr>
                <w:rFonts w:ascii="Arial" w:cs="Arial" w:eastAsia="Arial" w:hAnsi="Arial"/>
                <w:sz w:val="22"/>
                <w:szCs w:val="22"/>
                <w:b w:val="1"/>
                <w:bCs w:val="1"/>
                <w:color w:val="auto"/>
                <w:w w:val="83"/>
                <w:vertAlign w:val="superscript"/>
              </w:rPr>
              <w:t>(1)</w:t>
            </w: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right"/>
              <w:ind w:right="535"/>
              <w:spacing w:after="0" w:line="193" w:lineRule="exact"/>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22"/>
                <w:szCs w:val="22"/>
                <w:b w:val="1"/>
                <w:bCs w:val="1"/>
                <w:color w:val="auto"/>
                <w:vertAlign w:val="superscript"/>
              </w:rPr>
              <w:t>(2)</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42"/>
        </w:trPr>
        <w:tc>
          <w:tcPr>
            <w:tcW w:w="2560" w:type="dxa"/>
            <w:vAlign w:val="bottom"/>
          </w:tcPr>
          <w:p>
            <w:pPr>
              <w:spacing w:after="0"/>
              <w:rPr>
                <w:sz w:val="12"/>
                <w:szCs w:val="12"/>
                <w:color w:val="auto"/>
              </w:rPr>
            </w:pPr>
          </w:p>
        </w:tc>
        <w:tc>
          <w:tcPr>
            <w:tcW w:w="1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Calendar Year</w:t>
            </w:r>
          </w:p>
        </w:tc>
        <w:tc>
          <w:tcPr>
            <w:tcW w:w="1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2"/>
          </w:tcPr>
          <w:p>
            <w:pPr>
              <w:jc w:val="right"/>
              <w:ind w:right="940"/>
              <w:spacing w:after="0" w:line="142" w:lineRule="exact"/>
              <w:rPr>
                <w:sz w:val="20"/>
                <w:szCs w:val="20"/>
                <w:color w:val="auto"/>
              </w:rPr>
            </w:pPr>
            <w:r>
              <w:rPr>
                <w:rFonts w:ascii="Arial" w:cs="Arial" w:eastAsia="Arial" w:hAnsi="Arial"/>
                <w:sz w:val="14"/>
                <w:szCs w:val="14"/>
                <w:b w:val="1"/>
                <w:bCs w:val="1"/>
                <w:color w:val="auto"/>
              </w:rPr>
              <w:t>Calendar Year</w:t>
            </w:r>
          </w:p>
        </w:tc>
        <w:tc>
          <w:tcPr>
            <w:tcW w:w="9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9"/>
        </w:trPr>
        <w:tc>
          <w:tcPr>
            <w:tcW w:w="25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 of</w:t>
            </w: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jc w:val="center"/>
              <w:ind w:left="57"/>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r>
      <w:tr>
        <w:trPr>
          <w:trHeight w:val="161"/>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units)</w:t>
            </w:r>
          </w:p>
        </w:tc>
        <w:tc>
          <w:tcPr>
            <w:tcW w:w="1500" w:type="dxa"/>
            <w:vAlign w:val="bottom"/>
            <w:tcBorders>
              <w:bottom w:val="single" w:sz="8" w:color="auto"/>
            </w:tcBorders>
          </w:tcPr>
          <w:p>
            <w:pPr>
              <w:jc w:val="right"/>
              <w:ind w:right="778"/>
              <w:spacing w:after="0"/>
              <w:rPr>
                <w:sz w:val="20"/>
                <w:szCs w:val="20"/>
                <w:color w:val="auto"/>
              </w:rPr>
            </w:pPr>
            <w:r>
              <w:rPr>
                <w:rFonts w:ascii="Arial" w:cs="Arial" w:eastAsia="Arial" w:hAnsi="Arial"/>
                <w:sz w:val="14"/>
                <w:szCs w:val="14"/>
                <w:b w:val="1"/>
                <w:bCs w:val="1"/>
                <w:color w:val="auto"/>
              </w:rPr>
              <w:t>2008</w:t>
            </w:r>
          </w:p>
        </w:tc>
        <w:tc>
          <w:tcPr>
            <w:tcW w:w="11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2007</w:t>
            </w: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3"/>
              </w:rPr>
              <w:t>Decrease</w:t>
            </w:r>
          </w:p>
        </w:tc>
        <w:tc>
          <w:tcPr>
            <w:tcW w:w="11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Decrease</w:t>
            </w: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2008</w:t>
            </w:r>
          </w:p>
        </w:tc>
        <w:tc>
          <w:tcPr>
            <w:tcW w:w="134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2007</w:t>
            </w: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0"/>
              </w:rPr>
              <w:t>Decrease</w:t>
            </w:r>
          </w:p>
        </w:tc>
        <w:tc>
          <w:tcPr>
            <w:tcW w:w="780" w:type="dxa"/>
            <w:vAlign w:val="bottom"/>
            <w:tcBorders>
              <w:bottom w:val="single" w:sz="8" w:color="auto"/>
            </w:tcBorders>
          </w:tcPr>
          <w:p>
            <w:pPr>
              <w:jc w:val="center"/>
              <w:ind w:left="57"/>
              <w:spacing w:after="0"/>
              <w:rPr>
                <w:sz w:val="20"/>
                <w:szCs w:val="20"/>
                <w:color w:val="auto"/>
              </w:rPr>
            </w:pPr>
            <w:r>
              <w:rPr>
                <w:rFonts w:ascii="Arial" w:cs="Arial" w:eastAsia="Arial" w:hAnsi="Arial"/>
                <w:sz w:val="14"/>
                <w:szCs w:val="14"/>
                <w:b w:val="1"/>
                <w:bCs w:val="1"/>
                <w:color w:val="auto"/>
                <w:w w:val="83"/>
              </w:rPr>
              <w:t>Decrease</w:t>
            </w:r>
          </w:p>
        </w:tc>
        <w:tc>
          <w:tcPr>
            <w:tcW w:w="140" w:type="dxa"/>
            <w:vAlign w:val="bottom"/>
          </w:tcPr>
          <w:p>
            <w:pPr>
              <w:spacing w:after="0"/>
              <w:rPr>
                <w:sz w:val="14"/>
                <w:szCs w:val="14"/>
                <w:color w:val="auto"/>
              </w:rPr>
            </w:pPr>
          </w:p>
        </w:tc>
      </w:tr>
      <w:tr>
        <w:trPr>
          <w:trHeight w:val="210"/>
        </w:trPr>
        <w:tc>
          <w:tcPr>
            <w:tcW w:w="2560" w:type="dxa"/>
            <w:vAlign w:val="bottom"/>
            <w:shd w:val="clear" w:color="auto" w:fill="D6F3E8"/>
          </w:tcPr>
          <w:p>
            <w:pPr>
              <w:spacing w:after="0"/>
              <w:rPr>
                <w:sz w:val="20"/>
                <w:szCs w:val="20"/>
                <w:color w:val="auto"/>
              </w:rPr>
            </w:pPr>
            <w:r>
              <w:rPr>
                <w:rFonts w:ascii="Arial" w:cs="Arial" w:eastAsia="Arial" w:hAnsi="Arial"/>
                <w:sz w:val="18"/>
                <w:szCs w:val="18"/>
                <w:color w:val="auto"/>
              </w:rPr>
              <w:t>First Quarter</w:t>
            </w:r>
          </w:p>
        </w:tc>
        <w:tc>
          <w:tcPr>
            <w:tcW w:w="1500" w:type="dxa"/>
            <w:vAlign w:val="bottom"/>
            <w:shd w:val="clear" w:color="auto" w:fill="D6F3E8"/>
          </w:tcPr>
          <w:p>
            <w:pPr>
              <w:jc w:val="right"/>
              <w:ind w:right="538"/>
              <w:spacing w:after="0"/>
              <w:rPr>
                <w:sz w:val="20"/>
                <w:szCs w:val="20"/>
                <w:color w:val="auto"/>
              </w:rPr>
            </w:pPr>
            <w:r>
              <w:rPr>
                <w:rFonts w:ascii="Arial" w:cs="Arial" w:eastAsia="Arial" w:hAnsi="Arial"/>
                <w:sz w:val="18"/>
                <w:szCs w:val="18"/>
                <w:color w:val="auto"/>
              </w:rPr>
              <w:t>10,400</w:t>
            </w:r>
          </w:p>
        </w:tc>
        <w:tc>
          <w:tcPr>
            <w:tcW w:w="1100" w:type="dxa"/>
            <w:vAlign w:val="bottom"/>
            <w:shd w:val="clear" w:color="auto" w:fill="D6F3E8"/>
          </w:tcPr>
          <w:p>
            <w:pPr>
              <w:jc w:val="right"/>
              <w:ind w:right="379"/>
              <w:spacing w:after="0"/>
              <w:rPr>
                <w:sz w:val="20"/>
                <w:szCs w:val="20"/>
                <w:color w:val="auto"/>
              </w:rPr>
            </w:pPr>
            <w:r>
              <w:rPr>
                <w:rFonts w:ascii="Arial" w:cs="Arial" w:eastAsia="Arial" w:hAnsi="Arial"/>
                <w:sz w:val="18"/>
                <w:szCs w:val="18"/>
                <w:color w:val="auto"/>
              </w:rPr>
              <w:t>13,600</w:t>
            </w:r>
          </w:p>
        </w:tc>
        <w:tc>
          <w:tcPr>
            <w:tcW w:w="940" w:type="dxa"/>
            <w:vAlign w:val="bottom"/>
            <w:shd w:val="clear" w:color="auto" w:fill="D6F3E8"/>
          </w:tcPr>
          <w:p>
            <w:pPr>
              <w:jc w:val="right"/>
              <w:ind w:right="134"/>
              <w:spacing w:after="0"/>
              <w:rPr>
                <w:sz w:val="20"/>
                <w:szCs w:val="20"/>
                <w:color w:val="auto"/>
              </w:rPr>
            </w:pPr>
            <w:r>
              <w:rPr>
                <w:rFonts w:ascii="Arial" w:cs="Arial" w:eastAsia="Arial" w:hAnsi="Arial"/>
                <w:sz w:val="18"/>
                <w:szCs w:val="18"/>
                <w:color w:val="auto"/>
              </w:rPr>
              <w:t>(3,200)</w:t>
            </w:r>
          </w:p>
        </w:tc>
        <w:tc>
          <w:tcPr>
            <w:tcW w:w="11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(23.5)</w:t>
            </w:r>
          </w:p>
        </w:tc>
        <w:tc>
          <w:tcPr>
            <w:tcW w:w="1020" w:type="dxa"/>
            <w:vAlign w:val="bottom"/>
            <w:shd w:val="clear" w:color="auto" w:fill="D6F3E8"/>
          </w:tcPr>
          <w:p>
            <w:pPr>
              <w:jc w:val="right"/>
              <w:ind w:right="199"/>
              <w:spacing w:after="0"/>
              <w:rPr>
                <w:sz w:val="20"/>
                <w:szCs w:val="20"/>
                <w:color w:val="auto"/>
              </w:rPr>
            </w:pPr>
            <w:r>
              <w:rPr>
                <w:rFonts w:ascii="Arial" w:cs="Arial" w:eastAsia="Arial" w:hAnsi="Arial"/>
                <w:sz w:val="18"/>
                <w:szCs w:val="18"/>
                <w:color w:val="auto"/>
              </w:rPr>
              <w:t>8,600</w:t>
            </w:r>
          </w:p>
        </w:tc>
        <w:tc>
          <w:tcPr>
            <w:tcW w:w="1340" w:type="dxa"/>
            <w:vAlign w:val="bottom"/>
            <w:shd w:val="clear" w:color="auto" w:fill="D6F3E8"/>
          </w:tcPr>
          <w:p>
            <w:pPr>
              <w:jc w:val="right"/>
              <w:ind w:right="400"/>
              <w:spacing w:after="0"/>
              <w:rPr>
                <w:sz w:val="20"/>
                <w:szCs w:val="20"/>
                <w:color w:val="auto"/>
              </w:rPr>
            </w:pPr>
            <w:r>
              <w:rPr>
                <w:rFonts w:ascii="Arial" w:cs="Arial" w:eastAsia="Arial" w:hAnsi="Arial"/>
                <w:sz w:val="18"/>
                <w:szCs w:val="18"/>
                <w:color w:val="auto"/>
              </w:rPr>
              <w:t>11,500</w:t>
            </w:r>
          </w:p>
        </w:tc>
        <w:tc>
          <w:tcPr>
            <w:tcW w:w="900" w:type="dxa"/>
            <w:vAlign w:val="bottom"/>
            <w:shd w:val="clear" w:color="auto" w:fill="D6F3E8"/>
          </w:tcPr>
          <w:p>
            <w:pPr>
              <w:jc w:val="right"/>
              <w:ind w:right="95"/>
              <w:spacing w:after="0"/>
              <w:rPr>
                <w:sz w:val="20"/>
                <w:szCs w:val="20"/>
                <w:color w:val="auto"/>
              </w:rPr>
            </w:pPr>
            <w:r>
              <w:rPr>
                <w:rFonts w:ascii="Arial" w:cs="Arial" w:eastAsia="Arial" w:hAnsi="Arial"/>
                <w:sz w:val="18"/>
                <w:szCs w:val="18"/>
                <w:color w:val="auto"/>
              </w:rPr>
              <w:t>(2,900)</w:t>
            </w:r>
          </w:p>
        </w:tc>
        <w:tc>
          <w:tcPr>
            <w:tcW w:w="9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(25.2)</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Second Quarter</w:t>
            </w:r>
          </w:p>
        </w:tc>
        <w:tc>
          <w:tcPr>
            <w:tcW w:w="1500" w:type="dxa"/>
            <w:vAlign w:val="bottom"/>
          </w:tcPr>
          <w:p>
            <w:pPr>
              <w:jc w:val="right"/>
              <w:ind w:right="538"/>
              <w:spacing w:after="0"/>
              <w:rPr>
                <w:sz w:val="20"/>
                <w:szCs w:val="20"/>
                <w:color w:val="auto"/>
              </w:rPr>
            </w:pPr>
            <w:r>
              <w:rPr>
                <w:rFonts w:ascii="Arial" w:cs="Arial" w:eastAsia="Arial" w:hAnsi="Arial"/>
                <w:sz w:val="18"/>
                <w:szCs w:val="18"/>
                <w:color w:val="auto"/>
              </w:rPr>
              <w:t>8,600</w:t>
            </w:r>
          </w:p>
        </w:tc>
        <w:tc>
          <w:tcPr>
            <w:tcW w:w="1100" w:type="dxa"/>
            <w:vAlign w:val="bottom"/>
          </w:tcPr>
          <w:p>
            <w:pPr>
              <w:jc w:val="right"/>
              <w:ind w:right="379"/>
              <w:spacing w:after="0"/>
              <w:rPr>
                <w:sz w:val="20"/>
                <w:szCs w:val="20"/>
                <w:color w:val="auto"/>
              </w:rPr>
            </w:pPr>
            <w:r>
              <w:rPr>
                <w:rFonts w:ascii="Arial" w:cs="Arial" w:eastAsia="Arial" w:hAnsi="Arial"/>
                <w:sz w:val="18"/>
                <w:szCs w:val="18"/>
                <w:color w:val="auto"/>
              </w:rPr>
              <w:t>15,000</w:t>
            </w: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(6,400)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(42.7)</w:t>
            </w:r>
          </w:p>
        </w:tc>
        <w:tc>
          <w:tcPr>
            <w:tcW w:w="1020" w:type="dxa"/>
            <w:vAlign w:val="bottom"/>
          </w:tcPr>
          <w:p>
            <w:pPr>
              <w:jc w:val="right"/>
              <w:ind w:right="199"/>
              <w:spacing w:after="0"/>
              <w:rPr>
                <w:sz w:val="20"/>
                <w:szCs w:val="20"/>
                <w:color w:val="auto"/>
              </w:rPr>
            </w:pPr>
            <w:r>
              <w:rPr>
                <w:rFonts w:ascii="Arial" w:cs="Arial" w:eastAsia="Arial" w:hAnsi="Arial"/>
                <w:sz w:val="18"/>
                <w:szCs w:val="18"/>
                <w:color w:val="auto"/>
              </w:rPr>
              <w:t>9,200</w:t>
            </w:r>
          </w:p>
        </w:tc>
        <w:tc>
          <w:tcPr>
            <w:tcW w:w="1340" w:type="dxa"/>
            <w:vAlign w:val="bottom"/>
          </w:tcPr>
          <w:p>
            <w:pPr>
              <w:jc w:val="right"/>
              <w:ind w:right="400"/>
              <w:spacing w:after="0"/>
              <w:rPr>
                <w:sz w:val="20"/>
                <w:szCs w:val="20"/>
                <w:color w:val="auto"/>
              </w:rPr>
            </w:pPr>
            <w:r>
              <w:rPr>
                <w:rFonts w:ascii="Arial" w:cs="Arial" w:eastAsia="Arial" w:hAnsi="Arial"/>
                <w:sz w:val="18"/>
                <w:szCs w:val="18"/>
                <w:color w:val="auto"/>
              </w:rPr>
              <w:t>15,200</w:t>
            </w: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(6,000)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r>
      <w:tr>
        <w:trPr>
          <w:trHeight w:val="216"/>
        </w:trPr>
        <w:tc>
          <w:tcPr>
            <w:tcW w:w="2560" w:type="dxa"/>
            <w:vAlign w:val="bottom"/>
            <w:shd w:val="clear" w:color="auto" w:fill="D6F3E8"/>
          </w:tcPr>
          <w:p>
            <w:pPr>
              <w:spacing w:after="0"/>
              <w:rPr>
                <w:sz w:val="20"/>
                <w:szCs w:val="20"/>
                <w:color w:val="auto"/>
              </w:rPr>
            </w:pPr>
            <w:r>
              <w:rPr>
                <w:rFonts w:ascii="Arial" w:cs="Arial" w:eastAsia="Arial" w:hAnsi="Arial"/>
                <w:sz w:val="18"/>
                <w:szCs w:val="18"/>
                <w:color w:val="auto"/>
              </w:rPr>
              <w:t>Third Quarter</w:t>
            </w:r>
          </w:p>
        </w:tc>
        <w:tc>
          <w:tcPr>
            <w:tcW w:w="1500" w:type="dxa"/>
            <w:vAlign w:val="bottom"/>
            <w:shd w:val="clear" w:color="auto" w:fill="D6F3E8"/>
          </w:tcPr>
          <w:p>
            <w:pPr>
              <w:jc w:val="right"/>
              <w:ind w:right="538"/>
              <w:spacing w:after="0"/>
              <w:rPr>
                <w:sz w:val="20"/>
                <w:szCs w:val="20"/>
                <w:color w:val="auto"/>
              </w:rPr>
            </w:pPr>
            <w:r>
              <w:rPr>
                <w:rFonts w:ascii="Arial" w:cs="Arial" w:eastAsia="Arial" w:hAnsi="Arial"/>
                <w:sz w:val="18"/>
                <w:szCs w:val="18"/>
                <w:color w:val="auto"/>
              </w:rPr>
              <w:t>4,600</w:t>
            </w:r>
          </w:p>
        </w:tc>
        <w:tc>
          <w:tcPr>
            <w:tcW w:w="1100" w:type="dxa"/>
            <w:vAlign w:val="bottom"/>
            <w:shd w:val="clear" w:color="auto" w:fill="D6F3E8"/>
          </w:tcPr>
          <w:p>
            <w:pPr>
              <w:jc w:val="right"/>
              <w:ind w:right="379"/>
              <w:spacing w:after="0"/>
              <w:rPr>
                <w:sz w:val="20"/>
                <w:szCs w:val="20"/>
                <w:color w:val="auto"/>
              </w:rPr>
            </w:pPr>
            <w:r>
              <w:rPr>
                <w:rFonts w:ascii="Arial" w:cs="Arial" w:eastAsia="Arial" w:hAnsi="Arial"/>
                <w:sz w:val="18"/>
                <w:szCs w:val="18"/>
                <w:color w:val="auto"/>
              </w:rPr>
              <w:t>12,400</w:t>
            </w:r>
          </w:p>
        </w:tc>
        <w:tc>
          <w:tcPr>
            <w:tcW w:w="940" w:type="dxa"/>
            <w:vAlign w:val="bottom"/>
            <w:shd w:val="clear" w:color="auto" w:fill="D6F3E8"/>
          </w:tcPr>
          <w:p>
            <w:pPr>
              <w:jc w:val="right"/>
              <w:ind w:right="134"/>
              <w:spacing w:after="0"/>
              <w:rPr>
                <w:sz w:val="20"/>
                <w:szCs w:val="20"/>
                <w:color w:val="auto"/>
              </w:rPr>
            </w:pPr>
            <w:r>
              <w:rPr>
                <w:rFonts w:ascii="Arial" w:cs="Arial" w:eastAsia="Arial" w:hAnsi="Arial"/>
                <w:sz w:val="18"/>
                <w:szCs w:val="18"/>
                <w:color w:val="auto"/>
              </w:rPr>
              <w:t>(7,800)</w:t>
            </w:r>
          </w:p>
        </w:tc>
        <w:tc>
          <w:tcPr>
            <w:tcW w:w="11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(62.9)</w:t>
            </w:r>
          </w:p>
        </w:tc>
        <w:tc>
          <w:tcPr>
            <w:tcW w:w="1020" w:type="dxa"/>
            <w:vAlign w:val="bottom"/>
            <w:shd w:val="clear" w:color="auto" w:fill="D6F3E8"/>
          </w:tcPr>
          <w:p>
            <w:pPr>
              <w:jc w:val="right"/>
              <w:ind w:right="199"/>
              <w:spacing w:after="0"/>
              <w:rPr>
                <w:sz w:val="20"/>
                <w:szCs w:val="20"/>
                <w:color w:val="auto"/>
              </w:rPr>
            </w:pPr>
            <w:r>
              <w:rPr>
                <w:rFonts w:ascii="Arial" w:cs="Arial" w:eastAsia="Arial" w:hAnsi="Arial"/>
                <w:sz w:val="18"/>
                <w:szCs w:val="18"/>
                <w:color w:val="auto"/>
              </w:rPr>
              <w:t>6,100</w:t>
            </w:r>
          </w:p>
        </w:tc>
        <w:tc>
          <w:tcPr>
            <w:tcW w:w="1340" w:type="dxa"/>
            <w:vAlign w:val="bottom"/>
            <w:shd w:val="clear" w:color="auto" w:fill="D6F3E8"/>
          </w:tcPr>
          <w:p>
            <w:pPr>
              <w:jc w:val="right"/>
              <w:ind w:right="400"/>
              <w:spacing w:after="0"/>
              <w:rPr>
                <w:sz w:val="20"/>
                <w:szCs w:val="20"/>
                <w:color w:val="auto"/>
              </w:rPr>
            </w:pPr>
            <w:r>
              <w:rPr>
                <w:rFonts w:ascii="Arial" w:cs="Arial" w:eastAsia="Arial" w:hAnsi="Arial"/>
                <w:sz w:val="18"/>
                <w:szCs w:val="18"/>
                <w:color w:val="auto"/>
              </w:rPr>
              <w:t>12,400</w:t>
            </w:r>
          </w:p>
        </w:tc>
        <w:tc>
          <w:tcPr>
            <w:tcW w:w="900" w:type="dxa"/>
            <w:vAlign w:val="bottom"/>
            <w:shd w:val="clear" w:color="auto" w:fill="D6F3E8"/>
          </w:tcPr>
          <w:p>
            <w:pPr>
              <w:jc w:val="right"/>
              <w:ind w:right="95"/>
              <w:spacing w:after="0"/>
              <w:rPr>
                <w:sz w:val="20"/>
                <w:szCs w:val="20"/>
                <w:color w:val="auto"/>
              </w:rPr>
            </w:pPr>
            <w:r>
              <w:rPr>
                <w:rFonts w:ascii="Arial" w:cs="Arial" w:eastAsia="Arial" w:hAnsi="Arial"/>
                <w:sz w:val="18"/>
                <w:szCs w:val="18"/>
                <w:color w:val="auto"/>
              </w:rPr>
              <w:t>(6,300)</w:t>
            </w:r>
          </w:p>
        </w:tc>
        <w:tc>
          <w:tcPr>
            <w:tcW w:w="9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(50.8)</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Fourth Quarter</w:t>
            </w:r>
          </w:p>
        </w:tc>
        <w:tc>
          <w:tcPr>
            <w:tcW w:w="1500" w:type="dxa"/>
            <w:vAlign w:val="bottom"/>
            <w:tcBorders>
              <w:bottom w:val="single" w:sz="8" w:color="auto"/>
            </w:tcBorders>
          </w:tcPr>
          <w:p>
            <w:pPr>
              <w:jc w:val="right"/>
              <w:ind w:right="538"/>
              <w:spacing w:after="0"/>
              <w:rPr>
                <w:sz w:val="20"/>
                <w:szCs w:val="20"/>
                <w:color w:val="auto"/>
              </w:rPr>
            </w:pPr>
            <w:r>
              <w:rPr>
                <w:rFonts w:ascii="Arial" w:cs="Arial" w:eastAsia="Arial" w:hAnsi="Arial"/>
                <w:sz w:val="18"/>
                <w:szCs w:val="18"/>
                <w:color w:val="auto"/>
              </w:rPr>
              <w:t>2,800</w:t>
            </w: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8"/>
                <w:szCs w:val="18"/>
                <w:color w:val="auto"/>
              </w:rPr>
              <w:t>11,300</w:t>
            </w: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(8,500)</w:t>
            </w:r>
          </w:p>
        </w:tc>
        <w:tc>
          <w:tcPr>
            <w:tcW w:w="11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(75.2)</w:t>
            </w: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3,800</w:t>
            </w:r>
          </w:p>
        </w:tc>
        <w:tc>
          <w:tcPr>
            <w:tcW w:w="1340" w:type="dxa"/>
            <w:vAlign w:val="bottom"/>
            <w:tcBorders>
              <w:bottom w:val="single" w:sz="8" w:color="auto"/>
            </w:tcBorders>
          </w:tcPr>
          <w:p>
            <w:pPr>
              <w:jc w:val="right"/>
              <w:ind w:right="400"/>
              <w:spacing w:after="0"/>
              <w:rPr>
                <w:sz w:val="20"/>
                <w:szCs w:val="20"/>
                <w:color w:val="auto"/>
              </w:rPr>
            </w:pPr>
            <w:r>
              <w:rPr>
                <w:rFonts w:ascii="Arial" w:cs="Arial" w:eastAsia="Arial" w:hAnsi="Arial"/>
                <w:sz w:val="18"/>
                <w:szCs w:val="18"/>
                <w:color w:val="auto"/>
              </w:rPr>
              <w:t>8,400</w:t>
            </w: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(4,600)</w:t>
            </w: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(54.8)</w:t>
            </w:r>
          </w:p>
        </w:tc>
      </w:tr>
      <w:tr>
        <w:trPr>
          <w:trHeight w:val="236"/>
        </w:trPr>
        <w:tc>
          <w:tcPr>
            <w:tcW w:w="25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D6F3E8"/>
          </w:tcPr>
          <w:p>
            <w:pPr>
              <w:jc w:val="right"/>
              <w:ind w:right="538"/>
              <w:spacing w:after="0"/>
              <w:rPr>
                <w:sz w:val="20"/>
                <w:szCs w:val="20"/>
                <w:color w:val="auto"/>
              </w:rPr>
            </w:pPr>
            <w:r>
              <w:rPr>
                <w:rFonts w:ascii="Arial" w:cs="Arial" w:eastAsia="Arial" w:hAnsi="Arial"/>
                <w:sz w:val="18"/>
                <w:szCs w:val="18"/>
                <w:color w:val="auto"/>
              </w:rPr>
              <w:t>26,400</w:t>
            </w:r>
          </w:p>
        </w:tc>
        <w:tc>
          <w:tcPr>
            <w:tcW w:w="1100" w:type="dxa"/>
            <w:vAlign w:val="bottom"/>
            <w:tcBorders>
              <w:bottom w:val="single" w:sz="8" w:color="auto"/>
            </w:tcBorders>
            <w:shd w:val="clear" w:color="auto" w:fill="D6F3E8"/>
          </w:tcPr>
          <w:p>
            <w:pPr>
              <w:jc w:val="right"/>
              <w:ind w:right="379"/>
              <w:spacing w:after="0"/>
              <w:rPr>
                <w:sz w:val="20"/>
                <w:szCs w:val="20"/>
                <w:color w:val="auto"/>
              </w:rPr>
            </w:pPr>
            <w:r>
              <w:rPr>
                <w:rFonts w:ascii="Arial" w:cs="Arial" w:eastAsia="Arial" w:hAnsi="Arial"/>
                <w:sz w:val="18"/>
                <w:szCs w:val="18"/>
                <w:color w:val="auto"/>
              </w:rPr>
              <w:t>52,300</w:t>
            </w:r>
          </w:p>
        </w:tc>
        <w:tc>
          <w:tcPr>
            <w:tcW w:w="940" w:type="dxa"/>
            <w:vAlign w:val="bottom"/>
            <w:tcBorders>
              <w:bottom w:val="single" w:sz="8" w:color="auto"/>
            </w:tcBorders>
            <w:shd w:val="clear" w:color="auto" w:fill="D6F3E8"/>
          </w:tcPr>
          <w:p>
            <w:pPr>
              <w:jc w:val="right"/>
              <w:ind w:right="134"/>
              <w:spacing w:after="0"/>
              <w:rPr>
                <w:sz w:val="20"/>
                <w:szCs w:val="20"/>
                <w:color w:val="auto"/>
              </w:rPr>
            </w:pPr>
            <w:r>
              <w:rPr>
                <w:rFonts w:ascii="Arial" w:cs="Arial" w:eastAsia="Arial" w:hAnsi="Arial"/>
                <w:sz w:val="18"/>
                <w:szCs w:val="18"/>
                <w:color w:val="auto"/>
              </w:rPr>
              <w:t>(25,900)</w:t>
            </w:r>
          </w:p>
        </w:tc>
        <w:tc>
          <w:tcPr>
            <w:tcW w:w="1140" w:type="dxa"/>
            <w:vAlign w:val="bottom"/>
            <w:tcBorders>
              <w:bottom w:val="single" w:sz="8" w:color="auto"/>
            </w:tcBorders>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(49.5)</w:t>
            </w:r>
          </w:p>
        </w:tc>
        <w:tc>
          <w:tcPr>
            <w:tcW w:w="1020" w:type="dxa"/>
            <w:vAlign w:val="bottom"/>
            <w:tcBorders>
              <w:bottom w:val="single" w:sz="8" w:color="auto"/>
            </w:tcBorders>
            <w:shd w:val="clear" w:color="auto" w:fill="D6F3E8"/>
          </w:tcPr>
          <w:p>
            <w:pPr>
              <w:jc w:val="right"/>
              <w:ind w:right="199"/>
              <w:spacing w:after="0"/>
              <w:rPr>
                <w:sz w:val="20"/>
                <w:szCs w:val="20"/>
                <w:color w:val="auto"/>
              </w:rPr>
            </w:pPr>
            <w:r>
              <w:rPr>
                <w:rFonts w:ascii="Arial" w:cs="Arial" w:eastAsia="Arial" w:hAnsi="Arial"/>
                <w:sz w:val="18"/>
                <w:szCs w:val="18"/>
                <w:color w:val="auto"/>
              </w:rPr>
              <w:t>27,700</w:t>
            </w:r>
          </w:p>
        </w:tc>
        <w:tc>
          <w:tcPr>
            <w:tcW w:w="1340" w:type="dxa"/>
            <w:vAlign w:val="bottom"/>
            <w:tcBorders>
              <w:bottom w:val="single" w:sz="8" w:color="auto"/>
            </w:tcBorders>
            <w:shd w:val="clear" w:color="auto" w:fill="D6F3E8"/>
          </w:tcPr>
          <w:p>
            <w:pPr>
              <w:jc w:val="right"/>
              <w:ind w:right="400"/>
              <w:spacing w:after="0"/>
              <w:rPr>
                <w:sz w:val="20"/>
                <w:szCs w:val="20"/>
                <w:color w:val="auto"/>
              </w:rPr>
            </w:pPr>
            <w:r>
              <w:rPr>
                <w:rFonts w:ascii="Arial" w:cs="Arial" w:eastAsia="Arial" w:hAnsi="Arial"/>
                <w:sz w:val="18"/>
                <w:szCs w:val="18"/>
                <w:color w:val="auto"/>
              </w:rPr>
              <w:t>47,500</w:t>
            </w:r>
          </w:p>
        </w:tc>
        <w:tc>
          <w:tcPr>
            <w:tcW w:w="900" w:type="dxa"/>
            <w:vAlign w:val="bottom"/>
            <w:tcBorders>
              <w:bottom w:val="single" w:sz="8" w:color="auto"/>
            </w:tcBorders>
            <w:shd w:val="clear" w:color="auto" w:fill="D6F3E8"/>
          </w:tcPr>
          <w:p>
            <w:pPr>
              <w:jc w:val="right"/>
              <w:ind w:right="95"/>
              <w:spacing w:after="0"/>
              <w:rPr>
                <w:sz w:val="20"/>
                <w:szCs w:val="20"/>
                <w:color w:val="auto"/>
              </w:rPr>
            </w:pPr>
            <w:r>
              <w:rPr>
                <w:rFonts w:ascii="Arial" w:cs="Arial" w:eastAsia="Arial" w:hAnsi="Arial"/>
                <w:sz w:val="18"/>
                <w:szCs w:val="18"/>
                <w:color w:val="auto"/>
              </w:rPr>
              <w:t>(19,800)</w:t>
            </w:r>
          </w:p>
        </w:tc>
        <w:tc>
          <w:tcPr>
            <w:tcW w:w="920" w:type="dxa"/>
            <w:vAlign w:val="bottom"/>
            <w:tcBorders>
              <w:bottom w:val="single" w:sz="8" w:color="auto"/>
            </w:tcBorders>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(41.7)</w:t>
            </w:r>
          </w:p>
        </w:tc>
      </w:tr>
      <w:tr>
        <w:trPr>
          <w:trHeight w:val="400"/>
        </w:trPr>
        <w:tc>
          <w:tcPr>
            <w:tcW w:w="2560" w:type="dxa"/>
            <w:vAlign w:val="bottom"/>
          </w:tcPr>
          <w:p>
            <w:pPr>
              <w:spacing w:after="0"/>
              <w:rPr>
                <w:sz w:val="24"/>
                <w:szCs w:val="24"/>
                <w:color w:val="auto"/>
              </w:rPr>
            </w:pPr>
          </w:p>
        </w:tc>
        <w:tc>
          <w:tcPr>
            <w:tcW w:w="1500" w:type="dxa"/>
            <w:vAlign w:val="bottom"/>
            <w:tcBorders>
              <w:bottom w:val="single" w:sz="8" w:color="auto"/>
            </w:tcBorders>
          </w:tcPr>
          <w:p>
            <w:pPr>
              <w:jc w:val="right"/>
              <w:ind w:right="778"/>
              <w:spacing w:after="0"/>
              <w:rPr>
                <w:sz w:val="20"/>
                <w:szCs w:val="20"/>
                <w:color w:val="auto"/>
              </w:rPr>
            </w:pPr>
            <w:r>
              <w:rPr>
                <w:rFonts w:ascii="Arial" w:cs="Arial" w:eastAsia="Arial" w:hAnsi="Arial"/>
                <w:sz w:val="14"/>
                <w:szCs w:val="14"/>
                <w:b w:val="1"/>
                <w:bCs w:val="1"/>
                <w:color w:val="auto"/>
              </w:rPr>
              <w:t>2009</w:t>
            </w:r>
          </w:p>
        </w:tc>
        <w:tc>
          <w:tcPr>
            <w:tcW w:w="11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2008</w:t>
            </w:r>
          </w:p>
        </w:tc>
        <w:tc>
          <w:tcPr>
            <w:tcW w:w="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2009</w:t>
            </w:r>
          </w:p>
        </w:tc>
        <w:tc>
          <w:tcPr>
            <w:tcW w:w="134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b w:val="1"/>
                <w:bCs w:val="1"/>
                <w:color w:val="auto"/>
              </w:rPr>
              <w:t>2008</w:t>
            </w:r>
          </w:p>
        </w:tc>
        <w:tc>
          <w:tcPr>
            <w:tcW w:w="9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2560" w:type="dxa"/>
            <w:vAlign w:val="bottom"/>
            <w:shd w:val="clear" w:color="auto" w:fill="D6F3E8"/>
          </w:tcPr>
          <w:p>
            <w:pPr>
              <w:spacing w:after="0"/>
              <w:rPr>
                <w:sz w:val="20"/>
                <w:szCs w:val="20"/>
                <w:color w:val="auto"/>
              </w:rPr>
            </w:pPr>
            <w:r>
              <w:rPr>
                <w:rFonts w:ascii="Arial" w:cs="Arial" w:eastAsia="Arial" w:hAnsi="Arial"/>
                <w:sz w:val="18"/>
                <w:szCs w:val="18"/>
                <w:color w:val="auto"/>
              </w:rPr>
              <w:t>January</w:t>
            </w:r>
          </w:p>
        </w:tc>
        <w:tc>
          <w:tcPr>
            <w:tcW w:w="1500" w:type="dxa"/>
            <w:vAlign w:val="bottom"/>
            <w:shd w:val="clear" w:color="auto" w:fill="D6F3E8"/>
          </w:tcPr>
          <w:p>
            <w:pPr>
              <w:jc w:val="right"/>
              <w:ind w:right="538"/>
              <w:spacing w:after="0"/>
              <w:rPr>
                <w:sz w:val="20"/>
                <w:szCs w:val="20"/>
                <w:color w:val="auto"/>
              </w:rPr>
            </w:pPr>
            <w:r>
              <w:rPr>
                <w:rFonts w:ascii="Arial" w:cs="Arial" w:eastAsia="Arial" w:hAnsi="Arial"/>
                <w:sz w:val="18"/>
                <w:szCs w:val="18"/>
                <w:color w:val="auto"/>
              </w:rPr>
              <w:t>600</w:t>
            </w:r>
          </w:p>
        </w:tc>
        <w:tc>
          <w:tcPr>
            <w:tcW w:w="1100" w:type="dxa"/>
            <w:vAlign w:val="bottom"/>
            <w:shd w:val="clear" w:color="auto" w:fill="D6F3E8"/>
          </w:tcPr>
          <w:p>
            <w:pPr>
              <w:jc w:val="right"/>
              <w:ind w:right="379"/>
              <w:spacing w:after="0"/>
              <w:rPr>
                <w:sz w:val="20"/>
                <w:szCs w:val="20"/>
                <w:color w:val="auto"/>
              </w:rPr>
            </w:pPr>
            <w:r>
              <w:rPr>
                <w:rFonts w:ascii="Arial" w:cs="Arial" w:eastAsia="Arial" w:hAnsi="Arial"/>
                <w:sz w:val="18"/>
                <w:szCs w:val="18"/>
                <w:color w:val="auto"/>
              </w:rPr>
              <w:t>3,100</w:t>
            </w:r>
          </w:p>
        </w:tc>
        <w:tc>
          <w:tcPr>
            <w:tcW w:w="940" w:type="dxa"/>
            <w:vAlign w:val="bottom"/>
            <w:shd w:val="clear" w:color="auto" w:fill="D6F3E8"/>
          </w:tcPr>
          <w:p>
            <w:pPr>
              <w:jc w:val="right"/>
              <w:ind w:right="134"/>
              <w:spacing w:after="0"/>
              <w:rPr>
                <w:sz w:val="20"/>
                <w:szCs w:val="20"/>
                <w:color w:val="auto"/>
              </w:rPr>
            </w:pPr>
            <w:r>
              <w:rPr>
                <w:rFonts w:ascii="Arial" w:cs="Arial" w:eastAsia="Arial" w:hAnsi="Arial"/>
                <w:sz w:val="18"/>
                <w:szCs w:val="18"/>
                <w:color w:val="auto"/>
              </w:rPr>
              <w:t>(2,500)</w:t>
            </w:r>
          </w:p>
        </w:tc>
        <w:tc>
          <w:tcPr>
            <w:tcW w:w="11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(80.6)</w:t>
            </w:r>
          </w:p>
        </w:tc>
        <w:tc>
          <w:tcPr>
            <w:tcW w:w="1020" w:type="dxa"/>
            <w:vAlign w:val="bottom"/>
            <w:shd w:val="clear" w:color="auto" w:fill="D6F3E8"/>
          </w:tcPr>
          <w:p>
            <w:pPr>
              <w:jc w:val="right"/>
              <w:ind w:right="199"/>
              <w:spacing w:after="0"/>
              <w:rPr>
                <w:sz w:val="20"/>
                <w:szCs w:val="20"/>
                <w:color w:val="auto"/>
              </w:rPr>
            </w:pPr>
            <w:r>
              <w:rPr>
                <w:rFonts w:ascii="Arial" w:cs="Arial" w:eastAsia="Arial" w:hAnsi="Arial"/>
                <w:sz w:val="18"/>
                <w:szCs w:val="18"/>
                <w:color w:val="auto"/>
              </w:rPr>
              <w:t>1,100</w:t>
            </w:r>
          </w:p>
        </w:tc>
        <w:tc>
          <w:tcPr>
            <w:tcW w:w="1340" w:type="dxa"/>
            <w:vAlign w:val="bottom"/>
            <w:shd w:val="clear" w:color="auto" w:fill="D6F3E8"/>
          </w:tcPr>
          <w:p>
            <w:pPr>
              <w:jc w:val="right"/>
              <w:ind w:right="400"/>
              <w:spacing w:after="0"/>
              <w:rPr>
                <w:sz w:val="20"/>
                <w:szCs w:val="20"/>
                <w:color w:val="auto"/>
              </w:rPr>
            </w:pPr>
            <w:r>
              <w:rPr>
                <w:rFonts w:ascii="Arial" w:cs="Arial" w:eastAsia="Arial" w:hAnsi="Arial"/>
                <w:sz w:val="18"/>
                <w:szCs w:val="18"/>
                <w:color w:val="auto"/>
              </w:rPr>
              <w:t>2,600</w:t>
            </w:r>
          </w:p>
        </w:tc>
        <w:tc>
          <w:tcPr>
            <w:tcW w:w="900" w:type="dxa"/>
            <w:vAlign w:val="bottom"/>
            <w:shd w:val="clear" w:color="auto" w:fill="D6F3E8"/>
          </w:tcPr>
          <w:p>
            <w:pPr>
              <w:jc w:val="right"/>
              <w:ind w:right="95"/>
              <w:spacing w:after="0"/>
              <w:rPr>
                <w:sz w:val="20"/>
                <w:szCs w:val="20"/>
                <w:color w:val="auto"/>
              </w:rPr>
            </w:pPr>
            <w:r>
              <w:rPr>
                <w:rFonts w:ascii="Arial" w:cs="Arial" w:eastAsia="Arial" w:hAnsi="Arial"/>
                <w:sz w:val="18"/>
                <w:szCs w:val="18"/>
                <w:color w:val="auto"/>
              </w:rPr>
              <w:t>(1,500)</w:t>
            </w:r>
          </w:p>
        </w:tc>
        <w:tc>
          <w:tcPr>
            <w:tcW w:w="9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(57.7)</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February</w:t>
            </w:r>
          </w:p>
        </w:tc>
        <w:tc>
          <w:tcPr>
            <w:tcW w:w="1500" w:type="dxa"/>
            <w:vAlign w:val="bottom"/>
          </w:tcPr>
          <w:p>
            <w:pPr>
              <w:jc w:val="right"/>
              <w:ind w:right="538"/>
              <w:spacing w:after="0"/>
              <w:rPr>
                <w:sz w:val="20"/>
                <w:szCs w:val="20"/>
                <w:color w:val="auto"/>
              </w:rPr>
            </w:pPr>
            <w:r>
              <w:rPr>
                <w:rFonts w:ascii="Arial" w:cs="Arial" w:eastAsia="Arial" w:hAnsi="Arial"/>
                <w:sz w:val="18"/>
                <w:szCs w:val="18"/>
                <w:color w:val="auto"/>
              </w:rPr>
              <w:t>700</w:t>
            </w:r>
          </w:p>
        </w:tc>
        <w:tc>
          <w:tcPr>
            <w:tcW w:w="1100" w:type="dxa"/>
            <w:vAlign w:val="bottom"/>
          </w:tcPr>
          <w:p>
            <w:pPr>
              <w:jc w:val="right"/>
              <w:ind w:right="379"/>
              <w:spacing w:after="0"/>
              <w:rPr>
                <w:sz w:val="20"/>
                <w:szCs w:val="20"/>
                <w:color w:val="auto"/>
              </w:rPr>
            </w:pPr>
            <w:r>
              <w:rPr>
                <w:rFonts w:ascii="Arial" w:cs="Arial" w:eastAsia="Arial" w:hAnsi="Arial"/>
                <w:sz w:val="18"/>
                <w:szCs w:val="18"/>
                <w:color w:val="auto"/>
              </w:rPr>
              <w:t>3,300</w:t>
            </w: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(2,600)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(78.8)</w:t>
            </w: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560" w:type="dxa"/>
            <w:vAlign w:val="bottom"/>
            <w:shd w:val="clear" w:color="auto" w:fill="D6F3E8"/>
          </w:tcPr>
          <w:p>
            <w:pPr>
              <w:spacing w:after="0"/>
              <w:rPr>
                <w:sz w:val="20"/>
                <w:szCs w:val="20"/>
                <w:color w:val="auto"/>
              </w:rPr>
            </w:pPr>
            <w:r>
              <w:rPr>
                <w:rFonts w:ascii="Arial" w:cs="Arial" w:eastAsia="Arial" w:hAnsi="Arial"/>
                <w:sz w:val="18"/>
                <w:szCs w:val="18"/>
                <w:color w:val="auto"/>
              </w:rPr>
              <w:t>Total year-to-date</w:t>
            </w:r>
          </w:p>
        </w:tc>
        <w:tc>
          <w:tcPr>
            <w:tcW w:w="1500" w:type="dxa"/>
            <w:vAlign w:val="bottom"/>
            <w:shd w:val="clear" w:color="auto" w:fill="D6F3E8"/>
          </w:tcPr>
          <w:p>
            <w:pPr>
              <w:jc w:val="right"/>
              <w:ind w:right="538"/>
              <w:spacing w:after="0"/>
              <w:rPr>
                <w:sz w:val="20"/>
                <w:szCs w:val="20"/>
                <w:color w:val="auto"/>
              </w:rPr>
            </w:pPr>
            <w:r>
              <w:rPr>
                <w:rFonts w:ascii="Arial" w:cs="Arial" w:eastAsia="Arial" w:hAnsi="Arial"/>
                <w:sz w:val="18"/>
                <w:szCs w:val="18"/>
                <w:color w:val="auto"/>
              </w:rPr>
              <w:t>1,300</w:t>
            </w:r>
          </w:p>
        </w:tc>
        <w:tc>
          <w:tcPr>
            <w:tcW w:w="1100" w:type="dxa"/>
            <w:vAlign w:val="bottom"/>
            <w:shd w:val="clear" w:color="auto" w:fill="D6F3E8"/>
          </w:tcPr>
          <w:p>
            <w:pPr>
              <w:jc w:val="right"/>
              <w:ind w:right="379"/>
              <w:spacing w:after="0"/>
              <w:rPr>
                <w:sz w:val="20"/>
                <w:szCs w:val="20"/>
                <w:color w:val="auto"/>
              </w:rPr>
            </w:pPr>
            <w:r>
              <w:rPr>
                <w:rFonts w:ascii="Arial" w:cs="Arial" w:eastAsia="Arial" w:hAnsi="Arial"/>
                <w:sz w:val="18"/>
                <w:szCs w:val="18"/>
                <w:color w:val="auto"/>
              </w:rPr>
              <w:t>6,400</w:t>
            </w:r>
          </w:p>
        </w:tc>
        <w:tc>
          <w:tcPr>
            <w:tcW w:w="940" w:type="dxa"/>
            <w:vAlign w:val="bottom"/>
            <w:shd w:val="clear" w:color="auto" w:fill="D6F3E8"/>
          </w:tcPr>
          <w:p>
            <w:pPr>
              <w:jc w:val="right"/>
              <w:ind w:right="134"/>
              <w:spacing w:after="0"/>
              <w:rPr>
                <w:sz w:val="20"/>
                <w:szCs w:val="20"/>
                <w:color w:val="auto"/>
              </w:rPr>
            </w:pPr>
            <w:r>
              <w:rPr>
                <w:rFonts w:ascii="Arial" w:cs="Arial" w:eastAsia="Arial" w:hAnsi="Arial"/>
                <w:sz w:val="18"/>
                <w:szCs w:val="18"/>
                <w:color w:val="auto"/>
              </w:rPr>
              <w:t>(5,100)</w:t>
            </w:r>
          </w:p>
        </w:tc>
        <w:tc>
          <w:tcPr>
            <w:tcW w:w="11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(79.7)</w:t>
            </w:r>
          </w:p>
        </w:tc>
        <w:tc>
          <w:tcPr>
            <w:tcW w:w="1020" w:type="dxa"/>
            <w:vAlign w:val="bottom"/>
            <w:shd w:val="clear" w:color="auto" w:fill="D6F3E8"/>
          </w:tcPr>
          <w:p>
            <w:pPr>
              <w:spacing w:after="0"/>
              <w:rPr>
                <w:sz w:val="19"/>
                <w:szCs w:val="19"/>
                <w:color w:val="auto"/>
              </w:rPr>
            </w:pPr>
          </w:p>
        </w:tc>
        <w:tc>
          <w:tcPr>
            <w:tcW w:w="1340" w:type="dxa"/>
            <w:vAlign w:val="bottom"/>
            <w:shd w:val="clear" w:color="auto" w:fill="D6F3E8"/>
          </w:tcPr>
          <w:p>
            <w:pPr>
              <w:spacing w:after="0"/>
              <w:rPr>
                <w:sz w:val="19"/>
                <w:szCs w:val="19"/>
                <w:color w:val="auto"/>
              </w:rPr>
            </w:pPr>
          </w:p>
        </w:tc>
        <w:tc>
          <w:tcPr>
            <w:tcW w:w="900" w:type="dxa"/>
            <w:vAlign w:val="bottom"/>
            <w:shd w:val="clear" w:color="auto" w:fill="D6F3E8"/>
          </w:tcPr>
          <w:p>
            <w:pPr>
              <w:spacing w:after="0"/>
              <w:rPr>
                <w:sz w:val="19"/>
                <w:szCs w:val="19"/>
                <w:color w:val="auto"/>
              </w:rPr>
            </w:pPr>
          </w:p>
        </w:tc>
        <w:tc>
          <w:tcPr>
            <w:tcW w:w="7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r>
      <w:tr>
        <w:trPr>
          <w:trHeight w:val="20"/>
        </w:trPr>
        <w:tc>
          <w:tcPr>
            <w:tcW w:w="2560" w:type="dxa"/>
            <w:vAlign w:val="bottom"/>
            <w:tcBorders>
              <w:top w:val="single" w:sz="8" w:color="D6F3E8"/>
            </w:tcBorders>
            <w:shd w:val="clear" w:color="auto" w:fill="D6F3E8"/>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D6F3E8"/>
            </w:tcBorders>
            <w:shd w:val="clear" w:color="auto" w:fill="D6F3E8"/>
          </w:tcPr>
          <w:p>
            <w:pPr>
              <w:spacing w:after="0" w:line="20" w:lineRule="exact"/>
              <w:rPr>
                <w:sz w:val="1"/>
                <w:szCs w:val="1"/>
                <w:color w:val="auto"/>
              </w:rPr>
            </w:pPr>
          </w:p>
        </w:tc>
        <w:tc>
          <w:tcPr>
            <w:tcW w:w="1020" w:type="dxa"/>
            <w:vAlign w:val="bottom"/>
            <w:tcBorders>
              <w:top w:val="single" w:sz="8" w:color="D6F3E8"/>
            </w:tcBorders>
            <w:shd w:val="clear" w:color="auto" w:fill="D6F3E8"/>
          </w:tcPr>
          <w:p>
            <w:pPr>
              <w:spacing w:after="0" w:line="20" w:lineRule="exact"/>
              <w:rPr>
                <w:sz w:val="1"/>
                <w:szCs w:val="1"/>
                <w:color w:val="auto"/>
              </w:rPr>
            </w:pPr>
          </w:p>
        </w:tc>
        <w:tc>
          <w:tcPr>
            <w:tcW w:w="1340" w:type="dxa"/>
            <w:vAlign w:val="bottom"/>
            <w:tcBorders>
              <w:top w:val="single" w:sz="8" w:color="D6F3E8"/>
            </w:tcBorders>
            <w:shd w:val="clear" w:color="auto" w:fill="D6F3E8"/>
          </w:tcPr>
          <w:p>
            <w:pPr>
              <w:spacing w:after="0" w:line="20" w:lineRule="exact"/>
              <w:rPr>
                <w:sz w:val="1"/>
                <w:szCs w:val="1"/>
                <w:color w:val="auto"/>
              </w:rPr>
            </w:pPr>
          </w:p>
        </w:tc>
        <w:tc>
          <w:tcPr>
            <w:tcW w:w="900" w:type="dxa"/>
            <w:vAlign w:val="bottom"/>
            <w:tcBorders>
              <w:top w:val="single" w:sz="8" w:color="D6F3E8"/>
            </w:tcBorders>
            <w:shd w:val="clear" w:color="auto" w:fill="D6F3E8"/>
          </w:tcPr>
          <w:p>
            <w:pPr>
              <w:spacing w:after="0" w:line="20" w:lineRule="exact"/>
              <w:rPr>
                <w:sz w:val="1"/>
                <w:szCs w:val="1"/>
                <w:color w:val="auto"/>
              </w:rPr>
            </w:pPr>
          </w:p>
        </w:tc>
        <w:tc>
          <w:tcPr>
            <w:tcW w:w="78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r>
    </w:tbl>
    <w:p>
      <w:pPr>
        <w:spacing w:after="0" w:line="289" w:lineRule="exact"/>
        <w:rPr>
          <w:sz w:val="20"/>
          <w:szCs w:val="20"/>
          <w:color w:val="auto"/>
        </w:rPr>
      </w:pPr>
    </w:p>
    <w:p>
      <w:pPr>
        <w:ind w:left="580" w:right="360" w:hanging="572"/>
        <w:spacing w:after="0" w:line="194" w:lineRule="auto"/>
        <w:tabs>
          <w:tab w:leader="none" w:pos="5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As reported by the Recreation Vehicle Industry Association (RVIA) Class A and C wholesale shipments for calendar 2008 and 2007 and January and February 2009, rounded to the nearest hundred.</w:t>
      </w:r>
    </w:p>
    <w:p>
      <w:pPr>
        <w:spacing w:after="0" w:line="35" w:lineRule="exact"/>
        <w:rPr>
          <w:rFonts w:ascii="Arial" w:cs="Arial" w:eastAsia="Arial" w:hAnsi="Arial"/>
          <w:sz w:val="29"/>
          <w:szCs w:val="29"/>
          <w:color w:val="auto"/>
          <w:vertAlign w:val="superscript"/>
        </w:rPr>
      </w:pPr>
    </w:p>
    <w:p>
      <w:pPr>
        <w:ind w:left="580" w:right="280" w:hanging="572"/>
        <w:spacing w:after="0" w:line="194" w:lineRule="auto"/>
        <w:tabs>
          <w:tab w:leader="none" w:pos="5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As reported by Statistical Surveys, Inc. Class A and C U.S. Retail Registrations for calendars 2008 and 2007 and January 2009, rounded to the nearest hundred. As of April 7, 2009, Retail Registration activity for February 2009 was not available.</w:t>
      </w:r>
    </w:p>
    <w:p>
      <w:pPr>
        <w:spacing w:after="0" w:line="21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motorized market has been significantly impacted by highly unstable market conditions. The tightening of the wholesale and retail credit markets, low consumer confidence, and the uncertainty of fuel prices are placing pressure on retail sales and as a result, our dealers have significantly reduced their inventory levels. Dealers continue to sell older model year units and are not reordering inventory on a one-for-one basis, which negatively affects manufacturers’ shipments and backlog. The decline in wholesale and retail demand has directly impacted our gross margins as we have produced and delivered far fewer units in recent quarters and we have also had to increase our discounts to meet competitive pricing and provide retail incentives to help dealers move inventory.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Subsequent to our second quarter end in early March 2009, two of our significant competitors, Fleetwood Enterprises, Inc. and Monaco Coach Corporation, filed for Chapter 11 bankruptcy protection. Currently, both entities are looking to sell part or all of their businesses. The combined Class A and C motor home unit retail market share of these two companies for calendar 2008 was 27.8 percent. If these companies are not successful in finding a buyer or reorganizing and as a result, close their motor home operations permanently, in the long term, we believe that our brand reputation for producing innovative, quality motor homes will give us a significant opportunity to grow our market share. In the short-term, however, as a result of these events, we expect that there will be added pressure on the dealers to sell motor homes produced by these two manufacturers as quickly as possible, probably at a significant discount. We believe it will take time for this distressed inventory to work its way through the dealer channel due to the number of units in dealer inventory of these competitors.</w:t>
      </w:r>
    </w:p>
    <w:p>
      <w:pPr>
        <w:spacing w:after="0" w:line="17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Due to extremely challenging market conditions which have resulted in a severe decline in our revenues in recent quarters, maintaining liquidity and conserving capital are the primary goals of management in order to enhance our financial flexibility. In the first half of Fiscal 2009, we improved our cash and short-term investment position by $6.5 million despite a net loss of almost $20.0 million. Multiple steps were taken in our first two quarters of Fiscal 2009 to allow the Company to conserve capital and maintain liquidity, as follows:</w:t>
      </w:r>
    </w:p>
    <w:p>
      <w:pPr>
        <w:spacing w:after="0" w:line="211" w:lineRule="exact"/>
        <w:rPr>
          <w:sz w:val="20"/>
          <w:szCs w:val="20"/>
          <w:color w:val="auto"/>
        </w:rPr>
      </w:pPr>
    </w:p>
    <w:p>
      <w:pPr>
        <w:ind w:left="1160" w:hanging="571"/>
        <w:spacing w:after="0" w:line="259"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Inventories were significantly reduced since the beginning of the fiscal year which resulted in an improvement of working capital of approximately $37.8 million. We estimate that we have opportunity to reduce inventory levels an additional $10.0 million during the remainder of Fiscal 2009 due to reduced production.</w:t>
      </w:r>
    </w:p>
    <w:p>
      <w:pPr>
        <w:spacing w:after="0" w:line="126"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entered into a $25.0 million line of credit facility during the first quarter of Fiscal 2009. We have not yet borrowed on this facility.</w:t>
      </w:r>
    </w:p>
    <w:p>
      <w:pPr>
        <w:spacing w:after="0" w:line="180" w:lineRule="exact"/>
        <w:rPr>
          <w:rFonts w:ascii="Arial" w:cs="Arial" w:eastAsia="Arial" w:hAnsi="Arial"/>
          <w:sz w:val="16"/>
          <w:szCs w:val="16"/>
          <w:color w:val="auto"/>
        </w:rPr>
      </w:pPr>
    </w:p>
    <w:p>
      <w:pPr>
        <w:ind w:left="1160" w:right="40" w:hanging="571"/>
        <w:spacing w:after="0" w:line="26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elected to participate in a “no net cost” loan program and borrowed $9.1 million through UBS during the second quarter, secured by a portion of the ARS owned by the Company and held by UBS.</w:t>
      </w:r>
    </w:p>
    <w:p>
      <w:pPr>
        <w:spacing w:after="0" w:line="118" w:lineRule="exact"/>
        <w:rPr>
          <w:rFonts w:ascii="Arial" w:cs="Arial" w:eastAsia="Arial" w:hAnsi="Arial"/>
          <w:sz w:val="18"/>
          <w:szCs w:val="18"/>
          <w:color w:val="auto"/>
        </w:rPr>
      </w:pPr>
    </w:p>
    <w:p>
      <w:pPr>
        <w:ind w:left="1160" w:right="20" w:hanging="571"/>
        <w:spacing w:after="0" w:line="26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suspended cash dividend payments starting in the second quarter of Fiscal 2009. This suspension reduces the amount of cash which we would have otherwise spent by approximately $10.5 million for Fiscal 2009.</w:t>
      </w:r>
    </w:p>
    <w:p>
      <w:pPr>
        <w:spacing w:after="0" w:line="18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February 28, 2009, we had $27.5 million of cash as well as our $25.0 million credit facility. Also, in our second quarter of Fiscal 2009, we filed our Fiscal 2008 federal tax return. Due to the ability to carry back our Fiscal 2008 tax loss to prior years, we expect to receive a federal tax refund of approximately $5.8 million in our third quarter (this total refund was received in March 2009). In aggregate, this provides liquidity of approximately $58.3 million which can be further supplemented by the inventory reductions noted above. When considering all of these factors, we expect to have sufficient liquidity for at least the next 12 to 18 months, even at the current depressed sales levels.</w:t>
      </w:r>
    </w:p>
    <w:p>
      <w:pPr>
        <w:spacing w:after="0" w:line="1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taken significant actions over the past 12 months to reduce our fixed cost structure which we anticipate will result in reductions in excess of $21 million, on an annual basis. Specifically, actions taken thus far include the reduction of our total headcount by nearly 50 percent, salary reductions, the elimination of Fiscal 2009 stock grants to key management and the board, elimination of bonuses, reductions of the 401(k) match and the adoption of two mandatory unpaid weeks off (one during the second quarter and one to occur during the fourth quarter). Other fixed costs have been eliminated through many strategic actions, including the closure of our Charles City manufacturing facility, cancellation of certain promotional events typically held and reduced spending throughout the Company. We have the ability to sustain our current operational costs and maintain physical capacity at present levels for the foreseeable future (in excess of 12 months). Additional cost reduction activities will continue during these challenging market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our motor homes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2"/>
          </w:tcPr>
          <w:p>
            <w:pPr>
              <w:jc w:val="right"/>
              <w:ind w:right="917"/>
              <w:spacing w:after="0"/>
              <w:rPr>
                <w:sz w:val="20"/>
                <w:szCs w:val="20"/>
                <w:color w:val="auto"/>
              </w:rPr>
            </w:pPr>
            <w:r>
              <w:rPr>
                <w:rFonts w:ascii="Arial" w:cs="Arial" w:eastAsia="Arial" w:hAnsi="Arial"/>
                <w:sz w:val="14"/>
                <w:szCs w:val="14"/>
                <w:b w:val="1"/>
                <w:bCs w:val="1"/>
                <w:color w:val="auto"/>
              </w:rPr>
              <w:t>February 28, 2009</w:t>
            </w: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89"/>
              </w:rPr>
              <w:t>March 1, 2008</w:t>
            </w: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00" w:type="dxa"/>
            <w:vAlign w:val="bottom"/>
          </w:tcPr>
          <w:p>
            <w:pPr>
              <w:jc w:val="right"/>
              <w:ind w:right="557"/>
              <w:spacing w:after="0" w:line="129" w:lineRule="exact"/>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jc w:val="right"/>
              <w:ind w:right="377"/>
              <w:spacing w:after="0" w:line="129" w:lineRule="exact"/>
              <w:rPr>
                <w:sz w:val="20"/>
                <w:szCs w:val="20"/>
                <w:color w:val="auto"/>
              </w:rPr>
            </w:pPr>
            <w:r>
              <w:rPr>
                <w:rFonts w:ascii="Arial" w:cs="Arial" w:eastAsia="Arial" w:hAnsi="Arial"/>
                <w:sz w:val="14"/>
                <w:szCs w:val="14"/>
                <w:b w:val="1"/>
                <w:bCs w:val="1"/>
                <w:color w:val="auto"/>
                <w:w w:val="90"/>
              </w:rPr>
              <w:t>Product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tcPr>
          <w:p>
            <w:pPr>
              <w:jc w:val="right"/>
              <w:ind w:right="496"/>
              <w:spacing w:after="0" w:line="129" w:lineRule="exact"/>
              <w:rPr>
                <w:sz w:val="20"/>
                <w:szCs w:val="20"/>
                <w:color w:val="auto"/>
              </w:rPr>
            </w:pPr>
            <w:r>
              <w:rPr>
                <w:rFonts w:ascii="Arial" w:cs="Arial" w:eastAsia="Arial" w:hAnsi="Arial"/>
                <w:sz w:val="14"/>
                <w:szCs w:val="14"/>
                <w:b w:val="1"/>
                <w:bCs w:val="1"/>
                <w:color w:val="auto"/>
              </w:rPr>
              <w:t>%</w:t>
            </w:r>
          </w:p>
        </w:tc>
      </w:t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Units</w:t>
            </w:r>
          </w:p>
        </w:tc>
        <w:tc>
          <w:tcPr>
            <w:tcW w:w="17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Mix %</w:t>
            </w: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Units</w:t>
            </w: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Mix %</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93"/>
              </w:rPr>
              <w:t>Decrease</w:t>
            </w:r>
          </w:p>
        </w:tc>
        <w:tc>
          <w:tcPr>
            <w:tcW w:w="11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r>
      <w:tr>
        <w:trPr>
          <w:trHeight w:val="210"/>
        </w:trPr>
        <w:tc>
          <w:tcPr>
            <w:tcW w:w="20" w:type="dxa"/>
            <w:vAlign w:val="bottom"/>
          </w:tcPr>
          <w:p>
            <w:pPr>
              <w:spacing w:after="0"/>
              <w:rPr>
                <w:sz w:val="18"/>
                <w:szCs w:val="18"/>
                <w:color w:val="auto"/>
              </w:rPr>
            </w:pPr>
          </w:p>
        </w:tc>
        <w:tc>
          <w:tcPr>
            <w:tcW w:w="3340" w:type="dxa"/>
            <w:vAlign w:val="bottom"/>
            <w:shd w:val="clear" w:color="auto" w:fill="D6F3E8"/>
          </w:tcPr>
          <w:p>
            <w:pPr>
              <w:spacing w:after="0"/>
              <w:rPr>
                <w:sz w:val="20"/>
                <w:szCs w:val="20"/>
                <w:color w:val="auto"/>
              </w:rPr>
            </w:pPr>
            <w:r>
              <w:rPr>
                <w:rFonts w:ascii="Arial" w:cs="Arial" w:eastAsia="Arial" w:hAnsi="Arial"/>
                <w:sz w:val="18"/>
                <w:szCs w:val="18"/>
                <w:color w:val="auto"/>
              </w:rPr>
              <w:t>Class A gas</w:t>
            </w:r>
          </w:p>
        </w:tc>
        <w:tc>
          <w:tcPr>
            <w:tcW w:w="22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w:t>
            </w:r>
          </w:p>
        </w:tc>
        <w:tc>
          <w:tcPr>
            <w:tcW w:w="1700" w:type="dxa"/>
            <w:vAlign w:val="bottom"/>
            <w:shd w:val="clear" w:color="auto" w:fill="D6F3E8"/>
          </w:tcPr>
          <w:p>
            <w:pPr>
              <w:jc w:val="right"/>
              <w:ind w:right="257"/>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367</w:t>
            </w:r>
          </w:p>
        </w:tc>
        <w:tc>
          <w:tcPr>
            <w:tcW w:w="600" w:type="dxa"/>
            <w:vAlign w:val="bottom"/>
            <w:shd w:val="clear" w:color="auto" w:fill="D6F3E8"/>
          </w:tcPr>
          <w:p>
            <w:pPr>
              <w:spacing w:after="0"/>
              <w:rPr>
                <w:sz w:val="18"/>
                <w:szCs w:val="18"/>
                <w:color w:val="auto"/>
              </w:rPr>
            </w:pPr>
          </w:p>
        </w:tc>
        <w:tc>
          <w:tcPr>
            <w:tcW w:w="960" w:type="dxa"/>
            <w:vAlign w:val="bottom"/>
            <w:shd w:val="clear" w:color="auto" w:fill="D6F3E8"/>
          </w:tcPr>
          <w:p>
            <w:pPr>
              <w:jc w:val="right"/>
              <w:ind w:right="97"/>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(300)</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(81.7)</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Class A diesel</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70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(76)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r>
      <w:tr>
        <w:trPr>
          <w:trHeight w:val="210"/>
        </w:trPr>
        <w:tc>
          <w:tcPr>
            <w:tcW w:w="20" w:type="dxa"/>
            <w:vAlign w:val="bottom"/>
          </w:tcPr>
          <w:p>
            <w:pPr>
              <w:spacing w:after="0"/>
              <w:rPr>
                <w:sz w:val="18"/>
                <w:szCs w:val="18"/>
                <w:color w:val="auto"/>
              </w:rPr>
            </w:pPr>
          </w:p>
        </w:tc>
        <w:tc>
          <w:tcPr>
            <w:tcW w:w="3340" w:type="dxa"/>
            <w:vAlign w:val="bottom"/>
            <w:shd w:val="clear" w:color="auto" w:fill="D6F3E8"/>
          </w:tcPr>
          <w:p>
            <w:pPr>
              <w:spacing w:after="0"/>
              <w:rPr>
                <w:sz w:val="20"/>
                <w:szCs w:val="20"/>
                <w:color w:val="auto"/>
              </w:rPr>
            </w:pPr>
            <w:r>
              <w:rPr>
                <w:rFonts w:ascii="Arial" w:cs="Arial" w:eastAsia="Arial" w:hAnsi="Arial"/>
                <w:sz w:val="18"/>
                <w:szCs w:val="18"/>
                <w:color w:val="auto"/>
              </w:rPr>
              <w:t>Total Class A</w:t>
            </w:r>
          </w:p>
        </w:tc>
        <w:tc>
          <w:tcPr>
            <w:tcW w:w="22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94</w:t>
            </w:r>
          </w:p>
        </w:tc>
        <w:tc>
          <w:tcPr>
            <w:tcW w:w="1700" w:type="dxa"/>
            <w:vAlign w:val="bottom"/>
            <w:shd w:val="clear" w:color="auto" w:fill="D6F3E8"/>
          </w:tcPr>
          <w:p>
            <w:pPr>
              <w:jc w:val="right"/>
              <w:ind w:right="257"/>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470</w:t>
            </w:r>
          </w:p>
        </w:tc>
        <w:tc>
          <w:tcPr>
            <w:tcW w:w="600" w:type="dxa"/>
            <w:vAlign w:val="bottom"/>
            <w:shd w:val="clear" w:color="auto" w:fill="D6F3E8"/>
          </w:tcPr>
          <w:p>
            <w:pPr>
              <w:spacing w:after="0"/>
              <w:rPr>
                <w:sz w:val="18"/>
                <w:szCs w:val="18"/>
                <w:color w:val="auto"/>
              </w:rPr>
            </w:pPr>
          </w:p>
        </w:tc>
        <w:tc>
          <w:tcPr>
            <w:tcW w:w="960" w:type="dxa"/>
            <w:vAlign w:val="bottom"/>
            <w:shd w:val="clear" w:color="auto" w:fill="D6F3E8"/>
          </w:tcPr>
          <w:p>
            <w:pPr>
              <w:jc w:val="right"/>
              <w:ind w:right="97"/>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(376)</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(80.0)</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Class B</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700" w:type="dxa"/>
            <w:vAlign w:val="bottom"/>
          </w:tcPr>
          <w:p>
            <w:pPr>
              <w:jc w:val="right"/>
              <w:ind w:right="257"/>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600" w:type="dxa"/>
            <w:vAlign w:val="bottom"/>
          </w:tcPr>
          <w:p>
            <w:pPr>
              <w:spacing w:after="0"/>
              <w:rPr>
                <w:sz w:val="18"/>
                <w:szCs w:val="18"/>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14"/>
              <w:spacing w:after="0"/>
              <w:rPr>
                <w:sz w:val="20"/>
                <w:szCs w:val="20"/>
                <w:color w:val="auto"/>
              </w:rPr>
            </w:pPr>
            <w:r>
              <w:rPr>
                <w:rFonts w:ascii="Arial" w:cs="Arial" w:eastAsia="Arial" w:hAnsi="Arial"/>
                <w:sz w:val="18"/>
                <w:szCs w:val="18"/>
                <w:color w:val="auto"/>
              </w:rPr>
              <w:t>(169)</w:t>
            </w:r>
          </w:p>
        </w:tc>
        <w:tc>
          <w:tcPr>
            <w:tcW w:w="116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16"/>
        </w:trPr>
        <w:tc>
          <w:tcPr>
            <w:tcW w:w="20" w:type="dxa"/>
            <w:vAlign w:val="bottom"/>
          </w:tcPr>
          <w:p>
            <w:pPr>
              <w:spacing w:after="0"/>
              <w:rPr>
                <w:sz w:val="18"/>
                <w:szCs w:val="18"/>
                <w:color w:val="auto"/>
              </w:rPr>
            </w:pPr>
          </w:p>
        </w:tc>
        <w:tc>
          <w:tcPr>
            <w:tcW w:w="33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Class C</w:t>
            </w:r>
          </w:p>
        </w:tc>
        <w:tc>
          <w:tcPr>
            <w:tcW w:w="220" w:type="dxa"/>
            <w:vAlign w:val="bottom"/>
            <w:tcBorders>
              <w:bottom w:val="single" w:sz="8" w:color="auto"/>
            </w:tcBorders>
            <w:shd w:val="clear" w:color="auto" w:fill="D6F3E8"/>
          </w:tcPr>
          <w:p>
            <w:pPr>
              <w:spacing w:after="0"/>
              <w:rPr>
                <w:sz w:val="18"/>
                <w:szCs w:val="18"/>
                <w:color w:val="auto"/>
              </w:rPr>
            </w:pPr>
          </w:p>
        </w:tc>
        <w:tc>
          <w:tcPr>
            <w:tcW w:w="8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232</w:t>
            </w:r>
          </w:p>
        </w:tc>
        <w:tc>
          <w:tcPr>
            <w:tcW w:w="1700" w:type="dxa"/>
            <w:vAlign w:val="bottom"/>
            <w:tcBorders>
              <w:bottom w:val="single" w:sz="8" w:color="auto"/>
            </w:tcBorders>
            <w:shd w:val="clear" w:color="auto" w:fill="D6F3E8"/>
          </w:tcPr>
          <w:p>
            <w:pPr>
              <w:jc w:val="right"/>
              <w:ind w:right="257"/>
              <w:spacing w:after="0"/>
              <w:rPr>
                <w:sz w:val="20"/>
                <w:szCs w:val="20"/>
                <w:color w:val="auto"/>
              </w:rPr>
            </w:pPr>
            <w:r>
              <w:rPr>
                <w:rFonts w:ascii="Arial" w:cs="Arial" w:eastAsia="Arial" w:hAnsi="Arial"/>
                <w:sz w:val="18"/>
                <w:szCs w:val="18"/>
                <w:color w:val="auto"/>
              </w:rPr>
              <w:t>69.2</w:t>
            </w:r>
          </w:p>
        </w:tc>
        <w:tc>
          <w:tcPr>
            <w:tcW w:w="240" w:type="dxa"/>
            <w:vAlign w:val="bottom"/>
            <w:tcBorders>
              <w:bottom w:val="single" w:sz="8" w:color="auto"/>
            </w:tcBorders>
            <w:shd w:val="clear" w:color="auto" w:fill="D6F3E8"/>
          </w:tcPr>
          <w:p>
            <w:pPr>
              <w:spacing w:after="0"/>
              <w:rPr>
                <w:sz w:val="18"/>
                <w:szCs w:val="18"/>
                <w:color w:val="auto"/>
              </w:rPr>
            </w:pPr>
          </w:p>
        </w:tc>
        <w:tc>
          <w:tcPr>
            <w:tcW w:w="8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944</w:t>
            </w:r>
          </w:p>
        </w:tc>
        <w:tc>
          <w:tcPr>
            <w:tcW w:w="600" w:type="dxa"/>
            <w:vAlign w:val="bottom"/>
            <w:tcBorders>
              <w:bottom w:val="single" w:sz="8" w:color="auto"/>
            </w:tcBorders>
            <w:shd w:val="clear" w:color="auto" w:fill="D6F3E8"/>
          </w:tcPr>
          <w:p>
            <w:pPr>
              <w:spacing w:after="0"/>
              <w:rPr>
                <w:sz w:val="18"/>
                <w:szCs w:val="18"/>
                <w:color w:val="auto"/>
              </w:rPr>
            </w:pPr>
          </w:p>
        </w:tc>
        <w:tc>
          <w:tcPr>
            <w:tcW w:w="960" w:type="dxa"/>
            <w:vAlign w:val="bottom"/>
            <w:tcBorders>
              <w:bottom w:val="single" w:sz="8" w:color="auto"/>
            </w:tcBorders>
            <w:shd w:val="clear" w:color="auto" w:fill="D6F3E8"/>
          </w:tcPr>
          <w:p>
            <w:pPr>
              <w:jc w:val="right"/>
              <w:ind w:right="97"/>
              <w:spacing w:after="0"/>
              <w:rPr>
                <w:sz w:val="20"/>
                <w:szCs w:val="20"/>
                <w:color w:val="auto"/>
              </w:rPr>
            </w:pPr>
            <w:r>
              <w:rPr>
                <w:rFonts w:ascii="Arial" w:cs="Arial" w:eastAsia="Arial" w:hAnsi="Arial"/>
                <w:sz w:val="18"/>
                <w:szCs w:val="18"/>
                <w:color w:val="auto"/>
              </w:rPr>
              <w:t>59.3</w:t>
            </w:r>
          </w:p>
        </w:tc>
        <w:tc>
          <w:tcPr>
            <w:tcW w:w="160" w:type="dxa"/>
            <w:vAlign w:val="bottom"/>
            <w:tcBorders>
              <w:bottom w:val="single" w:sz="8" w:color="auto"/>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240" w:type="dxa"/>
            <w:vAlign w:val="bottom"/>
            <w:tcBorders>
              <w:bottom w:val="single" w:sz="8" w:color="auto"/>
            </w:tcBorders>
            <w:shd w:val="clear" w:color="auto" w:fill="D6F3E8"/>
          </w:tcPr>
          <w:p>
            <w:pPr>
              <w:jc w:val="right"/>
              <w:ind w:right="214"/>
              <w:spacing w:after="0"/>
              <w:rPr>
                <w:sz w:val="20"/>
                <w:szCs w:val="20"/>
                <w:color w:val="auto"/>
              </w:rPr>
            </w:pPr>
            <w:r>
              <w:rPr>
                <w:rFonts w:ascii="Arial" w:cs="Arial" w:eastAsia="Arial" w:hAnsi="Arial"/>
                <w:sz w:val="18"/>
                <w:szCs w:val="18"/>
                <w:color w:val="auto"/>
              </w:rPr>
              <w:t>(712)</w:t>
            </w: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(75.4)</w:t>
            </w: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backlog</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70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(1,257)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r>
      <w:tr>
        <w:trPr>
          <w:trHeight w:val="20"/>
        </w:trPr>
        <w:tc>
          <w:tcPr>
            <w:tcW w:w="336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shd w:val="clear" w:color="auto" w:fill="D6F3E8"/>
          </w:tcPr>
          <w:p>
            <w:pPr>
              <w:spacing w:after="0" w:line="189" w:lineRule="exact"/>
              <w:rPr>
                <w:sz w:val="20"/>
                <w:szCs w:val="20"/>
                <w:color w:val="auto"/>
              </w:rPr>
            </w:pPr>
            <w:r>
              <w:rPr>
                <w:rFonts w:ascii="Arial" w:cs="Arial" w:eastAsia="Arial" w:hAnsi="Arial"/>
                <w:sz w:val="18"/>
                <w:szCs w:val="18"/>
                <w:color w:val="auto"/>
              </w:rPr>
              <w:t>Total approximate revenue dollars (in</w:t>
            </w:r>
          </w:p>
        </w:tc>
        <w:tc>
          <w:tcPr>
            <w:tcW w:w="220" w:type="dxa"/>
            <w:vAlign w:val="bottom"/>
            <w:shd w:val="clear" w:color="auto" w:fill="D6F3E8"/>
          </w:tcPr>
          <w:p>
            <w:pPr>
              <w:spacing w:after="0"/>
              <w:rPr>
                <w:sz w:val="16"/>
                <w:szCs w:val="16"/>
                <w:color w:val="auto"/>
              </w:rPr>
            </w:pPr>
          </w:p>
        </w:tc>
        <w:tc>
          <w:tcPr>
            <w:tcW w:w="800" w:type="dxa"/>
            <w:vAlign w:val="bottom"/>
            <w:shd w:val="clear" w:color="auto" w:fill="D6F3E8"/>
          </w:tcPr>
          <w:p>
            <w:pPr>
              <w:spacing w:after="0"/>
              <w:rPr>
                <w:sz w:val="16"/>
                <w:szCs w:val="16"/>
                <w:color w:val="auto"/>
              </w:rPr>
            </w:pPr>
          </w:p>
        </w:tc>
        <w:tc>
          <w:tcPr>
            <w:tcW w:w="1700" w:type="dxa"/>
            <w:vAlign w:val="bottom"/>
            <w:shd w:val="clear" w:color="auto" w:fill="D6F3E8"/>
          </w:tcPr>
          <w:p>
            <w:pPr>
              <w:spacing w:after="0"/>
              <w:rPr>
                <w:sz w:val="16"/>
                <w:szCs w:val="16"/>
                <w:color w:val="auto"/>
              </w:rPr>
            </w:pPr>
          </w:p>
        </w:tc>
        <w:tc>
          <w:tcPr>
            <w:tcW w:w="240" w:type="dxa"/>
            <w:vAlign w:val="bottom"/>
            <w:shd w:val="clear" w:color="auto" w:fill="D6F3E8"/>
          </w:tcPr>
          <w:p>
            <w:pPr>
              <w:spacing w:after="0"/>
              <w:rPr>
                <w:sz w:val="16"/>
                <w:szCs w:val="16"/>
                <w:color w:val="auto"/>
              </w:rPr>
            </w:pPr>
          </w:p>
        </w:tc>
        <w:tc>
          <w:tcPr>
            <w:tcW w:w="800" w:type="dxa"/>
            <w:vAlign w:val="bottom"/>
            <w:shd w:val="clear" w:color="auto" w:fill="D6F3E8"/>
          </w:tcPr>
          <w:p>
            <w:pPr>
              <w:spacing w:after="0"/>
              <w:rPr>
                <w:sz w:val="16"/>
                <w:szCs w:val="16"/>
                <w:color w:val="auto"/>
              </w:rPr>
            </w:pPr>
          </w:p>
        </w:tc>
        <w:tc>
          <w:tcPr>
            <w:tcW w:w="600" w:type="dxa"/>
            <w:vAlign w:val="bottom"/>
            <w:shd w:val="clear" w:color="auto" w:fill="D6F3E8"/>
          </w:tcPr>
          <w:p>
            <w:pPr>
              <w:spacing w:after="0"/>
              <w:rPr>
                <w:sz w:val="16"/>
                <w:szCs w:val="16"/>
                <w:color w:val="auto"/>
              </w:rPr>
            </w:pPr>
          </w:p>
        </w:tc>
        <w:tc>
          <w:tcPr>
            <w:tcW w:w="960" w:type="dxa"/>
            <w:vAlign w:val="bottom"/>
            <w:shd w:val="clear" w:color="auto" w:fill="D6F3E8"/>
          </w:tcPr>
          <w:p>
            <w:pPr>
              <w:spacing w:after="0"/>
              <w:rPr>
                <w:sz w:val="16"/>
                <w:szCs w:val="16"/>
                <w:color w:val="auto"/>
              </w:rPr>
            </w:pPr>
          </w:p>
        </w:tc>
        <w:tc>
          <w:tcPr>
            <w:tcW w:w="160" w:type="dxa"/>
            <w:vAlign w:val="bottom"/>
            <w:shd w:val="clear" w:color="auto" w:fill="D6F3E8"/>
          </w:tcPr>
          <w:p>
            <w:pPr>
              <w:spacing w:after="0"/>
              <w:rPr>
                <w:sz w:val="16"/>
                <w:szCs w:val="16"/>
                <w:color w:val="auto"/>
              </w:rPr>
            </w:pPr>
          </w:p>
        </w:tc>
        <w:tc>
          <w:tcPr>
            <w:tcW w:w="180" w:type="dxa"/>
            <w:vAlign w:val="bottom"/>
            <w:shd w:val="clear" w:color="auto" w:fill="D6F3E8"/>
          </w:tcPr>
          <w:p>
            <w:pPr>
              <w:spacing w:after="0"/>
              <w:rPr>
                <w:sz w:val="16"/>
                <w:szCs w:val="16"/>
                <w:color w:val="auto"/>
              </w:rPr>
            </w:pPr>
          </w:p>
        </w:tc>
        <w:tc>
          <w:tcPr>
            <w:tcW w:w="1240" w:type="dxa"/>
            <w:vAlign w:val="bottom"/>
            <w:shd w:val="clear" w:color="auto" w:fill="D6F3E8"/>
          </w:tcPr>
          <w:p>
            <w:pPr>
              <w:spacing w:after="0"/>
              <w:rPr>
                <w:sz w:val="16"/>
                <w:szCs w:val="16"/>
                <w:color w:val="auto"/>
              </w:rPr>
            </w:pPr>
          </w:p>
        </w:tc>
        <w:tc>
          <w:tcPr>
            <w:tcW w:w="1160" w:type="dxa"/>
            <w:vAlign w:val="bottom"/>
            <w:shd w:val="clear" w:color="auto" w:fill="D6F3E8"/>
          </w:tcPr>
          <w:p>
            <w:pPr>
              <w:spacing w:after="0"/>
              <w:rPr>
                <w:sz w:val="16"/>
                <w:szCs w:val="16"/>
                <w:color w:val="auto"/>
              </w:rPr>
            </w:pPr>
          </w:p>
        </w:tc>
      </w:tr>
      <w:tr>
        <w:trPr>
          <w:trHeight w:val="277"/>
        </w:trPr>
        <w:tc>
          <w:tcPr>
            <w:tcW w:w="20" w:type="dxa"/>
            <w:vAlign w:val="bottom"/>
          </w:tcPr>
          <w:p>
            <w:pPr>
              <w:spacing w:after="0"/>
              <w:rPr>
                <w:sz w:val="24"/>
                <w:szCs w:val="24"/>
                <w:color w:val="auto"/>
              </w:rPr>
            </w:pPr>
          </w:p>
        </w:tc>
        <w:tc>
          <w:tcPr>
            <w:tcW w:w="3340" w:type="dxa"/>
            <w:vAlign w:val="bottom"/>
            <w:shd w:val="clear" w:color="auto" w:fill="D6F3E8"/>
          </w:tcPr>
          <w:p>
            <w:pPr>
              <w:ind w:left="140"/>
              <w:spacing w:after="0" w:line="237" w:lineRule="exact"/>
              <w:rPr>
                <w:sz w:val="20"/>
                <w:szCs w:val="20"/>
                <w:color w:val="auto"/>
              </w:rPr>
            </w:pPr>
            <w:r>
              <w:rPr>
                <w:rFonts w:ascii="Arial" w:cs="Arial" w:eastAsia="Arial" w:hAnsi="Arial"/>
                <w:sz w:val="17"/>
                <w:szCs w:val="17"/>
                <w:color w:val="auto"/>
              </w:rPr>
              <w:t xml:space="preserve">millions) </w:t>
            </w:r>
            <w:r>
              <w:rPr>
                <w:rFonts w:ascii="Arial" w:cs="Arial" w:eastAsia="Arial" w:hAnsi="Arial"/>
                <w:sz w:val="27"/>
                <w:szCs w:val="27"/>
                <w:color w:val="auto"/>
                <w:vertAlign w:val="superscript"/>
              </w:rPr>
              <w:t>(1)</w:t>
            </w: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27.4</w:t>
            </w:r>
          </w:p>
        </w:tc>
        <w:tc>
          <w:tcPr>
            <w:tcW w:w="1700" w:type="dxa"/>
            <w:vAlign w:val="bottom"/>
            <w:shd w:val="clear" w:color="auto" w:fill="D6F3E8"/>
          </w:tcPr>
          <w:p>
            <w:pPr>
              <w:spacing w:after="0"/>
              <w:rPr>
                <w:sz w:val="24"/>
                <w:szCs w:val="24"/>
                <w:color w:val="auto"/>
              </w:rPr>
            </w:pPr>
          </w:p>
        </w:tc>
        <w:tc>
          <w:tcPr>
            <w:tcW w:w="24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123.1</w:t>
            </w:r>
          </w:p>
        </w:tc>
        <w:tc>
          <w:tcPr>
            <w:tcW w:w="600" w:type="dxa"/>
            <w:vAlign w:val="bottom"/>
            <w:shd w:val="clear" w:color="auto" w:fill="D6F3E8"/>
          </w:tcPr>
          <w:p>
            <w:pPr>
              <w:spacing w:after="0"/>
              <w:rPr>
                <w:sz w:val="24"/>
                <w:szCs w:val="24"/>
                <w:color w:val="auto"/>
              </w:rPr>
            </w:pPr>
          </w:p>
        </w:tc>
        <w:tc>
          <w:tcPr>
            <w:tcW w:w="960" w:type="dxa"/>
            <w:vAlign w:val="bottom"/>
            <w:shd w:val="clear" w:color="auto" w:fill="D6F3E8"/>
          </w:tcPr>
          <w:p>
            <w:pPr>
              <w:spacing w:after="0"/>
              <w:rPr>
                <w:sz w:val="24"/>
                <w:szCs w:val="24"/>
                <w:color w:val="auto"/>
              </w:rPr>
            </w:pPr>
          </w:p>
        </w:tc>
        <w:tc>
          <w:tcPr>
            <w:tcW w:w="3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(95.7)</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(77.7)</w:t>
            </w:r>
          </w:p>
        </w:tc>
      </w:tr>
      <w:tr>
        <w:trPr>
          <w:trHeight w:val="197"/>
        </w:trPr>
        <w:tc>
          <w:tcPr>
            <w:tcW w:w="20" w:type="dxa"/>
            <w:vAlign w:val="bottom"/>
          </w:tcPr>
          <w:p>
            <w:pPr>
              <w:spacing w:after="0"/>
              <w:rPr>
                <w:sz w:val="17"/>
                <w:szCs w:val="17"/>
                <w:color w:val="auto"/>
              </w:rPr>
            </w:pPr>
          </w:p>
        </w:tc>
        <w:tc>
          <w:tcPr>
            <w:tcW w:w="3340" w:type="dxa"/>
            <w:vAlign w:val="bottom"/>
            <w:tcBorders>
              <w:top w:val="single" w:sz="8" w:color="D6F3E8"/>
            </w:tcBorders>
          </w:tcPr>
          <w:p>
            <w:pPr>
              <w:spacing w:after="0" w:line="196" w:lineRule="exact"/>
              <w:rPr>
                <w:sz w:val="20"/>
                <w:szCs w:val="20"/>
                <w:color w:val="auto"/>
              </w:rPr>
            </w:pPr>
            <w:r>
              <w:rPr>
                <w:rFonts w:ascii="Arial" w:cs="Arial" w:eastAsia="Arial" w:hAnsi="Arial"/>
                <w:sz w:val="18"/>
                <w:szCs w:val="18"/>
                <w:color w:val="auto"/>
              </w:rPr>
              <w:t>Dealer inventory (units)</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2,918</w:t>
            </w:r>
          </w:p>
        </w:tc>
        <w:tc>
          <w:tcPr>
            <w:tcW w:w="1700" w:type="dxa"/>
            <w:vAlign w:val="bottom"/>
            <w:tcBorders>
              <w:top w:val="single" w:sz="8" w:color="D6F3E8"/>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4,837</w:t>
            </w:r>
          </w:p>
        </w:tc>
        <w:tc>
          <w:tcPr>
            <w:tcW w:w="600" w:type="dxa"/>
            <w:vAlign w:val="bottom"/>
            <w:tcBorders>
              <w:top w:val="single" w:sz="8" w:color="D6F3E8"/>
            </w:tcBorders>
          </w:tcPr>
          <w:p>
            <w:pPr>
              <w:spacing w:after="0"/>
              <w:rPr>
                <w:sz w:val="17"/>
                <w:szCs w:val="17"/>
                <w:color w:val="auto"/>
              </w:rPr>
            </w:pPr>
          </w:p>
        </w:tc>
        <w:tc>
          <w:tcPr>
            <w:tcW w:w="960" w:type="dxa"/>
            <w:vAlign w:val="bottom"/>
            <w:tcBorders>
              <w:top w:val="single" w:sz="8" w:color="D6F3E8"/>
            </w:tcBorders>
          </w:tcPr>
          <w:p>
            <w:pPr>
              <w:spacing w:after="0"/>
              <w:rPr>
                <w:sz w:val="17"/>
                <w:szCs w:val="17"/>
                <w:color w:val="auto"/>
              </w:rPr>
            </w:pPr>
          </w:p>
        </w:tc>
        <w:tc>
          <w:tcPr>
            <w:tcW w:w="160" w:type="dxa"/>
            <w:vAlign w:val="bottom"/>
            <w:tcBorders>
              <w:top w:val="single" w:sz="8" w:color="D6F3E8"/>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214"/>
              <w:spacing w:after="0" w:line="196" w:lineRule="exact"/>
              <w:rPr>
                <w:sz w:val="20"/>
                <w:szCs w:val="20"/>
                <w:color w:val="auto"/>
              </w:rPr>
            </w:pPr>
            <w:r>
              <w:rPr>
                <w:rFonts w:ascii="Arial" w:cs="Arial" w:eastAsia="Arial" w:hAnsi="Arial"/>
                <w:sz w:val="18"/>
                <w:szCs w:val="18"/>
                <w:color w:val="auto"/>
              </w:rPr>
              <w:t>(1,919)</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(39.7)</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580" w:right="180" w:hanging="572"/>
        <w:spacing w:after="0" w:line="228" w:lineRule="auto"/>
        <w:tabs>
          <w:tab w:leader="none" w:pos="58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When wholesale and retail credit availability and consumer confidence improve, we expect to see an increase in motor home demand as dealers will again have the ability to order units to maintain their inventory levels after an extended period of inventory reduction. We also expect to benefit from our ability to ramp up production in an industry with fewer motor home competitors. A longer term positive outlook for the recreation vehicle industry is supported by favorable demographics as baby boomers reach the age group that has historically accounted for the bulk of retail RV sales.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Our consolidated financial statements are prepared in accordance with generally accepted accounting principles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5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w:t>
      </w:r>
    </w:p>
    <w:p>
      <w:pPr>
        <w:spacing w:after="0" w:line="155"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Generally, revenues for motor homes are recorded when all of the following conditions are met: an order for a product has been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from a dealer, written or verbal approval for payment has been received from the dealer’s floor plan financing institution and the product is delivered to the dealer who placed the order. Most sales are financed under floor plan financing arrangements with banks or finance companies.</w:t>
      </w:r>
    </w:p>
    <w:p>
      <w:pPr>
        <w:spacing w:after="0" w:line="15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Revenues from the sales of our OEM and motor home-related parts are recorded as the products are shipped from our location. The title of ownership transfers on these products as they leave our location due to the freight terms of F.O.B. - Forest City, Iowa.</w:t>
      </w:r>
    </w:p>
    <w:p>
      <w:pPr>
        <w:spacing w:after="0" w:line="180"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Sales Promotions and Incentives. </w:t>
      </w:r>
      <w:r>
        <w:rPr>
          <w:rFonts w:ascii="Arial" w:cs="Arial" w:eastAsia="Arial" w:hAnsi="Arial"/>
          <w:sz w:val="16"/>
          <w:szCs w:val="16"/>
          <w:color w:val="auto"/>
        </w:rPr>
        <w:t>We accrue for sales promotions and incentive expenses, which are recognized as a reduction to revenues, at the time of sale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Repurchase Commitments. </w:t>
      </w:r>
      <w:r>
        <w:rPr>
          <w:rFonts w:ascii="Arial" w:cs="Arial" w:eastAsia="Arial" w:hAnsi="Arial"/>
          <w:sz w:val="16"/>
          <w:szCs w:val="16"/>
          <w:color w:val="auto"/>
        </w:rPr>
        <w:t>It is customary practice for companies in the recreation vehicle industry to enter into repurchase agreements with financing</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institutions that provide financing to their dealers. Our repurchase agreements generally provide that, in the event of a default by a dealer in its obligation to these credit sources,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percent of the dealer invoice. In certain instances, we also repurchase inventory from our dealers due to state law or regulatory requirements that govern voluntary or involuntary relationship terminations. Our risk of loss is reduced by the potential resale value of any products that are subject to repurchase and is spread over numerous dealers and financial institutions. The aggregate contingent liability related to our repurchase agreements represents all financed dealer inventory at the period reporting date subject to a repurchase agreement, net of the greater of periodic reductions per the agreement or dealer principal payments.</w:t>
      </w:r>
    </w:p>
    <w:p>
      <w:pPr>
        <w:spacing w:after="0" w:line="173"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Based on these repurchase agreements, we establish an associated loss reserve. This loss reserve is disclosed separately in the consolidated balance sheets. Repurchased sales are not recorded as a revenue transaction, but the net difference between the original repurchase price and the resale price are recorded against the loss reserve, which is a deduction from gross revenue.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Historically, losses under these agreements have not been material; however, given the decreased demand for recreation vehicles, we currently expect that repurchase activity will be higher than has historically been the case and it may be necessary to offer greater discounts in order to relocate such product to alternative dealers during current market conditions. To the extent that dealers are reducing their inventories, which they have been doing the past 12 months, our overall exposure to repurchase agreements is likewise reduced. The percentage of dealer inventory we estimate we will repurchase is based on historical information, current trend and an analysis of dealer inventory aging for all dealers with inventory subject to this obligation. The estimated loss per repurchased unit is based primarily on recent history because until recently, we were generally able to sell repurchased units for minimal losses. In the past few quarters, we have incurred a significant increase in losses associated with repurchases due to the challenging motor home industry conditions. As a result, we have revised our underlying loss reserve estimate assumptions based on rapidly changing circumstances and significantly increased our repurchase loss reserve in the past few consecutive fiscal quarters to provide for potential future losses due to unfavorable experience. Further discussion of our repurchase commitments and related assumptions is included in Note 9 to the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Warranty. </w:t>
      </w:r>
      <w:r>
        <w:rPr>
          <w:rFonts w:ascii="Arial" w:cs="Arial" w:eastAsia="Arial" w:hAnsi="Arial"/>
          <w:sz w:val="16"/>
          <w:szCs w:val="16"/>
          <w:color w:val="auto"/>
        </w:rPr>
        <w:t>We provide with the purchase of any new motor home, a comprehensive 12-month/15,000-mile warranty on Class A, Class B and Class C motor</w:t>
      </w:r>
      <w:r>
        <w:rPr>
          <w:rFonts w:ascii="Arial" w:cs="Arial" w:eastAsia="Arial" w:hAnsi="Arial"/>
          <w:sz w:val="16"/>
          <w:szCs w:val="16"/>
          <w:b w:val="1"/>
          <w:bCs w:val="1"/>
          <w:color w:val="auto"/>
        </w:rPr>
        <w:t xml:space="preserve"> </w:t>
      </w:r>
      <w:r>
        <w:rPr>
          <w:rFonts w:ascii="Arial" w:cs="Arial" w:eastAsia="Arial" w:hAnsi="Arial"/>
          <w:sz w:val="16"/>
          <w:szCs w:val="16"/>
          <w:color w:val="auto"/>
        </w:rPr>
        <w:t>homes and a 3-year/36,000-mile warranty on Class A and Class C sidewalls and floors.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 Further discussion of our warranty costs and associated accruals is included in Note 6 to the Consolidated Financial Statements.</w:t>
      </w:r>
    </w:p>
    <w:p>
      <w:pPr>
        <w:spacing w:after="0" w:line="166"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Prior to Fiscal 2007, we granted stock options to our key employees and nonemployee directors as part of their compensation.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2007 and 2008, we granted restricted stock awards to key employees and nonemployee directors instead of stock options. No stock options or restricted stock awards were granted in the first two quarters of Fiscal 2009.</w:t>
      </w:r>
    </w:p>
    <w:p>
      <w:pPr>
        <w:spacing w:after="0" w:line="19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amount of stock-based compensation expense incurred and to be incurred in future periods is dependent upon a number of factors, such as the number of options and shares granted, the timing of stock option exercises, the age of the recipient and actual forfeiture rates.</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value of the restricted stock is based on the closing price of our common stock on the date of grant. The fair value of each award is amortized on a straight-line basis over the requisite service period or to an employee’s eligible retirement date, if earlier. This amortization method is used because our awards typically vest over three years, beginning one year after date of grant or upon retirement if earlier; thus, options and restricted stock awards are expensed immediately upon grant for retirement-eligible employees. This feature accelerates expense in the period of grant (typically our first fiscal quarter) and creates an uneven pattern of stock-based compensation that results in relatively higher expense in our first fiscal quarter and relatively lower expense in our second through fourth quarters. The impact of this feature is significant since a majority of our awards are made to retirement-eligible employees.</w:t>
      </w:r>
    </w:p>
    <w:p>
      <w:pPr>
        <w:spacing w:after="0" w:line="16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b w:val="1"/>
          <w:bCs w:val="1"/>
          <w:color w:val="auto"/>
        </w:rPr>
        <w:t xml:space="preserve">Unrecognized Tax Benefits. </w:t>
      </w:r>
      <w:r>
        <w:rPr>
          <w:rFonts w:ascii="Arial" w:cs="Arial" w:eastAsia="Arial" w:hAnsi="Arial"/>
          <w:sz w:val="16"/>
          <w:szCs w:val="16"/>
          <w:color w:val="auto"/>
        </w:rPr>
        <w:t>We only recognize tax benefits for filing positions that are considered more likely than not of being sustained under audit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relevant taxing authority, without regard to the likelihood of such an audit occurring. We record a liability for uncertain tax positions when it is more likely than not that our filed tax positions will not be sustained. We record deferred tax assets related to reserves for filing positions in a particular jurisdiction that would result in tax deductions in another tax jurisdiction if we were unable to sustain our filing position in an audit. Our income tax returns are periodically audited by various taxing authorities. These audits include questions regarding our tax filing positions, including the timing and the amount of deductions and the allocation of income among various tax jurisdictions. At any one time, multiple years are subject to audit by the various taxing authorities. We continually assess our tax positions for all periods that are open to examination or have not been effectively settled based on the most current available information.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liability for unrecognized tax benefits contains uncertainties because we are required to make assumptions and apply judgment to estimate the exposure associated with our various filing positions. Our effective tax rate is also affected by changes in tax law, the level of our earnings or losses and the results of tax audits.</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we believe that the judgments and estimates discussed herein are reasonable, actual results could differ, and we may be exposed to losses or realize gains that could be material. To the extent that we prevail in matters for which a liability has been established or are required to pay amounts in excess of our established liability, our effective income tax rate in a given financial statement period could be materially affected. An unfavorable tax settlement generally would require use of our cash and may result in an increase in our effective tax rate in the period of resolution. A favorable tax settlement may be recognized as a reduction in our effective tax rate in the period of resolution.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spacing w:after="0" w:line="326" w:lineRule="auto"/>
        <w:rPr>
          <w:sz w:val="20"/>
          <w:szCs w:val="20"/>
          <w:color w:val="auto"/>
        </w:rPr>
      </w:pPr>
      <w:r>
        <w:rPr>
          <w:rFonts w:ascii="Arial" w:cs="Arial" w:eastAsia="Arial" w:hAnsi="Arial"/>
          <w:sz w:val="15"/>
          <w:szCs w:val="15"/>
          <w:b w:val="1"/>
          <w:bCs w:val="1"/>
          <w:color w:val="auto"/>
        </w:rPr>
        <w:t xml:space="preserve">Postretirement Benefits Obligations and Costs. </w:t>
      </w:r>
      <w:r>
        <w:rPr>
          <w:rFonts w:ascii="Arial" w:cs="Arial" w:eastAsia="Arial" w:hAnsi="Arial"/>
          <w:sz w:val="15"/>
          <w:szCs w:val="15"/>
          <w:color w:val="auto"/>
        </w:rPr>
        <w:t>We provide certain health care and other benefits for retired employees hired before April 1, 2001, who have</w:t>
      </w:r>
      <w:r>
        <w:rPr>
          <w:rFonts w:ascii="Arial" w:cs="Arial" w:eastAsia="Arial" w:hAnsi="Arial"/>
          <w:sz w:val="15"/>
          <w:szCs w:val="15"/>
          <w:b w:val="1"/>
          <w:bCs w:val="1"/>
          <w:color w:val="auto"/>
        </w:rPr>
        <w:t xml:space="preserve"> </w:t>
      </w:r>
      <w:r>
        <w:rPr>
          <w:rFonts w:ascii="Arial" w:cs="Arial" w:eastAsia="Arial" w:hAnsi="Arial"/>
          <w:sz w:val="15"/>
          <w:szCs w:val="15"/>
          <w:color w:val="auto"/>
        </w:rPr>
        <w:t>fulfilled eligibility requirements at age 55 with 15 years of continuous service. Postretirement benefit liabilities are determined by actuaries using assumptions about the discount rate and health care cost-trend rates. Thus, a significant increase or decrease in interest rates could have a significant impact on our operating results. Further discussion of our postretirement benefit plan and related assumptions is included in Note 8 to the Consolidated Financial Statements.</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We have reserves for other loss exposures, such as litigation, product liability, workers’ compensation, employee medical claims, inventory and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We also have loss exposure on loan guarantees.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assets or liabilities.</w:t>
      </w:r>
    </w:p>
    <w:p>
      <w:pPr>
        <w:spacing w:after="0" w:line="1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of Fiscal 2009 Compared to the Second Quarter of Fiscal 2008</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operations for the thirteen weeks ended February 28, 2009 when compared to the thirteen weeks ended March 1,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percent</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jc w:val="right"/>
              <w:ind w:right="976"/>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0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1"/>
              </w:rPr>
              <w:t>February 28,</w:t>
            </w:r>
          </w:p>
        </w:tc>
        <w:tc>
          <w:tcPr>
            <w:tcW w:w="1180" w:type="dxa"/>
            <w:vAlign w:val="bottom"/>
          </w:tcPr>
          <w:p>
            <w:pPr>
              <w:jc w:val="center"/>
              <w:ind w:right="56"/>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91"/>
              </w:rPr>
              <w:t>March 1,</w:t>
            </w:r>
          </w:p>
        </w:tc>
        <w:tc>
          <w:tcPr>
            <w:tcW w:w="1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1100" w:type="dxa"/>
            <w:vAlign w:val="bottom"/>
          </w:tcPr>
          <w:p>
            <w:pPr>
              <w:jc w:val="center"/>
              <w:ind w:right="336"/>
              <w:spacing w:after="0" w:line="129" w:lineRule="exact"/>
              <w:rPr>
                <w:sz w:val="20"/>
                <w:szCs w:val="20"/>
                <w:color w:val="auto"/>
              </w:rPr>
            </w:pPr>
            <w:r>
              <w:rPr>
                <w:rFonts w:ascii="Arial" w:cs="Arial" w:eastAsia="Arial" w:hAnsi="Arial"/>
                <w:sz w:val="14"/>
                <w:szCs w:val="14"/>
                <w:b w:val="1"/>
                <w:bCs w:val="1"/>
                <w:color w:val="auto"/>
                <w:w w:val="83"/>
              </w:rPr>
              <w:t>(Decrease)</w:t>
            </w: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and per share data)</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2009</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1"/>
              </w:rPr>
              <w:t>Revenues</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3"/>
              </w:rPr>
              <w:t>2008</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84"/>
              </w:rPr>
              <w:t>Increase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6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31,808</w:t>
            </w:r>
          </w:p>
        </w:tc>
        <w:tc>
          <w:tcPr>
            <w:tcW w:w="30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164,203</w:t>
            </w:r>
          </w:p>
        </w:tc>
        <w:tc>
          <w:tcPr>
            <w:tcW w:w="1580" w:type="dxa"/>
            <w:vAlign w:val="bottom"/>
            <w:shd w:val="clear" w:color="auto" w:fill="D6F3E8"/>
          </w:tcPr>
          <w:p>
            <w:pPr>
              <w:jc w:val="right"/>
              <w:ind w:right="256"/>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6F3E8"/>
          </w:tcPr>
          <w:p>
            <w:pPr>
              <w:jc w:val="right"/>
              <w:ind w:right="176"/>
              <w:spacing w:after="0"/>
              <w:rPr>
                <w:sz w:val="20"/>
                <w:szCs w:val="20"/>
                <w:color w:val="auto"/>
              </w:rPr>
            </w:pPr>
            <w:r>
              <w:rPr>
                <w:rFonts w:ascii="Arial" w:cs="Arial" w:eastAsia="Arial" w:hAnsi="Arial"/>
                <w:sz w:val="18"/>
                <w:szCs w:val="18"/>
                <w:color w:val="auto"/>
              </w:rPr>
              <w:t>(132,395)</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43,600</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137.1</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152,034</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(108,434)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Gross (deficit) profit</w:t>
            </w:r>
          </w:p>
        </w:tc>
        <w:tc>
          <w:tcPr>
            <w:tcW w:w="52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1220" w:type="dxa"/>
            <w:vAlign w:val="bottom"/>
            <w:tcBorders>
              <w:bottom w:val="single" w:sz="8" w:color="auto"/>
            </w:tcBorders>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(11,792)</w:t>
            </w:r>
          </w:p>
        </w:tc>
        <w:tc>
          <w:tcPr>
            <w:tcW w:w="1180" w:type="dxa"/>
            <w:vAlign w:val="bottom"/>
            <w:tcBorders>
              <w:bottom w:val="single" w:sz="8" w:color="auto"/>
            </w:tcBorders>
            <w:shd w:val="clear" w:color="auto" w:fill="D6F3E8"/>
          </w:tcPr>
          <w:p>
            <w:pPr>
              <w:jc w:val="right"/>
              <w:ind w:right="56"/>
              <w:spacing w:after="0"/>
              <w:rPr>
                <w:sz w:val="20"/>
                <w:szCs w:val="20"/>
                <w:color w:val="auto"/>
              </w:rPr>
            </w:pPr>
            <w:r>
              <w:rPr>
                <w:rFonts w:ascii="Arial" w:cs="Arial" w:eastAsia="Arial" w:hAnsi="Arial"/>
                <w:sz w:val="18"/>
                <w:szCs w:val="18"/>
                <w:color w:val="auto"/>
              </w:rPr>
              <w:t>(37.1)</w:t>
            </w:r>
          </w:p>
        </w:tc>
        <w:tc>
          <w:tcPr>
            <w:tcW w:w="140" w:type="dxa"/>
            <w:vAlign w:val="bottom"/>
            <w:tcBorders>
              <w:bottom w:val="single" w:sz="8" w:color="auto"/>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7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12,169</w:t>
            </w:r>
          </w:p>
        </w:tc>
        <w:tc>
          <w:tcPr>
            <w:tcW w:w="1580" w:type="dxa"/>
            <w:vAlign w:val="bottom"/>
            <w:tcBorders>
              <w:bottom w:val="single" w:sz="8" w:color="auto"/>
            </w:tcBorders>
            <w:shd w:val="clear" w:color="auto" w:fill="D6F3E8"/>
          </w:tcPr>
          <w:p>
            <w:pPr>
              <w:jc w:val="right"/>
              <w:ind w:right="256"/>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ind w:right="176"/>
              <w:spacing w:after="0"/>
              <w:rPr>
                <w:sz w:val="20"/>
                <w:szCs w:val="20"/>
                <w:color w:val="auto"/>
              </w:rPr>
            </w:pPr>
            <w:r>
              <w:rPr>
                <w:rFonts w:ascii="Arial" w:cs="Arial" w:eastAsia="Arial" w:hAnsi="Arial"/>
                <w:sz w:val="18"/>
                <w:szCs w:val="18"/>
                <w:color w:val="auto"/>
              </w:rPr>
              <w:t>(23,961)</w:t>
            </w: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140"/>
              <w:spacing w:after="0"/>
              <w:rPr>
                <w:sz w:val="20"/>
                <w:szCs w:val="20"/>
                <w:color w:val="auto"/>
              </w:rPr>
            </w:pPr>
            <w:r>
              <w:rPr>
                <w:rFonts w:ascii="Arial" w:cs="Arial" w:eastAsia="Arial" w:hAnsi="Arial"/>
                <w:sz w:val="18"/>
                <w:szCs w:val="18"/>
                <w:color w:val="auto"/>
              </w:rPr>
              <w:t>Selling</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2,816</w:t>
            </w:r>
          </w:p>
        </w:tc>
        <w:tc>
          <w:tcPr>
            <w:tcW w:w="300" w:type="dxa"/>
            <w:vAlign w:val="bottom"/>
          </w:tcPr>
          <w:p>
            <w:pPr>
              <w:spacing w:after="0"/>
              <w:rPr>
                <w:sz w:val="18"/>
                <w:szCs w:val="18"/>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4,258</w:t>
            </w:r>
          </w:p>
        </w:tc>
        <w:tc>
          <w:tcPr>
            <w:tcW w:w="1580" w:type="dxa"/>
            <w:vAlign w:val="bottom"/>
          </w:tcPr>
          <w:p>
            <w:pPr>
              <w:jc w:val="right"/>
              <w:ind w:right="256"/>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(1,442)</w:t>
            </w:r>
          </w:p>
        </w:tc>
        <w:tc>
          <w:tcPr>
            <w:tcW w:w="104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4,003</w:t>
            </w:r>
          </w:p>
        </w:tc>
        <w:tc>
          <w:tcPr>
            <w:tcW w:w="300" w:type="dxa"/>
            <w:vAlign w:val="bottom"/>
            <w:tcBorders>
              <w:bottom w:val="single" w:sz="8" w:color="auto"/>
            </w:tcBorders>
            <w:shd w:val="clear" w:color="auto" w:fill="D6F3E8"/>
          </w:tcPr>
          <w:p>
            <w:pPr>
              <w:spacing w:after="0"/>
              <w:rPr>
                <w:sz w:val="18"/>
                <w:szCs w:val="18"/>
                <w:color w:val="auto"/>
              </w:rPr>
            </w:pPr>
          </w:p>
        </w:tc>
        <w:tc>
          <w:tcPr>
            <w:tcW w:w="1180" w:type="dxa"/>
            <w:vAlign w:val="bottom"/>
            <w:tcBorders>
              <w:bottom w:val="single" w:sz="8" w:color="auto"/>
            </w:tcBorders>
            <w:shd w:val="clear" w:color="auto" w:fill="D6F3E8"/>
          </w:tcPr>
          <w:p>
            <w:pPr>
              <w:jc w:val="right"/>
              <w:ind w:right="116"/>
              <w:spacing w:after="0"/>
              <w:rPr>
                <w:sz w:val="20"/>
                <w:szCs w:val="20"/>
                <w:color w:val="auto"/>
              </w:rPr>
            </w:pPr>
            <w:r>
              <w:rPr>
                <w:rFonts w:ascii="Arial" w:cs="Arial" w:eastAsia="Arial" w:hAnsi="Arial"/>
                <w:sz w:val="18"/>
                <w:szCs w:val="18"/>
                <w:color w:val="auto"/>
              </w:rPr>
              <w:t>12.6</w:t>
            </w:r>
          </w:p>
        </w:tc>
        <w:tc>
          <w:tcPr>
            <w:tcW w:w="140" w:type="dxa"/>
            <w:vAlign w:val="bottom"/>
            <w:tcBorders>
              <w:bottom w:val="single" w:sz="8" w:color="auto"/>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7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5,457</w:t>
            </w:r>
          </w:p>
        </w:tc>
        <w:tc>
          <w:tcPr>
            <w:tcW w:w="1580" w:type="dxa"/>
            <w:vAlign w:val="bottom"/>
            <w:tcBorders>
              <w:bottom w:val="single" w:sz="8" w:color="auto"/>
            </w:tcBorders>
            <w:shd w:val="clear" w:color="auto" w:fill="D6F3E8"/>
          </w:tcPr>
          <w:p>
            <w:pPr>
              <w:jc w:val="right"/>
              <w:ind w:right="256"/>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ind w:right="176"/>
              <w:spacing w:after="0"/>
              <w:rPr>
                <w:sz w:val="20"/>
                <w:szCs w:val="20"/>
                <w:color w:val="auto"/>
              </w:rPr>
            </w:pPr>
            <w:r>
              <w:rPr>
                <w:rFonts w:ascii="Arial" w:cs="Arial" w:eastAsia="Arial" w:hAnsi="Arial"/>
                <w:sz w:val="18"/>
                <w:szCs w:val="18"/>
                <w:color w:val="auto"/>
              </w:rPr>
              <w:t>(1,454)</w:t>
            </w: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6,819</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21.4</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(2,896)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Operating (loss) income</w:t>
            </w:r>
          </w:p>
        </w:tc>
        <w:tc>
          <w:tcPr>
            <w:tcW w:w="5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(18,611)</w:t>
            </w:r>
          </w:p>
        </w:tc>
        <w:tc>
          <w:tcPr>
            <w:tcW w:w="1180" w:type="dxa"/>
            <w:vAlign w:val="bottom"/>
            <w:shd w:val="clear" w:color="auto" w:fill="D6F3E8"/>
          </w:tcPr>
          <w:p>
            <w:pPr>
              <w:jc w:val="right"/>
              <w:ind w:right="56"/>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2,454</w:t>
            </w:r>
          </w:p>
        </w:tc>
        <w:tc>
          <w:tcPr>
            <w:tcW w:w="1580" w:type="dxa"/>
            <w:vAlign w:val="bottom"/>
            <w:shd w:val="clear" w:color="auto" w:fill="D6F3E8"/>
          </w:tcPr>
          <w:p>
            <w:pPr>
              <w:jc w:val="right"/>
              <w:ind w:right="256"/>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6F3E8"/>
          </w:tcPr>
          <w:p>
            <w:pPr>
              <w:spacing w:after="0"/>
              <w:rPr>
                <w:sz w:val="18"/>
                <w:szCs w:val="18"/>
                <w:color w:val="auto"/>
              </w:rPr>
            </w:pPr>
          </w:p>
        </w:tc>
        <w:tc>
          <w:tcPr>
            <w:tcW w:w="1100" w:type="dxa"/>
            <w:vAlign w:val="bottom"/>
            <w:shd w:val="clear" w:color="auto" w:fill="D6F3E8"/>
          </w:tcPr>
          <w:p>
            <w:pPr>
              <w:jc w:val="right"/>
              <w:ind w:right="176"/>
              <w:spacing w:after="0"/>
              <w:rPr>
                <w:sz w:val="20"/>
                <w:szCs w:val="20"/>
                <w:color w:val="auto"/>
              </w:rPr>
            </w:pPr>
            <w:r>
              <w:rPr>
                <w:rFonts w:ascii="Arial" w:cs="Arial" w:eastAsia="Arial" w:hAnsi="Arial"/>
                <w:sz w:val="18"/>
                <w:szCs w:val="18"/>
                <w:color w:val="auto"/>
              </w:rPr>
              <w:t>(21,065)</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Financial income</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(603)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(Loss) income before income taxes</w:t>
            </w:r>
          </w:p>
        </w:tc>
        <w:tc>
          <w:tcPr>
            <w:tcW w:w="5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(17,978)</w:t>
            </w:r>
          </w:p>
        </w:tc>
        <w:tc>
          <w:tcPr>
            <w:tcW w:w="1180" w:type="dxa"/>
            <w:vAlign w:val="bottom"/>
            <w:shd w:val="clear" w:color="auto" w:fill="D6F3E8"/>
          </w:tcPr>
          <w:p>
            <w:pPr>
              <w:jc w:val="right"/>
              <w:ind w:right="56"/>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3,690</w:t>
            </w:r>
          </w:p>
        </w:tc>
        <w:tc>
          <w:tcPr>
            <w:tcW w:w="1580" w:type="dxa"/>
            <w:vAlign w:val="bottom"/>
            <w:shd w:val="clear" w:color="auto" w:fill="D6F3E8"/>
          </w:tcPr>
          <w:p>
            <w:pPr>
              <w:jc w:val="right"/>
              <w:ind w:right="256"/>
              <w:spacing w:after="0"/>
              <w:rPr>
                <w:sz w:val="20"/>
                <w:szCs w:val="20"/>
                <w:color w:val="auto"/>
              </w:rPr>
            </w:pPr>
            <w:r>
              <w:rPr>
                <w:rFonts w:ascii="Arial" w:cs="Arial" w:eastAsia="Arial" w:hAnsi="Arial"/>
                <w:sz w:val="18"/>
                <w:szCs w:val="18"/>
                <w:color w:val="auto"/>
              </w:rPr>
              <w:t>2.2</w:t>
            </w:r>
          </w:p>
        </w:tc>
        <w:tc>
          <w:tcPr>
            <w:tcW w:w="120" w:type="dxa"/>
            <w:vAlign w:val="bottom"/>
            <w:shd w:val="clear" w:color="auto" w:fill="D6F3E8"/>
          </w:tcPr>
          <w:p>
            <w:pPr>
              <w:spacing w:after="0"/>
              <w:rPr>
                <w:sz w:val="18"/>
                <w:szCs w:val="18"/>
                <w:color w:val="auto"/>
              </w:rPr>
            </w:pPr>
          </w:p>
        </w:tc>
        <w:tc>
          <w:tcPr>
            <w:tcW w:w="1100" w:type="dxa"/>
            <w:vAlign w:val="bottom"/>
            <w:shd w:val="clear" w:color="auto" w:fill="D6F3E8"/>
          </w:tcPr>
          <w:p>
            <w:pPr>
              <w:jc w:val="right"/>
              <w:ind w:right="176"/>
              <w:spacing w:after="0"/>
              <w:rPr>
                <w:sz w:val="20"/>
                <w:szCs w:val="20"/>
                <w:color w:val="auto"/>
              </w:rPr>
            </w:pPr>
            <w:r>
              <w:rPr>
                <w:rFonts w:ascii="Arial" w:cs="Arial" w:eastAsia="Arial" w:hAnsi="Arial"/>
                <w:sz w:val="18"/>
                <w:szCs w:val="18"/>
                <w:color w:val="auto"/>
              </w:rPr>
              <w:t>(21,668)</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(Benefit) provision for taxes</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(7,597)</w:t>
            </w: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(23.9)</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(8,770)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(loss) income</w:t>
            </w:r>
          </w:p>
        </w:tc>
        <w:tc>
          <w:tcPr>
            <w:tcW w:w="52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(10,381)</w:t>
            </w:r>
          </w:p>
        </w:tc>
        <w:tc>
          <w:tcPr>
            <w:tcW w:w="1180" w:type="dxa"/>
            <w:vAlign w:val="bottom"/>
            <w:tcBorders>
              <w:bottom w:val="single" w:sz="8" w:color="auto"/>
            </w:tcBorders>
            <w:shd w:val="clear" w:color="auto" w:fill="D6F3E8"/>
          </w:tcPr>
          <w:p>
            <w:pPr>
              <w:jc w:val="right"/>
              <w:ind w:right="56"/>
              <w:spacing w:after="0"/>
              <w:rPr>
                <w:sz w:val="20"/>
                <w:szCs w:val="20"/>
                <w:color w:val="auto"/>
              </w:rPr>
            </w:pPr>
            <w:r>
              <w:rPr>
                <w:rFonts w:ascii="Arial" w:cs="Arial" w:eastAsia="Arial" w:hAnsi="Arial"/>
                <w:sz w:val="18"/>
                <w:szCs w:val="18"/>
                <w:color w:val="auto"/>
              </w:rPr>
              <w:t>(32.6)</w:t>
            </w:r>
          </w:p>
        </w:tc>
        <w:tc>
          <w:tcPr>
            <w:tcW w:w="280" w:type="dxa"/>
            <w:vAlign w:val="bottom"/>
            <w:tcBorders>
              <w:bottom w:val="single" w:sz="8" w:color="auto"/>
            </w:tcBorders>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2,517</w:t>
            </w:r>
          </w:p>
        </w:tc>
        <w:tc>
          <w:tcPr>
            <w:tcW w:w="1580" w:type="dxa"/>
            <w:vAlign w:val="bottom"/>
            <w:tcBorders>
              <w:bottom w:val="single" w:sz="8" w:color="auto"/>
            </w:tcBorders>
            <w:shd w:val="clear" w:color="auto" w:fill="D6F3E8"/>
          </w:tcPr>
          <w:p>
            <w:pPr>
              <w:jc w:val="right"/>
              <w:ind w:right="256"/>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6F3E8"/>
          </w:tcPr>
          <w:p>
            <w:pPr>
              <w:jc w:val="right"/>
              <w:ind w:right="176"/>
              <w:spacing w:after="0"/>
              <w:rPr>
                <w:sz w:val="20"/>
                <w:szCs w:val="20"/>
                <w:color w:val="auto"/>
              </w:rPr>
            </w:pPr>
            <w:r>
              <w:rPr>
                <w:rFonts w:ascii="Arial" w:cs="Arial" w:eastAsia="Arial" w:hAnsi="Arial"/>
                <w:sz w:val="18"/>
                <w:szCs w:val="18"/>
                <w:color w:val="auto"/>
              </w:rPr>
              <w:t>(12,898)</w:t>
            </w: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r>
        <w:trPr>
          <w:trHeight w:val="344"/>
        </w:trPr>
        <w:tc>
          <w:tcPr>
            <w:tcW w:w="3500" w:type="dxa"/>
            <w:vAlign w:val="bottom"/>
            <w:gridSpan w:val="2"/>
          </w:tcPr>
          <w:p>
            <w:pPr>
              <w:spacing w:after="0"/>
              <w:rPr>
                <w:sz w:val="20"/>
                <w:szCs w:val="20"/>
                <w:color w:val="auto"/>
              </w:rPr>
            </w:pPr>
            <w:r>
              <w:rPr>
                <w:rFonts w:ascii="Arial" w:cs="Arial" w:eastAsia="Arial" w:hAnsi="Arial"/>
                <w:sz w:val="18"/>
                <w:szCs w:val="18"/>
                <w:color w:val="auto"/>
              </w:rPr>
              <w:t>Diluted (loss) income per share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(0.36)</w:t>
            </w:r>
          </w:p>
        </w:tc>
        <w:tc>
          <w:tcPr>
            <w:tcW w:w="118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0.09</w:t>
            </w:r>
          </w:p>
        </w:tc>
        <w:tc>
          <w:tcPr>
            <w:tcW w:w="15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(0.45)</w:t>
            </w:r>
          </w:p>
        </w:tc>
        <w:tc>
          <w:tcPr>
            <w:tcW w:w="104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
        </w:trPr>
        <w:tc>
          <w:tcPr>
            <w:tcW w:w="3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3480" w:type="dxa"/>
            <w:vAlign w:val="bottom"/>
            <w:tcBorders>
              <w:bottom w:val="single" w:sz="8" w:color="D6F3E8"/>
            </w:tcBorders>
            <w:shd w:val="clear" w:color="auto" w:fill="D6F3E8"/>
          </w:tcPr>
          <w:p>
            <w:pPr>
              <w:spacing w:after="0" w:line="198" w:lineRule="exact"/>
              <w:rPr>
                <w:sz w:val="20"/>
                <w:szCs w:val="20"/>
                <w:color w:val="auto"/>
              </w:rPr>
            </w:pPr>
            <w:r>
              <w:rPr>
                <w:rFonts w:ascii="Arial" w:cs="Arial" w:eastAsia="Arial" w:hAnsi="Arial"/>
                <w:sz w:val="18"/>
                <w:szCs w:val="18"/>
                <w:color w:val="auto"/>
              </w:rPr>
              <w:t>Fully diluted average shares outstanding</w:t>
            </w:r>
          </w:p>
        </w:tc>
        <w:tc>
          <w:tcPr>
            <w:tcW w:w="520" w:type="dxa"/>
            <w:vAlign w:val="bottom"/>
            <w:tcBorders>
              <w:bottom w:val="single" w:sz="8" w:color="D6F3E8"/>
            </w:tcBorders>
            <w:shd w:val="clear" w:color="auto" w:fill="D6F3E8"/>
          </w:tcPr>
          <w:p>
            <w:pPr>
              <w:spacing w:after="0"/>
              <w:rPr>
                <w:sz w:val="20"/>
                <w:szCs w:val="20"/>
                <w:color w:val="auto"/>
              </w:rPr>
            </w:pPr>
          </w:p>
        </w:tc>
        <w:tc>
          <w:tcPr>
            <w:tcW w:w="120" w:type="dxa"/>
            <w:vAlign w:val="bottom"/>
            <w:tcBorders>
              <w:bottom w:val="single" w:sz="8" w:color="auto"/>
            </w:tcBorders>
            <w:shd w:val="clear" w:color="auto" w:fill="D6F3E8"/>
          </w:tcPr>
          <w:p>
            <w:pPr>
              <w:spacing w:after="0"/>
              <w:rPr>
                <w:sz w:val="20"/>
                <w:szCs w:val="20"/>
                <w:color w:val="auto"/>
              </w:rPr>
            </w:pPr>
          </w:p>
        </w:tc>
        <w:tc>
          <w:tcPr>
            <w:tcW w:w="920" w:type="dxa"/>
            <w:vAlign w:val="bottom"/>
            <w:tcBorders>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rPr>
              <w:t>29,046</w:t>
            </w:r>
          </w:p>
        </w:tc>
        <w:tc>
          <w:tcPr>
            <w:tcW w:w="300" w:type="dxa"/>
            <w:vAlign w:val="bottom"/>
            <w:tcBorders>
              <w:bottom w:val="single" w:sz="8" w:color="D6F3E8"/>
            </w:tcBorders>
            <w:shd w:val="clear" w:color="auto" w:fill="D6F3E8"/>
          </w:tcPr>
          <w:p>
            <w:pPr>
              <w:spacing w:after="0"/>
              <w:rPr>
                <w:sz w:val="20"/>
                <w:szCs w:val="20"/>
                <w:color w:val="auto"/>
              </w:rPr>
            </w:pPr>
          </w:p>
        </w:tc>
        <w:tc>
          <w:tcPr>
            <w:tcW w:w="1180" w:type="dxa"/>
            <w:vAlign w:val="bottom"/>
            <w:tcBorders>
              <w:bottom w:val="single" w:sz="8" w:color="D6F3E8"/>
            </w:tcBorders>
            <w:shd w:val="clear" w:color="auto" w:fill="D6F3E8"/>
          </w:tcPr>
          <w:p>
            <w:pPr>
              <w:spacing w:after="0"/>
              <w:rPr>
                <w:sz w:val="20"/>
                <w:szCs w:val="20"/>
                <w:color w:val="auto"/>
              </w:rPr>
            </w:pPr>
          </w:p>
        </w:tc>
        <w:tc>
          <w:tcPr>
            <w:tcW w:w="140" w:type="dxa"/>
            <w:vAlign w:val="bottom"/>
            <w:tcBorders>
              <w:bottom w:val="single" w:sz="8" w:color="D6F3E8"/>
            </w:tcBorders>
            <w:shd w:val="clear" w:color="auto" w:fill="D6F3E8"/>
          </w:tcPr>
          <w:p>
            <w:pPr>
              <w:spacing w:after="0"/>
              <w:rPr>
                <w:sz w:val="20"/>
                <w:szCs w:val="20"/>
                <w:color w:val="auto"/>
              </w:rPr>
            </w:pPr>
          </w:p>
        </w:tc>
        <w:tc>
          <w:tcPr>
            <w:tcW w:w="140" w:type="dxa"/>
            <w:vAlign w:val="bottom"/>
            <w:tcBorders>
              <w:bottom w:val="single" w:sz="8" w:color="auto"/>
            </w:tcBorders>
            <w:shd w:val="clear" w:color="auto" w:fill="D6F3E8"/>
          </w:tcPr>
          <w:p>
            <w:pPr>
              <w:spacing w:after="0"/>
              <w:rPr>
                <w:sz w:val="20"/>
                <w:szCs w:val="20"/>
                <w:color w:val="auto"/>
              </w:rPr>
            </w:pPr>
          </w:p>
        </w:tc>
        <w:tc>
          <w:tcPr>
            <w:tcW w:w="760" w:type="dxa"/>
            <w:vAlign w:val="bottom"/>
            <w:tcBorders>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rPr>
              <w:t>29,034</w:t>
            </w:r>
          </w:p>
        </w:tc>
        <w:tc>
          <w:tcPr>
            <w:tcW w:w="1580" w:type="dxa"/>
            <w:vAlign w:val="bottom"/>
            <w:tcBorders>
              <w:bottom w:val="single" w:sz="8" w:color="D6F3E8"/>
            </w:tcBorders>
            <w:shd w:val="clear" w:color="auto" w:fill="D6F3E8"/>
          </w:tcPr>
          <w:p>
            <w:pPr>
              <w:spacing w:after="0"/>
              <w:rPr>
                <w:sz w:val="20"/>
                <w:szCs w:val="20"/>
                <w:color w:val="auto"/>
              </w:rPr>
            </w:pPr>
          </w:p>
        </w:tc>
        <w:tc>
          <w:tcPr>
            <w:tcW w:w="120" w:type="dxa"/>
            <w:vAlign w:val="bottom"/>
            <w:tcBorders>
              <w:bottom w:val="single" w:sz="8" w:color="auto"/>
            </w:tcBorders>
            <w:shd w:val="clear" w:color="auto" w:fill="D6F3E8"/>
          </w:tcPr>
          <w:p>
            <w:pPr>
              <w:spacing w:after="0"/>
              <w:rPr>
                <w:sz w:val="20"/>
                <w:szCs w:val="20"/>
                <w:color w:val="auto"/>
              </w:rPr>
            </w:pPr>
          </w:p>
        </w:tc>
        <w:tc>
          <w:tcPr>
            <w:tcW w:w="1100" w:type="dxa"/>
            <w:vAlign w:val="bottom"/>
            <w:tcBorders>
              <w:bottom w:val="single" w:sz="8" w:color="auto"/>
            </w:tcBorders>
            <w:shd w:val="clear" w:color="auto" w:fill="D6F3E8"/>
          </w:tcPr>
          <w:p>
            <w:pPr>
              <w:jc w:val="right"/>
              <w:ind w:right="236"/>
              <w:spacing w:after="0" w:line="198" w:lineRule="exact"/>
              <w:rPr>
                <w:sz w:val="20"/>
                <w:szCs w:val="20"/>
                <w:color w:val="auto"/>
              </w:rPr>
            </w:pPr>
            <w:r>
              <w:rPr>
                <w:rFonts w:ascii="Arial" w:cs="Arial" w:eastAsia="Arial" w:hAnsi="Arial"/>
                <w:sz w:val="18"/>
                <w:szCs w:val="18"/>
                <w:color w:val="auto"/>
              </w:rPr>
              <w:t>12</w:t>
            </w:r>
          </w:p>
        </w:tc>
        <w:tc>
          <w:tcPr>
            <w:tcW w:w="1040" w:type="dxa"/>
            <w:vAlign w:val="bottom"/>
            <w:tcBorders>
              <w:bottom w:val="single" w:sz="8" w:color="auto"/>
            </w:tcBorders>
            <w:shd w:val="clear" w:color="auto" w:fill="D6F3E8"/>
          </w:tcPr>
          <w:p>
            <w:pPr>
              <w:jc w:val="right"/>
              <w:ind w:right="16"/>
              <w:spacing w:after="0" w:line="198"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1"/>
        </w:trPr>
        <w:tc>
          <w:tcPr>
            <w:tcW w:w="3500" w:type="dxa"/>
            <w:vAlign w:val="bottom"/>
            <w:gridSpan w:val="2"/>
          </w:tcPr>
          <w:p>
            <w:pPr>
              <w:spacing w:after="0"/>
              <w:rPr>
                <w:sz w:val="20"/>
                <w:szCs w:val="20"/>
                <w:color w:val="auto"/>
              </w:rPr>
            </w:pPr>
            <w:r>
              <w:rPr>
                <w:rFonts w:ascii="Arial" w:cs="Arial" w:eastAsia="Arial" w:hAnsi="Arial"/>
                <w:sz w:val="18"/>
                <w:szCs w:val="18"/>
                <w:color w:val="auto"/>
              </w:rPr>
              <w:t>Unit deliveries consisted of the following:</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right"/>
              <w:ind w:right="976"/>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1"/>
              </w:rPr>
              <w:t>February 28,</w:t>
            </w:r>
          </w:p>
        </w:tc>
        <w:tc>
          <w:tcPr>
            <w:tcW w:w="1180" w:type="dxa"/>
            <w:vAlign w:val="bottom"/>
          </w:tcPr>
          <w:p>
            <w:pPr>
              <w:jc w:val="center"/>
              <w:ind w:right="96"/>
              <w:spacing w:after="0" w:line="129" w:lineRule="exact"/>
              <w:rPr>
                <w:sz w:val="20"/>
                <w:szCs w:val="20"/>
                <w:color w:val="auto"/>
              </w:rPr>
            </w:pPr>
            <w:r>
              <w:rPr>
                <w:rFonts w:ascii="Arial" w:cs="Arial" w:eastAsia="Arial" w:hAnsi="Arial"/>
                <w:sz w:val="14"/>
                <w:szCs w:val="14"/>
                <w:b w:val="1"/>
                <w:bCs w:val="1"/>
                <w:color w:val="auto"/>
                <w:w w:val="90"/>
              </w:rPr>
              <w:t>Product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91"/>
              </w:rPr>
              <w:t>March 1,</w:t>
            </w:r>
          </w:p>
        </w:tc>
        <w:tc>
          <w:tcPr>
            <w:tcW w:w="1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Product</w:t>
            </w:r>
          </w:p>
        </w:tc>
        <w:tc>
          <w:tcPr>
            <w:tcW w:w="120" w:type="dxa"/>
            <w:vAlign w:val="bottom"/>
          </w:tcPr>
          <w:p>
            <w:pPr>
              <w:spacing w:after="0"/>
              <w:rPr>
                <w:sz w:val="11"/>
                <w:szCs w:val="11"/>
                <w:color w:val="auto"/>
              </w:rPr>
            </w:pPr>
          </w:p>
        </w:tc>
        <w:tc>
          <w:tcPr>
            <w:tcW w:w="1100" w:type="dxa"/>
            <w:vAlign w:val="bottom"/>
          </w:tcPr>
          <w:p>
            <w:pPr>
              <w:jc w:val="center"/>
              <w:ind w:right="336"/>
              <w:spacing w:after="0" w:line="129" w:lineRule="exact"/>
              <w:rPr>
                <w:sz w:val="20"/>
                <w:szCs w:val="20"/>
                <w:color w:val="auto"/>
              </w:rPr>
            </w:pPr>
            <w:r>
              <w:rPr>
                <w:rFonts w:ascii="Arial" w:cs="Arial" w:eastAsia="Arial" w:hAnsi="Arial"/>
                <w:sz w:val="14"/>
                <w:szCs w:val="14"/>
                <w:b w:val="1"/>
                <w:bCs w:val="1"/>
                <w:color w:val="auto"/>
                <w:w w:val="83"/>
              </w:rPr>
              <w:t>(Decrease)</w:t>
            </w: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61"/>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units)</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2009</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Mix %</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3"/>
              </w:rPr>
              <w:t>2008</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Mix %</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84"/>
              </w:rPr>
              <w:t>Increase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Class A gas</w:t>
            </w:r>
          </w:p>
        </w:tc>
        <w:tc>
          <w:tcPr>
            <w:tcW w:w="5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551</w:t>
            </w:r>
          </w:p>
        </w:tc>
        <w:tc>
          <w:tcPr>
            <w:tcW w:w="1580" w:type="dxa"/>
            <w:vAlign w:val="bottom"/>
            <w:shd w:val="clear" w:color="auto" w:fill="D6F3E8"/>
          </w:tcPr>
          <w:p>
            <w:pPr>
              <w:jc w:val="right"/>
              <w:ind w:right="256"/>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D6F3E8"/>
          </w:tcPr>
          <w:p>
            <w:pPr>
              <w:spacing w:after="0"/>
              <w:rPr>
                <w:sz w:val="18"/>
                <w:szCs w:val="18"/>
                <w:color w:val="auto"/>
              </w:rPr>
            </w:pPr>
          </w:p>
        </w:tc>
        <w:tc>
          <w:tcPr>
            <w:tcW w:w="1100" w:type="dxa"/>
            <w:vAlign w:val="bottom"/>
            <w:shd w:val="clear" w:color="auto" w:fill="D6F3E8"/>
          </w:tcPr>
          <w:p>
            <w:pPr>
              <w:jc w:val="right"/>
              <w:ind w:right="176"/>
              <w:spacing w:after="0"/>
              <w:rPr>
                <w:sz w:val="20"/>
                <w:szCs w:val="20"/>
                <w:color w:val="auto"/>
              </w:rPr>
            </w:pPr>
            <w:r>
              <w:rPr>
                <w:rFonts w:ascii="Arial" w:cs="Arial" w:eastAsia="Arial" w:hAnsi="Arial"/>
                <w:sz w:val="18"/>
                <w:szCs w:val="18"/>
                <w:color w:val="auto"/>
              </w:rPr>
              <w:t>(474)</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Class A diesel</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14.3</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(242)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Total Class A</w:t>
            </w:r>
          </w:p>
        </w:tc>
        <w:tc>
          <w:tcPr>
            <w:tcW w:w="5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838</w:t>
            </w:r>
          </w:p>
        </w:tc>
        <w:tc>
          <w:tcPr>
            <w:tcW w:w="1580" w:type="dxa"/>
            <w:vAlign w:val="bottom"/>
            <w:shd w:val="clear" w:color="auto" w:fill="D6F3E8"/>
          </w:tcPr>
          <w:p>
            <w:pPr>
              <w:jc w:val="right"/>
              <w:ind w:right="256"/>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D6F3E8"/>
          </w:tcPr>
          <w:p>
            <w:pPr>
              <w:spacing w:after="0"/>
              <w:rPr>
                <w:sz w:val="18"/>
                <w:szCs w:val="18"/>
                <w:color w:val="auto"/>
              </w:rPr>
            </w:pPr>
          </w:p>
        </w:tc>
        <w:tc>
          <w:tcPr>
            <w:tcW w:w="1100" w:type="dxa"/>
            <w:vAlign w:val="bottom"/>
            <w:shd w:val="clear" w:color="auto" w:fill="D6F3E8"/>
          </w:tcPr>
          <w:p>
            <w:pPr>
              <w:jc w:val="right"/>
              <w:ind w:right="176"/>
              <w:spacing w:after="0"/>
              <w:rPr>
                <w:sz w:val="20"/>
                <w:szCs w:val="20"/>
                <w:color w:val="auto"/>
              </w:rPr>
            </w:pPr>
            <w:r>
              <w:rPr>
                <w:rFonts w:ascii="Arial" w:cs="Arial" w:eastAsia="Arial" w:hAnsi="Arial"/>
                <w:sz w:val="18"/>
                <w:szCs w:val="18"/>
                <w:color w:val="auto"/>
              </w:rPr>
              <w:t>(716)</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Class B</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580" w:type="dxa"/>
            <w:vAlign w:val="bottom"/>
          </w:tcPr>
          <w:p>
            <w:pPr>
              <w:jc w:val="right"/>
              <w:ind w:right="256"/>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100" w:type="dxa"/>
            <w:vAlign w:val="bottom"/>
          </w:tcPr>
          <w:p>
            <w:pPr>
              <w:jc w:val="right"/>
              <w:ind w:right="236"/>
              <w:spacing w:after="0"/>
              <w:rPr>
                <w:sz w:val="20"/>
                <w:szCs w:val="20"/>
                <w:color w:val="auto"/>
              </w:rPr>
            </w:pPr>
            <w:r>
              <w:rPr>
                <w:rFonts w:ascii="Arial" w:cs="Arial" w:eastAsia="Arial" w:hAnsi="Arial"/>
                <w:sz w:val="18"/>
                <w:szCs w:val="18"/>
                <w:color w:val="auto"/>
              </w:rPr>
              <w:t>7</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Class C</w:t>
            </w:r>
          </w:p>
        </w:tc>
        <w:tc>
          <w:tcPr>
            <w:tcW w:w="52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185</w:t>
            </w:r>
          </w:p>
        </w:tc>
        <w:tc>
          <w:tcPr>
            <w:tcW w:w="300" w:type="dxa"/>
            <w:vAlign w:val="bottom"/>
            <w:tcBorders>
              <w:bottom w:val="single" w:sz="8" w:color="auto"/>
            </w:tcBorders>
            <w:shd w:val="clear" w:color="auto" w:fill="D6F3E8"/>
          </w:tcPr>
          <w:p>
            <w:pPr>
              <w:spacing w:after="0"/>
              <w:rPr>
                <w:sz w:val="18"/>
                <w:szCs w:val="18"/>
                <w:color w:val="auto"/>
              </w:rPr>
            </w:pPr>
          </w:p>
        </w:tc>
        <w:tc>
          <w:tcPr>
            <w:tcW w:w="1180" w:type="dxa"/>
            <w:vAlign w:val="bottom"/>
            <w:tcBorders>
              <w:bottom w:val="single" w:sz="8" w:color="auto"/>
            </w:tcBorders>
            <w:shd w:val="clear" w:color="auto" w:fill="D6F3E8"/>
          </w:tcPr>
          <w:p>
            <w:pPr>
              <w:jc w:val="right"/>
              <w:ind w:right="116"/>
              <w:spacing w:after="0"/>
              <w:rPr>
                <w:sz w:val="20"/>
                <w:szCs w:val="20"/>
                <w:color w:val="auto"/>
              </w:rPr>
            </w:pPr>
            <w:r>
              <w:rPr>
                <w:rFonts w:ascii="Arial" w:cs="Arial" w:eastAsia="Arial" w:hAnsi="Arial"/>
                <w:sz w:val="18"/>
                <w:szCs w:val="18"/>
                <w:color w:val="auto"/>
              </w:rPr>
              <w:t>58.7</w:t>
            </w:r>
          </w:p>
        </w:tc>
        <w:tc>
          <w:tcPr>
            <w:tcW w:w="140" w:type="dxa"/>
            <w:vAlign w:val="bottom"/>
            <w:tcBorders>
              <w:bottom w:val="single" w:sz="8" w:color="auto"/>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7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858</w:t>
            </w:r>
          </w:p>
        </w:tc>
        <w:tc>
          <w:tcPr>
            <w:tcW w:w="1580" w:type="dxa"/>
            <w:vAlign w:val="bottom"/>
            <w:tcBorders>
              <w:bottom w:val="single" w:sz="8" w:color="auto"/>
            </w:tcBorders>
            <w:shd w:val="clear" w:color="auto" w:fill="D6F3E8"/>
          </w:tcPr>
          <w:p>
            <w:pPr>
              <w:jc w:val="right"/>
              <w:ind w:right="256"/>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ind w:right="176"/>
              <w:spacing w:after="0"/>
              <w:rPr>
                <w:sz w:val="20"/>
                <w:szCs w:val="20"/>
                <w:color w:val="auto"/>
              </w:rPr>
            </w:pPr>
            <w:r>
              <w:rPr>
                <w:rFonts w:ascii="Arial" w:cs="Arial" w:eastAsia="Arial" w:hAnsi="Arial"/>
                <w:sz w:val="18"/>
                <w:szCs w:val="18"/>
                <w:color w:val="auto"/>
              </w:rPr>
              <w:t>(673)</w:t>
            </w: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140"/>
              <w:spacing w:after="0"/>
              <w:rPr>
                <w:sz w:val="20"/>
                <w:szCs w:val="20"/>
                <w:color w:val="auto"/>
              </w:rPr>
            </w:pPr>
            <w:r>
              <w:rPr>
                <w:rFonts w:ascii="Arial" w:cs="Arial" w:eastAsia="Arial" w:hAnsi="Arial"/>
                <w:sz w:val="18"/>
                <w:szCs w:val="18"/>
                <w:color w:val="auto"/>
              </w:rPr>
              <w:t>Total deliveries</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(1,382)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Net revenues for the quarter ended February 28, 2009 decreased $132.4 million, or 80.6 percent, due to the following:</w:t>
      </w:r>
    </w:p>
    <w:p>
      <w:pPr>
        <w:spacing w:after="0" w:line="239"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Volume decline: The primary reason for the net revenue decline was due to unit deliveries decreasing by 81.4 percent.</w:t>
      </w:r>
    </w:p>
    <w:p>
      <w:pPr>
        <w:spacing w:after="0" w:line="157" w:lineRule="exact"/>
        <w:rPr>
          <w:rFonts w:ascii="Arial" w:cs="Arial" w:eastAsia="Arial" w:hAnsi="Arial"/>
          <w:sz w:val="18"/>
          <w:szCs w:val="18"/>
          <w:color w:val="auto"/>
        </w:rPr>
      </w:pPr>
    </w:p>
    <w:p>
      <w:pPr>
        <w:ind w:left="1160" w:right="120" w:hanging="571"/>
        <w:spacing w:after="0" w:line="298"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Pricing and mix: Our motor home average selling price (ASP), net of discounts, decreased 2.6 percent. The decrease in our ASP was due to an increase of product discounts we offered at the wholesale level and a shift in mix to lower-priced product, partially offset by the increase in the current model year pricing. Our sales mix for the quarter was more heavily weighted to lower priced products as 61 percent of our volume in the quarter was Class C and Class B products as compared to a 51 percent mix of Class C and Class B products in the same quarter last year.</w:t>
      </w:r>
    </w:p>
    <w:p>
      <w:pPr>
        <w:spacing w:after="0" w:line="99" w:lineRule="exact"/>
        <w:rPr>
          <w:rFonts w:ascii="Arial" w:cs="Arial" w:eastAsia="Arial" w:hAnsi="Arial"/>
          <w:sz w:val="16"/>
          <w:szCs w:val="16"/>
          <w:color w:val="auto"/>
        </w:rPr>
      </w:pPr>
    </w:p>
    <w:p>
      <w:pPr>
        <w:jc w:val="both"/>
        <w:ind w:left="1160" w:right="40" w:hanging="571"/>
        <w:spacing w:after="0" w:line="306"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Promotional incentives: Our retail and other incentives increased 5.5 percent (as a percentage of net revenues) due to increased retail promotional activity on significantly lower revenues. We have retail incentive programs in place to help stimulate dealer retail traffic and these programs have had a substantial impact in reducing dealer inventory level, as our dealer inventory in units is down 39.7 percent year over year.</w:t>
      </w:r>
    </w:p>
    <w:p>
      <w:pPr>
        <w:spacing w:after="0" w:line="93" w:lineRule="exact"/>
        <w:rPr>
          <w:rFonts w:ascii="Arial" w:cs="Arial" w:eastAsia="Arial" w:hAnsi="Arial"/>
          <w:sz w:val="16"/>
          <w:szCs w:val="16"/>
          <w:color w:val="auto"/>
        </w:rPr>
      </w:pPr>
    </w:p>
    <w:p>
      <w:pPr>
        <w:jc w:val="both"/>
        <w:ind w:left="1160" w:right="180" w:hanging="571"/>
        <w:spacing w:after="0" w:line="335" w:lineRule="auto"/>
        <w:tabs>
          <w:tab w:leader="none" w:pos="116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Repurchase activity: Our repurchase loss reserve provision, which is a deduction from gross revenues, increased 4.3 percent (as a percentage of net revenues). We have incurred a significant increase in the number of units we have had to repurchase and the losses associated with reselling these units due to the challenging motor home industry conditions. As a result, we have also increased the repurchase loss reserve.</w:t>
      </w:r>
    </w:p>
    <w:p>
      <w:pPr>
        <w:spacing w:after="0" w:line="74" w:lineRule="exact"/>
        <w:rPr>
          <w:rFonts w:ascii="Arial" w:cs="Arial" w:eastAsia="Arial" w:hAnsi="Arial"/>
          <w:sz w:val="15"/>
          <w:szCs w:val="15"/>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revenues: Revenues for motor home parts and services and other manufactured products decreased by 35.7 percent.</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Gross (deficit) profit for the quarter ended February 28, 2009 was a deficit of $11.8 million, or (37.1 percent) of net revenues, compared to gross profit of $12.2 million or 7.4 percent of net revenues during the quarter ended March 1, 2008. The deterioration of margin was primarily due to a significant reduction in production resulting in lower absorption of fixed costs. Also contributing to the reduced margins were additional wholesale and retail promotional programs as well as an increase in the repurchase reserve provision.</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Selling expenses decreased $1.4 million, or 33.9 percent, for the quarter ended February 28, 2009, but as a percent of net revenues, selling expenses were 8.8 percent and 2.6 percent for the quarters ended February 28, 2009 and March 1, 2008, respectively. The decrease in dollars for the quarter ended February 28, 2009 was due to reductions in advertising expenses of $400,000 (in spite of the fact that the second quarter of Fiscal 2009 included expenses for the Louisville Show, RVIA’s National RV Show, whereas in Fiscal 2008, those expenses were in the first quarter); labor-related expenses of $400,000, as a result of reduced headcount; salesmen incentives of $200,000; and stock compensation expense.</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General and administrative expenses decreased $1.5 million, or 26.6 percent, for the quarter ended February 28, 2009, but, as a percent of net revenues, general and administrative expenses were 12.6 percent and 3.3 percent for the quarters ended February 28, 2009 and March 1, 2008, respectively. The decrease in dollars for the quarter ended February 28, 2009 was due to reductions in product liability expense of $500,000; labor-related expenses of $450,000, a result of reduced headcount; and legal expenses of $350,000. During the quarter ended March 1, 2008, $500,000 in severance payments were made in connection with our restructuring activities.</w:t>
      </w:r>
    </w:p>
    <w:p>
      <w:pPr>
        <w:spacing w:after="0" w:line="19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Financial income decreased $603,000, or 48.8 percent, for the quarter ended February 28, 2009. The decrease in financial income was due primarily to a decrease in the average yield of 4.0 percent and to a lesser extent due to a decrease in average investment balances of approximately $14.0 million.</w:t>
      </w:r>
    </w:p>
    <w:p>
      <w:pPr>
        <w:spacing w:after="0" w:line="13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overall effective income tax rate for the quarter ended February 28, 2009 was a benefit of (42.3 percent) compared to an expense of 31.8 percent for the quarter ended March 1, 2008. The following table breaks down the two aforementioned tax rates: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Quarter Ended</w:t>
            </w:r>
          </w:p>
        </w:tc>
        <w:tc>
          <w:tcPr>
            <w:tcW w:w="920" w:type="dxa"/>
            <w:vAlign w:val="bottom"/>
            <w:tcBorders>
              <w:bottom w:val="single" w:sz="8" w:color="auto"/>
            </w:tcBorders>
          </w:tcPr>
          <w:p>
            <w:pPr>
              <w:spacing w:after="0"/>
              <w:rPr>
                <w:sz w:val="14"/>
                <w:szCs w:val="14"/>
                <w:color w:val="auto"/>
              </w:rPr>
            </w:pPr>
          </w:p>
        </w:tc>
      </w:tr>
      <w:tr>
        <w:trPr>
          <w:trHeight w:val="129"/>
        </w:trPr>
        <w:tc>
          <w:tcPr>
            <w:tcW w:w="7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2"/>
          </w:tcPr>
          <w:p>
            <w:pPr>
              <w:jc w:val="right"/>
              <w:ind w:right="522"/>
              <w:spacing w:after="0" w:line="129" w:lineRule="exact"/>
              <w:rPr>
                <w:sz w:val="20"/>
                <w:szCs w:val="20"/>
                <w:color w:val="auto"/>
              </w:rPr>
            </w:pPr>
            <w:r>
              <w:rPr>
                <w:rFonts w:ascii="Arial" w:cs="Arial" w:eastAsia="Arial" w:hAnsi="Arial"/>
                <w:sz w:val="14"/>
                <w:szCs w:val="14"/>
                <w:b w:val="1"/>
                <w:bCs w:val="1"/>
                <w:color w:val="auto"/>
              </w:rPr>
              <w:t>February 28, 2009</w:t>
            </w:r>
          </w:p>
        </w:tc>
        <w:tc>
          <w:tcPr>
            <w:tcW w:w="240" w:type="dxa"/>
            <w:vAlign w:val="bottom"/>
          </w:tcPr>
          <w:p>
            <w:pPr>
              <w:spacing w:after="0"/>
              <w:rPr>
                <w:sz w:val="11"/>
                <w:szCs w:val="11"/>
                <w:color w:val="auto"/>
              </w:rPr>
            </w:pPr>
          </w:p>
        </w:tc>
        <w:tc>
          <w:tcPr>
            <w:tcW w:w="170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March 1, 2008</w:t>
            </w:r>
          </w:p>
        </w:tc>
      </w:tr>
      <w:tr>
        <w:trPr>
          <w:trHeight w:val="149"/>
        </w:trPr>
        <w:tc>
          <w:tcPr>
            <w:tcW w:w="7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Effective</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Effective</w:t>
            </w:r>
          </w:p>
        </w:tc>
      </w:tr>
      <w:tr>
        <w:trPr>
          <w:trHeight w:val="161"/>
        </w:trPr>
        <w:tc>
          <w:tcPr>
            <w:tcW w:w="7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86"/>
              </w:rPr>
              <w:t>Amount</w:t>
            </w:r>
          </w:p>
        </w:tc>
        <w:tc>
          <w:tcPr>
            <w:tcW w:w="10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Rate (%)</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86"/>
              </w:rPr>
              <w:t>Amount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Rate (%)</w:t>
            </w:r>
          </w:p>
        </w:tc>
      </w:tr>
      <w:tr>
        <w:trPr>
          <w:trHeight w:val="250"/>
        </w:trPr>
        <w:tc>
          <w:tcPr>
            <w:tcW w:w="7440" w:type="dxa"/>
            <w:vAlign w:val="bottom"/>
            <w:shd w:val="clear" w:color="auto" w:fill="D6F3E8"/>
          </w:tcPr>
          <w:p>
            <w:pPr>
              <w:spacing w:after="0" w:line="250" w:lineRule="exact"/>
              <w:rPr>
                <w:sz w:val="20"/>
                <w:szCs w:val="20"/>
                <w:color w:val="auto"/>
              </w:rPr>
            </w:pPr>
            <w:r>
              <w:rPr>
                <w:rFonts w:ascii="Arial" w:cs="Arial" w:eastAsia="Arial" w:hAnsi="Arial"/>
                <w:sz w:val="17"/>
                <w:szCs w:val="17"/>
                <w:color w:val="auto"/>
              </w:rPr>
              <w:t xml:space="preserve">Tax (benefit) provision before discrete items </w:t>
            </w:r>
            <w:r>
              <w:rPr>
                <w:rFonts w:ascii="Arial" w:cs="Arial" w:eastAsia="Arial" w:hAnsi="Arial"/>
                <w:sz w:val="28"/>
                <w:szCs w:val="28"/>
                <w:color w:val="auto"/>
                <w:vertAlign w:val="superscript"/>
              </w:rPr>
              <w:t>(1)</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ind w:right="140"/>
              <w:spacing w:after="0"/>
              <w:rPr>
                <w:sz w:val="20"/>
                <w:szCs w:val="20"/>
                <w:color w:val="auto"/>
              </w:rPr>
            </w:pPr>
            <w:r>
              <w:rPr>
                <w:rFonts w:ascii="Arial" w:cs="Arial" w:eastAsia="Arial" w:hAnsi="Arial"/>
                <w:sz w:val="18"/>
                <w:szCs w:val="18"/>
                <w:color w:val="auto"/>
              </w:rPr>
              <w:t>(7,221)</w:t>
            </w:r>
          </w:p>
        </w:tc>
        <w:tc>
          <w:tcPr>
            <w:tcW w:w="1060" w:type="dxa"/>
            <w:vAlign w:val="bottom"/>
            <w:shd w:val="clear" w:color="auto" w:fill="D6F3E8"/>
          </w:tcPr>
          <w:p>
            <w:pPr>
              <w:jc w:val="right"/>
              <w:ind w:right="62"/>
              <w:spacing w:after="0"/>
              <w:rPr>
                <w:sz w:val="20"/>
                <w:szCs w:val="20"/>
                <w:color w:val="auto"/>
              </w:rPr>
            </w:pPr>
            <w:r>
              <w:rPr>
                <w:rFonts w:ascii="Arial" w:cs="Arial" w:eastAsia="Arial" w:hAnsi="Arial"/>
                <w:sz w:val="18"/>
                <w:szCs w:val="18"/>
                <w:color w:val="auto"/>
              </w:rPr>
              <w:t>(40.2)</w:t>
            </w:r>
          </w:p>
        </w:tc>
        <w:tc>
          <w:tcPr>
            <w:tcW w:w="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ind w:right="120"/>
              <w:spacing w:after="0"/>
              <w:rPr>
                <w:sz w:val="20"/>
                <w:szCs w:val="20"/>
                <w:color w:val="auto"/>
              </w:rPr>
            </w:pPr>
            <w:r>
              <w:rPr>
                <w:rFonts w:ascii="Arial" w:cs="Arial" w:eastAsia="Arial" w:hAnsi="Arial"/>
                <w:sz w:val="18"/>
                <w:szCs w:val="18"/>
                <w:color w:val="auto"/>
              </w:rPr>
              <w:t>1,173</w:t>
            </w:r>
          </w:p>
        </w:tc>
        <w:tc>
          <w:tcPr>
            <w:tcW w:w="920" w:type="dxa"/>
            <w:vAlign w:val="bottom"/>
            <w:shd w:val="clear" w:color="auto" w:fill="D6F3E8"/>
          </w:tcPr>
          <w:p>
            <w:pPr>
              <w:jc w:val="right"/>
              <w:ind w:right="20"/>
              <w:spacing w:after="0"/>
              <w:rPr>
                <w:sz w:val="20"/>
                <w:szCs w:val="20"/>
                <w:color w:val="auto"/>
              </w:rPr>
            </w:pPr>
            <w:r>
              <w:rPr>
                <w:rFonts w:ascii="Arial" w:cs="Arial" w:eastAsia="Arial" w:hAnsi="Arial"/>
                <w:sz w:val="18"/>
                <w:szCs w:val="18"/>
                <w:color w:val="auto"/>
              </w:rPr>
              <w:t>31.8</w:t>
            </w:r>
          </w:p>
        </w:tc>
      </w:tr>
      <w:tr>
        <w:trPr>
          <w:trHeight w:val="257"/>
        </w:trPr>
        <w:tc>
          <w:tcPr>
            <w:tcW w:w="7440" w:type="dxa"/>
            <w:vAlign w:val="bottom"/>
          </w:tcPr>
          <w:p>
            <w:pPr>
              <w:spacing w:after="0" w:line="256" w:lineRule="exact"/>
              <w:rPr>
                <w:sz w:val="20"/>
                <w:szCs w:val="20"/>
                <w:color w:val="auto"/>
              </w:rPr>
            </w:pPr>
            <w:r>
              <w:rPr>
                <w:rFonts w:ascii="Arial" w:cs="Arial" w:eastAsia="Arial" w:hAnsi="Arial"/>
                <w:sz w:val="18"/>
                <w:szCs w:val="18"/>
                <w:color w:val="auto"/>
              </w:rPr>
              <w:t xml:space="preserve">Discrete item: tax planning initiative </w:t>
            </w:r>
            <w:r>
              <w:rPr>
                <w:rFonts w:ascii="Arial" w:cs="Arial" w:eastAsia="Arial" w:hAnsi="Arial"/>
                <w:sz w:val="29"/>
                <w:szCs w:val="29"/>
                <w:color w:val="auto"/>
                <w:vertAlign w:val="superscript"/>
              </w:rPr>
              <w:t>(2)</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(376)</w:t>
            </w: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0.0</w:t>
            </w:r>
          </w:p>
        </w:tc>
      </w:tr>
      <w:tr>
        <w:trPr>
          <w:trHeight w:val="250"/>
        </w:trPr>
        <w:tc>
          <w:tcPr>
            <w:tcW w:w="74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(benefit) provision for taxes</w:t>
            </w:r>
          </w:p>
        </w:tc>
        <w:tc>
          <w:tcPr>
            <w:tcW w:w="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D6F3E8"/>
          </w:tcPr>
          <w:p>
            <w:pPr>
              <w:jc w:val="right"/>
              <w:ind w:right="140"/>
              <w:spacing w:after="0"/>
              <w:rPr>
                <w:sz w:val="20"/>
                <w:szCs w:val="20"/>
                <w:color w:val="auto"/>
              </w:rPr>
            </w:pPr>
            <w:r>
              <w:rPr>
                <w:rFonts w:ascii="Arial" w:cs="Arial" w:eastAsia="Arial" w:hAnsi="Arial"/>
                <w:sz w:val="18"/>
                <w:szCs w:val="18"/>
                <w:color w:val="auto"/>
              </w:rPr>
              <w:t>(7,597)</w:t>
            </w:r>
          </w:p>
        </w:tc>
        <w:tc>
          <w:tcPr>
            <w:tcW w:w="1060" w:type="dxa"/>
            <w:vAlign w:val="bottom"/>
            <w:tcBorders>
              <w:bottom w:val="single" w:sz="8" w:color="auto"/>
            </w:tcBorders>
            <w:shd w:val="clear" w:color="auto" w:fill="D6F3E8"/>
          </w:tcPr>
          <w:p>
            <w:pPr>
              <w:jc w:val="right"/>
              <w:ind w:right="62"/>
              <w:spacing w:after="0"/>
              <w:rPr>
                <w:sz w:val="20"/>
                <w:szCs w:val="20"/>
                <w:color w:val="auto"/>
              </w:rPr>
            </w:pPr>
            <w:r>
              <w:rPr>
                <w:rFonts w:ascii="Arial" w:cs="Arial" w:eastAsia="Arial" w:hAnsi="Arial"/>
                <w:sz w:val="18"/>
                <w:szCs w:val="18"/>
                <w:color w:val="auto"/>
              </w:rPr>
              <w:t>(42.3)</w:t>
            </w:r>
          </w:p>
        </w:tc>
        <w:tc>
          <w:tcPr>
            <w:tcW w:w="2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D6F3E8"/>
          </w:tcPr>
          <w:p>
            <w:pPr>
              <w:jc w:val="right"/>
              <w:ind w:right="120"/>
              <w:spacing w:after="0"/>
              <w:rPr>
                <w:sz w:val="20"/>
                <w:szCs w:val="20"/>
                <w:color w:val="auto"/>
              </w:rPr>
            </w:pPr>
            <w:r>
              <w:rPr>
                <w:rFonts w:ascii="Arial" w:cs="Arial" w:eastAsia="Arial" w:hAnsi="Arial"/>
                <w:sz w:val="18"/>
                <w:szCs w:val="18"/>
                <w:color w:val="auto"/>
              </w:rPr>
              <w:t>1,173</w:t>
            </w:r>
          </w:p>
        </w:tc>
        <w:tc>
          <w:tcPr>
            <w:tcW w:w="920" w:type="dxa"/>
            <w:vAlign w:val="bottom"/>
            <w:tcBorders>
              <w:bottom w:val="single" w:sz="8" w:color="auto"/>
            </w:tcBorders>
            <w:shd w:val="clear" w:color="auto" w:fill="D6F3E8"/>
          </w:tcPr>
          <w:p>
            <w:pPr>
              <w:jc w:val="right"/>
              <w:ind w:right="20"/>
              <w:spacing w:after="0"/>
              <w:rPr>
                <w:sz w:val="20"/>
                <w:szCs w:val="20"/>
                <w:color w:val="auto"/>
              </w:rPr>
            </w:pPr>
            <w:r>
              <w:rPr>
                <w:rFonts w:ascii="Arial" w:cs="Arial" w:eastAsia="Arial" w:hAnsi="Arial"/>
                <w:sz w:val="18"/>
                <w:szCs w:val="18"/>
                <w:color w:val="auto"/>
              </w:rPr>
              <w:t>31.8</w:t>
            </w:r>
          </w:p>
        </w:tc>
      </w:tr>
    </w:tbl>
    <w:p>
      <w:pPr>
        <w:spacing w:after="0" w:line="248" w:lineRule="exact"/>
        <w:rPr>
          <w:sz w:val="20"/>
          <w:szCs w:val="20"/>
          <w:color w:val="auto"/>
        </w:rPr>
      </w:pPr>
    </w:p>
    <w:p>
      <w:pPr>
        <w:ind w:left="580" w:hanging="572"/>
        <w:spacing w:after="0" w:line="228" w:lineRule="auto"/>
        <w:tabs>
          <w:tab w:leader="none" w:pos="5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The effective tax benefit rate, before discrete items, of (40.2) percent as compared to a 31.8 percent expense is primarily attributable to the second quarter of Fiscal 2009 pre-tax loss of $18.0 million versus the second quarter of Fiscal 2008 pre-tax income of $3.7 million. Included within the second quarter of Fiscal 2009 pre-tax loss of $18.0 million was $633,000 of financial income which is primarily tax-free investment income from investments in life insurance assets and student loan related securities and resulted in an increase to the tax benefit of $323,000 and increased the effective tax benefit rate by 1.8 percent. In the second quarter of Fiscal 2008, tax-free investment income resulted in a tax benefit of $231,000 (a 6.3 percent reduction in the effective tax rate).</w:t>
      </w:r>
    </w:p>
    <w:p>
      <w:pPr>
        <w:spacing w:after="0" w:line="2" w:lineRule="exact"/>
        <w:rPr>
          <w:rFonts w:ascii="Arial" w:cs="Arial" w:eastAsia="Arial" w:hAnsi="Arial"/>
          <w:sz w:val="29"/>
          <w:szCs w:val="29"/>
          <w:color w:val="auto"/>
          <w:vertAlign w:val="superscript"/>
        </w:rPr>
      </w:pPr>
    </w:p>
    <w:p>
      <w:pPr>
        <w:ind w:left="580" w:hanging="572"/>
        <w:spacing w:after="0" w:line="180" w:lineRule="auto"/>
        <w:tabs>
          <w:tab w:leader="none" w:pos="58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Benefits of $376,000 were recorded due to a tax planning initiative that was recognized during the second quarter of Fiscal 2009.</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Twenty-Six Weeks of Fiscal 2009 Compared to the First Twenty-Seven Weeks of Fiscal 2008</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operations for the twenty-six weeks ended February 28, 2009 compared to the twenty-seven weeks ended March 1, 2008:</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left="518"/>
              <w:spacing w:after="0"/>
              <w:rPr>
                <w:sz w:val="20"/>
                <w:szCs w:val="20"/>
                <w:color w:val="auto"/>
              </w:rPr>
            </w:pPr>
            <w:r>
              <w:rPr>
                <w:rFonts w:ascii="Arial" w:cs="Arial" w:eastAsia="Arial" w:hAnsi="Arial"/>
                <w:sz w:val="14"/>
                <w:szCs w:val="14"/>
                <w:b w:val="1"/>
                <w:bCs w:val="1"/>
                <w:color w:val="auto"/>
                <w:w w:val="86"/>
              </w:rPr>
              <w:t>Twenty-Six</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2"/>
          </w:tcPr>
          <w:p>
            <w:pPr>
              <w:ind w:left="520"/>
              <w:spacing w:after="0"/>
              <w:rPr>
                <w:sz w:val="20"/>
                <w:szCs w:val="20"/>
                <w:color w:val="auto"/>
              </w:rPr>
            </w:pPr>
            <w:r>
              <w:rPr>
                <w:rFonts w:ascii="Arial" w:cs="Arial" w:eastAsia="Arial" w:hAnsi="Arial"/>
                <w:sz w:val="14"/>
                <w:szCs w:val="14"/>
                <w:b w:val="1"/>
                <w:bCs w:val="1"/>
                <w:color w:val="auto"/>
              </w:rPr>
              <w:t>Twenty-Seven</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percent</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558"/>
              <w:spacing w:after="0"/>
              <w:rPr>
                <w:sz w:val="20"/>
                <w:szCs w:val="20"/>
                <w:color w:val="auto"/>
              </w:rPr>
            </w:pPr>
            <w:r>
              <w:rPr>
                <w:rFonts w:ascii="Arial" w:cs="Arial" w:eastAsia="Arial" w:hAnsi="Arial"/>
                <w:sz w:val="14"/>
                <w:szCs w:val="14"/>
                <w:b w:val="1"/>
                <w:bCs w:val="1"/>
                <w:color w:val="auto"/>
                <w:w w:val="87"/>
              </w:rPr>
              <w:t>Weeks Ended</w:t>
            </w: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Weeks Ended</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0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91"/>
              </w:rPr>
              <w:t>February 28,</w:t>
            </w:r>
          </w:p>
        </w:tc>
        <w:tc>
          <w:tcPr>
            <w:tcW w:w="960" w:type="dxa"/>
            <w:vAlign w:val="bottom"/>
          </w:tcPr>
          <w:p>
            <w:pPr>
              <w:jc w:val="center"/>
              <w:ind w:right="316"/>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91"/>
              </w:rPr>
              <w:t>March 1,</w:t>
            </w:r>
          </w:p>
        </w:tc>
        <w:tc>
          <w:tcPr>
            <w:tcW w:w="1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and per share data)</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2009</w:t>
            </w: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81"/>
              </w:rPr>
              <w:t>Revenues</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3"/>
              </w:rPr>
              <w:t>2008</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w w:val="83"/>
              </w:rPr>
              <w:t>Decrease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6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101,206</w:t>
            </w:r>
          </w:p>
        </w:tc>
        <w:tc>
          <w:tcPr>
            <w:tcW w:w="520" w:type="dxa"/>
            <w:vAlign w:val="bottom"/>
            <w:shd w:val="clear" w:color="auto" w:fill="D6F3E8"/>
          </w:tcPr>
          <w:p>
            <w:pPr>
              <w:spacing w:after="0"/>
              <w:rPr>
                <w:sz w:val="18"/>
                <w:szCs w:val="18"/>
                <w:color w:val="auto"/>
              </w:rPr>
            </w:pPr>
          </w:p>
        </w:tc>
        <w:tc>
          <w:tcPr>
            <w:tcW w:w="96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379,345</w:t>
            </w:r>
          </w:p>
        </w:tc>
        <w:tc>
          <w:tcPr>
            <w:tcW w:w="1580" w:type="dxa"/>
            <w:vAlign w:val="bottom"/>
            <w:shd w:val="clear" w:color="auto" w:fill="D6F3E8"/>
          </w:tcPr>
          <w:p>
            <w:pPr>
              <w:jc w:val="right"/>
              <w:ind w:right="256"/>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6F3E8"/>
          </w:tcPr>
          <w:p>
            <w:pPr>
              <w:jc w:val="right"/>
              <w:ind w:right="175"/>
              <w:spacing w:after="0"/>
              <w:rPr>
                <w:sz w:val="20"/>
                <w:szCs w:val="20"/>
                <w:color w:val="auto"/>
              </w:rPr>
            </w:pPr>
            <w:r>
              <w:rPr>
                <w:rFonts w:ascii="Arial" w:cs="Arial" w:eastAsia="Arial" w:hAnsi="Arial"/>
                <w:sz w:val="18"/>
                <w:szCs w:val="18"/>
                <w:color w:val="auto"/>
              </w:rPr>
              <w:t>(278,139)</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121,892</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120.4</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341,536</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(219,644)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Gross (deficit) profit</w:t>
            </w:r>
          </w:p>
        </w:tc>
        <w:tc>
          <w:tcPr>
            <w:tcW w:w="52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1440" w:type="dxa"/>
            <w:vAlign w:val="bottom"/>
            <w:tcBorders>
              <w:bottom w:val="single" w:sz="8" w:color="auto"/>
            </w:tcBorders>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(20,686)</w:t>
            </w:r>
          </w:p>
        </w:tc>
        <w:tc>
          <w:tcPr>
            <w:tcW w:w="960" w:type="dxa"/>
            <w:vAlign w:val="bottom"/>
            <w:tcBorders>
              <w:bottom w:val="single" w:sz="8" w:color="auto"/>
            </w:tcBorders>
            <w:shd w:val="clear" w:color="auto" w:fill="D6F3E8"/>
          </w:tcPr>
          <w:p>
            <w:pPr>
              <w:jc w:val="right"/>
              <w:ind w:right="56"/>
              <w:spacing w:after="0"/>
              <w:rPr>
                <w:sz w:val="20"/>
                <w:szCs w:val="20"/>
                <w:color w:val="auto"/>
              </w:rPr>
            </w:pPr>
            <w:r>
              <w:rPr>
                <w:rFonts w:ascii="Arial" w:cs="Arial" w:eastAsia="Arial" w:hAnsi="Arial"/>
                <w:sz w:val="18"/>
                <w:szCs w:val="18"/>
                <w:color w:val="auto"/>
              </w:rPr>
              <w:t>(20.4)</w:t>
            </w:r>
          </w:p>
        </w:tc>
        <w:tc>
          <w:tcPr>
            <w:tcW w:w="140" w:type="dxa"/>
            <w:vAlign w:val="bottom"/>
            <w:tcBorders>
              <w:bottom w:val="single" w:sz="8" w:color="auto"/>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7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37,809</w:t>
            </w:r>
          </w:p>
        </w:tc>
        <w:tc>
          <w:tcPr>
            <w:tcW w:w="1580" w:type="dxa"/>
            <w:vAlign w:val="bottom"/>
            <w:tcBorders>
              <w:bottom w:val="single" w:sz="8" w:color="auto"/>
            </w:tcBorders>
            <w:shd w:val="clear" w:color="auto" w:fill="D6F3E8"/>
          </w:tcPr>
          <w:p>
            <w:pPr>
              <w:jc w:val="right"/>
              <w:ind w:right="256"/>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ind w:right="175"/>
              <w:spacing w:after="0"/>
              <w:rPr>
                <w:sz w:val="20"/>
                <w:szCs w:val="20"/>
                <w:color w:val="auto"/>
              </w:rPr>
            </w:pPr>
            <w:r>
              <w:rPr>
                <w:rFonts w:ascii="Arial" w:cs="Arial" w:eastAsia="Arial" w:hAnsi="Arial"/>
                <w:sz w:val="18"/>
                <w:szCs w:val="18"/>
                <w:color w:val="auto"/>
              </w:rPr>
              <w:t>(58,495)</w:t>
            </w: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140"/>
              <w:spacing w:after="0"/>
              <w:rPr>
                <w:sz w:val="20"/>
                <w:szCs w:val="20"/>
                <w:color w:val="auto"/>
              </w:rPr>
            </w:pPr>
            <w:r>
              <w:rPr>
                <w:rFonts w:ascii="Arial" w:cs="Arial" w:eastAsia="Arial" w:hAnsi="Arial"/>
                <w:sz w:val="18"/>
                <w:szCs w:val="18"/>
                <w:color w:val="auto"/>
              </w:rPr>
              <w:t>Selling</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6,481</w:t>
            </w:r>
          </w:p>
        </w:tc>
        <w:tc>
          <w:tcPr>
            <w:tcW w:w="520" w:type="dxa"/>
            <w:vAlign w:val="bottom"/>
          </w:tcPr>
          <w:p>
            <w:pPr>
              <w:spacing w:after="0"/>
              <w:rPr>
                <w:sz w:val="18"/>
                <w:szCs w:val="18"/>
                <w:color w:val="auto"/>
              </w:rPr>
            </w:pPr>
          </w:p>
        </w:tc>
        <w:tc>
          <w:tcPr>
            <w:tcW w:w="960" w:type="dxa"/>
            <w:vAlign w:val="bottom"/>
          </w:tcPr>
          <w:p>
            <w:pPr>
              <w:jc w:val="right"/>
              <w:ind w:right="116"/>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9,863</w:t>
            </w:r>
          </w:p>
        </w:tc>
        <w:tc>
          <w:tcPr>
            <w:tcW w:w="1580" w:type="dxa"/>
            <w:vAlign w:val="bottom"/>
          </w:tcPr>
          <w:p>
            <w:pPr>
              <w:jc w:val="right"/>
              <w:ind w:right="256"/>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Arial" w:cs="Arial" w:eastAsia="Arial" w:hAnsi="Arial"/>
                <w:sz w:val="18"/>
                <w:szCs w:val="18"/>
                <w:color w:val="auto"/>
              </w:rPr>
              <w:t>(3,382)</w:t>
            </w:r>
          </w:p>
        </w:tc>
        <w:tc>
          <w:tcPr>
            <w:tcW w:w="104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8,334</w:t>
            </w:r>
          </w:p>
        </w:tc>
        <w:tc>
          <w:tcPr>
            <w:tcW w:w="520" w:type="dxa"/>
            <w:vAlign w:val="bottom"/>
            <w:tcBorders>
              <w:bottom w:val="single" w:sz="8" w:color="auto"/>
            </w:tcBorders>
            <w:shd w:val="clear" w:color="auto" w:fill="D6F3E8"/>
          </w:tcPr>
          <w:p>
            <w:pPr>
              <w:spacing w:after="0"/>
              <w:rPr>
                <w:sz w:val="18"/>
                <w:szCs w:val="18"/>
                <w:color w:val="auto"/>
              </w:rPr>
            </w:pPr>
          </w:p>
        </w:tc>
        <w:tc>
          <w:tcPr>
            <w:tcW w:w="960" w:type="dxa"/>
            <w:vAlign w:val="bottom"/>
            <w:tcBorders>
              <w:bottom w:val="single" w:sz="8" w:color="auto"/>
            </w:tcBorders>
            <w:shd w:val="clear" w:color="auto" w:fill="D6F3E8"/>
          </w:tcPr>
          <w:p>
            <w:pPr>
              <w:jc w:val="right"/>
              <w:ind w:right="116"/>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auto"/>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7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11,908</w:t>
            </w:r>
          </w:p>
        </w:tc>
        <w:tc>
          <w:tcPr>
            <w:tcW w:w="1580" w:type="dxa"/>
            <w:vAlign w:val="bottom"/>
            <w:tcBorders>
              <w:bottom w:val="single" w:sz="8" w:color="auto"/>
            </w:tcBorders>
            <w:shd w:val="clear" w:color="auto" w:fill="D6F3E8"/>
          </w:tcPr>
          <w:p>
            <w:pPr>
              <w:jc w:val="right"/>
              <w:ind w:right="256"/>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ind w:right="175"/>
              <w:spacing w:after="0"/>
              <w:rPr>
                <w:sz w:val="20"/>
                <w:szCs w:val="20"/>
                <w:color w:val="auto"/>
              </w:rPr>
            </w:pPr>
            <w:r>
              <w:rPr>
                <w:rFonts w:ascii="Arial" w:cs="Arial" w:eastAsia="Arial" w:hAnsi="Arial"/>
                <w:sz w:val="18"/>
                <w:szCs w:val="18"/>
                <w:color w:val="auto"/>
              </w:rPr>
              <w:t>(3,574)</w:t>
            </w: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14,815</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14.6</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21,771</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(6,956)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Operating (loss) income</w:t>
            </w:r>
          </w:p>
        </w:tc>
        <w:tc>
          <w:tcPr>
            <w:tcW w:w="5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(35,501)</w:t>
            </w:r>
          </w:p>
        </w:tc>
        <w:tc>
          <w:tcPr>
            <w:tcW w:w="960" w:type="dxa"/>
            <w:vAlign w:val="bottom"/>
            <w:shd w:val="clear" w:color="auto" w:fill="D6F3E8"/>
          </w:tcPr>
          <w:p>
            <w:pPr>
              <w:jc w:val="right"/>
              <w:ind w:right="56"/>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16,038</w:t>
            </w:r>
          </w:p>
        </w:tc>
        <w:tc>
          <w:tcPr>
            <w:tcW w:w="1580" w:type="dxa"/>
            <w:vAlign w:val="bottom"/>
            <w:shd w:val="clear" w:color="auto" w:fill="D6F3E8"/>
          </w:tcPr>
          <w:p>
            <w:pPr>
              <w:jc w:val="right"/>
              <w:ind w:right="256"/>
              <w:spacing w:after="0"/>
              <w:rPr>
                <w:sz w:val="20"/>
                <w:szCs w:val="20"/>
                <w:color w:val="auto"/>
              </w:rPr>
            </w:pPr>
            <w:r>
              <w:rPr>
                <w:rFonts w:ascii="Arial" w:cs="Arial" w:eastAsia="Arial" w:hAnsi="Arial"/>
                <w:sz w:val="18"/>
                <w:szCs w:val="18"/>
                <w:color w:val="auto"/>
              </w:rPr>
              <w:t>4.3</w:t>
            </w:r>
          </w:p>
        </w:tc>
        <w:tc>
          <w:tcPr>
            <w:tcW w:w="120" w:type="dxa"/>
            <w:vAlign w:val="bottom"/>
            <w:shd w:val="clear" w:color="auto" w:fill="D6F3E8"/>
          </w:tcPr>
          <w:p>
            <w:pPr>
              <w:spacing w:after="0"/>
              <w:rPr>
                <w:sz w:val="18"/>
                <w:szCs w:val="18"/>
                <w:color w:val="auto"/>
              </w:rPr>
            </w:pPr>
          </w:p>
        </w:tc>
        <w:tc>
          <w:tcPr>
            <w:tcW w:w="1100" w:type="dxa"/>
            <w:vAlign w:val="bottom"/>
            <w:shd w:val="clear" w:color="auto" w:fill="D6F3E8"/>
          </w:tcPr>
          <w:p>
            <w:pPr>
              <w:jc w:val="right"/>
              <w:ind w:right="175"/>
              <w:spacing w:after="0"/>
              <w:rPr>
                <w:sz w:val="20"/>
                <w:szCs w:val="20"/>
                <w:color w:val="auto"/>
              </w:rPr>
            </w:pPr>
            <w:r>
              <w:rPr>
                <w:rFonts w:ascii="Arial" w:cs="Arial" w:eastAsia="Arial" w:hAnsi="Arial"/>
                <w:sz w:val="18"/>
                <w:szCs w:val="18"/>
                <w:color w:val="auto"/>
              </w:rPr>
              <w:t>(51,539)</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Financial income</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(1,319)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(Loss) income before income taxes</w:t>
            </w:r>
          </w:p>
        </w:tc>
        <w:tc>
          <w:tcPr>
            <w:tcW w:w="5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(34,344)</w:t>
            </w:r>
          </w:p>
        </w:tc>
        <w:tc>
          <w:tcPr>
            <w:tcW w:w="960" w:type="dxa"/>
            <w:vAlign w:val="bottom"/>
            <w:shd w:val="clear" w:color="auto" w:fill="D6F3E8"/>
          </w:tcPr>
          <w:p>
            <w:pPr>
              <w:jc w:val="right"/>
              <w:ind w:right="56"/>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18,514</w:t>
            </w:r>
          </w:p>
        </w:tc>
        <w:tc>
          <w:tcPr>
            <w:tcW w:w="1580" w:type="dxa"/>
            <w:vAlign w:val="bottom"/>
            <w:shd w:val="clear" w:color="auto" w:fill="D6F3E8"/>
          </w:tcPr>
          <w:p>
            <w:pPr>
              <w:jc w:val="right"/>
              <w:ind w:right="256"/>
              <w:spacing w:after="0"/>
              <w:rPr>
                <w:sz w:val="20"/>
                <w:szCs w:val="20"/>
                <w:color w:val="auto"/>
              </w:rPr>
            </w:pPr>
            <w:r>
              <w:rPr>
                <w:rFonts w:ascii="Arial" w:cs="Arial" w:eastAsia="Arial" w:hAnsi="Arial"/>
                <w:sz w:val="18"/>
                <w:szCs w:val="18"/>
                <w:color w:val="auto"/>
              </w:rPr>
              <w:t>4.9</w:t>
            </w:r>
          </w:p>
        </w:tc>
        <w:tc>
          <w:tcPr>
            <w:tcW w:w="120" w:type="dxa"/>
            <w:vAlign w:val="bottom"/>
            <w:shd w:val="clear" w:color="auto" w:fill="D6F3E8"/>
          </w:tcPr>
          <w:p>
            <w:pPr>
              <w:spacing w:after="0"/>
              <w:rPr>
                <w:sz w:val="18"/>
                <w:szCs w:val="18"/>
                <w:color w:val="auto"/>
              </w:rPr>
            </w:pPr>
          </w:p>
        </w:tc>
        <w:tc>
          <w:tcPr>
            <w:tcW w:w="1100" w:type="dxa"/>
            <w:vAlign w:val="bottom"/>
            <w:shd w:val="clear" w:color="auto" w:fill="D6F3E8"/>
          </w:tcPr>
          <w:p>
            <w:pPr>
              <w:jc w:val="right"/>
              <w:ind w:right="175"/>
              <w:spacing w:after="0"/>
              <w:rPr>
                <w:sz w:val="20"/>
                <w:szCs w:val="20"/>
                <w:color w:val="auto"/>
              </w:rPr>
            </w:pPr>
            <w:r>
              <w:rPr>
                <w:rFonts w:ascii="Arial" w:cs="Arial" w:eastAsia="Arial" w:hAnsi="Arial"/>
                <w:sz w:val="18"/>
                <w:szCs w:val="18"/>
                <w:color w:val="auto"/>
              </w:rPr>
              <w:t>(52,858)</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(Benefit) provision for taxes</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(14,367)</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6,035</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(20,402)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(loss) income</w:t>
            </w:r>
          </w:p>
        </w:tc>
        <w:tc>
          <w:tcPr>
            <w:tcW w:w="52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(19,977)</w:t>
            </w:r>
          </w:p>
        </w:tc>
        <w:tc>
          <w:tcPr>
            <w:tcW w:w="960" w:type="dxa"/>
            <w:vAlign w:val="bottom"/>
            <w:tcBorders>
              <w:bottom w:val="single" w:sz="8" w:color="auto"/>
            </w:tcBorders>
            <w:shd w:val="clear" w:color="auto" w:fill="D6F3E8"/>
          </w:tcPr>
          <w:p>
            <w:pPr>
              <w:jc w:val="right"/>
              <w:ind w:right="56"/>
              <w:spacing w:after="0"/>
              <w:rPr>
                <w:sz w:val="20"/>
                <w:szCs w:val="20"/>
                <w:color w:val="auto"/>
              </w:rPr>
            </w:pPr>
            <w:r>
              <w:rPr>
                <w:rFonts w:ascii="Arial" w:cs="Arial" w:eastAsia="Arial" w:hAnsi="Arial"/>
                <w:sz w:val="18"/>
                <w:szCs w:val="18"/>
                <w:color w:val="auto"/>
              </w:rPr>
              <w:t>(19.7)</w:t>
            </w:r>
          </w:p>
        </w:tc>
        <w:tc>
          <w:tcPr>
            <w:tcW w:w="280" w:type="dxa"/>
            <w:vAlign w:val="bottom"/>
            <w:tcBorders>
              <w:bottom w:val="single" w:sz="8" w:color="auto"/>
            </w:tcBorders>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12,479</w:t>
            </w:r>
          </w:p>
        </w:tc>
        <w:tc>
          <w:tcPr>
            <w:tcW w:w="1580" w:type="dxa"/>
            <w:vAlign w:val="bottom"/>
            <w:tcBorders>
              <w:bottom w:val="single" w:sz="8" w:color="auto"/>
            </w:tcBorders>
            <w:shd w:val="clear" w:color="auto" w:fill="D6F3E8"/>
          </w:tcPr>
          <w:p>
            <w:pPr>
              <w:jc w:val="right"/>
              <w:ind w:right="256"/>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6F3E8"/>
          </w:tcPr>
          <w:p>
            <w:pPr>
              <w:jc w:val="right"/>
              <w:ind w:right="175"/>
              <w:spacing w:after="0"/>
              <w:rPr>
                <w:sz w:val="20"/>
                <w:szCs w:val="20"/>
                <w:color w:val="auto"/>
              </w:rPr>
            </w:pPr>
            <w:r>
              <w:rPr>
                <w:rFonts w:ascii="Arial" w:cs="Arial" w:eastAsia="Arial" w:hAnsi="Arial"/>
                <w:sz w:val="18"/>
                <w:szCs w:val="18"/>
                <w:color w:val="auto"/>
              </w:rPr>
              <w:t>(32,456)</w:t>
            </w: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344"/>
        </w:trPr>
        <w:tc>
          <w:tcPr>
            <w:tcW w:w="3500" w:type="dxa"/>
            <w:vAlign w:val="bottom"/>
            <w:gridSpan w:val="2"/>
          </w:tcPr>
          <w:p>
            <w:pPr>
              <w:spacing w:after="0"/>
              <w:rPr>
                <w:sz w:val="20"/>
                <w:szCs w:val="20"/>
                <w:color w:val="auto"/>
              </w:rPr>
            </w:pPr>
            <w:r>
              <w:rPr>
                <w:rFonts w:ascii="Arial" w:cs="Arial" w:eastAsia="Arial" w:hAnsi="Arial"/>
                <w:sz w:val="18"/>
                <w:szCs w:val="18"/>
                <w:color w:val="auto"/>
              </w:rPr>
              <w:t>Diluted (loss) income per share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(0.69)</w:t>
            </w:r>
          </w:p>
        </w:tc>
        <w:tc>
          <w:tcPr>
            <w:tcW w:w="9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0.43</w:t>
            </w:r>
          </w:p>
        </w:tc>
        <w:tc>
          <w:tcPr>
            <w:tcW w:w="15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5"/>
              <w:spacing w:after="0"/>
              <w:rPr>
                <w:sz w:val="20"/>
                <w:szCs w:val="20"/>
                <w:color w:val="auto"/>
              </w:rPr>
            </w:pPr>
            <w:r>
              <w:rPr>
                <w:rFonts w:ascii="Arial" w:cs="Arial" w:eastAsia="Arial" w:hAnsi="Arial"/>
                <w:sz w:val="18"/>
                <w:szCs w:val="18"/>
                <w:color w:val="auto"/>
              </w:rPr>
              <w:t>(1.12)</w:t>
            </w:r>
          </w:p>
        </w:tc>
        <w:tc>
          <w:tcPr>
            <w:tcW w:w="1040" w:type="dxa"/>
            <w:vAlign w:val="bottom"/>
          </w:tcPr>
          <w:p>
            <w:pPr>
              <w:jc w:val="right"/>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0"/>
        </w:trPr>
        <w:tc>
          <w:tcPr>
            <w:tcW w:w="3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3480" w:type="dxa"/>
            <w:vAlign w:val="bottom"/>
            <w:tcBorders>
              <w:bottom w:val="single" w:sz="8" w:color="D6F3E8"/>
            </w:tcBorders>
            <w:shd w:val="clear" w:color="auto" w:fill="D6F3E8"/>
          </w:tcPr>
          <w:p>
            <w:pPr>
              <w:spacing w:after="0" w:line="198" w:lineRule="exact"/>
              <w:rPr>
                <w:sz w:val="20"/>
                <w:szCs w:val="20"/>
                <w:color w:val="auto"/>
              </w:rPr>
            </w:pPr>
            <w:r>
              <w:rPr>
                <w:rFonts w:ascii="Arial" w:cs="Arial" w:eastAsia="Arial" w:hAnsi="Arial"/>
                <w:sz w:val="18"/>
                <w:szCs w:val="18"/>
                <w:color w:val="auto"/>
              </w:rPr>
              <w:t>Fully diluted average share outstanding</w:t>
            </w:r>
          </w:p>
        </w:tc>
        <w:tc>
          <w:tcPr>
            <w:tcW w:w="520" w:type="dxa"/>
            <w:vAlign w:val="bottom"/>
            <w:tcBorders>
              <w:bottom w:val="single" w:sz="8" w:color="D6F3E8"/>
            </w:tcBorders>
            <w:shd w:val="clear" w:color="auto" w:fill="D6F3E8"/>
          </w:tcPr>
          <w:p>
            <w:pPr>
              <w:spacing w:after="0"/>
              <w:rPr>
                <w:sz w:val="20"/>
                <w:szCs w:val="20"/>
                <w:color w:val="auto"/>
              </w:rPr>
            </w:pPr>
          </w:p>
        </w:tc>
        <w:tc>
          <w:tcPr>
            <w:tcW w:w="120" w:type="dxa"/>
            <w:vAlign w:val="bottom"/>
            <w:tcBorders>
              <w:bottom w:val="single" w:sz="8" w:color="auto"/>
            </w:tcBorders>
            <w:shd w:val="clear" w:color="auto" w:fill="D6F3E8"/>
          </w:tcPr>
          <w:p>
            <w:pPr>
              <w:spacing w:after="0"/>
              <w:rPr>
                <w:sz w:val="20"/>
                <w:szCs w:val="20"/>
                <w:color w:val="auto"/>
              </w:rPr>
            </w:pPr>
          </w:p>
        </w:tc>
        <w:tc>
          <w:tcPr>
            <w:tcW w:w="920" w:type="dxa"/>
            <w:vAlign w:val="bottom"/>
            <w:tcBorders>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rPr>
              <w:t>29,041</w:t>
            </w:r>
          </w:p>
        </w:tc>
        <w:tc>
          <w:tcPr>
            <w:tcW w:w="520" w:type="dxa"/>
            <w:vAlign w:val="bottom"/>
            <w:tcBorders>
              <w:bottom w:val="single" w:sz="8" w:color="D6F3E8"/>
            </w:tcBorders>
            <w:shd w:val="clear" w:color="auto" w:fill="D6F3E8"/>
          </w:tcPr>
          <w:p>
            <w:pPr>
              <w:spacing w:after="0"/>
              <w:rPr>
                <w:sz w:val="20"/>
                <w:szCs w:val="20"/>
                <w:color w:val="auto"/>
              </w:rPr>
            </w:pPr>
          </w:p>
        </w:tc>
        <w:tc>
          <w:tcPr>
            <w:tcW w:w="960" w:type="dxa"/>
            <w:vAlign w:val="bottom"/>
            <w:tcBorders>
              <w:bottom w:val="single" w:sz="8" w:color="D6F3E8"/>
            </w:tcBorders>
            <w:shd w:val="clear" w:color="auto" w:fill="D6F3E8"/>
          </w:tcPr>
          <w:p>
            <w:pPr>
              <w:spacing w:after="0"/>
              <w:rPr>
                <w:sz w:val="20"/>
                <w:szCs w:val="20"/>
                <w:color w:val="auto"/>
              </w:rPr>
            </w:pPr>
          </w:p>
        </w:tc>
        <w:tc>
          <w:tcPr>
            <w:tcW w:w="140" w:type="dxa"/>
            <w:vAlign w:val="bottom"/>
            <w:tcBorders>
              <w:bottom w:val="single" w:sz="8" w:color="D6F3E8"/>
            </w:tcBorders>
            <w:shd w:val="clear" w:color="auto" w:fill="D6F3E8"/>
          </w:tcPr>
          <w:p>
            <w:pPr>
              <w:spacing w:after="0"/>
              <w:rPr>
                <w:sz w:val="20"/>
                <w:szCs w:val="20"/>
                <w:color w:val="auto"/>
              </w:rPr>
            </w:pPr>
          </w:p>
        </w:tc>
        <w:tc>
          <w:tcPr>
            <w:tcW w:w="140" w:type="dxa"/>
            <w:vAlign w:val="bottom"/>
            <w:tcBorders>
              <w:bottom w:val="single" w:sz="8" w:color="auto"/>
            </w:tcBorders>
            <w:shd w:val="clear" w:color="auto" w:fill="D6F3E8"/>
          </w:tcPr>
          <w:p>
            <w:pPr>
              <w:spacing w:after="0"/>
              <w:rPr>
                <w:sz w:val="20"/>
                <w:szCs w:val="20"/>
                <w:color w:val="auto"/>
              </w:rPr>
            </w:pPr>
          </w:p>
        </w:tc>
        <w:tc>
          <w:tcPr>
            <w:tcW w:w="760" w:type="dxa"/>
            <w:vAlign w:val="bottom"/>
            <w:tcBorders>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rPr>
              <w:t>29,245</w:t>
            </w:r>
          </w:p>
        </w:tc>
        <w:tc>
          <w:tcPr>
            <w:tcW w:w="1580" w:type="dxa"/>
            <w:vAlign w:val="bottom"/>
            <w:tcBorders>
              <w:bottom w:val="single" w:sz="8" w:color="D6F3E8"/>
            </w:tcBorders>
            <w:shd w:val="clear" w:color="auto" w:fill="D6F3E8"/>
          </w:tcPr>
          <w:p>
            <w:pPr>
              <w:spacing w:after="0"/>
              <w:rPr>
                <w:sz w:val="20"/>
                <w:szCs w:val="20"/>
                <w:color w:val="auto"/>
              </w:rPr>
            </w:pPr>
          </w:p>
        </w:tc>
        <w:tc>
          <w:tcPr>
            <w:tcW w:w="120" w:type="dxa"/>
            <w:vAlign w:val="bottom"/>
            <w:tcBorders>
              <w:bottom w:val="single" w:sz="8" w:color="auto"/>
            </w:tcBorders>
            <w:shd w:val="clear" w:color="auto" w:fill="D6F3E8"/>
          </w:tcPr>
          <w:p>
            <w:pPr>
              <w:spacing w:after="0"/>
              <w:rPr>
                <w:sz w:val="20"/>
                <w:szCs w:val="20"/>
                <w:color w:val="auto"/>
              </w:rPr>
            </w:pPr>
          </w:p>
        </w:tc>
        <w:tc>
          <w:tcPr>
            <w:tcW w:w="1100" w:type="dxa"/>
            <w:vAlign w:val="bottom"/>
            <w:tcBorders>
              <w:bottom w:val="single" w:sz="8" w:color="auto"/>
            </w:tcBorders>
            <w:shd w:val="clear" w:color="auto" w:fill="D6F3E8"/>
          </w:tcPr>
          <w:p>
            <w:pPr>
              <w:jc w:val="right"/>
              <w:ind w:right="175"/>
              <w:spacing w:after="0" w:line="198" w:lineRule="exact"/>
              <w:rPr>
                <w:sz w:val="20"/>
                <w:szCs w:val="20"/>
                <w:color w:val="auto"/>
              </w:rPr>
            </w:pPr>
            <w:r>
              <w:rPr>
                <w:rFonts w:ascii="Arial" w:cs="Arial" w:eastAsia="Arial" w:hAnsi="Arial"/>
                <w:sz w:val="18"/>
                <w:szCs w:val="18"/>
                <w:color w:val="auto"/>
              </w:rPr>
              <w:t>(204)</w:t>
            </w:r>
          </w:p>
        </w:tc>
        <w:tc>
          <w:tcPr>
            <w:tcW w:w="1040" w:type="dxa"/>
            <w:vAlign w:val="bottom"/>
            <w:tcBorders>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411"/>
        </w:trPr>
        <w:tc>
          <w:tcPr>
            <w:tcW w:w="3500" w:type="dxa"/>
            <w:vAlign w:val="bottom"/>
            <w:gridSpan w:val="2"/>
          </w:tcPr>
          <w:p>
            <w:pPr>
              <w:spacing w:after="0"/>
              <w:rPr>
                <w:sz w:val="20"/>
                <w:szCs w:val="20"/>
                <w:color w:val="auto"/>
              </w:rPr>
            </w:pPr>
            <w:r>
              <w:rPr>
                <w:rFonts w:ascii="Arial" w:cs="Arial" w:eastAsia="Arial" w:hAnsi="Arial"/>
                <w:sz w:val="18"/>
                <w:szCs w:val="18"/>
                <w:color w:val="auto"/>
              </w:rPr>
              <w:t>Unit deliveries consisted of the following:</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left="518"/>
              <w:spacing w:after="0"/>
              <w:rPr>
                <w:sz w:val="20"/>
                <w:szCs w:val="20"/>
                <w:color w:val="auto"/>
              </w:rPr>
            </w:pPr>
            <w:r>
              <w:rPr>
                <w:rFonts w:ascii="Arial" w:cs="Arial" w:eastAsia="Arial" w:hAnsi="Arial"/>
                <w:sz w:val="14"/>
                <w:szCs w:val="14"/>
                <w:b w:val="1"/>
                <w:bCs w:val="1"/>
                <w:color w:val="auto"/>
                <w:w w:val="86"/>
              </w:rPr>
              <w:t>Twenty-Six</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2"/>
          </w:tcPr>
          <w:p>
            <w:pPr>
              <w:ind w:left="520"/>
              <w:spacing w:after="0"/>
              <w:rPr>
                <w:sz w:val="20"/>
                <w:szCs w:val="20"/>
                <w:color w:val="auto"/>
              </w:rPr>
            </w:pPr>
            <w:r>
              <w:rPr>
                <w:rFonts w:ascii="Arial" w:cs="Arial" w:eastAsia="Arial" w:hAnsi="Arial"/>
                <w:sz w:val="14"/>
                <w:szCs w:val="14"/>
                <w:b w:val="1"/>
                <w:bCs w:val="1"/>
                <w:color w:val="auto"/>
              </w:rPr>
              <w:t>Twenty-Seven</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558"/>
              <w:spacing w:after="0"/>
              <w:rPr>
                <w:sz w:val="20"/>
                <w:szCs w:val="20"/>
                <w:color w:val="auto"/>
              </w:rPr>
            </w:pPr>
            <w:r>
              <w:rPr>
                <w:rFonts w:ascii="Arial" w:cs="Arial" w:eastAsia="Arial" w:hAnsi="Arial"/>
                <w:sz w:val="14"/>
                <w:szCs w:val="14"/>
                <w:b w:val="1"/>
                <w:bCs w:val="1"/>
                <w:color w:val="auto"/>
                <w:w w:val="87"/>
              </w:rPr>
              <w:t>Weeks Ended</w:t>
            </w: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Weeks Ended</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91"/>
              </w:rPr>
              <w:t>February 28,</w:t>
            </w:r>
          </w:p>
        </w:tc>
        <w:tc>
          <w:tcPr>
            <w:tcW w:w="960" w:type="dxa"/>
            <w:vAlign w:val="bottom"/>
          </w:tcPr>
          <w:p>
            <w:pPr>
              <w:jc w:val="center"/>
              <w:ind w:right="316"/>
              <w:spacing w:after="0" w:line="129" w:lineRule="exact"/>
              <w:rPr>
                <w:sz w:val="20"/>
                <w:szCs w:val="20"/>
                <w:color w:val="auto"/>
              </w:rPr>
            </w:pPr>
            <w:r>
              <w:rPr>
                <w:rFonts w:ascii="Arial" w:cs="Arial" w:eastAsia="Arial" w:hAnsi="Arial"/>
                <w:sz w:val="14"/>
                <w:szCs w:val="14"/>
                <w:b w:val="1"/>
                <w:bCs w:val="1"/>
                <w:color w:val="auto"/>
                <w:w w:val="90"/>
              </w:rPr>
              <w:t>Product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91"/>
              </w:rPr>
              <w:t>March 1,</w:t>
            </w:r>
          </w:p>
        </w:tc>
        <w:tc>
          <w:tcPr>
            <w:tcW w:w="1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Product</w:t>
            </w:r>
          </w:p>
        </w:tc>
        <w:tc>
          <w:tcPr>
            <w:tcW w:w="120" w:type="dxa"/>
            <w:vAlign w:val="bottom"/>
          </w:tcPr>
          <w:p>
            <w:pPr>
              <w:spacing w:after="0"/>
              <w:rPr>
                <w:sz w:val="11"/>
                <w:szCs w:val="11"/>
                <w:color w:val="auto"/>
              </w:rPr>
            </w:pPr>
          </w:p>
        </w:tc>
        <w:tc>
          <w:tcPr>
            <w:tcW w:w="1100" w:type="dxa"/>
            <w:vAlign w:val="bottom"/>
          </w:tcPr>
          <w:p>
            <w:pPr>
              <w:jc w:val="center"/>
              <w:ind w:right="335"/>
              <w:spacing w:after="0" w:line="129" w:lineRule="exact"/>
              <w:rPr>
                <w:sz w:val="20"/>
                <w:szCs w:val="20"/>
                <w:color w:val="auto"/>
              </w:rPr>
            </w:pPr>
            <w:r>
              <w:rPr>
                <w:rFonts w:ascii="Arial" w:cs="Arial" w:eastAsia="Arial" w:hAnsi="Arial"/>
                <w:sz w:val="14"/>
                <w:szCs w:val="14"/>
                <w:b w:val="1"/>
                <w:bCs w:val="1"/>
                <w:color w:val="auto"/>
                <w:w w:val="83"/>
              </w:rPr>
              <w:t>(Decrease)</w:t>
            </w: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61"/>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units)</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2009</w:t>
            </w: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rPr>
              <w:t>Mix %</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3"/>
              </w:rPr>
              <w:t>2008</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Mix %</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w w:val="84"/>
              </w:rPr>
              <w:t>Increase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Class A gas</w:t>
            </w:r>
          </w:p>
        </w:tc>
        <w:tc>
          <w:tcPr>
            <w:tcW w:w="5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242</w:t>
            </w:r>
          </w:p>
        </w:tc>
        <w:tc>
          <w:tcPr>
            <w:tcW w:w="520" w:type="dxa"/>
            <w:vAlign w:val="bottom"/>
            <w:shd w:val="clear" w:color="auto" w:fill="D6F3E8"/>
          </w:tcPr>
          <w:p>
            <w:pPr>
              <w:spacing w:after="0"/>
              <w:rPr>
                <w:sz w:val="18"/>
                <w:szCs w:val="18"/>
                <w:color w:val="auto"/>
              </w:rPr>
            </w:pPr>
          </w:p>
        </w:tc>
        <w:tc>
          <w:tcPr>
            <w:tcW w:w="96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1,387</w:t>
            </w:r>
          </w:p>
        </w:tc>
        <w:tc>
          <w:tcPr>
            <w:tcW w:w="1580" w:type="dxa"/>
            <w:vAlign w:val="bottom"/>
            <w:shd w:val="clear" w:color="auto" w:fill="D6F3E8"/>
          </w:tcPr>
          <w:p>
            <w:pPr>
              <w:jc w:val="right"/>
              <w:ind w:right="256"/>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D6F3E8"/>
          </w:tcPr>
          <w:p>
            <w:pPr>
              <w:spacing w:after="0"/>
              <w:rPr>
                <w:sz w:val="18"/>
                <w:szCs w:val="18"/>
                <w:color w:val="auto"/>
              </w:rPr>
            </w:pPr>
          </w:p>
        </w:tc>
        <w:tc>
          <w:tcPr>
            <w:tcW w:w="1100" w:type="dxa"/>
            <w:vAlign w:val="bottom"/>
            <w:shd w:val="clear" w:color="auto" w:fill="D6F3E8"/>
          </w:tcPr>
          <w:p>
            <w:pPr>
              <w:jc w:val="right"/>
              <w:ind w:right="175"/>
              <w:spacing w:after="0"/>
              <w:rPr>
                <w:sz w:val="20"/>
                <w:szCs w:val="20"/>
                <w:color w:val="auto"/>
              </w:rPr>
            </w:pPr>
            <w:r>
              <w:rPr>
                <w:rFonts w:ascii="Arial" w:cs="Arial" w:eastAsia="Arial" w:hAnsi="Arial"/>
                <w:sz w:val="18"/>
                <w:szCs w:val="18"/>
                <w:color w:val="auto"/>
              </w:rPr>
              <w:t>(1,145)</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Class A diesel</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16.8</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(487)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Total Class A</w:t>
            </w:r>
          </w:p>
        </w:tc>
        <w:tc>
          <w:tcPr>
            <w:tcW w:w="5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405</w:t>
            </w:r>
          </w:p>
        </w:tc>
        <w:tc>
          <w:tcPr>
            <w:tcW w:w="520" w:type="dxa"/>
            <w:vAlign w:val="bottom"/>
            <w:shd w:val="clear" w:color="auto" w:fill="D6F3E8"/>
          </w:tcPr>
          <w:p>
            <w:pPr>
              <w:spacing w:after="0"/>
              <w:rPr>
                <w:sz w:val="18"/>
                <w:szCs w:val="18"/>
                <w:color w:val="auto"/>
              </w:rPr>
            </w:pPr>
          </w:p>
        </w:tc>
        <w:tc>
          <w:tcPr>
            <w:tcW w:w="96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2,037</w:t>
            </w:r>
          </w:p>
        </w:tc>
        <w:tc>
          <w:tcPr>
            <w:tcW w:w="1580" w:type="dxa"/>
            <w:vAlign w:val="bottom"/>
            <w:shd w:val="clear" w:color="auto" w:fill="D6F3E8"/>
          </w:tcPr>
          <w:p>
            <w:pPr>
              <w:jc w:val="right"/>
              <w:ind w:right="256"/>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D6F3E8"/>
          </w:tcPr>
          <w:p>
            <w:pPr>
              <w:spacing w:after="0"/>
              <w:rPr>
                <w:sz w:val="18"/>
                <w:szCs w:val="18"/>
                <w:color w:val="auto"/>
              </w:rPr>
            </w:pPr>
          </w:p>
        </w:tc>
        <w:tc>
          <w:tcPr>
            <w:tcW w:w="1100" w:type="dxa"/>
            <w:vAlign w:val="bottom"/>
            <w:shd w:val="clear" w:color="auto" w:fill="D6F3E8"/>
          </w:tcPr>
          <w:p>
            <w:pPr>
              <w:jc w:val="right"/>
              <w:ind w:right="175"/>
              <w:spacing w:after="0"/>
              <w:rPr>
                <w:sz w:val="20"/>
                <w:szCs w:val="20"/>
                <w:color w:val="auto"/>
              </w:rPr>
            </w:pPr>
            <w:r>
              <w:rPr>
                <w:rFonts w:ascii="Arial" w:cs="Arial" w:eastAsia="Arial" w:hAnsi="Arial"/>
                <w:sz w:val="18"/>
                <w:szCs w:val="18"/>
                <w:color w:val="auto"/>
              </w:rPr>
              <w:t>(1,632)</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Class B</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18"/>
                <w:szCs w:val="18"/>
                <w:color w:val="auto"/>
              </w:rPr>
            </w:pPr>
          </w:p>
        </w:tc>
        <w:tc>
          <w:tcPr>
            <w:tcW w:w="960" w:type="dxa"/>
            <w:vAlign w:val="bottom"/>
          </w:tcPr>
          <w:p>
            <w:pPr>
              <w:jc w:val="right"/>
              <w:ind w:right="116"/>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5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235"/>
              <w:spacing w:after="0"/>
              <w:rPr>
                <w:sz w:val="20"/>
                <w:szCs w:val="20"/>
                <w:color w:val="auto"/>
              </w:rPr>
            </w:pPr>
            <w:r>
              <w:rPr>
                <w:rFonts w:ascii="Arial" w:cs="Arial" w:eastAsia="Arial" w:hAnsi="Arial"/>
                <w:sz w:val="18"/>
                <w:szCs w:val="18"/>
                <w:color w:val="auto"/>
              </w:rPr>
              <w:t>42</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Class C</w:t>
            </w:r>
          </w:p>
        </w:tc>
        <w:tc>
          <w:tcPr>
            <w:tcW w:w="52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523</w:t>
            </w:r>
          </w:p>
        </w:tc>
        <w:tc>
          <w:tcPr>
            <w:tcW w:w="520" w:type="dxa"/>
            <w:vAlign w:val="bottom"/>
            <w:tcBorders>
              <w:bottom w:val="single" w:sz="8" w:color="auto"/>
            </w:tcBorders>
            <w:shd w:val="clear" w:color="auto" w:fill="D6F3E8"/>
          </w:tcPr>
          <w:p>
            <w:pPr>
              <w:spacing w:after="0"/>
              <w:rPr>
                <w:sz w:val="18"/>
                <w:szCs w:val="18"/>
                <w:color w:val="auto"/>
              </w:rPr>
            </w:pPr>
          </w:p>
        </w:tc>
        <w:tc>
          <w:tcPr>
            <w:tcW w:w="960" w:type="dxa"/>
            <w:vAlign w:val="bottom"/>
            <w:tcBorders>
              <w:bottom w:val="single" w:sz="8" w:color="auto"/>
            </w:tcBorders>
            <w:shd w:val="clear" w:color="auto" w:fill="D6F3E8"/>
          </w:tcPr>
          <w:p>
            <w:pPr>
              <w:jc w:val="right"/>
              <w:ind w:right="116"/>
              <w:spacing w:after="0"/>
              <w:rPr>
                <w:sz w:val="20"/>
                <w:szCs w:val="20"/>
                <w:color w:val="auto"/>
              </w:rPr>
            </w:pPr>
            <w:r>
              <w:rPr>
                <w:rFonts w:ascii="Arial" w:cs="Arial" w:eastAsia="Arial" w:hAnsi="Arial"/>
                <w:sz w:val="18"/>
                <w:szCs w:val="18"/>
                <w:color w:val="auto"/>
              </w:rPr>
              <w:t>53.9</w:t>
            </w:r>
          </w:p>
        </w:tc>
        <w:tc>
          <w:tcPr>
            <w:tcW w:w="140" w:type="dxa"/>
            <w:vAlign w:val="bottom"/>
            <w:tcBorders>
              <w:bottom w:val="single" w:sz="8" w:color="auto"/>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7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1,814</w:t>
            </w:r>
          </w:p>
        </w:tc>
        <w:tc>
          <w:tcPr>
            <w:tcW w:w="1580" w:type="dxa"/>
            <w:vAlign w:val="bottom"/>
            <w:tcBorders>
              <w:bottom w:val="single" w:sz="8" w:color="auto"/>
            </w:tcBorders>
            <w:shd w:val="clear" w:color="auto" w:fill="D6F3E8"/>
          </w:tcPr>
          <w:p>
            <w:pPr>
              <w:jc w:val="right"/>
              <w:ind w:right="256"/>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ind w:right="175"/>
              <w:spacing w:after="0"/>
              <w:rPr>
                <w:sz w:val="20"/>
                <w:szCs w:val="20"/>
                <w:color w:val="auto"/>
              </w:rPr>
            </w:pPr>
            <w:r>
              <w:rPr>
                <w:rFonts w:ascii="Arial" w:cs="Arial" w:eastAsia="Arial" w:hAnsi="Arial"/>
                <w:sz w:val="18"/>
                <w:szCs w:val="18"/>
                <w:color w:val="auto"/>
              </w:rPr>
              <w:t>(1,291)</w:t>
            </w: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140"/>
              <w:spacing w:after="0"/>
              <w:rPr>
                <w:sz w:val="20"/>
                <w:szCs w:val="20"/>
                <w:color w:val="auto"/>
              </w:rPr>
            </w:pPr>
            <w:r>
              <w:rPr>
                <w:rFonts w:ascii="Arial" w:cs="Arial" w:eastAsia="Arial" w:hAnsi="Arial"/>
                <w:sz w:val="18"/>
                <w:szCs w:val="18"/>
                <w:color w:val="auto"/>
              </w:rPr>
              <w:t>Total deliveries</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(2,881)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Net revenues for the twenty-six weeks ended February 28, 2009 decreased $278.1 million, or 73.3 percent, due to the following:</w:t>
      </w:r>
    </w:p>
    <w:p>
      <w:pPr>
        <w:spacing w:after="0" w:line="158"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Volume decline: The primary reason for the net revenue decline was due to unit deliveries decreasing by 74.8 percent.</w:t>
      </w:r>
    </w:p>
    <w:p>
      <w:pPr>
        <w:spacing w:after="0" w:line="157" w:lineRule="exact"/>
        <w:rPr>
          <w:rFonts w:ascii="Arial" w:cs="Arial" w:eastAsia="Arial" w:hAnsi="Arial"/>
          <w:sz w:val="18"/>
          <w:szCs w:val="18"/>
          <w:color w:val="auto"/>
        </w:rPr>
      </w:pPr>
    </w:p>
    <w:p>
      <w:pPr>
        <w:ind w:left="580" w:right="220" w:hanging="572"/>
        <w:spacing w:after="0" w:line="256"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and mix: Our motor home ASP, net of discounts, was essentially flat. Price increases associated with the current model year were offset by increased wholesale discounts and a higher mix of lower priced products. Our sales mix for the first twenty-six weeks of Fiscal 2009 was more heavily weighted to lower priced products as 58.3 percent of our volume was Class C and Class B products as compared to a 47.1 percent mix of Class C and Class B products in the first twenty-seven weeks of Fiscal 2008.</w:t>
      </w:r>
    </w:p>
    <w:p>
      <w:pPr>
        <w:spacing w:after="0" w:line="129" w:lineRule="exact"/>
        <w:rPr>
          <w:rFonts w:ascii="Arial" w:cs="Arial" w:eastAsia="Arial" w:hAnsi="Arial"/>
          <w:sz w:val="18"/>
          <w:szCs w:val="18"/>
          <w:color w:val="auto"/>
        </w:rPr>
      </w:pPr>
    </w:p>
    <w:p>
      <w:pPr>
        <w:ind w:left="580" w:right="40" w:hanging="572"/>
        <w:spacing w:after="0" w:line="306"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Promotional incentives: Our retail and other incentives increased 2.8 percent (as a percentage of net revenues) due to increased retail promotional activity on significantly lower revenues. We have retail incentive programs in place to help stimulate dealer retail traffic and these programs have had a substantial impact in reducing dealer inventory level, as our dealer inventory in units is down 39.7 percent year over year.</w:t>
      </w:r>
    </w:p>
    <w:p>
      <w:pPr>
        <w:spacing w:after="0" w:line="93" w:lineRule="exact"/>
        <w:rPr>
          <w:rFonts w:ascii="Arial" w:cs="Arial" w:eastAsia="Arial" w:hAnsi="Arial"/>
          <w:sz w:val="16"/>
          <w:szCs w:val="16"/>
          <w:color w:val="auto"/>
        </w:rPr>
      </w:pPr>
    </w:p>
    <w:p>
      <w:pPr>
        <w:ind w:left="580" w:right="300" w:hanging="572"/>
        <w:spacing w:after="0" w:line="335" w:lineRule="auto"/>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Repurchase activity: Our repurchase loss reserve provision, which is a deduction from gross revenues, increased 3.0 percent (as a percentage of net revenues). In the past two quarters, we have incurred a significant increase in the number of units we have had to repurchase and the losses associated with reselling these units due to the challenging motor home industry conditions. As a result, we have also increased the repurchase loss reserve.</w:t>
      </w:r>
    </w:p>
    <w:p>
      <w:pPr>
        <w:spacing w:after="0" w:line="74" w:lineRule="exact"/>
        <w:rPr>
          <w:rFonts w:ascii="Arial" w:cs="Arial" w:eastAsia="Arial" w:hAnsi="Arial"/>
          <w:sz w:val="15"/>
          <w:szCs w:val="15"/>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Revenues for motor home parts and services and other manufactured products decreased by 32.1 percent.</w:t>
      </w:r>
    </w:p>
    <w:p>
      <w:pPr>
        <w:spacing w:after="0" w:line="158"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Gross (deficit) profit for the twenty-six weeks ended February 28, 2009 was a deficit of $20.7 million, or (20.4 percent) of net revenues, compared to a gross profit of $37.8 million or 10.0 percent of net revenues during the twenty-seven weeks ended March 1, 2008. The deterioration of margin was primarily due to a significant reduction in production resulting in lower absorption of fixed costs. Also contributing to the reduced margins were additional wholesale and retail promotional programs as well as an increase in the repurchase reserve provision.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Selling expenses decreased $3.4 million, or 34.3 percent, for the twenty-six weeks ended February 28, 2009 but, as a percent of net revenues, selling expenses were 6.4 percent and 2.6 percent during the twenty-six weeks ended February 28, 2009 and the twenty-seven weeks ended March 1, 2008, respectively. The decrease in dollars for the twenty-six weeks ended February 28, 2009 was due to reductions in advertising expenses of $1.2 million, labor-related expenses of $750,000 as a result of reduced headcount, salesmen incentives of $400,000 and stock compensation.</w:t>
      </w:r>
    </w:p>
    <w:p>
      <w:pPr>
        <w:spacing w:after="0" w:line="16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General and administrative expenses decreased $3.6 million, or 30.0 percent, for the twenty-six weeks ended February 28, 2009 but, as a percent of net revenues, general and administrative expenses were 8.2 percent and 3.1 percent during the twenty-six weeks ended February 28, 2009 and the twenty-seven weeks ended March 1, 2008, respectively. The decrease in dollars for the twenty-six weeks ended February 28, 2009 was due to reductions of $1.6 million in management incentive compensation expense, labor-related expenses of $850,000, as a result of reduced headcount, product liability expenses of $500,000 and legal expenses of $250,000. Also during the twenty-six weeks ended February 28, 2009, we incurred ongoing expenses of $650,000 on our idle facilities. During the twenty-seven weeks ended March 1, 2008, $500,000 in severance payments were made in connection with our restructuring activities.</w:t>
      </w:r>
    </w:p>
    <w:p>
      <w:pPr>
        <w:spacing w:after="0" w:line="1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Financial income decreased $1.3 million, or 53.3 percent, for the twenty-six weeks ended February 28, 2009. The decrease in financial income was due primarily to a decrease in the average yield of 2.5 percent and to a lesser extent due to a decrease in average investment balances of approximately $31.0 million. In addition, the realized impairment on ARS of $403,000 was partially offset by the valuation of the Put Options of $375,000. See Note 4 to the Consolidated Financial Statements.</w:t>
      </w:r>
    </w:p>
    <w:p>
      <w:pPr>
        <w:spacing w:after="0" w:line="19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overall effective income tax rate for the twenty-six weeks ended February 28, 2009 was a benefit of (41.8 percent) compared to an expense of 32.6 percent for the twenty-seven weeks ended March 1, 2008. The following table breaks down the two aforementioned tax rates: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left="484"/>
              <w:spacing w:after="0"/>
              <w:rPr>
                <w:sz w:val="20"/>
                <w:szCs w:val="20"/>
                <w:color w:val="auto"/>
              </w:rPr>
            </w:pPr>
            <w:r>
              <w:rPr>
                <w:rFonts w:ascii="Arial" w:cs="Arial" w:eastAsia="Arial" w:hAnsi="Arial"/>
                <w:sz w:val="14"/>
                <w:szCs w:val="14"/>
                <w:b w:val="1"/>
                <w:bCs w:val="1"/>
                <w:color w:val="auto"/>
                <w:w w:val="89"/>
              </w:rPr>
              <w:t>Twenty-Six</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Twenty-Seven</w:t>
            </w:r>
          </w:p>
        </w:tc>
      </w:tr>
      <w:tr>
        <w:trPr>
          <w:trHeight w:val="161"/>
        </w:trPr>
        <w:tc>
          <w:tcPr>
            <w:tcW w:w="6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Weeks Ended</w:t>
            </w:r>
          </w:p>
        </w:tc>
        <w:tc>
          <w:tcPr>
            <w:tcW w:w="2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5"/>
              </w:rPr>
              <w:t>Weeks Ended</w:t>
            </w:r>
          </w:p>
        </w:tc>
      </w:tr>
      <w:tr>
        <w:trPr>
          <w:trHeight w:val="129"/>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February 28, 2009</w:t>
            </w:r>
          </w:p>
        </w:tc>
        <w:tc>
          <w:tcPr>
            <w:tcW w:w="280" w:type="dxa"/>
            <w:vAlign w:val="bottom"/>
          </w:tcPr>
          <w:p>
            <w:pPr>
              <w:spacing w:after="0"/>
              <w:rPr>
                <w:sz w:val="11"/>
                <w:szCs w:val="11"/>
                <w:color w:val="auto"/>
              </w:rPr>
            </w:pP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March 1, 2008</w:t>
            </w:r>
          </w:p>
        </w:tc>
      </w:tr>
      <w:tr>
        <w:trPr>
          <w:trHeight w:val="149"/>
        </w:trPr>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Effective</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jc w:val="right"/>
              <w:ind w:right="260"/>
              <w:spacing w:after="0" w:line="149" w:lineRule="exact"/>
              <w:rPr>
                <w:sz w:val="20"/>
                <w:szCs w:val="20"/>
                <w:color w:val="auto"/>
              </w:rPr>
            </w:pPr>
            <w:r>
              <w:rPr>
                <w:rFonts w:ascii="Arial" w:cs="Arial" w:eastAsia="Arial" w:hAnsi="Arial"/>
                <w:sz w:val="14"/>
                <w:szCs w:val="14"/>
                <w:b w:val="1"/>
                <w:bCs w:val="1"/>
                <w:color w:val="auto"/>
              </w:rPr>
              <w:t>Effective</w:t>
            </w:r>
          </w:p>
        </w:tc>
      </w:tr>
      <w:tr>
        <w:trPr>
          <w:trHeight w:val="161"/>
        </w:trPr>
        <w:tc>
          <w:tcPr>
            <w:tcW w:w="6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w w:val="98"/>
              </w:rPr>
              <w:t>Amount</w:t>
            </w: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96"/>
              </w:rPr>
              <w:t>Rate (%)</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w w:val="98"/>
              </w:rPr>
              <w:t>Amount</w:t>
            </w:r>
          </w:p>
        </w:tc>
        <w:tc>
          <w:tcPr>
            <w:tcW w:w="11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Rate (%)</w:t>
            </w:r>
          </w:p>
        </w:tc>
      </w:tr>
      <w:tr>
        <w:trPr>
          <w:trHeight w:val="250"/>
        </w:trPr>
        <w:tc>
          <w:tcPr>
            <w:tcW w:w="6600" w:type="dxa"/>
            <w:vAlign w:val="bottom"/>
            <w:shd w:val="clear" w:color="auto" w:fill="D6F3E8"/>
          </w:tcPr>
          <w:p>
            <w:pPr>
              <w:spacing w:after="0" w:line="250" w:lineRule="exact"/>
              <w:rPr>
                <w:sz w:val="20"/>
                <w:szCs w:val="20"/>
                <w:color w:val="auto"/>
              </w:rPr>
            </w:pPr>
            <w:r>
              <w:rPr>
                <w:rFonts w:ascii="Arial" w:cs="Arial" w:eastAsia="Arial" w:hAnsi="Arial"/>
                <w:sz w:val="17"/>
                <w:szCs w:val="17"/>
                <w:color w:val="auto"/>
              </w:rPr>
              <w:t xml:space="preserve">Tax (benefit) provision before discrete items </w:t>
            </w:r>
            <w:r>
              <w:rPr>
                <w:rFonts w:ascii="Arial" w:cs="Arial" w:eastAsia="Arial" w:hAnsi="Arial"/>
                <w:sz w:val="28"/>
                <w:szCs w:val="28"/>
                <w:color w:val="auto"/>
                <w:vertAlign w:val="superscript"/>
              </w:rPr>
              <w:t>(1)</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D6F3E8"/>
          </w:tcPr>
          <w:p>
            <w:pPr>
              <w:jc w:val="right"/>
              <w:ind w:right="364"/>
              <w:spacing w:after="0"/>
              <w:rPr>
                <w:sz w:val="20"/>
                <w:szCs w:val="20"/>
                <w:color w:val="auto"/>
              </w:rPr>
            </w:pPr>
            <w:r>
              <w:rPr>
                <w:rFonts w:ascii="Arial" w:cs="Arial" w:eastAsia="Arial" w:hAnsi="Arial"/>
                <w:sz w:val="18"/>
                <w:szCs w:val="18"/>
                <w:color w:val="auto"/>
              </w:rPr>
              <w:t>(13,717)</w:t>
            </w:r>
          </w:p>
        </w:tc>
        <w:tc>
          <w:tcPr>
            <w:tcW w:w="960" w:type="dxa"/>
            <w:vAlign w:val="bottom"/>
            <w:shd w:val="clear" w:color="auto" w:fill="D6F3E8"/>
          </w:tcPr>
          <w:p>
            <w:pPr>
              <w:jc w:val="right"/>
              <w:ind w:right="60"/>
              <w:spacing w:after="0"/>
              <w:rPr>
                <w:sz w:val="20"/>
                <w:szCs w:val="20"/>
                <w:color w:val="auto"/>
              </w:rPr>
            </w:pPr>
            <w:r>
              <w:rPr>
                <w:rFonts w:ascii="Arial" w:cs="Arial" w:eastAsia="Arial" w:hAnsi="Arial"/>
                <w:sz w:val="18"/>
                <w:szCs w:val="18"/>
                <w:color w:val="auto"/>
              </w:rPr>
              <w:t>(39.9)</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6F3E8"/>
          </w:tcPr>
          <w:p>
            <w:pPr>
              <w:jc w:val="right"/>
              <w:ind w:right="204"/>
              <w:spacing w:after="0"/>
              <w:rPr>
                <w:sz w:val="20"/>
                <w:szCs w:val="20"/>
                <w:color w:val="auto"/>
              </w:rPr>
            </w:pPr>
            <w:r>
              <w:rPr>
                <w:rFonts w:ascii="Arial" w:cs="Arial" w:eastAsia="Arial" w:hAnsi="Arial"/>
                <w:sz w:val="18"/>
                <w:szCs w:val="18"/>
                <w:color w:val="auto"/>
              </w:rPr>
              <w:t>6,035</w:t>
            </w:r>
          </w:p>
        </w:tc>
        <w:tc>
          <w:tcPr>
            <w:tcW w:w="1120" w:type="dxa"/>
            <w:vAlign w:val="bottom"/>
            <w:shd w:val="clear" w:color="auto" w:fill="D6F3E8"/>
          </w:tcPr>
          <w:p>
            <w:pPr>
              <w:jc w:val="right"/>
              <w:ind w:right="40"/>
              <w:spacing w:after="0"/>
              <w:rPr>
                <w:sz w:val="20"/>
                <w:szCs w:val="20"/>
                <w:color w:val="auto"/>
              </w:rPr>
            </w:pPr>
            <w:r>
              <w:rPr>
                <w:rFonts w:ascii="Arial" w:cs="Arial" w:eastAsia="Arial" w:hAnsi="Arial"/>
                <w:sz w:val="18"/>
                <w:szCs w:val="18"/>
                <w:color w:val="auto"/>
              </w:rPr>
              <w:t>32.6</w:t>
            </w:r>
          </w:p>
        </w:tc>
      </w:tr>
      <w:tr>
        <w:trPr>
          <w:trHeight w:val="257"/>
        </w:trPr>
        <w:tc>
          <w:tcPr>
            <w:tcW w:w="6600" w:type="dxa"/>
            <w:vAlign w:val="bottom"/>
          </w:tcPr>
          <w:p>
            <w:pPr>
              <w:spacing w:after="0" w:line="256" w:lineRule="exact"/>
              <w:rPr>
                <w:sz w:val="20"/>
                <w:szCs w:val="20"/>
                <w:color w:val="auto"/>
              </w:rPr>
            </w:pPr>
            <w:r>
              <w:rPr>
                <w:rFonts w:ascii="Arial" w:cs="Arial" w:eastAsia="Arial" w:hAnsi="Arial"/>
                <w:sz w:val="18"/>
                <w:szCs w:val="18"/>
                <w:color w:val="auto"/>
              </w:rPr>
              <w:t xml:space="preserve">Discrete item: tax planning initiative </w:t>
            </w:r>
            <w:r>
              <w:rPr>
                <w:rFonts w:ascii="Arial" w:cs="Arial" w:eastAsia="Arial" w:hAnsi="Arial"/>
                <w:sz w:val="29"/>
                <w:szCs w:val="29"/>
                <w:color w:val="auto"/>
                <w:vertAlign w:val="superscript"/>
              </w:rPr>
              <w:t>(2)</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64"/>
              <w:spacing w:after="0"/>
              <w:rPr>
                <w:sz w:val="20"/>
                <w:szCs w:val="20"/>
                <w:color w:val="auto"/>
              </w:rPr>
            </w:pPr>
            <w:r>
              <w:rPr>
                <w:rFonts w:ascii="Arial" w:cs="Arial" w:eastAsia="Arial" w:hAnsi="Arial"/>
                <w:sz w:val="18"/>
                <w:szCs w:val="18"/>
                <w:color w:val="auto"/>
              </w:rPr>
              <w:t>(650)</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0.0</w:t>
            </w:r>
          </w:p>
        </w:tc>
      </w:tr>
      <w:tr>
        <w:trPr>
          <w:trHeight w:val="250"/>
        </w:trPr>
        <w:tc>
          <w:tcPr>
            <w:tcW w:w="66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(benefit) provision for taxes</w:t>
            </w:r>
          </w:p>
        </w:tc>
        <w:tc>
          <w:tcPr>
            <w:tcW w:w="160" w:type="dxa"/>
            <w:vAlign w:val="bottom"/>
            <w:tcBorders>
              <w:bottom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D6F3E8"/>
          </w:tcPr>
          <w:p>
            <w:pPr>
              <w:jc w:val="right"/>
              <w:ind w:right="364"/>
              <w:spacing w:after="0"/>
              <w:rPr>
                <w:sz w:val="20"/>
                <w:szCs w:val="20"/>
                <w:color w:val="auto"/>
              </w:rPr>
            </w:pPr>
            <w:r>
              <w:rPr>
                <w:rFonts w:ascii="Arial" w:cs="Arial" w:eastAsia="Arial" w:hAnsi="Arial"/>
                <w:sz w:val="18"/>
                <w:szCs w:val="18"/>
                <w:color w:val="auto"/>
              </w:rPr>
              <w:t>(14,367)</w:t>
            </w:r>
          </w:p>
        </w:tc>
        <w:tc>
          <w:tcPr>
            <w:tcW w:w="960" w:type="dxa"/>
            <w:vAlign w:val="bottom"/>
            <w:tcBorders>
              <w:bottom w:val="single" w:sz="8" w:color="auto"/>
            </w:tcBorders>
            <w:shd w:val="clear" w:color="auto" w:fill="D6F3E8"/>
          </w:tcPr>
          <w:p>
            <w:pPr>
              <w:jc w:val="right"/>
              <w:ind w:right="60"/>
              <w:spacing w:after="0"/>
              <w:rPr>
                <w:sz w:val="20"/>
                <w:szCs w:val="20"/>
                <w:color w:val="auto"/>
              </w:rPr>
            </w:pPr>
            <w:r>
              <w:rPr>
                <w:rFonts w:ascii="Arial" w:cs="Arial" w:eastAsia="Arial" w:hAnsi="Arial"/>
                <w:sz w:val="18"/>
                <w:szCs w:val="18"/>
                <w:color w:val="auto"/>
              </w:rPr>
              <w:t>(41.8)</w:t>
            </w:r>
          </w:p>
        </w:tc>
        <w:tc>
          <w:tcPr>
            <w:tcW w:w="2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6F3E8"/>
          </w:tcPr>
          <w:p>
            <w:pPr>
              <w:jc w:val="right"/>
              <w:ind w:right="204"/>
              <w:spacing w:after="0"/>
              <w:rPr>
                <w:sz w:val="20"/>
                <w:szCs w:val="20"/>
                <w:color w:val="auto"/>
              </w:rPr>
            </w:pPr>
            <w:r>
              <w:rPr>
                <w:rFonts w:ascii="Arial" w:cs="Arial" w:eastAsia="Arial" w:hAnsi="Arial"/>
                <w:sz w:val="18"/>
                <w:szCs w:val="18"/>
                <w:color w:val="auto"/>
              </w:rPr>
              <w:t>6,035</w:t>
            </w:r>
          </w:p>
        </w:tc>
        <w:tc>
          <w:tcPr>
            <w:tcW w:w="1120" w:type="dxa"/>
            <w:vAlign w:val="bottom"/>
            <w:tcBorders>
              <w:bottom w:val="single" w:sz="8" w:color="auto"/>
            </w:tcBorders>
            <w:shd w:val="clear" w:color="auto" w:fill="D6F3E8"/>
          </w:tcPr>
          <w:p>
            <w:pPr>
              <w:jc w:val="right"/>
              <w:ind w:right="40"/>
              <w:spacing w:after="0"/>
              <w:rPr>
                <w:sz w:val="20"/>
                <w:szCs w:val="20"/>
                <w:color w:val="auto"/>
              </w:rPr>
            </w:pPr>
            <w:r>
              <w:rPr>
                <w:rFonts w:ascii="Arial" w:cs="Arial" w:eastAsia="Arial" w:hAnsi="Arial"/>
                <w:sz w:val="18"/>
                <w:szCs w:val="18"/>
                <w:color w:val="auto"/>
              </w:rPr>
              <w:t>32.6</w:t>
            </w:r>
          </w:p>
        </w:tc>
      </w:tr>
    </w:tbl>
    <w:p>
      <w:pPr>
        <w:spacing w:after="0" w:line="248" w:lineRule="exact"/>
        <w:rPr>
          <w:sz w:val="20"/>
          <w:szCs w:val="20"/>
          <w:color w:val="auto"/>
        </w:rPr>
      </w:pPr>
    </w:p>
    <w:p>
      <w:pPr>
        <w:ind w:left="580" w:right="160" w:hanging="572"/>
        <w:spacing w:after="0" w:line="228" w:lineRule="auto"/>
        <w:tabs>
          <w:tab w:leader="none" w:pos="5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The effective tax benefit rate, before discrete items, of (39.9) percent as compared to a 32.6 percent expense is primarily attributable to the twenty-six weeks ended February 28, 2009 pre-tax loss of $34.3 million versus the twenty-seven weeks ended March 1, 2008 pre-tax income of $18.5 million. Included within the first half of Fiscal 2009 pre-tax loss of $34.3 million was $1.2 million of financial income which is primarily tax-free investment income from investments in life insurance assets and student loan related securities and resulted in an increase to the tax benefit of $826,000 and increased the effective tax benefit rate by 2.4 percent. In the first half of Fiscal 2008, tax-free investment income resulted in a tax benefit of $785,000 (a 4.2 percent reduction in the effective tax rate).</w:t>
      </w:r>
    </w:p>
    <w:p>
      <w:pPr>
        <w:spacing w:after="0" w:line="2" w:lineRule="exact"/>
        <w:rPr>
          <w:rFonts w:ascii="Arial" w:cs="Arial" w:eastAsia="Arial" w:hAnsi="Arial"/>
          <w:sz w:val="29"/>
          <w:szCs w:val="29"/>
          <w:color w:val="auto"/>
          <w:vertAlign w:val="superscript"/>
        </w:rPr>
      </w:pPr>
    </w:p>
    <w:p>
      <w:pPr>
        <w:ind w:left="580" w:hanging="572"/>
        <w:spacing w:after="0" w:line="180" w:lineRule="auto"/>
        <w:tabs>
          <w:tab w:leader="none" w:pos="580"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Benefits of $650,000 were recorded due to a tax planning initiative that was recognized during the second quarter of Fiscal 2009.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totaled $27.5 million and $17.9 million as of February 28, 2009 and August 30, 2008, respectively.</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Short-term and long-term investments net of temporary impairments totaled $33.5 million as of February 28, 2009 and $40.6 million as of August 30, 2008. These investments were comprised of ARSs. During the second quarter of Fiscal 2009, we were able to redeem two separate ARSs at par value for $5.4 million. In addition, we borrowed $9.1 million on a portion of our ARS portfolio. See Note 4 to the Consolidated Financial Statements for further disclosures and developments related to our investments in ARSs.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the end of the second quarter, we had generated an income tax receivable of $19.5 million primarily due to the current year’s loss, which we have the ability to carry back to our Fiscal 2007. We filed our Fiscal 2008 federal tax return during the second quarter and in March 2009 (our third quarter), we received a federal tax refund of $5.8 million.</w:t>
      </w:r>
    </w:p>
    <w:p>
      <w:pPr>
        <w:spacing w:after="0" w:line="19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September 17, 2008, we entered into a Credit and Security Agreement with Wells Fargo (Credit Agreement). The Credit Agreement provides for a $25.0 million maximum revolving credit facility (Credit Facility), based on certain accounts receivable and inventory accounts, expiring on September 17, 2010, unless terminated earlier in accordance with its terms. Interest on loans under the Credit Agreement will be a rate equal to either LIBOR plus 1.5 percent to 2.5 percent or prime rate plus (0.75 percent) to 0.25 percent. No borrowings have been made under the Credit Facility through April 7, 2009. The Credit Facility provides increased financial flexibility and, if needed, will be used for working capital and for other general corporate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Working capital at February 28, 2009 and August 30, 2008 was $92.7 million and $108.5 million, respectively, a decrease of $15.8 million. We currently expect cash on hand, the availability on the Credit Facility and funds generated from operations (if any) to be sufficient to cover both short-term and long-term operation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Cash used in operating activities was $2.3 million for the twenty-six weeks ended February 28, 2009 compared to $12.6 million for the twenty-seven weeks ended March 1, 2008. In Fiscal 2009, inventory reductions of $37.8 million were offset by net operating losses of $20.0 million and an additional $24.5 million reduction in income taxes, accounts payable and other accrued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Cash provided by investing activities was due primarily to ARS redemptions of $8.5 million in the twenty-six weeks ended February 28, 2009 offset by capital spending of $1.3 million. During the twenty-seven weeks ended March 1, 2008, cash provided by investing activities was due to proceeds from the sale and maturity of the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Cash provided by financing activities of $5.4 million for the twenty-six weeks ended February 28, 2009 was due to a borrowing on our ARS portfolio offset by a dividend payment. On October 16, 2008, the Company announced that it would suspend cash dividends payments in order to conserve capital and maintain liquidity, pending subsequent review of the cash dividend policy throughout the remainder of the fiscal year. Primary uses of cash in financing activities for the twenty-seven weeks ended March 1, 2008 were for repurchase of Company common stock and paying dividends.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Use of Funds</w:t>
      </w:r>
    </w:p>
    <w:p>
      <w:pPr>
        <w:spacing w:after="0" w:line="23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Estimated uses of our liquid assets, at February 28, 2009 for the remainder of Fiscal 2009 consist of capital spending of approximately $2.2 million primarily for manufacturing equipment and facilities and to fund all or part of any operating losses incurred in the balance of the fiscal year.</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25"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We are exposed to market risks related to fluctuations in interest rates on marketable investments, investments underlying a company-owned life insurance program (COLI) and variable rate debt under our revolving credit facility. With respect to the COLI program, the underlying investments are subject to both interest rate risk and equity market risk. We have not drawn on the Credit Facility as of April 7, 2009. We do not currently use interest rate swaps, futures contracts or options on futures, or other types of derivative financial instruments.</w:t>
      </w:r>
    </w:p>
    <w:p>
      <w:pPr>
        <w:spacing w:after="0" w:line="16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investments are comprised of ARSs. These securities have historically traded at par and are callable at par at the option of the issuer. Interest is typically paid at the end of each auction period or semiannually. At the end of the fiscal quarter, all of the long-term ARSs we held were AAA/Aaa rated with most collateralized by student loans guaranteed by the U.S. Government under the Federal Family Education Loan Program. Until Fiscal 2008, the auction rate securities market was highly liquid. During Fiscal 2008, a substantial number of auctions “failed,” meaning that there was not enough demand to sell the entire issue of the securities that holders desired to sell at auction. The immediate effect of a failed auction is that certain holders cannot sell the securities at auction and the interest or dividend rate on the security generally resets to a maximum auction rate. In the case of a failed auction, with respect to the ARSs held by us, the ARS is deemed not currently liquid. In the case of funds invested by us in ARSs which are the subject of a failed auction, we may not be able to access the funds prior to maturity without a loss of principal, unless a future auction on these investments is successful or the issuer calls the security pursuant to a mandatory tender or redemption.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regarding our investment portfolio is detailed in Note 4 to the Consolidated Financial Statements for the period ended February 28, 2009.</w:t>
      </w:r>
    </w:p>
    <w:p>
      <w:pPr>
        <w:spacing w:after="0" w:line="24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do not believe that future market equity or interest rate risks related to our marketable investments or debt obligations will have a material impact on our results.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Exchange Act Rule 13a-15(f), to provide reasonable assurance regarding the reliability of financial reporting and the preparation of consolidated financial statements for external purposes in accordance with generally accepted accounting principles.</w:t>
      </w:r>
    </w:p>
    <w:p>
      <w:pPr>
        <w:spacing w:after="0" w:line="1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Disclosure Controls and Procedures. </w:t>
      </w:r>
      <w:r>
        <w:rPr>
          <w:rFonts w:ascii="Arial" w:cs="Arial" w:eastAsia="Arial" w:hAnsi="Arial"/>
          <w:sz w:val="16"/>
          <w:szCs w:val="16"/>
          <w:color w:val="auto"/>
        </w:rPr>
        <w:t>As of the end of the period covered by this report, we, with the participation of our Chief Executive Officer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conducted an evaluation of the effectiveness of the design and operation of our disclosure controls and procedures, as required by Securities Exchange Act of 1934, as amended (the “Exchange Act”) Rule 13a-15(e). Based on this evaluation, the Chief Executive Officer and Chief Financial Officer have concluded that our disclosure controls and procedures were effective to ensure that information required to be disclosed by us in the reports that we file or submit under the Exchange Act is accumulated and communicated to management, including the Chief Executive Officer and Chief Financial Officer, as appropriate, to allow timely decisions regarding required disclosure.</w:t>
      </w:r>
    </w:p>
    <w:p>
      <w:pPr>
        <w:spacing w:after="0" w:line="17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including the Chief Executive Officer and the Chief Financial Officer, do not expect that our disclosure controls and procedures will prevent all errors or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7"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b w:val="1"/>
          <w:bCs w:val="1"/>
          <w:i w:val="1"/>
          <w:iCs w:val="1"/>
          <w:color w:val="auto"/>
        </w:rPr>
        <w:t xml:space="preserve">Changes in Internal Control Over Financial Reporting. </w:t>
      </w:r>
      <w:r>
        <w:rPr>
          <w:rFonts w:ascii="Arial" w:cs="Arial" w:eastAsia="Arial" w:hAnsi="Arial"/>
          <w:sz w:val="16"/>
          <w:szCs w:val="16"/>
          <w:color w:val="auto"/>
        </w:rPr>
        <w:t>There have been no significant changes in our internal controls or in other factors which could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significantly affect internal controls over financial reporting subsequent to the date we carried out our evaluation. In connection with the evaluation of internal control over financial reporting described above, no changes in our internal control over financing reporting were identified that occurred during the second quarter of Fiscal 2009 that have materially affected, or are reasonably likely to materially affect, our internal control over financial reporting.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40" w:type="dxa"/>
            <w:vAlign w:val="bottom"/>
          </w:tcPr>
          <w:p>
            <w:pPr>
              <w:spacing w:after="0"/>
              <w:rPr>
                <w:sz w:val="17"/>
                <w:szCs w:val="17"/>
                <w:color w:val="auto"/>
              </w:rPr>
            </w:pPr>
          </w:p>
        </w:tc>
        <w:tc>
          <w:tcPr>
            <w:tcW w:w="10100" w:type="dxa"/>
            <w:vAlign w:val="bottom"/>
          </w:tcPr>
          <w:p>
            <w:pPr>
              <w:spacing w:after="0"/>
              <w:rPr>
                <w:sz w:val="17"/>
                <w:szCs w:val="17"/>
                <w:color w:val="auto"/>
              </w:rPr>
            </w:pPr>
          </w:p>
        </w:tc>
      </w:tr>
      <w:tr>
        <w:trPr>
          <w:trHeight w:val="490"/>
        </w:trPr>
        <w:tc>
          <w:tcPr>
            <w:tcW w:w="1300" w:type="dxa"/>
            <w:vAlign w:val="bottom"/>
            <w:gridSpan w:val="2"/>
          </w:tcPr>
          <w:p>
            <w:pPr>
              <w:spacing w:after="0"/>
              <w:rPr>
                <w:sz w:val="20"/>
                <w:szCs w:val="20"/>
                <w:color w:val="auto"/>
              </w:rPr>
            </w:pPr>
            <w:r>
              <w:rPr>
                <w:rFonts w:ascii="Arial" w:cs="Arial" w:eastAsia="Arial" w:hAnsi="Arial"/>
                <w:sz w:val="22"/>
                <w:szCs w:val="22"/>
                <w:b w:val="1"/>
                <w:bCs w:val="1"/>
                <w:color w:val="auto"/>
              </w:rPr>
              <w:t>PART II.</w:t>
            </w:r>
          </w:p>
        </w:tc>
        <w:tc>
          <w:tcPr>
            <w:tcW w:w="10100" w:type="dxa"/>
            <w:vAlign w:val="bottom"/>
          </w:tcPr>
          <w:p>
            <w:pPr>
              <w:ind w:left="40"/>
              <w:spacing w:after="0"/>
              <w:rPr>
                <w:sz w:val="20"/>
                <w:szCs w:val="20"/>
                <w:color w:val="auto"/>
              </w:rPr>
            </w:pPr>
            <w:r>
              <w:rPr>
                <w:rFonts w:ascii="Arial" w:cs="Arial" w:eastAsia="Arial" w:hAnsi="Arial"/>
                <w:sz w:val="22"/>
                <w:szCs w:val="22"/>
                <w:b w:val="1"/>
                <w:bCs w:val="1"/>
                <w:color w:val="auto"/>
              </w:rPr>
              <w:t>OTHER INFORMATION</w:t>
            </w:r>
          </w:p>
        </w:tc>
      </w:tr>
      <w:tr>
        <w:trPr>
          <w:trHeight w:val="473"/>
        </w:trPr>
        <w:tc>
          <w:tcPr>
            <w:tcW w:w="1300" w:type="dxa"/>
            <w:vAlign w:val="bottom"/>
            <w:gridSpan w:val="2"/>
          </w:tcPr>
          <w:p>
            <w:pPr>
              <w:spacing w:after="0"/>
              <w:rPr>
                <w:sz w:val="20"/>
                <w:szCs w:val="20"/>
                <w:color w:val="auto"/>
              </w:rPr>
            </w:pPr>
            <w:r>
              <w:rPr>
                <w:rFonts w:ascii="Arial" w:cs="Arial" w:eastAsia="Arial" w:hAnsi="Arial"/>
                <w:sz w:val="22"/>
                <w:szCs w:val="22"/>
                <w:b w:val="1"/>
                <w:bCs w:val="1"/>
                <w:color w:val="auto"/>
              </w:rPr>
              <w:t>ITEM 1.</w:t>
            </w:r>
          </w:p>
        </w:tc>
        <w:tc>
          <w:tcPr>
            <w:tcW w:w="10100" w:type="dxa"/>
            <w:vAlign w:val="bottom"/>
          </w:tcPr>
          <w:p>
            <w:pPr>
              <w:ind w:left="420"/>
              <w:spacing w:after="0"/>
              <w:rPr>
                <w:sz w:val="20"/>
                <w:szCs w:val="20"/>
                <w:color w:val="auto"/>
              </w:rPr>
            </w:pPr>
            <w:r>
              <w:rPr>
                <w:rFonts w:ascii="Arial" w:cs="Arial" w:eastAsia="Arial" w:hAnsi="Arial"/>
                <w:sz w:val="22"/>
                <w:szCs w:val="22"/>
                <w:b w:val="1"/>
                <w:bCs w:val="1"/>
                <w:color w:val="auto"/>
              </w:rPr>
              <w:t>Legal Proceedings</w:t>
            </w:r>
          </w:p>
        </w:tc>
      </w:tr>
      <w:tr>
        <w:trPr>
          <w:trHeight w:val="346"/>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89"/>
              </w:rPr>
              <w:t>We are involved in various legal proceedings which are ordinary routine litigation incidental to our business, some of which are covered</w:t>
            </w:r>
          </w:p>
        </w:tc>
      </w:tr>
      <w:tr>
        <w:trPr>
          <w:trHeight w:val="216"/>
        </w:trPr>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91"/>
              </w:rPr>
              <w:t>in whole or in part by insurance. While it is impossible to estimate with certainty the ultimate legal and financial liability with respect to</w:t>
            </w:r>
          </w:p>
        </w:tc>
      </w:tr>
      <w:tr>
        <w:trPr>
          <w:trHeight w:val="216"/>
        </w:trPr>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94"/>
              </w:rPr>
              <w:t>this litigation, we believe that while the final resolution of any such litigation may have an impact on our consolidated results for a</w:t>
            </w:r>
          </w:p>
        </w:tc>
      </w:tr>
      <w:tr>
        <w:trPr>
          <w:trHeight w:val="216"/>
        </w:trPr>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91"/>
              </w:rPr>
              <w:t>particular reporting period, the ultimate disposition of such litigation will not have any material adverse effect on our financial position,</w:t>
            </w:r>
          </w:p>
        </w:tc>
      </w:tr>
      <w:tr>
        <w:trPr>
          <w:trHeight w:val="222"/>
        </w:trPr>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rPr>
              <w:t>results of operations or liquidity.</w:t>
            </w:r>
          </w:p>
        </w:tc>
      </w:tr>
      <w:tr>
        <w:trPr>
          <w:trHeight w:val="404"/>
        </w:trPr>
        <w:tc>
          <w:tcPr>
            <w:tcW w:w="1300" w:type="dxa"/>
            <w:vAlign w:val="bottom"/>
            <w:gridSpan w:val="2"/>
          </w:tcPr>
          <w:p>
            <w:pPr>
              <w:spacing w:after="0"/>
              <w:rPr>
                <w:sz w:val="20"/>
                <w:szCs w:val="20"/>
                <w:color w:val="auto"/>
              </w:rPr>
            </w:pPr>
            <w:r>
              <w:rPr>
                <w:rFonts w:ascii="Arial" w:cs="Arial" w:eastAsia="Arial" w:hAnsi="Arial"/>
                <w:sz w:val="22"/>
                <w:szCs w:val="22"/>
                <w:b w:val="1"/>
                <w:bCs w:val="1"/>
                <w:color w:val="auto"/>
              </w:rPr>
              <w:t>ITEM 1A.</w:t>
            </w:r>
          </w:p>
        </w:tc>
        <w:tc>
          <w:tcPr>
            <w:tcW w:w="10100" w:type="dxa"/>
            <w:vAlign w:val="bottom"/>
          </w:tcPr>
          <w:p>
            <w:pPr>
              <w:ind w:left="420"/>
              <w:spacing w:after="0"/>
              <w:rPr>
                <w:sz w:val="20"/>
                <w:szCs w:val="20"/>
                <w:color w:val="auto"/>
              </w:rPr>
            </w:pPr>
            <w:r>
              <w:rPr>
                <w:rFonts w:ascii="Arial" w:cs="Arial" w:eastAsia="Arial" w:hAnsi="Arial"/>
                <w:sz w:val="22"/>
                <w:szCs w:val="22"/>
                <w:b w:val="1"/>
                <w:bCs w:val="1"/>
                <w:color w:val="auto"/>
              </w:rPr>
              <w:t>Risk Factors</w:t>
            </w:r>
          </w:p>
        </w:tc>
      </w:tr>
      <w:tr>
        <w:trPr>
          <w:trHeight w:val="346"/>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88"/>
              </w:rPr>
              <w:t>There have been no material changes from our risk factors as previously disclosed in Part 1, Item 1A in our Annual Report on Form 10-K</w:t>
            </w:r>
          </w:p>
        </w:tc>
      </w:tr>
      <w:tr>
        <w:trPr>
          <w:trHeight w:val="222"/>
        </w:trPr>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rPr>
              <w:t>for the fiscal year ended August 30, 2008 except as provided below:</w:t>
            </w:r>
          </w:p>
        </w:tc>
      </w:tr>
      <w:tr>
        <w:trPr>
          <w:trHeight w:val="365"/>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tcPr>
          <w:p>
            <w:pPr>
              <w:ind w:left="420"/>
              <w:spacing w:after="0"/>
              <w:rPr>
                <w:sz w:val="20"/>
                <w:szCs w:val="20"/>
                <w:color w:val="auto"/>
              </w:rPr>
            </w:pPr>
            <w:r>
              <w:rPr>
                <w:rFonts w:ascii="Arial" w:cs="Arial" w:eastAsia="Arial" w:hAnsi="Arial"/>
                <w:sz w:val="18"/>
                <w:szCs w:val="18"/>
                <w:b w:val="1"/>
                <w:bCs w:val="1"/>
                <w:color w:val="auto"/>
              </w:rPr>
              <w:t>Potential Repurchase Liabilities</w:t>
            </w:r>
          </w:p>
        </w:tc>
      </w:tr>
      <w:tr>
        <w:trPr>
          <w:trHeight w:val="358"/>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93"/>
              </w:rPr>
              <w:t>In accordance with customary practice in the recreation vehicle industry, we enter into formal repurchase agreements with lending</w:t>
            </w:r>
          </w:p>
        </w:tc>
      </w:tr>
      <w:tr>
        <w:trPr>
          <w:trHeight w:val="216"/>
        </w:trPr>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88"/>
              </w:rPr>
              <w:t>institutions pursuant to which it is agreed, in the event of a default by an independent retailer in its obligation to a lender and repossession</w:t>
            </w:r>
          </w:p>
        </w:tc>
      </w:tr>
      <w:tr>
        <w:trPr>
          <w:trHeight w:val="216"/>
        </w:trPr>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89"/>
              </w:rPr>
              <w:t>of the unit(s) by the lending institution, we will repurchase units at declining prices over the term of the agreements, which can last up to</w:t>
            </w:r>
          </w:p>
        </w:tc>
      </w:tr>
      <w:tr>
        <w:trPr>
          <w:trHeight w:val="216"/>
        </w:trPr>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87"/>
              </w:rPr>
              <w:t>18 months. The difference between the gross repurchase price and the price at which the repurchased product can then be resold, which is</w:t>
            </w:r>
          </w:p>
        </w:tc>
      </w:tr>
      <w:tr>
        <w:trPr>
          <w:trHeight w:val="216"/>
        </w:trPr>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89"/>
              </w:rPr>
              <w:t>typically at a discount to the gross repurchase price, represents a potential expense to us. Our maximum potential exposure under these</w:t>
            </w:r>
          </w:p>
        </w:tc>
      </w:tr>
      <w:tr>
        <w:trPr>
          <w:trHeight w:val="222"/>
        </w:trPr>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rPr>
              <w:t>formal repurchase agreements was approximately $131.2 million at February 28, 2009.</w:t>
            </w:r>
          </w:p>
        </w:tc>
      </w:tr>
      <w:tr>
        <w:trPr>
          <w:trHeight w:val="358"/>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89"/>
              </w:rPr>
              <w:t>In certain instances, we also repurchase inventory from our dealers due to state law or regulatory requirements that govern voluntary or</w:t>
            </w:r>
          </w:p>
        </w:tc>
      </w:tr>
      <w:tr>
        <w:trPr>
          <w:trHeight w:val="216"/>
        </w:trPr>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89"/>
              </w:rPr>
              <w:t>involuntary terminations. Incremental repurchase exposure beyond repurchase agreements was approximately $6.7 million at February</w:t>
            </w:r>
          </w:p>
        </w:tc>
      </w:tr>
      <w:tr>
        <w:trPr>
          <w:trHeight w:val="222"/>
        </w:trPr>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rPr>
              <w:t>28, 2009.</w:t>
            </w:r>
          </w:p>
        </w:tc>
      </w:tr>
      <w:tr>
        <w:trPr>
          <w:trHeight w:val="358"/>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93"/>
              </w:rPr>
              <w:t>Historically, our losses associated with repurchase have not been material. However, the substantial decrease in retail demand for</w:t>
            </w:r>
          </w:p>
        </w:tc>
      </w:tr>
      <w:tr>
        <w:trPr>
          <w:trHeight w:val="216"/>
        </w:trPr>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88"/>
              </w:rPr>
              <w:t>recreation vehicles in the past 12 months and tightened credit standards by lenders could result in a significant increase in defaults by our</w:t>
            </w:r>
          </w:p>
        </w:tc>
      </w:tr>
      <w:tr>
        <w:trPr>
          <w:trHeight w:val="216"/>
        </w:trPr>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88"/>
              </w:rPr>
              <w:t>dealers. Thus, if we are obligated to repurchase a larger number of motor homes in the future, this would increase our costs, and could be</w:t>
            </w:r>
          </w:p>
        </w:tc>
      </w:tr>
      <w:tr>
        <w:trPr>
          <w:trHeight w:val="222"/>
        </w:trPr>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rPr>
              <w:t>material.</w:t>
            </w:r>
          </w:p>
        </w:tc>
      </w:tr>
      <w:tr>
        <w:trPr>
          <w:trHeight w:val="404"/>
        </w:trPr>
        <w:tc>
          <w:tcPr>
            <w:tcW w:w="1300" w:type="dxa"/>
            <w:vAlign w:val="bottom"/>
            <w:gridSpan w:val="2"/>
          </w:tcPr>
          <w:p>
            <w:pPr>
              <w:spacing w:after="0"/>
              <w:rPr>
                <w:sz w:val="20"/>
                <w:szCs w:val="20"/>
                <w:color w:val="auto"/>
              </w:rPr>
            </w:pPr>
            <w:r>
              <w:rPr>
                <w:rFonts w:ascii="Arial" w:cs="Arial" w:eastAsia="Arial" w:hAnsi="Arial"/>
                <w:sz w:val="22"/>
                <w:szCs w:val="22"/>
                <w:b w:val="1"/>
                <w:bCs w:val="1"/>
                <w:color w:val="auto"/>
              </w:rPr>
              <w:t>ITEM 2.</w:t>
            </w:r>
          </w:p>
        </w:tc>
        <w:tc>
          <w:tcPr>
            <w:tcW w:w="10100" w:type="dxa"/>
            <w:vAlign w:val="bottom"/>
          </w:tcPr>
          <w:p>
            <w:pPr>
              <w:ind w:left="420"/>
              <w:spacing w:after="0"/>
              <w:rPr>
                <w:sz w:val="20"/>
                <w:szCs w:val="20"/>
                <w:color w:val="auto"/>
              </w:rPr>
            </w:pPr>
            <w:r>
              <w:rPr>
                <w:rFonts w:ascii="Arial" w:cs="Arial" w:eastAsia="Arial" w:hAnsi="Arial"/>
                <w:sz w:val="22"/>
                <w:szCs w:val="22"/>
                <w:b w:val="1"/>
                <w:bCs w:val="1"/>
                <w:color w:val="auto"/>
              </w:rPr>
              <w:t>Unregistered Sales of Equity Securities and Use of Proceeds</w:t>
            </w:r>
          </w:p>
        </w:tc>
      </w:tr>
      <w:tr>
        <w:trPr>
          <w:trHeight w:val="346"/>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91"/>
              </w:rPr>
              <w:t>On December 19, 2007, the Board of Directors authorized the repurchase of outstanding shares of our common stock, depending on</w:t>
            </w:r>
          </w:p>
        </w:tc>
      </w:tr>
      <w:tr>
        <w:trPr>
          <w:trHeight w:val="216"/>
        </w:trPr>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93"/>
              </w:rPr>
              <w:t>market conditions, for an aggregate consideration of up to $60 million. There is no time restriction on this authorization. During the</w:t>
            </w:r>
          </w:p>
        </w:tc>
      </w:tr>
      <w:tr>
        <w:trPr>
          <w:trHeight w:val="216"/>
        </w:trPr>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96"/>
              </w:rPr>
              <w:t>second quarter of Fiscal 2009, there were no shares repurchased under this authorization. As of February 28, 2009, there was</w:t>
            </w:r>
          </w:p>
        </w:tc>
      </w:tr>
      <w:tr>
        <w:trPr>
          <w:trHeight w:val="222"/>
        </w:trPr>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rPr>
              <w:t>approximately $59.6 million remaining under this authorization to be used for future repurchases of our common stock.</w:t>
            </w:r>
          </w:p>
        </w:tc>
      </w:tr>
      <w:tr>
        <w:trPr>
          <w:trHeight w:val="404"/>
        </w:trPr>
        <w:tc>
          <w:tcPr>
            <w:tcW w:w="1300" w:type="dxa"/>
            <w:vAlign w:val="bottom"/>
            <w:gridSpan w:val="2"/>
          </w:tcPr>
          <w:p>
            <w:pPr>
              <w:spacing w:after="0"/>
              <w:rPr>
                <w:sz w:val="20"/>
                <w:szCs w:val="20"/>
                <w:color w:val="auto"/>
              </w:rPr>
            </w:pPr>
            <w:r>
              <w:rPr>
                <w:rFonts w:ascii="Arial" w:cs="Arial" w:eastAsia="Arial" w:hAnsi="Arial"/>
                <w:sz w:val="22"/>
                <w:szCs w:val="22"/>
                <w:b w:val="1"/>
                <w:bCs w:val="1"/>
                <w:color w:val="auto"/>
              </w:rPr>
              <w:t>ITEM 4.</w:t>
            </w:r>
          </w:p>
        </w:tc>
        <w:tc>
          <w:tcPr>
            <w:tcW w:w="10100" w:type="dxa"/>
            <w:vAlign w:val="bottom"/>
          </w:tcPr>
          <w:p>
            <w:pPr>
              <w:ind w:left="420"/>
              <w:spacing w:after="0"/>
              <w:rPr>
                <w:sz w:val="20"/>
                <w:szCs w:val="20"/>
                <w:color w:val="auto"/>
              </w:rPr>
            </w:pPr>
            <w:r>
              <w:rPr>
                <w:rFonts w:ascii="Arial" w:cs="Arial" w:eastAsia="Arial" w:hAnsi="Arial"/>
                <w:sz w:val="22"/>
                <w:szCs w:val="22"/>
                <w:b w:val="1"/>
                <w:bCs w:val="1"/>
                <w:color w:val="auto"/>
              </w:rPr>
              <w:t>Submission of Matters to a Vote of Security Holders</w:t>
            </w:r>
          </w:p>
        </w:tc>
      </w:tr>
    </w:tbl>
    <w:p>
      <w:pPr>
        <w:spacing w:after="0" w:line="130" w:lineRule="exact"/>
        <w:rPr>
          <w:sz w:val="20"/>
          <w:szCs w:val="20"/>
          <w:color w:val="auto"/>
        </w:rPr>
      </w:pPr>
    </w:p>
    <w:p>
      <w:pPr>
        <w:ind w:left="2300" w:hanging="577"/>
        <w:spacing w:after="0"/>
        <w:tabs>
          <w:tab w:leader="none" w:pos="2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Annual Meeting of Shareholders was held December 16, 2008.</w:t>
      </w:r>
    </w:p>
    <w:p>
      <w:pPr>
        <w:spacing w:after="0" w:line="157" w:lineRule="exact"/>
        <w:rPr>
          <w:rFonts w:ascii="Arial" w:cs="Arial" w:eastAsia="Arial" w:hAnsi="Arial"/>
          <w:sz w:val="18"/>
          <w:szCs w:val="18"/>
          <w:color w:val="auto"/>
        </w:rPr>
      </w:pPr>
    </w:p>
    <w:p>
      <w:pPr>
        <w:ind w:left="2300" w:right="420" w:hanging="577"/>
        <w:spacing w:after="0" w:line="268" w:lineRule="auto"/>
        <w:tabs>
          <w:tab w:leader="none" w:pos="2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John V. Hanson, Gerald C. Kitch and Robert J. Olson were elected directors at the Annual Meeting for terms expiring at the annual meeting following Fiscal 2011.</w:t>
      </w:r>
    </w:p>
    <w:p>
      <w:pPr>
        <w:spacing w:after="0" w:line="11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Directors whose terms continued after the shareholders meeting:</w:t>
      </w:r>
    </w:p>
    <w:p>
      <w:pPr>
        <w:spacing w:after="0" w:line="26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Irvin E. Aal</w:t>
            </w:r>
          </w:p>
        </w:tc>
        <w:tc>
          <w:tcPr>
            <w:tcW w:w="172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Joseph W. England</w:t>
            </w:r>
          </w:p>
        </w:tc>
        <w:tc>
          <w:tcPr>
            <w:tcW w:w="172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Jerry N. Currie</w:t>
            </w:r>
          </w:p>
        </w:tc>
        <w:tc>
          <w:tcPr>
            <w:tcW w:w="172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Lawrence A. Erickson</w:t>
            </w:r>
          </w:p>
        </w:tc>
        <w:tc>
          <w:tcPr>
            <w:tcW w:w="172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Robert M. Chiusano</w:t>
            </w:r>
          </w:p>
        </w:tc>
        <w:tc>
          <w:tcPr>
            <w:tcW w:w="1720" w:type="dxa"/>
            <w:vAlign w:val="bottom"/>
          </w:tcPr>
          <w:p>
            <w:pPr>
              <w:jc w:val="right"/>
              <w:spacing w:after="0"/>
              <w:rPr>
                <w:sz w:val="20"/>
                <w:szCs w:val="20"/>
                <w:color w:val="auto"/>
              </w:rPr>
            </w:pPr>
            <w:r>
              <w:rPr>
                <w:rFonts w:ascii="Arial" w:cs="Arial" w:eastAsia="Arial" w:hAnsi="Arial"/>
                <w:sz w:val="18"/>
                <w:szCs w:val="18"/>
                <w:color w:val="auto"/>
              </w:rPr>
              <w:t>(2010)</w:t>
            </w:r>
          </w:p>
        </w:tc>
      </w:tr>
    </w:tbl>
    <w:p>
      <w:pPr>
        <w:spacing w:after="0" w:line="142" w:lineRule="exact"/>
        <w:rPr>
          <w:sz w:val="20"/>
          <w:szCs w:val="20"/>
          <w:color w:val="auto"/>
        </w:rPr>
      </w:pPr>
    </w:p>
    <w:p>
      <w:pPr>
        <w:ind w:left="5620" w:right="3360" w:hanging="3316"/>
        <w:spacing w:after="0" w:line="519" w:lineRule="auto"/>
        <w:tabs>
          <w:tab w:leader="none" w:pos="2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Represents calendar year of Annual Meeting that individual’s term will expire.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 The breakdown of votes for the election of three directors was as follows:*</w:t>
      </w:r>
    </w:p>
    <w:p>
      <w:pPr>
        <w:spacing w:after="0" w:line="26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Votes Cast For</w:t>
            </w:r>
          </w:p>
        </w:tc>
        <w:tc>
          <w:tcPr>
            <w:tcW w:w="30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Authority Withheld</w:t>
            </w:r>
          </w:p>
        </w:tc>
        <w:tc>
          <w:tcPr>
            <w:tcW w:w="100" w:type="dxa"/>
            <w:vAlign w:val="bottom"/>
          </w:tcPr>
          <w:p>
            <w:pPr>
              <w:spacing w:after="0"/>
              <w:rPr>
                <w:sz w:val="14"/>
                <w:szCs w:val="14"/>
                <w:color w:val="auto"/>
              </w:rPr>
            </w:pPr>
          </w:p>
        </w:tc>
      </w:tr>
      <w:tr>
        <w:trPr>
          <w:trHeight w:val="210"/>
        </w:trPr>
        <w:tc>
          <w:tcPr>
            <w:tcW w:w="6220" w:type="dxa"/>
            <w:vAlign w:val="bottom"/>
            <w:shd w:val="clear" w:color="auto" w:fill="D6F3E8"/>
          </w:tcPr>
          <w:p>
            <w:pPr>
              <w:spacing w:after="0"/>
              <w:rPr>
                <w:sz w:val="20"/>
                <w:szCs w:val="20"/>
                <w:color w:val="auto"/>
              </w:rPr>
            </w:pPr>
            <w:r>
              <w:rPr>
                <w:rFonts w:ascii="Arial" w:cs="Arial" w:eastAsia="Arial" w:hAnsi="Arial"/>
                <w:sz w:val="18"/>
                <w:szCs w:val="18"/>
                <w:color w:val="auto"/>
              </w:rPr>
              <w:t>John V. Hanson (2011)</w:t>
            </w:r>
          </w:p>
        </w:tc>
        <w:tc>
          <w:tcPr>
            <w:tcW w:w="14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6"/>
              </w:rPr>
              <w:t>25,695,454</w:t>
            </w:r>
          </w:p>
        </w:tc>
        <w:tc>
          <w:tcPr>
            <w:tcW w:w="300" w:type="dxa"/>
            <w:vAlign w:val="bottom"/>
            <w:shd w:val="clear" w:color="auto" w:fill="D6F3E8"/>
          </w:tcPr>
          <w:p>
            <w:pPr>
              <w:spacing w:after="0"/>
              <w:rPr>
                <w:sz w:val="18"/>
                <w:szCs w:val="18"/>
                <w:color w:val="auto"/>
              </w:rPr>
            </w:pPr>
          </w:p>
        </w:tc>
        <w:tc>
          <w:tcPr>
            <w:tcW w:w="16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145,567</w:t>
            </w:r>
          </w:p>
        </w:tc>
        <w:tc>
          <w:tcPr>
            <w:tcW w:w="100" w:type="dxa"/>
            <w:vAlign w:val="bottom"/>
            <w:shd w:val="clear" w:color="auto" w:fill="D6F3E8"/>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Gerald C. Kitch (2011)</w:t>
            </w:r>
          </w:p>
        </w:tc>
        <w:tc>
          <w:tcPr>
            <w:tcW w:w="1460" w:type="dxa"/>
            <w:vAlign w:val="bottom"/>
          </w:tcPr>
          <w:p>
            <w:pPr>
              <w:jc w:val="center"/>
              <w:spacing w:after="0"/>
              <w:rPr>
                <w:sz w:val="20"/>
                <w:szCs w:val="20"/>
                <w:color w:val="auto"/>
              </w:rPr>
            </w:pPr>
            <w:r>
              <w:rPr>
                <w:rFonts w:ascii="Arial" w:cs="Arial" w:eastAsia="Arial" w:hAnsi="Arial"/>
                <w:sz w:val="18"/>
                <w:szCs w:val="18"/>
                <w:color w:val="auto"/>
                <w:w w:val="86"/>
              </w:rPr>
              <w:t>25,692,061</w:t>
            </w:r>
          </w:p>
        </w:tc>
        <w:tc>
          <w:tcPr>
            <w:tcW w:w="192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148,960</w:t>
            </w:r>
          </w:p>
        </w:tc>
        <w:tc>
          <w:tcPr>
            <w:tcW w:w="100" w:type="dxa"/>
            <w:vAlign w:val="bottom"/>
          </w:tcPr>
          <w:p>
            <w:pPr>
              <w:spacing w:after="0"/>
              <w:rPr>
                <w:sz w:val="18"/>
                <w:szCs w:val="18"/>
                <w:color w:val="auto"/>
              </w:rPr>
            </w:pPr>
          </w:p>
        </w:tc>
      </w:tr>
      <w:tr>
        <w:trPr>
          <w:trHeight w:val="216"/>
        </w:trPr>
        <w:tc>
          <w:tcPr>
            <w:tcW w:w="6220" w:type="dxa"/>
            <w:vAlign w:val="bottom"/>
            <w:shd w:val="clear" w:color="auto" w:fill="D6F3E8"/>
          </w:tcPr>
          <w:p>
            <w:pPr>
              <w:spacing w:after="0"/>
              <w:rPr>
                <w:sz w:val="20"/>
                <w:szCs w:val="20"/>
                <w:color w:val="auto"/>
              </w:rPr>
            </w:pPr>
            <w:r>
              <w:rPr>
                <w:rFonts w:ascii="Arial" w:cs="Arial" w:eastAsia="Arial" w:hAnsi="Arial"/>
                <w:sz w:val="18"/>
                <w:szCs w:val="18"/>
                <w:color w:val="auto"/>
              </w:rPr>
              <w:t>Robert J. Olson (2011)</w:t>
            </w:r>
          </w:p>
        </w:tc>
        <w:tc>
          <w:tcPr>
            <w:tcW w:w="14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6"/>
              </w:rPr>
              <w:t>25,697,016</w:t>
            </w:r>
          </w:p>
        </w:tc>
        <w:tc>
          <w:tcPr>
            <w:tcW w:w="1920" w:type="dxa"/>
            <w:vAlign w:val="bottom"/>
            <w:gridSpan w:val="2"/>
            <w:shd w:val="clear" w:color="auto" w:fill="D6F3E8"/>
          </w:tcPr>
          <w:p>
            <w:pPr>
              <w:jc w:val="center"/>
              <w:ind w:left="212"/>
              <w:spacing w:after="0"/>
              <w:rPr>
                <w:sz w:val="20"/>
                <w:szCs w:val="20"/>
                <w:color w:val="auto"/>
              </w:rPr>
            </w:pPr>
            <w:r>
              <w:rPr>
                <w:rFonts w:ascii="Arial" w:cs="Arial" w:eastAsia="Arial" w:hAnsi="Arial"/>
                <w:sz w:val="18"/>
                <w:szCs w:val="18"/>
                <w:color w:val="auto"/>
                <w:w w:val="89"/>
              </w:rPr>
              <w:t>144,005</w:t>
            </w:r>
          </w:p>
        </w:tc>
        <w:tc>
          <w:tcPr>
            <w:tcW w:w="100" w:type="dxa"/>
            <w:vAlign w:val="bottom"/>
            <w:shd w:val="clear" w:color="auto" w:fill="D6F3E8"/>
          </w:tcPr>
          <w:p>
            <w:pPr>
              <w:spacing w:after="0"/>
              <w:rPr>
                <w:sz w:val="18"/>
                <w:szCs w:val="18"/>
                <w:color w:val="auto"/>
              </w:rPr>
            </w:pPr>
          </w:p>
        </w:tc>
      </w:tr>
    </w:tbl>
    <w:p>
      <w:pPr>
        <w:spacing w:after="0" w:line="14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There were no broker nonvotes.</w:t>
      </w:r>
    </w:p>
    <w:p>
      <w:pPr>
        <w:spacing w:after="0" w:line="158" w:lineRule="exact"/>
        <w:rPr>
          <w:sz w:val="20"/>
          <w:szCs w:val="20"/>
          <w:color w:val="auto"/>
        </w:rPr>
      </w:pPr>
    </w:p>
    <w:p>
      <w:pPr>
        <w:ind w:left="1720" w:right="800"/>
        <w:spacing w:after="0" w:line="268" w:lineRule="auto"/>
        <w:rPr>
          <w:sz w:val="20"/>
          <w:szCs w:val="20"/>
          <w:color w:val="auto"/>
        </w:rPr>
      </w:pPr>
      <w:r>
        <w:rPr>
          <w:rFonts w:ascii="Arial" w:cs="Arial" w:eastAsia="Arial" w:hAnsi="Arial"/>
          <w:sz w:val="18"/>
          <w:szCs w:val="18"/>
          <w:color w:val="auto"/>
        </w:rPr>
        <w:t>Company’s proposal regarding ratification of the appointment of Deloitte &amp; Touche, LLP, as our independent registered public accountants for the fiscal year ending August 29, 2009.*</w:t>
      </w:r>
    </w:p>
    <w:p>
      <w:pPr>
        <w:spacing w:after="0" w:line="22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Votes Cast For</w:t>
            </w:r>
          </w:p>
        </w:tc>
        <w:tc>
          <w:tcPr>
            <w:tcW w:w="340" w:type="dxa"/>
            <w:vAlign w:val="bottom"/>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Votes Cast Against</w:t>
            </w:r>
          </w:p>
        </w:tc>
        <w:tc>
          <w:tcPr>
            <w:tcW w:w="34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Abstentions</w:t>
            </w:r>
          </w:p>
        </w:tc>
      </w:tr>
      <w:tr>
        <w:trPr>
          <w:trHeight w:val="216"/>
        </w:trPr>
        <w:tc>
          <w:tcPr>
            <w:tcW w:w="1580" w:type="dxa"/>
            <w:vAlign w:val="bottom"/>
          </w:tcPr>
          <w:p>
            <w:pPr>
              <w:jc w:val="right"/>
              <w:ind w:right="322"/>
              <w:spacing w:after="0"/>
              <w:rPr>
                <w:sz w:val="20"/>
                <w:szCs w:val="20"/>
                <w:color w:val="auto"/>
              </w:rPr>
            </w:pPr>
            <w:r>
              <w:rPr>
                <w:rFonts w:ascii="Arial" w:cs="Arial" w:eastAsia="Arial" w:hAnsi="Arial"/>
                <w:sz w:val="18"/>
                <w:szCs w:val="18"/>
                <w:color w:val="auto"/>
              </w:rPr>
              <w:t>25,470,430</w:t>
            </w:r>
          </w:p>
        </w:tc>
        <w:tc>
          <w:tcPr>
            <w:tcW w:w="340" w:type="dxa"/>
            <w:vAlign w:val="bottom"/>
          </w:tcPr>
          <w:p>
            <w:pPr>
              <w:spacing w:after="0"/>
              <w:rPr>
                <w:sz w:val="18"/>
                <w:szCs w:val="18"/>
                <w:color w:val="auto"/>
              </w:rPr>
            </w:pPr>
          </w:p>
        </w:tc>
        <w:tc>
          <w:tcPr>
            <w:tcW w:w="1980" w:type="dxa"/>
            <w:vAlign w:val="bottom"/>
          </w:tcPr>
          <w:p>
            <w:pPr>
              <w:jc w:val="right"/>
              <w:ind w:right="622"/>
              <w:spacing w:after="0"/>
              <w:rPr>
                <w:sz w:val="20"/>
                <w:szCs w:val="20"/>
                <w:color w:val="auto"/>
              </w:rPr>
            </w:pPr>
            <w:r>
              <w:rPr>
                <w:rFonts w:ascii="Arial" w:cs="Arial" w:eastAsia="Arial" w:hAnsi="Arial"/>
                <w:sz w:val="18"/>
                <w:szCs w:val="18"/>
                <w:color w:val="auto"/>
              </w:rPr>
              <w:t>360,401</w:t>
            </w:r>
          </w:p>
        </w:tc>
        <w:tc>
          <w:tcPr>
            <w:tcW w:w="340" w:type="dxa"/>
            <w:vAlign w:val="bottom"/>
          </w:tcPr>
          <w:p>
            <w:pPr>
              <w:spacing w:after="0"/>
              <w:rPr>
                <w:sz w:val="18"/>
                <w:szCs w:val="18"/>
                <w:color w:val="auto"/>
              </w:rPr>
            </w:pPr>
          </w:p>
        </w:tc>
        <w:tc>
          <w:tcPr>
            <w:tcW w:w="1380" w:type="dxa"/>
            <w:vAlign w:val="bottom"/>
          </w:tcPr>
          <w:p>
            <w:pPr>
              <w:jc w:val="right"/>
              <w:ind w:right="362"/>
              <w:spacing w:after="0"/>
              <w:rPr>
                <w:sz w:val="20"/>
                <w:szCs w:val="20"/>
                <w:color w:val="auto"/>
              </w:rPr>
            </w:pPr>
            <w:r>
              <w:rPr>
                <w:rFonts w:ascii="Arial" w:cs="Arial" w:eastAsia="Arial" w:hAnsi="Arial"/>
                <w:sz w:val="18"/>
                <w:szCs w:val="18"/>
                <w:color w:val="auto"/>
              </w:rPr>
              <w:t>10,190</w:t>
            </w:r>
          </w:p>
        </w:tc>
      </w:tr>
    </w:tbl>
    <w:p>
      <w:pPr>
        <w:spacing w:after="0" w:line="242" w:lineRule="exact"/>
        <w:rPr>
          <w:sz w:val="20"/>
          <w:szCs w:val="20"/>
          <w:color w:val="auto"/>
        </w:rPr>
      </w:pPr>
    </w:p>
    <w:p>
      <w:pPr>
        <w:ind w:left="2640" w:hanging="566"/>
        <w:spacing w:after="0"/>
        <w:tabs>
          <w:tab w:leader="none" w:pos="2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were no broker nonvotes.</w:t>
      </w:r>
    </w:p>
    <w:p>
      <w:pPr>
        <w:spacing w:after="0" w:line="247"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Exhibits</w:t>
      </w:r>
    </w:p>
    <w:p>
      <w:pPr>
        <w:spacing w:after="0" w:line="15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 Exhibits - See Exhibit Index on page 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78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WINNEBAGO INDUSTRIES, INC.</w:t>
            </w:r>
          </w:p>
        </w:tc>
        <w:tc>
          <w:tcPr>
            <w:tcW w:w="40" w:type="dxa"/>
            <w:vAlign w:val="bottom"/>
          </w:tcPr>
          <w:p>
            <w:pPr>
              <w:spacing w:after="0"/>
              <w:rPr>
                <w:sz w:val="19"/>
                <w:szCs w:val="19"/>
                <w:color w:val="auto"/>
              </w:rPr>
            </w:pPr>
          </w:p>
        </w:tc>
      </w:tr>
      <w:tr>
        <w:trPr>
          <w:trHeight w:val="217"/>
        </w:trPr>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780" w:type="dxa"/>
            <w:vAlign w:val="bottom"/>
          </w:tcPr>
          <w:p>
            <w:pPr>
              <w:ind w:left="248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18"/>
                <w:szCs w:val="18"/>
                <w:color w:val="auto"/>
              </w:rPr>
            </w:pPr>
          </w:p>
        </w:tc>
      </w:tr>
      <w:tr>
        <w:trPr>
          <w:trHeight w:val="357"/>
        </w:trPr>
        <w:tc>
          <w:tcPr>
            <w:tcW w:w="380" w:type="dxa"/>
            <w:vAlign w:val="bottom"/>
          </w:tcPr>
          <w:p>
            <w:pPr>
              <w:spacing w:after="0"/>
              <w:rPr>
                <w:sz w:val="20"/>
                <w:szCs w:val="20"/>
                <w:color w:val="auto"/>
              </w:rPr>
            </w:pPr>
            <w:r>
              <w:rPr>
                <w:rFonts w:ascii="Arial" w:cs="Arial" w:eastAsia="Arial" w:hAnsi="Arial"/>
                <w:sz w:val="18"/>
                <w:szCs w:val="18"/>
                <w:color w:val="auto"/>
                <w:w w:val="94"/>
              </w:rPr>
              <w:t>Date</w:t>
            </w:r>
          </w:p>
        </w:tc>
        <w:tc>
          <w:tcPr>
            <w:tcW w:w="24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April 7, 2009</w:t>
            </w:r>
          </w:p>
        </w:tc>
        <w:tc>
          <w:tcPr>
            <w:tcW w:w="2800" w:type="dxa"/>
            <w:vAlign w:val="bottom"/>
          </w:tcPr>
          <w:p>
            <w:pPr>
              <w:spacing w:after="0"/>
              <w:rPr>
                <w:sz w:val="24"/>
                <w:szCs w:val="24"/>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c>
          <w:tcPr>
            <w:tcW w:w="40" w:type="dxa"/>
            <w:vAlign w:val="bottom"/>
          </w:tcPr>
          <w:p>
            <w:pPr>
              <w:spacing w:after="0"/>
              <w:rPr>
                <w:sz w:val="24"/>
                <w:szCs w:val="24"/>
                <w:color w:val="auto"/>
              </w:rPr>
            </w:pPr>
          </w:p>
        </w:tc>
      </w:tr>
      <w:tr>
        <w:trPr>
          <w:trHeight w:val="202"/>
        </w:trPr>
        <w:tc>
          <w:tcPr>
            <w:tcW w:w="3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color w:val="auto"/>
              </w:rPr>
              <w:t>Robert J. Olson</w:t>
            </w:r>
          </w:p>
        </w:tc>
        <w:tc>
          <w:tcPr>
            <w:tcW w:w="40" w:type="dxa"/>
            <w:vAlign w:val="bottom"/>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Chairman of the Board, Chief Executive Officer and President (Principal</w:t>
            </w:r>
          </w:p>
        </w:tc>
        <w:tc>
          <w:tcPr>
            <w:tcW w:w="4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Executive Officer)</w:t>
            </w:r>
          </w:p>
        </w:tc>
        <w:tc>
          <w:tcPr>
            <w:tcW w:w="40" w:type="dxa"/>
            <w:vAlign w:val="bottom"/>
          </w:tcPr>
          <w:p>
            <w:pPr>
              <w:spacing w:after="0"/>
              <w:rPr>
                <w:sz w:val="19"/>
                <w:szCs w:val="19"/>
                <w:color w:val="auto"/>
              </w:rPr>
            </w:pPr>
          </w:p>
        </w:tc>
      </w:tr>
      <w:tr>
        <w:trPr>
          <w:trHeight w:val="366"/>
        </w:trPr>
        <w:tc>
          <w:tcPr>
            <w:tcW w:w="380" w:type="dxa"/>
            <w:vAlign w:val="bottom"/>
          </w:tcPr>
          <w:p>
            <w:pPr>
              <w:spacing w:after="0"/>
              <w:rPr>
                <w:sz w:val="20"/>
                <w:szCs w:val="20"/>
                <w:color w:val="auto"/>
              </w:rPr>
            </w:pPr>
            <w:r>
              <w:rPr>
                <w:rFonts w:ascii="Arial" w:cs="Arial" w:eastAsia="Arial" w:hAnsi="Arial"/>
                <w:sz w:val="18"/>
                <w:szCs w:val="18"/>
                <w:color w:val="auto"/>
                <w:w w:val="94"/>
              </w:rPr>
              <w:t>Date</w:t>
            </w:r>
          </w:p>
        </w:tc>
        <w:tc>
          <w:tcPr>
            <w:tcW w:w="24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April 7, 2009</w:t>
            </w:r>
          </w:p>
        </w:tc>
        <w:tc>
          <w:tcPr>
            <w:tcW w:w="2800" w:type="dxa"/>
            <w:vAlign w:val="bottom"/>
          </w:tcPr>
          <w:p>
            <w:pPr>
              <w:spacing w:after="0"/>
              <w:rPr>
                <w:sz w:val="24"/>
                <w:szCs w:val="24"/>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N. Nielsen</w:t>
            </w:r>
          </w:p>
        </w:tc>
        <w:tc>
          <w:tcPr>
            <w:tcW w:w="40" w:type="dxa"/>
            <w:vAlign w:val="bottom"/>
          </w:tcPr>
          <w:p>
            <w:pPr>
              <w:spacing w:after="0"/>
              <w:rPr>
                <w:sz w:val="24"/>
                <w:szCs w:val="24"/>
                <w:color w:val="auto"/>
              </w:rPr>
            </w:pPr>
          </w:p>
        </w:tc>
      </w:tr>
      <w:tr>
        <w:trPr>
          <w:trHeight w:val="202"/>
        </w:trPr>
        <w:tc>
          <w:tcPr>
            <w:tcW w:w="3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color w:val="auto"/>
              </w:rPr>
              <w:t>Sarah N. Nielsen</w:t>
            </w:r>
          </w:p>
        </w:tc>
        <w:tc>
          <w:tcPr>
            <w:tcW w:w="40" w:type="dxa"/>
            <w:vAlign w:val="bottom"/>
          </w:tcPr>
          <w:p>
            <w:pPr>
              <w:spacing w:after="0"/>
              <w:rPr>
                <w:sz w:val="17"/>
                <w:szCs w:val="17"/>
                <w:color w:val="auto"/>
              </w:rPr>
            </w:pPr>
          </w:p>
        </w:tc>
      </w:tr>
      <w:tr>
        <w:trPr>
          <w:trHeight w:val="222"/>
        </w:trPr>
        <w:tc>
          <w:tcPr>
            <w:tcW w:w="3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c>
          <w:tcPr>
            <w:tcW w:w="40" w:type="dxa"/>
            <w:vAlign w:val="bottom"/>
          </w:tcPr>
          <w:p>
            <w:pPr>
              <w:spacing w:after="0"/>
              <w:rPr>
                <w:sz w:val="19"/>
                <w:szCs w:val="19"/>
                <w:color w:val="auto"/>
              </w:rPr>
            </w:pPr>
          </w:p>
        </w:tc>
      </w:tr>
      <w:tr>
        <w:trPr>
          <w:trHeight w:val="432"/>
        </w:trPr>
        <w:tc>
          <w:tcPr>
            <w:tcW w:w="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580" w:type="dxa"/>
            <w:vAlign w:val="bottom"/>
            <w:gridSpan w:val="2"/>
          </w:tcPr>
          <w:p>
            <w:pPr>
              <w:ind w:left="278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4"/>
                <w:szCs w:val="24"/>
                <w:color w:val="auto"/>
              </w:rPr>
            </w:pPr>
          </w:p>
        </w:tc>
      </w:tr>
      <w:tr>
        <w:trPr>
          <w:trHeight w:val="242"/>
        </w:trPr>
        <w:tc>
          <w:tcPr>
            <w:tcW w:w="380" w:type="dxa"/>
            <w:vAlign w:val="bottom"/>
            <w:tcBorders>
              <w:bottom w:val="single" w:sz="8" w:color="808080"/>
            </w:tcBorders>
          </w:tcPr>
          <w:p>
            <w:pPr>
              <w:spacing w:after="0"/>
              <w:rPr>
                <w:sz w:val="21"/>
                <w:szCs w:val="21"/>
                <w:color w:val="auto"/>
              </w:rPr>
            </w:pPr>
          </w:p>
        </w:tc>
        <w:tc>
          <w:tcPr>
            <w:tcW w:w="2460" w:type="dxa"/>
            <w:vAlign w:val="bottom"/>
            <w:tcBorders>
              <w:bottom w:val="single" w:sz="8" w:color="808080"/>
            </w:tcBorders>
          </w:tcPr>
          <w:p>
            <w:pPr>
              <w:spacing w:after="0"/>
              <w:rPr>
                <w:sz w:val="21"/>
                <w:szCs w:val="21"/>
                <w:color w:val="auto"/>
              </w:rPr>
            </w:pPr>
          </w:p>
        </w:tc>
        <w:tc>
          <w:tcPr>
            <w:tcW w:w="2800" w:type="dxa"/>
            <w:vAlign w:val="bottom"/>
            <w:tcBorders>
              <w:bottom w:val="single" w:sz="8" w:color="808080"/>
            </w:tcBorders>
          </w:tcPr>
          <w:p>
            <w:pPr>
              <w:spacing w:after="0"/>
              <w:rPr>
                <w:sz w:val="21"/>
                <w:szCs w:val="21"/>
                <w:color w:val="auto"/>
              </w:rPr>
            </w:pPr>
          </w:p>
        </w:tc>
        <w:tc>
          <w:tcPr>
            <w:tcW w:w="578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Index</w:t>
      </w:r>
    </w:p>
    <w:p>
      <w:pPr>
        <w:spacing w:after="0" w:line="2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April 7, 2009.</w:t>
      </w:r>
    </w:p>
    <w:p>
      <w:pPr>
        <w:spacing w:after="0" w:line="15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April 7, 2009.</w:t>
      </w:r>
    </w:p>
    <w:p>
      <w:pPr>
        <w:spacing w:after="0" w:line="158" w:lineRule="exact"/>
        <w:rPr>
          <w:sz w:val="20"/>
          <w:szCs w:val="20"/>
          <w:color w:val="auto"/>
        </w:rPr>
      </w:pPr>
    </w:p>
    <w:p>
      <w:pPr>
        <w:ind w:left="700" w:right="380" w:hanging="688"/>
        <w:spacing w:after="0" w:line="268" w:lineRule="auto"/>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the Chief Executive Officer pursuant to Section 1350, as adopted pursuant to Section 906 of the Sarbanes-Oxley Act of 2002 dated April 7, 2009.</w:t>
      </w:r>
    </w:p>
    <w:p>
      <w:pPr>
        <w:spacing w:after="0" w:line="11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by the Chief Financial Officer pursuant to Section 1350, as adopted pursuant to Section 906 of the Sarbanes-Oxley Act of 2002 dated April</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7, 2009.</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jc w:val="center"/>
        <w:ind w:right="40"/>
        <w:spacing w:after="0"/>
        <w:rPr>
          <w:sz w:val="20"/>
          <w:szCs w:val="20"/>
          <w:color w:val="auto"/>
        </w:rPr>
      </w:pPr>
      <w:r>
        <w:rPr>
          <w:rFonts w:ascii="Arial" w:cs="Arial" w:eastAsia="Arial" w:hAnsi="Arial"/>
          <w:sz w:val="22"/>
          <w:szCs w:val="22"/>
          <w:b w:val="1"/>
          <w:bCs w:val="1"/>
          <w:color w:val="auto"/>
        </w:rPr>
        <w:t>Exhibit 31.1</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CERTIFICATION BY CHIEF EXECUTIVE OFFICER</w:t>
      </w:r>
    </w:p>
    <w:p>
      <w:pPr>
        <w:jc w:val="center"/>
        <w:ind w:right="40"/>
        <w:spacing w:after="0" w:line="230" w:lineRule="auto"/>
        <w:rPr>
          <w:sz w:val="20"/>
          <w:szCs w:val="20"/>
          <w:color w:val="auto"/>
        </w:rPr>
      </w:pPr>
      <w:r>
        <w:rPr>
          <w:rFonts w:ascii="Arial" w:cs="Arial" w:eastAsia="Arial" w:hAnsi="Arial"/>
          <w:sz w:val="22"/>
          <w:szCs w:val="22"/>
          <w:b w:val="1"/>
          <w:bCs w:val="1"/>
          <w:color w:val="auto"/>
        </w:rPr>
        <w:t>PURSUANT TO 18 U.S.C. SECTION 1350,</w:t>
      </w:r>
    </w:p>
    <w:p>
      <w:pPr>
        <w:jc w:val="center"/>
        <w:ind w:right="40"/>
        <w:spacing w:after="0" w:line="231" w:lineRule="auto"/>
        <w:rPr>
          <w:sz w:val="20"/>
          <w:szCs w:val="20"/>
          <w:color w:val="auto"/>
        </w:rPr>
      </w:pPr>
      <w:r>
        <w:rPr>
          <w:rFonts w:ascii="Arial" w:cs="Arial" w:eastAsia="Arial" w:hAnsi="Arial"/>
          <w:sz w:val="22"/>
          <w:szCs w:val="22"/>
          <w:b w:val="1"/>
          <w:bCs w:val="1"/>
          <w:color w:val="auto"/>
        </w:rPr>
        <w:t>AS ADOPTED PURSUANT TO SECTION 302</w:t>
      </w:r>
    </w:p>
    <w:p>
      <w:pPr>
        <w:jc w:val="center"/>
        <w:ind w:right="40"/>
        <w:spacing w:after="0"/>
        <w:rPr>
          <w:sz w:val="20"/>
          <w:szCs w:val="20"/>
          <w:color w:val="auto"/>
        </w:rPr>
      </w:pPr>
      <w:r>
        <w:rPr>
          <w:rFonts w:ascii="Arial" w:cs="Arial" w:eastAsia="Arial" w:hAnsi="Arial"/>
          <w:sz w:val="22"/>
          <w:szCs w:val="22"/>
          <w:b w:val="1"/>
          <w:bCs w:val="1"/>
          <w:color w:val="auto"/>
        </w:rPr>
        <w:t>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 Robert J. Olson, Chief Executive Officer of Winnebago Industries, Inc., certify that:</w:t>
      </w:r>
    </w:p>
    <w:p>
      <w:pPr>
        <w:spacing w:after="0" w:line="158" w:lineRule="exact"/>
        <w:rPr>
          <w:sz w:val="20"/>
          <w:szCs w:val="20"/>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157" w:lineRule="exact"/>
        <w:rPr>
          <w:rFonts w:ascii="Arial" w:cs="Arial" w:eastAsia="Arial" w:hAnsi="Arial"/>
          <w:sz w:val="18"/>
          <w:szCs w:val="18"/>
          <w:color w:val="auto"/>
        </w:rPr>
      </w:pPr>
    </w:p>
    <w:p>
      <w:pPr>
        <w:ind w:left="1160" w:right="180" w:hanging="571"/>
        <w:spacing w:after="0" w:line="259"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1160" w:right="240" w:hanging="571"/>
        <w:spacing w:after="0" w:line="259"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6" w:lineRule="exact"/>
        <w:rPr>
          <w:rFonts w:ascii="Arial" w:cs="Arial" w:eastAsia="Arial" w:hAnsi="Arial"/>
          <w:sz w:val="18"/>
          <w:szCs w:val="18"/>
          <w:color w:val="auto"/>
        </w:rPr>
      </w:pPr>
    </w:p>
    <w:p>
      <w:pPr>
        <w:ind w:left="1160" w:right="200" w:hanging="571"/>
        <w:spacing w:after="0" w:line="259"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720" w:right="140" w:hanging="564"/>
        <w:spacing w:after="0" w:line="306" w:lineRule="auto"/>
        <w:tabs>
          <w:tab w:leader="none" w:pos="17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93" w:lineRule="exact"/>
        <w:rPr>
          <w:rFonts w:ascii="Arial" w:cs="Arial" w:eastAsia="Arial" w:hAnsi="Arial"/>
          <w:sz w:val="16"/>
          <w:szCs w:val="16"/>
          <w:color w:val="auto"/>
        </w:rPr>
      </w:pPr>
    </w:p>
    <w:p>
      <w:pPr>
        <w:ind w:left="1720" w:right="120" w:hanging="564"/>
        <w:spacing w:after="0" w:line="259" w:lineRule="auto"/>
        <w:tabs>
          <w:tab w:leader="none" w:pos="1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720" w:right="160" w:hanging="564"/>
        <w:spacing w:after="0" w:line="259" w:lineRule="auto"/>
        <w:tabs>
          <w:tab w:leader="none" w:pos="1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126" w:lineRule="exact"/>
        <w:rPr>
          <w:rFonts w:ascii="Arial" w:cs="Arial" w:eastAsia="Arial" w:hAnsi="Arial"/>
          <w:sz w:val="18"/>
          <w:szCs w:val="18"/>
          <w:color w:val="auto"/>
        </w:rPr>
      </w:pPr>
    </w:p>
    <w:p>
      <w:pPr>
        <w:ind w:left="1720" w:right="360" w:hanging="564"/>
        <w:spacing w:after="0" w:line="259" w:lineRule="auto"/>
        <w:tabs>
          <w:tab w:leader="none" w:pos="1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180" w:hanging="571"/>
        <w:spacing w:after="0" w:line="332" w:lineRule="auto"/>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720" w:right="540" w:hanging="564"/>
        <w:spacing w:after="0" w:line="332" w:lineRule="auto"/>
        <w:tabs>
          <w:tab w:leader="none" w:pos="17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right="160" w:hanging="564"/>
        <w:spacing w:after="0" w:line="268" w:lineRule="auto"/>
        <w:tabs>
          <w:tab w:leader="none" w:pos="1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0" w:type="dxa"/>
            <w:vAlign w:val="bottom"/>
          </w:tcPr>
          <w:p>
            <w:pPr>
              <w:ind w:left="580"/>
              <w:spacing w:after="0"/>
              <w:rPr>
                <w:sz w:val="20"/>
                <w:szCs w:val="20"/>
                <w:color w:val="auto"/>
              </w:rPr>
            </w:pPr>
            <w:r>
              <w:rPr>
                <w:rFonts w:ascii="Arial" w:cs="Arial" w:eastAsia="Arial" w:hAnsi="Arial"/>
                <w:sz w:val="18"/>
                <w:szCs w:val="18"/>
                <w:color w:val="auto"/>
                <w:w w:val="92"/>
              </w:rPr>
              <w:t>Date:</w:t>
            </w:r>
          </w:p>
        </w:tc>
        <w:tc>
          <w:tcPr>
            <w:tcW w:w="1860" w:type="dxa"/>
            <w:vAlign w:val="bottom"/>
          </w:tcPr>
          <w:p>
            <w:pPr>
              <w:ind w:left="460"/>
              <w:spacing w:after="0"/>
              <w:rPr>
                <w:sz w:val="20"/>
                <w:szCs w:val="20"/>
                <w:color w:val="auto"/>
              </w:rPr>
            </w:pPr>
            <w:r>
              <w:rPr>
                <w:rFonts w:ascii="Arial" w:cs="Arial" w:eastAsia="Arial" w:hAnsi="Arial"/>
                <w:sz w:val="18"/>
                <w:szCs w:val="18"/>
                <w:color w:val="auto"/>
              </w:rPr>
              <w:t>April 7, 2009</w:t>
            </w:r>
          </w:p>
        </w:tc>
        <w:tc>
          <w:tcPr>
            <w:tcW w:w="8540" w:type="dxa"/>
            <w:vAlign w:val="bottom"/>
            <w:gridSpan w:val="2"/>
          </w:tcPr>
          <w:p>
            <w:pPr>
              <w:ind w:left="3060"/>
              <w:spacing w:after="0"/>
              <w:rPr>
                <w:sz w:val="20"/>
                <w:szCs w:val="20"/>
                <w:color w:val="auto"/>
              </w:rPr>
            </w:pPr>
            <w:r>
              <w:rPr>
                <w:rFonts w:ascii="Arial" w:cs="Arial" w:eastAsia="Arial" w:hAnsi="Arial"/>
                <w:sz w:val="18"/>
                <w:szCs w:val="18"/>
                <w:color w:val="auto"/>
              </w:rPr>
              <w:t>By: /s/ Robert J. Olson</w:t>
            </w:r>
          </w:p>
        </w:tc>
        <w:tc>
          <w:tcPr>
            <w:tcW w:w="60" w:type="dxa"/>
            <w:vAlign w:val="bottom"/>
          </w:tcPr>
          <w:p>
            <w:pPr>
              <w:spacing w:after="0"/>
              <w:rPr>
                <w:sz w:val="19"/>
                <w:szCs w:val="19"/>
                <w:color w:val="auto"/>
              </w:rPr>
            </w:pPr>
          </w:p>
        </w:tc>
      </w:tr>
      <w:tr>
        <w:trPr>
          <w:trHeight w:val="202"/>
        </w:trPr>
        <w:tc>
          <w:tcPr>
            <w:tcW w:w="10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51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Robert J. Olson</w:t>
            </w:r>
          </w:p>
        </w:tc>
        <w:tc>
          <w:tcPr>
            <w:tcW w:w="60" w:type="dxa"/>
            <w:vAlign w:val="bottom"/>
          </w:tcPr>
          <w:p>
            <w:pPr>
              <w:spacing w:after="0"/>
              <w:rPr>
                <w:sz w:val="17"/>
                <w:szCs w:val="17"/>
                <w:color w:val="auto"/>
              </w:rPr>
            </w:pPr>
          </w:p>
        </w:tc>
      </w:tr>
      <w:tr>
        <w:trPr>
          <w:trHeight w:val="222"/>
        </w:trPr>
        <w:tc>
          <w:tcPr>
            <w:tcW w:w="1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0" w:type="dxa"/>
            <w:vAlign w:val="bottom"/>
          </w:tcPr>
          <w:p>
            <w:pPr>
              <w:spacing w:after="0"/>
              <w:rPr>
                <w:sz w:val="19"/>
                <w:szCs w:val="19"/>
                <w:color w:val="auto"/>
              </w:rPr>
            </w:pPr>
          </w:p>
        </w:tc>
      </w:tr>
      <w:tr>
        <w:trPr>
          <w:trHeight w:val="377"/>
        </w:trPr>
        <w:tc>
          <w:tcPr>
            <w:tcW w:w="100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6" w:right="199" w:bottom="1440" w:gutter="0" w:footer="0" w:header="0"/>
        </w:sectPr>
      </w:pPr>
    </w:p>
    <w:bookmarkStart w:id="28" w:name="page29"/>
    <w:bookmarkEnd w:id="28"/>
    <w:p>
      <w:pPr>
        <w:jc w:val="center"/>
        <w:ind w:right="40"/>
        <w:spacing w:after="0"/>
        <w:rPr>
          <w:sz w:val="20"/>
          <w:szCs w:val="20"/>
          <w:color w:val="auto"/>
        </w:rPr>
      </w:pPr>
      <w:r>
        <w:rPr>
          <w:rFonts w:ascii="Arial" w:cs="Arial" w:eastAsia="Arial" w:hAnsi="Arial"/>
          <w:sz w:val="22"/>
          <w:szCs w:val="22"/>
          <w:b w:val="1"/>
          <w:bCs w:val="1"/>
          <w:color w:val="auto"/>
        </w:rPr>
        <w:t>Exhibit 31.2</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CERTIFICATION BY CHIEF FINANCIAL OFFICER</w:t>
      </w:r>
    </w:p>
    <w:p>
      <w:pPr>
        <w:jc w:val="center"/>
        <w:ind w:right="40"/>
        <w:spacing w:after="0" w:line="230" w:lineRule="auto"/>
        <w:rPr>
          <w:sz w:val="20"/>
          <w:szCs w:val="20"/>
          <w:color w:val="auto"/>
        </w:rPr>
      </w:pPr>
      <w:r>
        <w:rPr>
          <w:rFonts w:ascii="Arial" w:cs="Arial" w:eastAsia="Arial" w:hAnsi="Arial"/>
          <w:sz w:val="22"/>
          <w:szCs w:val="22"/>
          <w:b w:val="1"/>
          <w:bCs w:val="1"/>
          <w:color w:val="auto"/>
        </w:rPr>
        <w:t>PURSUANT TO 18 U.S.C. SECTION 1350,</w:t>
      </w:r>
    </w:p>
    <w:p>
      <w:pPr>
        <w:jc w:val="center"/>
        <w:ind w:right="40"/>
        <w:spacing w:after="0" w:line="231" w:lineRule="auto"/>
        <w:rPr>
          <w:sz w:val="20"/>
          <w:szCs w:val="20"/>
          <w:color w:val="auto"/>
        </w:rPr>
      </w:pPr>
      <w:r>
        <w:rPr>
          <w:rFonts w:ascii="Arial" w:cs="Arial" w:eastAsia="Arial" w:hAnsi="Arial"/>
          <w:sz w:val="22"/>
          <w:szCs w:val="22"/>
          <w:b w:val="1"/>
          <w:bCs w:val="1"/>
          <w:color w:val="auto"/>
        </w:rPr>
        <w:t>AS ADOPTED PURSUANT TO SECTION 302</w:t>
      </w:r>
    </w:p>
    <w:p>
      <w:pPr>
        <w:jc w:val="center"/>
        <w:ind w:right="40"/>
        <w:spacing w:after="0"/>
        <w:rPr>
          <w:sz w:val="20"/>
          <w:szCs w:val="20"/>
          <w:color w:val="auto"/>
        </w:rPr>
      </w:pPr>
      <w:r>
        <w:rPr>
          <w:rFonts w:ascii="Arial" w:cs="Arial" w:eastAsia="Arial" w:hAnsi="Arial"/>
          <w:sz w:val="22"/>
          <w:szCs w:val="22"/>
          <w:b w:val="1"/>
          <w:bCs w:val="1"/>
          <w:color w:val="auto"/>
        </w:rPr>
        <w:t>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 Sarah N. Nielsen, Chief Financial Officer of Winnebago Industries, Inc., certify that:</w:t>
      </w:r>
    </w:p>
    <w:p>
      <w:pPr>
        <w:spacing w:after="0" w:line="158" w:lineRule="exact"/>
        <w:rPr>
          <w:sz w:val="20"/>
          <w:szCs w:val="20"/>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157" w:lineRule="exact"/>
        <w:rPr>
          <w:rFonts w:ascii="Arial" w:cs="Arial" w:eastAsia="Arial" w:hAnsi="Arial"/>
          <w:sz w:val="18"/>
          <w:szCs w:val="18"/>
          <w:color w:val="auto"/>
        </w:rPr>
      </w:pPr>
    </w:p>
    <w:p>
      <w:pPr>
        <w:ind w:left="1160" w:right="180" w:hanging="571"/>
        <w:spacing w:after="0" w:line="25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1160" w:right="240" w:hanging="571"/>
        <w:spacing w:after="0" w:line="25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6" w:lineRule="exact"/>
        <w:rPr>
          <w:rFonts w:ascii="Arial" w:cs="Arial" w:eastAsia="Arial" w:hAnsi="Arial"/>
          <w:sz w:val="18"/>
          <w:szCs w:val="18"/>
          <w:color w:val="auto"/>
        </w:rPr>
      </w:pPr>
    </w:p>
    <w:p>
      <w:pPr>
        <w:ind w:left="1160" w:right="200" w:hanging="571"/>
        <w:spacing w:after="0" w:line="25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720" w:right="140" w:hanging="564"/>
        <w:spacing w:after="0" w:line="306" w:lineRule="auto"/>
        <w:tabs>
          <w:tab w:leader="none" w:pos="17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93" w:lineRule="exact"/>
        <w:rPr>
          <w:rFonts w:ascii="Arial" w:cs="Arial" w:eastAsia="Arial" w:hAnsi="Arial"/>
          <w:sz w:val="16"/>
          <w:szCs w:val="16"/>
          <w:color w:val="auto"/>
        </w:rPr>
      </w:pPr>
    </w:p>
    <w:p>
      <w:pPr>
        <w:ind w:left="1720" w:right="120" w:hanging="564"/>
        <w:spacing w:after="0" w:line="259" w:lineRule="auto"/>
        <w:tabs>
          <w:tab w:leader="none" w:pos="1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720" w:right="160" w:hanging="564"/>
        <w:spacing w:after="0" w:line="259" w:lineRule="auto"/>
        <w:tabs>
          <w:tab w:leader="none" w:pos="1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126" w:lineRule="exact"/>
        <w:rPr>
          <w:rFonts w:ascii="Arial" w:cs="Arial" w:eastAsia="Arial" w:hAnsi="Arial"/>
          <w:sz w:val="18"/>
          <w:szCs w:val="18"/>
          <w:color w:val="auto"/>
        </w:rPr>
      </w:pPr>
    </w:p>
    <w:p>
      <w:pPr>
        <w:ind w:left="1720" w:right="360" w:hanging="564"/>
        <w:spacing w:after="0" w:line="259" w:lineRule="auto"/>
        <w:tabs>
          <w:tab w:leader="none" w:pos="1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180" w:hanging="571"/>
        <w:spacing w:after="0" w:line="332"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720" w:right="540" w:hanging="564"/>
        <w:spacing w:after="0" w:line="332" w:lineRule="auto"/>
        <w:tabs>
          <w:tab w:leader="none" w:pos="17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right="160" w:hanging="564"/>
        <w:spacing w:after="0" w:line="268" w:lineRule="auto"/>
        <w:tabs>
          <w:tab w:leader="none" w:pos="1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0" w:type="dxa"/>
            <w:vAlign w:val="bottom"/>
          </w:tcPr>
          <w:p>
            <w:pPr>
              <w:ind w:left="580"/>
              <w:spacing w:after="0"/>
              <w:rPr>
                <w:sz w:val="20"/>
                <w:szCs w:val="20"/>
                <w:color w:val="auto"/>
              </w:rPr>
            </w:pPr>
            <w:r>
              <w:rPr>
                <w:rFonts w:ascii="Arial" w:cs="Arial" w:eastAsia="Arial" w:hAnsi="Arial"/>
                <w:sz w:val="18"/>
                <w:szCs w:val="18"/>
                <w:color w:val="auto"/>
                <w:w w:val="92"/>
              </w:rPr>
              <w:t>Date:</w:t>
            </w:r>
          </w:p>
        </w:tc>
        <w:tc>
          <w:tcPr>
            <w:tcW w:w="1860" w:type="dxa"/>
            <w:vAlign w:val="bottom"/>
          </w:tcPr>
          <w:p>
            <w:pPr>
              <w:ind w:left="460"/>
              <w:spacing w:after="0"/>
              <w:rPr>
                <w:sz w:val="20"/>
                <w:szCs w:val="20"/>
                <w:color w:val="auto"/>
              </w:rPr>
            </w:pPr>
            <w:r>
              <w:rPr>
                <w:rFonts w:ascii="Arial" w:cs="Arial" w:eastAsia="Arial" w:hAnsi="Arial"/>
                <w:sz w:val="18"/>
                <w:szCs w:val="18"/>
                <w:color w:val="auto"/>
              </w:rPr>
              <w:t>April 7, 2009</w:t>
            </w:r>
          </w:p>
        </w:tc>
        <w:tc>
          <w:tcPr>
            <w:tcW w:w="8540" w:type="dxa"/>
            <w:vAlign w:val="bottom"/>
            <w:gridSpan w:val="2"/>
          </w:tcPr>
          <w:p>
            <w:pPr>
              <w:ind w:left="3060"/>
              <w:spacing w:after="0"/>
              <w:rPr>
                <w:sz w:val="20"/>
                <w:szCs w:val="20"/>
                <w:color w:val="auto"/>
              </w:rPr>
            </w:pPr>
            <w:r>
              <w:rPr>
                <w:rFonts w:ascii="Arial" w:cs="Arial" w:eastAsia="Arial" w:hAnsi="Arial"/>
                <w:sz w:val="18"/>
                <w:szCs w:val="18"/>
                <w:color w:val="auto"/>
              </w:rPr>
              <w:t>By: /s/ Sarah N. Nielsen</w:t>
            </w:r>
          </w:p>
        </w:tc>
        <w:tc>
          <w:tcPr>
            <w:tcW w:w="60" w:type="dxa"/>
            <w:vAlign w:val="bottom"/>
          </w:tcPr>
          <w:p>
            <w:pPr>
              <w:spacing w:after="0"/>
              <w:rPr>
                <w:sz w:val="19"/>
                <w:szCs w:val="19"/>
                <w:color w:val="auto"/>
              </w:rPr>
            </w:pPr>
          </w:p>
        </w:tc>
      </w:tr>
      <w:tr>
        <w:trPr>
          <w:trHeight w:val="202"/>
        </w:trPr>
        <w:tc>
          <w:tcPr>
            <w:tcW w:w="10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51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Sarah N. Nielsen</w:t>
            </w:r>
          </w:p>
        </w:tc>
        <w:tc>
          <w:tcPr>
            <w:tcW w:w="60" w:type="dxa"/>
            <w:vAlign w:val="bottom"/>
          </w:tcPr>
          <w:p>
            <w:pPr>
              <w:spacing w:after="0"/>
              <w:rPr>
                <w:sz w:val="17"/>
                <w:szCs w:val="17"/>
                <w:color w:val="auto"/>
              </w:rPr>
            </w:pPr>
          </w:p>
        </w:tc>
      </w:tr>
      <w:tr>
        <w:trPr>
          <w:trHeight w:val="222"/>
        </w:trPr>
        <w:tc>
          <w:tcPr>
            <w:tcW w:w="1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0" w:type="dxa"/>
            <w:vAlign w:val="bottom"/>
          </w:tcPr>
          <w:p>
            <w:pPr>
              <w:spacing w:after="0"/>
              <w:rPr>
                <w:sz w:val="19"/>
                <w:szCs w:val="19"/>
                <w:color w:val="auto"/>
              </w:rPr>
            </w:pPr>
          </w:p>
        </w:tc>
      </w:tr>
      <w:tr>
        <w:trPr>
          <w:trHeight w:val="377"/>
        </w:trPr>
        <w:tc>
          <w:tcPr>
            <w:tcW w:w="100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6" w:right="199" w:bottom="1440" w:gutter="0" w:footer="0" w:header="0"/>
        </w:sectPr>
      </w:pPr>
    </w:p>
    <w:bookmarkStart w:id="29" w:name="page30"/>
    <w:bookmarkEnd w:id="29"/>
    <w:p>
      <w:pPr>
        <w:ind w:left="5160"/>
        <w:spacing w:after="0"/>
        <w:rPr>
          <w:sz w:val="20"/>
          <w:szCs w:val="20"/>
          <w:color w:val="auto"/>
        </w:rPr>
      </w:pPr>
      <w:r>
        <w:rPr>
          <w:rFonts w:ascii="Arial" w:cs="Arial" w:eastAsia="Arial" w:hAnsi="Arial"/>
          <w:sz w:val="22"/>
          <w:szCs w:val="22"/>
          <w:b w:val="1"/>
          <w:bCs w:val="1"/>
          <w:color w:val="auto"/>
        </w:rPr>
        <w:t>Exhibit 32.1</w:t>
      </w:r>
    </w:p>
    <w:p>
      <w:pPr>
        <w:spacing w:after="0" w:line="139"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OF THE SARBANES-OXLEY ACT OF 2002</w:t>
      </w:r>
    </w:p>
    <w:p>
      <w:pPr>
        <w:jc w:val="center"/>
        <w:ind w:right="40"/>
        <w:spacing w:after="0"/>
        <w:rPr>
          <w:sz w:val="20"/>
          <w:szCs w:val="20"/>
          <w:color w:val="auto"/>
        </w:rPr>
      </w:pPr>
      <w:r>
        <w:rPr>
          <w:rFonts w:ascii="Arial" w:cs="Arial" w:eastAsia="Arial" w:hAnsi="Arial"/>
          <w:sz w:val="22"/>
          <w:szCs w:val="22"/>
          <w:b w:val="1"/>
          <w:bCs w:val="1"/>
          <w:color w:val="auto"/>
        </w:rPr>
        <w:t>(18 U.S.C. SECTION 1350)</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this Quarterly Report on Form 10-Q of Winnebago Industries, Inc. for the period ended February 28, 2009, I, Robert J. Olson, Chairman of the Board, Chief Executive Officer and President of Winnebago Industries, Inc., certify that pursuant to 18 U.S.C. §1350 as adopted pursuant to §906 of the Sarbanes-Oxley Act of 2002, that:</w:t>
      </w:r>
    </w:p>
    <w:p>
      <w:pPr>
        <w:spacing w:after="0" w:line="208" w:lineRule="exact"/>
        <w:rPr>
          <w:sz w:val="20"/>
          <w:szCs w:val="20"/>
          <w:color w:val="auto"/>
        </w:rPr>
      </w:pPr>
    </w:p>
    <w:p>
      <w:pPr>
        <w:ind w:left="1160" w:right="160" w:hanging="571"/>
        <w:spacing w:after="0" w:line="259"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February 28, 2009 as filed with the Securities and Exchange Commission on the date of this certificate, which this statement accompanies, fully complies with the requirements of Section 13(a) or 15(d) of the Securities Exchange Act of 1934, and</w:t>
      </w:r>
    </w:p>
    <w:p>
      <w:pPr>
        <w:spacing w:after="0" w:line="126" w:lineRule="exact"/>
        <w:rPr>
          <w:rFonts w:ascii="Arial" w:cs="Arial" w:eastAsia="Arial" w:hAnsi="Arial"/>
          <w:sz w:val="18"/>
          <w:szCs w:val="18"/>
          <w:color w:val="auto"/>
        </w:rPr>
      </w:pPr>
    </w:p>
    <w:p>
      <w:pPr>
        <w:ind w:left="1160" w:right="200" w:hanging="571"/>
        <w:spacing w:after="0" w:line="268"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0" w:type="dxa"/>
            <w:vAlign w:val="bottom"/>
          </w:tcPr>
          <w:p>
            <w:pPr>
              <w:ind w:left="580"/>
              <w:spacing w:after="0"/>
              <w:rPr>
                <w:sz w:val="20"/>
                <w:szCs w:val="20"/>
                <w:color w:val="auto"/>
              </w:rPr>
            </w:pPr>
            <w:r>
              <w:rPr>
                <w:rFonts w:ascii="Arial" w:cs="Arial" w:eastAsia="Arial" w:hAnsi="Arial"/>
                <w:sz w:val="18"/>
                <w:szCs w:val="18"/>
                <w:color w:val="auto"/>
                <w:w w:val="92"/>
              </w:rPr>
              <w:t>Date:</w:t>
            </w:r>
          </w:p>
        </w:tc>
        <w:tc>
          <w:tcPr>
            <w:tcW w:w="1860" w:type="dxa"/>
            <w:vAlign w:val="bottom"/>
          </w:tcPr>
          <w:p>
            <w:pPr>
              <w:ind w:left="460"/>
              <w:spacing w:after="0"/>
              <w:rPr>
                <w:sz w:val="20"/>
                <w:szCs w:val="20"/>
                <w:color w:val="auto"/>
              </w:rPr>
            </w:pPr>
            <w:r>
              <w:rPr>
                <w:rFonts w:ascii="Arial" w:cs="Arial" w:eastAsia="Arial" w:hAnsi="Arial"/>
                <w:sz w:val="18"/>
                <w:szCs w:val="18"/>
                <w:color w:val="auto"/>
              </w:rPr>
              <w:t>April 7, 2009</w:t>
            </w:r>
          </w:p>
        </w:tc>
        <w:tc>
          <w:tcPr>
            <w:tcW w:w="8540" w:type="dxa"/>
            <w:vAlign w:val="bottom"/>
            <w:gridSpan w:val="2"/>
          </w:tcPr>
          <w:p>
            <w:pPr>
              <w:ind w:left="3060"/>
              <w:spacing w:after="0"/>
              <w:rPr>
                <w:sz w:val="20"/>
                <w:szCs w:val="20"/>
                <w:color w:val="auto"/>
              </w:rPr>
            </w:pPr>
            <w:r>
              <w:rPr>
                <w:rFonts w:ascii="Arial" w:cs="Arial" w:eastAsia="Arial" w:hAnsi="Arial"/>
                <w:sz w:val="18"/>
                <w:szCs w:val="18"/>
                <w:color w:val="auto"/>
              </w:rPr>
              <w:t>By: /s/ Robert J. Olson</w:t>
            </w:r>
          </w:p>
        </w:tc>
        <w:tc>
          <w:tcPr>
            <w:tcW w:w="60" w:type="dxa"/>
            <w:vAlign w:val="bottom"/>
          </w:tcPr>
          <w:p>
            <w:pPr>
              <w:spacing w:after="0"/>
              <w:rPr>
                <w:sz w:val="19"/>
                <w:szCs w:val="19"/>
                <w:color w:val="auto"/>
              </w:rPr>
            </w:pPr>
          </w:p>
        </w:tc>
      </w:tr>
      <w:tr>
        <w:trPr>
          <w:trHeight w:val="202"/>
        </w:trPr>
        <w:tc>
          <w:tcPr>
            <w:tcW w:w="10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51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Robert J. Olson</w:t>
            </w:r>
          </w:p>
        </w:tc>
        <w:tc>
          <w:tcPr>
            <w:tcW w:w="60" w:type="dxa"/>
            <w:vAlign w:val="bottom"/>
          </w:tcPr>
          <w:p>
            <w:pPr>
              <w:spacing w:after="0"/>
              <w:rPr>
                <w:sz w:val="17"/>
                <w:szCs w:val="17"/>
                <w:color w:val="auto"/>
              </w:rPr>
            </w:pPr>
          </w:p>
        </w:tc>
      </w:tr>
      <w:tr>
        <w:trPr>
          <w:trHeight w:val="222"/>
        </w:trPr>
        <w:tc>
          <w:tcPr>
            <w:tcW w:w="1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0" w:type="dxa"/>
            <w:vAlign w:val="bottom"/>
          </w:tcPr>
          <w:p>
            <w:pPr>
              <w:spacing w:after="0"/>
              <w:rPr>
                <w:sz w:val="19"/>
                <w:szCs w:val="19"/>
                <w:color w:val="auto"/>
              </w:rPr>
            </w:pPr>
          </w:p>
        </w:tc>
      </w:tr>
      <w:tr>
        <w:trPr>
          <w:trHeight w:val="377"/>
        </w:trPr>
        <w:tc>
          <w:tcPr>
            <w:tcW w:w="100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6" w:right="199" w:bottom="1440" w:gutter="0" w:footer="0" w:header="0"/>
        </w:sectPr>
      </w:pPr>
    </w:p>
    <w:bookmarkStart w:id="30" w:name="page31"/>
    <w:bookmarkEnd w:id="30"/>
    <w:p>
      <w:pPr>
        <w:ind w:left="5160"/>
        <w:spacing w:after="0"/>
        <w:rPr>
          <w:sz w:val="20"/>
          <w:szCs w:val="20"/>
          <w:color w:val="auto"/>
        </w:rPr>
      </w:pPr>
      <w:r>
        <w:rPr>
          <w:rFonts w:ascii="Arial" w:cs="Arial" w:eastAsia="Arial" w:hAnsi="Arial"/>
          <w:sz w:val="22"/>
          <w:szCs w:val="22"/>
          <w:b w:val="1"/>
          <w:bCs w:val="1"/>
          <w:color w:val="auto"/>
        </w:rPr>
        <w:t>Exhibit 32.2</w:t>
      </w:r>
    </w:p>
    <w:p>
      <w:pPr>
        <w:spacing w:after="0" w:line="139"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OF THE SARBANES-OXLEY ACT OF 2002</w:t>
      </w:r>
    </w:p>
    <w:p>
      <w:pPr>
        <w:jc w:val="center"/>
        <w:ind w:right="40"/>
        <w:spacing w:after="0"/>
        <w:rPr>
          <w:sz w:val="20"/>
          <w:szCs w:val="20"/>
          <w:color w:val="auto"/>
        </w:rPr>
      </w:pPr>
      <w:r>
        <w:rPr>
          <w:rFonts w:ascii="Arial" w:cs="Arial" w:eastAsia="Arial" w:hAnsi="Arial"/>
          <w:sz w:val="22"/>
          <w:szCs w:val="22"/>
          <w:b w:val="1"/>
          <w:bCs w:val="1"/>
          <w:color w:val="auto"/>
        </w:rPr>
        <w:t>(18 U.S.C. SECTION 1350)</w:t>
      </w:r>
    </w:p>
    <w:p>
      <w:pPr>
        <w:spacing w:after="0" w:line="201"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In connection with this Quarterly Report on Form 10-Q of Winnebago Industries, Inc. for the period ended February 28, 2009, I, Sarah N. Nielsen, Chief Financial Officer of Winnebago Industries, Inc., certify that pursuant to 18 U.S.C. §1350 as adopted pursuant to §906 of the Sarbanes-Oxley Act of 2002, that:</w:t>
      </w:r>
    </w:p>
    <w:p>
      <w:pPr>
        <w:spacing w:after="0" w:line="130" w:lineRule="exact"/>
        <w:rPr>
          <w:sz w:val="20"/>
          <w:szCs w:val="20"/>
          <w:color w:val="auto"/>
        </w:rPr>
      </w:pPr>
    </w:p>
    <w:p>
      <w:pPr>
        <w:ind w:left="1160" w:right="160" w:hanging="571"/>
        <w:spacing w:after="0" w:line="259"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February 28, 2009 as filed with the Securities and Exchange Commission on the date of this certificate, which this statement accompanies, fully complies with the requirements of Section 13(a) or 15(d) of the Securities Exchange Act of 1934, and</w:t>
      </w:r>
    </w:p>
    <w:p>
      <w:pPr>
        <w:spacing w:after="0" w:line="126" w:lineRule="exact"/>
        <w:rPr>
          <w:rFonts w:ascii="Arial" w:cs="Arial" w:eastAsia="Arial" w:hAnsi="Arial"/>
          <w:sz w:val="18"/>
          <w:szCs w:val="18"/>
          <w:color w:val="auto"/>
        </w:rPr>
      </w:pPr>
    </w:p>
    <w:p>
      <w:pPr>
        <w:ind w:left="1160" w:right="200" w:hanging="571"/>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0" w:type="dxa"/>
            <w:vAlign w:val="bottom"/>
          </w:tcPr>
          <w:p>
            <w:pPr>
              <w:ind w:left="580"/>
              <w:spacing w:after="0"/>
              <w:rPr>
                <w:sz w:val="20"/>
                <w:szCs w:val="20"/>
                <w:color w:val="auto"/>
              </w:rPr>
            </w:pPr>
            <w:r>
              <w:rPr>
                <w:rFonts w:ascii="Arial" w:cs="Arial" w:eastAsia="Arial" w:hAnsi="Arial"/>
                <w:sz w:val="18"/>
                <w:szCs w:val="18"/>
                <w:color w:val="auto"/>
                <w:w w:val="92"/>
              </w:rPr>
              <w:t>Date:</w:t>
            </w:r>
          </w:p>
        </w:tc>
        <w:tc>
          <w:tcPr>
            <w:tcW w:w="1860" w:type="dxa"/>
            <w:vAlign w:val="bottom"/>
          </w:tcPr>
          <w:p>
            <w:pPr>
              <w:ind w:left="460"/>
              <w:spacing w:after="0"/>
              <w:rPr>
                <w:sz w:val="20"/>
                <w:szCs w:val="20"/>
                <w:color w:val="auto"/>
              </w:rPr>
            </w:pPr>
            <w:r>
              <w:rPr>
                <w:rFonts w:ascii="Arial" w:cs="Arial" w:eastAsia="Arial" w:hAnsi="Arial"/>
                <w:sz w:val="18"/>
                <w:szCs w:val="18"/>
                <w:color w:val="auto"/>
              </w:rPr>
              <w:t>April 7, 2009</w:t>
            </w:r>
          </w:p>
        </w:tc>
        <w:tc>
          <w:tcPr>
            <w:tcW w:w="8540" w:type="dxa"/>
            <w:vAlign w:val="bottom"/>
            <w:gridSpan w:val="2"/>
          </w:tcPr>
          <w:p>
            <w:pPr>
              <w:ind w:left="3060"/>
              <w:spacing w:after="0"/>
              <w:rPr>
                <w:sz w:val="20"/>
                <w:szCs w:val="20"/>
                <w:color w:val="auto"/>
              </w:rPr>
            </w:pPr>
            <w:r>
              <w:rPr>
                <w:rFonts w:ascii="Arial" w:cs="Arial" w:eastAsia="Arial" w:hAnsi="Arial"/>
                <w:sz w:val="18"/>
                <w:szCs w:val="18"/>
                <w:color w:val="auto"/>
              </w:rPr>
              <w:t>By: /s/ Sarah N. Nielsen</w:t>
            </w:r>
          </w:p>
        </w:tc>
        <w:tc>
          <w:tcPr>
            <w:tcW w:w="60" w:type="dxa"/>
            <w:vAlign w:val="bottom"/>
          </w:tcPr>
          <w:p>
            <w:pPr>
              <w:spacing w:after="0"/>
              <w:rPr>
                <w:sz w:val="19"/>
                <w:szCs w:val="19"/>
                <w:color w:val="auto"/>
              </w:rPr>
            </w:pPr>
          </w:p>
        </w:tc>
      </w:tr>
      <w:tr>
        <w:trPr>
          <w:trHeight w:val="202"/>
        </w:trPr>
        <w:tc>
          <w:tcPr>
            <w:tcW w:w="10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51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Sarah N. Nielsen</w:t>
            </w:r>
          </w:p>
        </w:tc>
        <w:tc>
          <w:tcPr>
            <w:tcW w:w="60" w:type="dxa"/>
            <w:vAlign w:val="bottom"/>
          </w:tcPr>
          <w:p>
            <w:pPr>
              <w:spacing w:after="0"/>
              <w:rPr>
                <w:sz w:val="17"/>
                <w:szCs w:val="17"/>
                <w:color w:val="auto"/>
              </w:rPr>
            </w:pPr>
          </w:p>
        </w:tc>
      </w:tr>
      <w:tr>
        <w:trPr>
          <w:trHeight w:val="222"/>
        </w:trPr>
        <w:tc>
          <w:tcPr>
            <w:tcW w:w="1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0" w:type="dxa"/>
            <w:vAlign w:val="bottom"/>
          </w:tcPr>
          <w:p>
            <w:pPr>
              <w:spacing w:after="0"/>
              <w:rPr>
                <w:sz w:val="19"/>
                <w:szCs w:val="19"/>
                <w:color w:val="auto"/>
              </w:rPr>
            </w:pPr>
          </w:p>
        </w:tc>
      </w:tr>
      <w:tr>
        <w:trPr>
          <w:trHeight w:val="377"/>
        </w:trPr>
        <w:tc>
          <w:tcPr>
            <w:tcW w:w="100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2019-12-10T03:37:31Z</dcterms:created>
  <dcterms:modified xsi:type="dcterms:W3CDTF">2019-12-10T03:37:31Z</dcterms:modified>
</cp:coreProperties>
</file>