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92075</wp:posOffset>
            </wp:positionV>
            <wp:extent cx="14319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14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42545</wp:posOffset>
            </wp:positionV>
            <wp:extent cx="143192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1925" cy="17145"/>
                    </a:xfrm>
                    <a:prstGeom prst="rect">
                      <a:avLst/>
                    </a:prstGeom>
                    <a:noFill/>
                  </pic:spPr>
                </pic:pic>
              </a:graphicData>
            </a:graphic>
          </wp:anchor>
        </w:drawing>
      </w:r>
    </w:p>
    <w:p>
      <w:pPr>
        <w:spacing w:after="0" w:line="7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5"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b w:val="1"/>
          <w:bCs w:val="1"/>
          <w:color w:val="auto"/>
        </w:rPr>
        <w:t>ANNUAL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fiscal year ended August 30, 2014; or</w:t>
      </w:r>
      <w:r>
        <w:rPr>
          <w:rFonts w:ascii="Arial" w:cs="Arial" w:eastAsia="Arial" w:hAnsi="Arial"/>
          <w:sz w:val="18"/>
          <w:szCs w:val="18"/>
          <w:color w:val="auto"/>
        </w:rPr>
        <w:t xml:space="preserve"> o </w:t>
      </w:r>
      <w:r>
        <w:rPr>
          <w:rFonts w:ascii="Arial" w:cs="Arial" w:eastAsia="Arial" w:hAnsi="Arial"/>
          <w:sz w:val="16"/>
          <w:szCs w:val="16"/>
          <w:b w:val="1"/>
          <w:bCs w:val="1"/>
          <w:color w:val="auto"/>
        </w:rPr>
        <w:t>TRANSITION REPORT PURSUANT TO SECTION 13 OR 15(D) OF THE SECURITIES EXCHANGE ACT OF 1934</w:t>
      </w:r>
      <w:r>
        <w:rPr>
          <w:rFonts w:ascii="Arial" w:cs="Arial" w:eastAsia="Arial" w:hAnsi="Arial"/>
          <w:sz w:val="18"/>
          <w:szCs w:val="18"/>
          <w:color w:val="auto"/>
        </w:rPr>
        <w:t xml:space="preserve"> </w:t>
      </w:r>
      <w:r>
        <w:rPr>
          <w:rFonts w:ascii="Arial" w:cs="Arial" w:eastAsia="Arial" w:hAnsi="Arial"/>
          <w:sz w:val="16"/>
          <w:szCs w:val="16"/>
          <w:color w:val="auto"/>
        </w:rPr>
        <w:t>for the transition period from</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___________________ to _______________________</w:t>
      </w:r>
    </w:p>
    <w:p>
      <w:pPr>
        <w:spacing w:after="0" w:line="73"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Commission File Number 001</w:t>
      </w:r>
      <w:r>
        <w:rPr>
          <w:rFonts w:ascii="MS PGothic" w:cs="MS PGothic" w:eastAsia="MS PGothic" w:hAnsi="MS PGothic"/>
          <w:sz w:val="16"/>
          <w:szCs w:val="16"/>
          <w:color w:val="auto"/>
        </w:rPr>
        <w:t>‑</w:t>
      </w:r>
      <w:r>
        <w:rPr>
          <w:rFonts w:ascii="Arial" w:cs="Arial" w:eastAsia="Arial" w:hAnsi="Arial"/>
          <w:sz w:val="16"/>
          <w:szCs w:val="16"/>
          <w:color w:val="auto"/>
        </w:rPr>
        <w:t>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259080</wp:posOffset>
            </wp:positionV>
            <wp:extent cx="3267075" cy="454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4546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WINNEBAGO INDUSTRIES, INC.</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187"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Iowa</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right"/>
              <w:ind w:right="1319"/>
              <w:spacing w:after="0"/>
              <w:rPr>
                <w:sz w:val="20"/>
                <w:szCs w:val="20"/>
                <w:color w:val="auto"/>
              </w:rPr>
            </w:pPr>
            <w:r>
              <w:rPr>
                <w:rFonts w:ascii="Arial" w:cs="Arial" w:eastAsia="Arial" w:hAnsi="Arial"/>
                <w:sz w:val="16"/>
                <w:szCs w:val="16"/>
                <w:color w:val="auto"/>
              </w:rPr>
              <w:t>42-0802678</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(State or other jurisdiction of</w:t>
            </w:r>
          </w:p>
        </w:tc>
        <w:tc>
          <w:tcPr>
            <w:tcW w:w="368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270"/>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incorporation or organization)</w:t>
            </w:r>
          </w:p>
        </w:tc>
        <w:tc>
          <w:tcPr>
            <w:tcW w:w="3680" w:type="dxa"/>
            <w:vAlign w:val="bottom"/>
          </w:tcPr>
          <w:p>
            <w:pPr>
              <w:spacing w:after="0"/>
              <w:rPr>
                <w:sz w:val="23"/>
                <w:szCs w:val="23"/>
                <w:color w:val="auto"/>
              </w:rPr>
            </w:pPr>
          </w:p>
        </w:tc>
      </w:tr>
      <w:tr>
        <w:trPr>
          <w:trHeight w:val="472"/>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P.O. Box 152, Forest City, Iowa</w:t>
            </w:r>
          </w:p>
        </w:tc>
        <w:tc>
          <w:tcPr>
            <w:tcW w:w="1520" w:type="dxa"/>
            <w:vAlign w:val="bottom"/>
          </w:tcPr>
          <w:p>
            <w:pPr>
              <w:spacing w:after="0"/>
              <w:rPr>
                <w:sz w:val="24"/>
                <w:szCs w:val="24"/>
                <w:color w:val="auto"/>
              </w:rPr>
            </w:pPr>
          </w:p>
        </w:tc>
        <w:tc>
          <w:tcPr>
            <w:tcW w:w="3680" w:type="dxa"/>
            <w:vAlign w:val="bottom"/>
            <w:tcBorders>
              <w:bottom w:val="single" w:sz="8" w:color="auto"/>
            </w:tcBorders>
          </w:tcPr>
          <w:p>
            <w:pPr>
              <w:jc w:val="right"/>
              <w:ind w:right="1539"/>
              <w:spacing w:after="0"/>
              <w:rPr>
                <w:sz w:val="20"/>
                <w:szCs w:val="20"/>
                <w:color w:val="auto"/>
              </w:rPr>
            </w:pPr>
            <w:r>
              <w:rPr>
                <w:rFonts w:ascii="Arial" w:cs="Arial" w:eastAsia="Arial" w:hAnsi="Arial"/>
                <w:sz w:val="16"/>
                <w:szCs w:val="16"/>
                <w:color w:val="auto"/>
              </w:rPr>
              <w:t>50436</w:t>
            </w:r>
          </w:p>
        </w:tc>
      </w:tr>
      <w:tr>
        <w:trPr>
          <w:trHeight w:val="224"/>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(Address of principal executive offices)</w:t>
            </w:r>
          </w:p>
        </w:tc>
        <w:tc>
          <w:tcPr>
            <w:tcW w:w="368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5" w:lineRule="exact"/>
        <w:rPr>
          <w:sz w:val="24"/>
          <w:szCs w:val="24"/>
          <w:color w:val="auto"/>
        </w:rPr>
      </w:pPr>
    </w:p>
    <w:p>
      <w:pPr>
        <w:jc w:val="center"/>
        <w:ind w:right="-39"/>
        <w:spacing w:after="0" w:line="184" w:lineRule="exact"/>
        <w:rPr>
          <w:sz w:val="20"/>
          <w:szCs w:val="20"/>
          <w:color w:val="auto"/>
        </w:rPr>
      </w:pPr>
      <w:r>
        <w:rPr>
          <w:rFonts w:ascii="Arial" w:cs="Arial" w:eastAsia="Arial" w:hAnsi="Arial"/>
          <w:sz w:val="16"/>
          <w:szCs w:val="16"/>
          <w:color w:val="auto"/>
        </w:rPr>
        <w:t>Registrant's telephone number, including area code: (641) 585</w:t>
      </w:r>
      <w:r>
        <w:rPr>
          <w:rFonts w:ascii="MS PGothic" w:cs="MS PGothic" w:eastAsia="MS PGothic" w:hAnsi="MS PGothic"/>
          <w:sz w:val="16"/>
          <w:szCs w:val="16"/>
          <w:color w:val="auto"/>
        </w:rPr>
        <w:t>‑</w:t>
      </w:r>
      <w:r>
        <w:rPr>
          <w:rFonts w:ascii="Arial" w:cs="Arial" w:eastAsia="Arial" w:hAnsi="Arial"/>
          <w:sz w:val="16"/>
          <w:szCs w:val="16"/>
          <w:color w:val="auto"/>
        </w:rPr>
        <w:t>3535</w:t>
      </w:r>
    </w:p>
    <w:p>
      <w:pPr>
        <w:spacing w:after="0" w:line="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tbl>
      <w:tblPr>
        <w:tblLayout w:type="fixed"/>
        <w:tblInd w:w="1260" w:type="dxa"/>
        <w:tblCellMar>
          <w:top w:w="0" w:type="dxa"/>
          <w:left w:w="0" w:type="dxa"/>
          <w:bottom w:w="0" w:type="dxa"/>
          <w:right w:w="0" w:type="dxa"/>
        </w:tblCellMar>
      </w:tblPr>
      <w:tr>
        <w:trPr>
          <w:trHeight w:val="20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520" w:type="dxa"/>
            <w:vAlign w:val="bottom"/>
          </w:tcPr>
          <w:p>
            <w:pPr>
              <w:spacing w:after="0"/>
              <w:rPr>
                <w:sz w:val="18"/>
                <w:szCs w:val="18"/>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5220" w:type="dxa"/>
            <w:vAlign w:val="bottom"/>
            <w:gridSpan w:val="2"/>
          </w:tcPr>
          <w:p>
            <w:pPr>
              <w:jc w:val="center"/>
              <w:ind w:right="1520"/>
              <w:spacing w:after="0"/>
              <w:rPr>
                <w:sz w:val="20"/>
                <w:szCs w:val="20"/>
                <w:color w:val="auto"/>
              </w:rPr>
            </w:pPr>
            <w:r>
              <w:rPr>
                <w:rFonts w:ascii="Arial" w:cs="Arial" w:eastAsia="Arial" w:hAnsi="Arial"/>
                <w:sz w:val="16"/>
                <w:szCs w:val="16"/>
                <w:color w:val="auto"/>
              </w:rPr>
              <w:t>Common Stock ($.50 par value)</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New York Stock Exchange, Inc.</w:t>
            </w:r>
          </w:p>
        </w:tc>
      </w:tr>
    </w:tbl>
    <w:p>
      <w:pPr>
        <w:spacing w:after="0" w:line="48" w:lineRule="exact"/>
        <w:rPr>
          <w:sz w:val="24"/>
          <w:szCs w:val="24"/>
          <w:color w:val="auto"/>
        </w:rPr>
      </w:pPr>
    </w:p>
    <w:p>
      <w:pPr>
        <w:ind w:left="7240"/>
        <w:spacing w:after="0"/>
        <w:rPr>
          <w:sz w:val="20"/>
          <w:szCs w:val="20"/>
          <w:color w:val="auto"/>
        </w:rPr>
      </w:pPr>
      <w:r>
        <w:rPr>
          <w:rFonts w:ascii="Arial" w:cs="Arial" w:eastAsia="Arial" w:hAnsi="Arial"/>
          <w:sz w:val="16"/>
          <w:szCs w:val="16"/>
          <w:color w:val="auto"/>
        </w:rPr>
        <w:t>Chicago Stock Exchange, Inc.</w:t>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12(g) of the Act: None</w:t>
      </w:r>
    </w:p>
    <w:p>
      <w:pPr>
        <w:spacing w:after="0" w:line="108" w:lineRule="exact"/>
        <w:rPr>
          <w:sz w:val="24"/>
          <w:szCs w:val="24"/>
          <w:color w:val="auto"/>
        </w:rPr>
      </w:pPr>
    </w:p>
    <w:p>
      <w:pPr>
        <w:ind w:right="2680"/>
        <w:spacing w:after="0" w:line="448" w:lineRule="auto"/>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r>
        <w:rPr>
          <w:rFonts w:ascii="Arial" w:cs="Arial" w:eastAsia="Arial" w:hAnsi="Arial"/>
          <w:sz w:val="14"/>
          <w:szCs w:val="14"/>
          <w:color w:val="auto"/>
        </w:rPr>
        <w:t xml:space="preserve"> Indicate by check mark whether the registrant is not required to file reports pursuant to Section 13 or Section 15(d)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ind w:right="260"/>
        <w:spacing w:after="0" w:line="295" w:lineRule="auto"/>
        <w:rPr>
          <w:sz w:val="20"/>
          <w:szCs w:val="20"/>
          <w:color w:val="auto"/>
        </w:rPr>
      </w:pPr>
      <w:r>
        <w:rPr>
          <w:rFonts w:ascii="Arial" w:cs="Arial" w:eastAsia="Arial" w:hAnsi="Arial"/>
          <w:sz w:val="16"/>
          <w:szCs w:val="16"/>
          <w:color w:val="auto"/>
        </w:rPr>
        <w:t>I</w:t>
      </w:r>
      <w:r>
        <w:rPr>
          <w:rFonts w:ascii="Arial" w:cs="Arial" w:eastAsia="Arial" w:hAnsi="Arial"/>
          <w:sz w:val="14"/>
          <w:szCs w:val="14"/>
          <w:color w:val="auto"/>
        </w:rPr>
        <w:t>ndicate by check mark whether the registrant (1) has filed all reports required to be filed by Section 13 or 15(d) of the Securities Exchange Act of 1934 during the preceding 12</w:t>
      </w:r>
      <w:r>
        <w:rPr>
          <w:rFonts w:ascii="Arial" w:cs="Arial" w:eastAsia="Arial" w:hAnsi="Arial"/>
          <w:sz w:val="16"/>
          <w:szCs w:val="16"/>
          <w:color w:val="auto"/>
        </w:rPr>
        <w:t xml:space="preserve"> </w:t>
      </w:r>
      <w:r>
        <w:rPr>
          <w:rFonts w:ascii="Arial" w:cs="Arial" w:eastAsia="Arial" w:hAnsi="Arial"/>
          <w:sz w:val="14"/>
          <w:szCs w:val="14"/>
          <w:color w:val="auto"/>
        </w:rPr>
        <w:t xml:space="preserve">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1" w:lineRule="exact"/>
        <w:rPr>
          <w:sz w:val="24"/>
          <w:szCs w:val="24"/>
          <w:color w:val="auto"/>
        </w:rPr>
      </w:pPr>
    </w:p>
    <w:p>
      <w:pPr>
        <w:ind w:right="60"/>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96" w:lineRule="exact"/>
        <w:rPr>
          <w:sz w:val="24"/>
          <w:szCs w:val="24"/>
          <w:color w:val="auto"/>
        </w:rPr>
      </w:pPr>
    </w:p>
    <w:p>
      <w:pPr>
        <w:ind w:right="120"/>
        <w:spacing w:after="0" w:line="269" w:lineRule="auto"/>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Arial" w:cs="Arial" w:eastAsia="Arial" w:hAnsi="Arial"/>
          <w:sz w:val="16"/>
          <w:szCs w:val="16"/>
          <w:color w:val="auto"/>
        </w:rPr>
        <w:t>x.</w:t>
      </w:r>
    </w:p>
    <w:p>
      <w:pPr>
        <w:spacing w:after="0" w:line="86" w:lineRule="exact"/>
        <w:rPr>
          <w:sz w:val="24"/>
          <w:szCs w:val="24"/>
          <w:color w:val="auto"/>
        </w:rPr>
      </w:pPr>
    </w:p>
    <w:p>
      <w:pPr>
        <w:ind w:right="18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tabs>
          <w:tab w:leader="none" w:pos="1840" w:val="left"/>
          <w:tab w:leader="none" w:pos="3320" w:val="left"/>
          <w:tab w:leader="none" w:pos="5140" w:val="left"/>
        </w:tabs>
        <w:rPr>
          <w:sz w:val="20"/>
          <w:szCs w:val="20"/>
          <w:color w:val="auto"/>
        </w:rPr>
      </w:pPr>
      <w:r>
        <w:rPr>
          <w:rFonts w:ascii="Arial" w:cs="Arial" w:eastAsia="Arial" w:hAnsi="Arial"/>
          <w:sz w:val="14"/>
          <w:szCs w:val="14"/>
          <w:color w:val="auto"/>
        </w:rPr>
        <w:t xml:space="preserve">Large 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Accelerated Filer </w:t>
      </w:r>
      <w:r>
        <w:rPr>
          <w:rFonts w:ascii="Arial" w:cs="Arial" w:eastAsia="Arial" w:hAnsi="Arial"/>
          <w:sz w:val="16"/>
          <w:szCs w:val="16"/>
          <w:color w:val="auto"/>
        </w:rPr>
        <w:t>x</w:t>
      </w:r>
      <w:r>
        <w:rPr>
          <w:sz w:val="20"/>
          <w:szCs w:val="20"/>
          <w:color w:val="auto"/>
        </w:rPr>
        <w:tab/>
      </w:r>
      <w:r>
        <w:rPr>
          <w:rFonts w:ascii="Arial" w:cs="Arial" w:eastAsia="Arial" w:hAnsi="Arial"/>
          <w:sz w:val="14"/>
          <w:szCs w:val="14"/>
          <w:color w:val="auto"/>
        </w:rPr>
        <w:t xml:space="preserve">Non-accelerated filer </w:t>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 xml:space="preserve">Smaller Reporting Company </w:t>
      </w:r>
      <w:r>
        <w:rPr>
          <w:rFonts w:ascii="Arial" w:cs="Arial" w:eastAsia="Arial" w:hAnsi="Arial"/>
          <w:sz w:val="16"/>
          <w:szCs w:val="16"/>
          <w:color w:val="auto"/>
        </w:rPr>
        <w:t>o</w:t>
      </w:r>
    </w:p>
    <w:p>
      <w:pPr>
        <w:spacing w:after="0" w:line="11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Arial" w:cs="Arial" w:eastAsia="Arial" w:hAnsi="Arial"/>
          <w:sz w:val="16"/>
          <w:szCs w:val="16"/>
          <w:color w:val="auto"/>
        </w:rPr>
        <w:t>o</w:t>
      </w:r>
      <w:r>
        <w:rPr>
          <w:rFonts w:ascii="Arial" w:cs="Arial" w:eastAsia="Arial" w:hAnsi="Arial"/>
          <w:sz w:val="14"/>
          <w:szCs w:val="14"/>
          <w:color w:val="auto"/>
        </w:rPr>
        <w:t xml:space="preserve"> No </w:t>
      </w:r>
      <w:r>
        <w:rPr>
          <w:rFonts w:ascii="Arial" w:cs="Arial" w:eastAsia="Arial" w:hAnsi="Arial"/>
          <w:sz w:val="16"/>
          <w:szCs w:val="16"/>
          <w:color w:val="auto"/>
        </w:rPr>
        <w:t>x</w:t>
      </w:r>
    </w:p>
    <w:p>
      <w:pPr>
        <w:spacing w:after="0" w:line="128" w:lineRule="exact"/>
        <w:rPr>
          <w:sz w:val="24"/>
          <w:szCs w:val="24"/>
          <w:color w:val="auto"/>
        </w:rPr>
      </w:pPr>
    </w:p>
    <w:p>
      <w:pPr>
        <w:ind w:right="280"/>
        <w:spacing w:after="0" w:line="258" w:lineRule="auto"/>
        <w:rPr>
          <w:sz w:val="20"/>
          <w:szCs w:val="20"/>
          <w:color w:val="auto"/>
        </w:rPr>
      </w:pPr>
      <w:r>
        <w:rPr>
          <w:rFonts w:ascii="Arial" w:cs="Arial" w:eastAsia="Arial" w:hAnsi="Arial"/>
          <w:sz w:val="14"/>
          <w:szCs w:val="14"/>
          <w:color w:val="auto"/>
        </w:rPr>
        <w:t>Aggregate market value of the common stock held by non-affiliates of the registrant: $714,649,480 (26,806,057 shares at the closing price on the New York Stock Exchange of $26.66 on February 28, 2014).</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Common stock outstanding on October 14, 2014: 26,957,153 shares.</w:t>
      </w:r>
    </w:p>
    <w:p>
      <w:pPr>
        <w:spacing w:after="0" w:line="167"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DOCUMENTS INCORPORATED BY REFERENCE</w:t>
      </w:r>
    </w:p>
    <w:p>
      <w:pPr>
        <w:spacing w:after="0" w:line="39" w:lineRule="exact"/>
        <w:rPr>
          <w:sz w:val="24"/>
          <w:szCs w:val="24"/>
          <w:color w:val="auto"/>
        </w:rPr>
      </w:pPr>
    </w:p>
    <w:p>
      <w:pPr>
        <w:ind w:right="200"/>
        <w:spacing w:after="0" w:line="295" w:lineRule="auto"/>
        <w:rPr>
          <w:sz w:val="20"/>
          <w:szCs w:val="20"/>
          <w:color w:val="auto"/>
        </w:rPr>
      </w:pPr>
      <w:r>
        <w:rPr>
          <w:rFonts w:ascii="Arial" w:cs="Arial" w:eastAsia="Arial" w:hAnsi="Arial"/>
          <w:sz w:val="16"/>
          <w:szCs w:val="16"/>
          <w:color w:val="auto"/>
        </w:rPr>
        <w:t>Portions of the registrant's Proxy Statement relating to the registrant's December 2014 Annual Meeting of Shareholders, scheduled to be held December 16, 2014, are incorporated by reference into Part II and Part III of this Annual Report on Form 10-K where indicated.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78"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360" w:type="dxa"/>
            <w:vAlign w:val="bottom"/>
            <w:gridSpan w:val="8"/>
          </w:tcPr>
          <w:p>
            <w:pPr>
              <w:jc w:val="center"/>
              <w:ind w:right="1740"/>
              <w:spacing w:after="0"/>
              <w:rPr>
                <w:sz w:val="20"/>
                <w:szCs w:val="20"/>
                <w:color w:val="auto"/>
              </w:rPr>
            </w:pPr>
            <w:r>
              <w:rPr>
                <w:rFonts w:ascii="Arial" w:cs="Arial" w:eastAsia="Arial" w:hAnsi="Arial"/>
                <w:sz w:val="22"/>
                <w:szCs w:val="22"/>
                <w:b w:val="1"/>
                <w:bCs w:val="1"/>
                <w:color w:val="auto"/>
                <w:w w:val="97"/>
              </w:rPr>
              <w:t>Winnebago Industries, Inc.</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360" w:type="dxa"/>
            <w:vAlign w:val="bottom"/>
            <w:gridSpan w:val="8"/>
          </w:tcPr>
          <w:p>
            <w:pPr>
              <w:jc w:val="center"/>
              <w:ind w:right="1720"/>
              <w:spacing w:after="0"/>
              <w:rPr>
                <w:sz w:val="20"/>
                <w:szCs w:val="20"/>
                <w:color w:val="auto"/>
              </w:rPr>
            </w:pPr>
            <w:r>
              <w:rPr>
                <w:rFonts w:ascii="Arial" w:cs="Arial" w:eastAsia="Arial" w:hAnsi="Arial"/>
                <w:sz w:val="22"/>
                <w:szCs w:val="22"/>
                <w:b w:val="1"/>
                <w:bCs w:val="1"/>
                <w:color w:val="auto"/>
                <w:w w:val="98"/>
              </w:rPr>
              <w:t>2014 Form 10-K Annual Report</w:t>
            </w:r>
          </w:p>
        </w:tc>
        <w:tc>
          <w:tcPr>
            <w:tcW w:w="20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86"/>
        </w:trPr>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00" w:type="dxa"/>
            <w:vAlign w:val="bottom"/>
            <w:gridSpan w:val="7"/>
          </w:tcPr>
          <w:p>
            <w:pPr>
              <w:jc w:val="center"/>
              <w:ind w:right="2200"/>
              <w:spacing w:after="0"/>
              <w:rPr>
                <w:sz w:val="20"/>
                <w:szCs w:val="20"/>
                <w:color w:val="auto"/>
              </w:rPr>
            </w:pPr>
            <w:r>
              <w:rPr>
                <w:rFonts w:ascii="Arial" w:cs="Arial" w:eastAsia="Arial" w:hAnsi="Arial"/>
                <w:sz w:val="22"/>
                <w:szCs w:val="22"/>
                <w:b w:val="1"/>
                <w:bCs w:val="1"/>
                <w:color w:val="auto"/>
                <w:w w:val="97"/>
              </w:rPr>
              <w:t>Table of Contents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0"/>
        </w:trPr>
        <w:tc>
          <w:tcPr>
            <w:tcW w:w="640" w:type="dxa"/>
            <w:vAlign w:val="bottom"/>
            <w:tcBorders>
              <w:bottom w:val="single" w:sz="8" w:color="0000EE"/>
            </w:tcBorders>
            <w:gridSpan w:val="5"/>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Glossary</w:t>
              </w:r>
            </w:hyperlink>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74"/>
              </w:rPr>
            </w:pPr>
            <w:hyperlink w:anchor="page2">
              <w:r>
                <w:rPr>
                  <w:rFonts w:ascii="Arial" w:cs="Arial" w:eastAsia="Arial" w:hAnsi="Arial"/>
                  <w:sz w:val="16"/>
                  <w:szCs w:val="16"/>
                  <w:color w:val="0000EE"/>
                  <w:w w:val="74"/>
                </w:rPr>
                <w:t>iii</w:t>
              </w:r>
            </w:hyperlink>
          </w:p>
        </w:tc>
      </w:tr>
      <w:tr>
        <w:trPr>
          <w:trHeight w:val="547"/>
        </w:trPr>
        <w:tc>
          <w:tcPr>
            <w:tcW w:w="520" w:type="dxa"/>
            <w:vAlign w:val="bottom"/>
            <w:tcBorders>
              <w:bottom w:val="single" w:sz="8" w:color="0000EE"/>
            </w:tcBorders>
          </w:tcPr>
          <w:p>
            <w:pPr>
              <w:spacing w:after="0"/>
              <w:rPr>
                <w:rFonts w:ascii="Arial" w:cs="Arial" w:eastAsia="Arial" w:hAnsi="Arial"/>
                <w:sz w:val="16"/>
                <w:szCs w:val="16"/>
                <w:b w:val="1"/>
                <w:bCs w:val="1"/>
                <w:color w:val="0000EE"/>
                <w:w w:val="95"/>
              </w:rPr>
            </w:pPr>
            <w:hyperlink w:anchor="page3">
              <w:r>
                <w:rPr>
                  <w:rFonts w:ascii="Arial" w:cs="Arial" w:eastAsia="Arial" w:hAnsi="Arial"/>
                  <w:sz w:val="16"/>
                  <w:szCs w:val="16"/>
                  <w:b w:val="1"/>
                  <w:bCs w:val="1"/>
                  <w:color w:val="0000EE"/>
                  <w:w w:val="95"/>
                </w:rPr>
                <w:t>PART I</w:t>
              </w:r>
            </w:hyperlink>
          </w:p>
        </w:tc>
        <w:tc>
          <w:tcPr>
            <w:tcW w:w="12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w:t>
            </w:r>
          </w:p>
        </w:tc>
        <w:tc>
          <w:tcPr>
            <w:tcW w:w="32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2140" w:type="dxa"/>
            <w:vAlign w:val="bottom"/>
            <w:gridSpan w:val="2"/>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1</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1A.</w:t>
            </w:r>
          </w:p>
        </w:tc>
        <w:tc>
          <w:tcPr>
            <w:tcW w:w="32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Risk Factors</w:t>
              </w:r>
            </w:hyperlink>
          </w:p>
        </w:tc>
        <w:tc>
          <w:tcPr>
            <w:tcW w:w="2140" w:type="dxa"/>
            <w:vAlign w:val="bottom"/>
            <w:gridSpan w:val="2"/>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6</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1B.</w:t>
            </w:r>
          </w:p>
        </w:tc>
        <w:tc>
          <w:tcPr>
            <w:tcW w:w="320" w:type="dxa"/>
            <w:vAlign w:val="bottom"/>
          </w:tcPr>
          <w:p>
            <w:pPr>
              <w:spacing w:after="0"/>
              <w:rPr>
                <w:sz w:val="19"/>
                <w:szCs w:val="19"/>
                <w:color w:val="auto"/>
              </w:rPr>
            </w:pPr>
          </w:p>
        </w:tc>
        <w:tc>
          <w:tcPr>
            <w:tcW w:w="2040" w:type="dxa"/>
            <w:vAlign w:val="bottom"/>
            <w:tcBorders>
              <w:bottom w:val="single" w:sz="8" w:color="0000EE"/>
            </w:tcBorders>
            <w:gridSpan w:val="9"/>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Unresolved Staff Comments</w:t>
              </w:r>
            </w:hyperlink>
          </w:p>
        </w:tc>
        <w:tc>
          <w:tcPr>
            <w:tcW w:w="6220" w:type="dxa"/>
            <w:vAlign w:val="bottom"/>
            <w:gridSpan w:val="9"/>
          </w:tcPr>
          <w:p>
            <w:pPr>
              <w:spacing w:after="0"/>
              <w:rPr>
                <w:sz w:val="19"/>
                <w:szCs w:val="19"/>
                <w:color w:val="auto"/>
              </w:rPr>
            </w:pPr>
          </w:p>
        </w:tc>
        <w:tc>
          <w:tcPr>
            <w:tcW w:w="204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8</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2.</w:t>
            </w:r>
          </w:p>
        </w:tc>
        <w:tc>
          <w:tcPr>
            <w:tcW w:w="32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EE"/>
              </w:rPr>
            </w:pPr>
            <w:hyperlink w:anchor="page11">
              <w:r>
                <w:rPr>
                  <w:rFonts w:ascii="Arial" w:cs="Arial" w:eastAsia="Arial" w:hAnsi="Arial"/>
                  <w:sz w:val="16"/>
                  <w:szCs w:val="16"/>
                  <w:color w:val="0000EE"/>
                </w:rPr>
                <w:t>Properties</w:t>
              </w:r>
            </w:hyperlink>
          </w:p>
        </w:tc>
        <w:tc>
          <w:tcPr>
            <w:tcW w:w="2140" w:type="dxa"/>
            <w:vAlign w:val="bottom"/>
            <w:gridSpan w:val="2"/>
          </w:tcPr>
          <w:p>
            <w:pPr>
              <w:jc w:val="right"/>
              <w:spacing w:after="0"/>
              <w:rPr>
                <w:rFonts w:ascii="Arial" w:cs="Arial" w:eastAsia="Arial" w:hAnsi="Arial"/>
                <w:sz w:val="16"/>
                <w:szCs w:val="16"/>
                <w:color w:val="0000EE"/>
              </w:rPr>
            </w:pPr>
            <w:hyperlink w:anchor="page11">
              <w:r>
                <w:rPr>
                  <w:rFonts w:ascii="Arial" w:cs="Arial" w:eastAsia="Arial" w:hAnsi="Arial"/>
                  <w:sz w:val="16"/>
                  <w:szCs w:val="16"/>
                  <w:color w:val="0000EE"/>
                </w:rPr>
                <w:t>9</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3.</w:t>
            </w:r>
          </w:p>
        </w:tc>
        <w:tc>
          <w:tcPr>
            <w:tcW w:w="32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Legal Proceedings</w:t>
              </w:r>
            </w:hyperlink>
          </w:p>
        </w:tc>
        <w:tc>
          <w:tcPr>
            <w:tcW w:w="2140" w:type="dxa"/>
            <w:vAlign w:val="bottom"/>
            <w:gridSpan w:val="2"/>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9</w:t>
              </w:r>
            </w:hyperlink>
          </w:p>
        </w:tc>
      </w:tr>
      <w:tr>
        <w:trPr>
          <w:trHeight w:val="20"/>
        </w:trPr>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4.</w:t>
            </w:r>
          </w:p>
        </w:tc>
        <w:tc>
          <w:tcPr>
            <w:tcW w:w="32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Mine Safety Disclosures</w:t>
              </w:r>
            </w:hyperlink>
          </w:p>
        </w:tc>
        <w:tc>
          <w:tcPr>
            <w:tcW w:w="2140" w:type="dxa"/>
            <w:vAlign w:val="bottom"/>
            <w:gridSpan w:val="2"/>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9</w:t>
              </w:r>
            </w:hyperlink>
          </w:p>
        </w:tc>
      </w:tr>
      <w:tr>
        <w:trPr>
          <w:trHeight w:val="520"/>
        </w:trPr>
        <w:tc>
          <w:tcPr>
            <w:tcW w:w="560" w:type="dxa"/>
            <w:vAlign w:val="bottom"/>
            <w:tcBorders>
              <w:bottom w:val="single" w:sz="8" w:color="0000EE"/>
            </w:tcBorders>
            <w:gridSpan w:val="2"/>
          </w:tcPr>
          <w:p>
            <w:pPr>
              <w:spacing w:after="0"/>
              <w:rPr>
                <w:rFonts w:ascii="Arial" w:cs="Arial" w:eastAsia="Arial" w:hAnsi="Arial"/>
                <w:sz w:val="16"/>
                <w:szCs w:val="16"/>
                <w:b w:val="1"/>
                <w:bCs w:val="1"/>
                <w:color w:val="0000EE"/>
                <w:w w:val="94"/>
              </w:rPr>
            </w:pPr>
            <w:hyperlink w:anchor="page12">
              <w:r>
                <w:rPr>
                  <w:rFonts w:ascii="Arial" w:cs="Arial" w:eastAsia="Arial" w:hAnsi="Arial"/>
                  <w:sz w:val="16"/>
                  <w:szCs w:val="16"/>
                  <w:b w:val="1"/>
                  <w:bCs w:val="1"/>
                  <w:color w:val="0000EE"/>
                  <w:w w:val="94"/>
                </w:rPr>
                <w:t>PART II</w:t>
              </w:r>
            </w:hyperlink>
          </w:p>
        </w:tc>
        <w:tc>
          <w:tcPr>
            <w:tcW w:w="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40" w:type="dxa"/>
            <w:vAlign w:val="bottom"/>
            <w:gridSpan w:val="5"/>
          </w:tcPr>
          <w:p>
            <w:pPr>
              <w:spacing w:after="0"/>
              <w:rPr>
                <w:sz w:val="20"/>
                <w:szCs w:val="20"/>
                <w:color w:val="auto"/>
              </w:rPr>
            </w:pPr>
            <w:r>
              <w:rPr>
                <w:rFonts w:ascii="Arial" w:cs="Arial" w:eastAsia="Arial" w:hAnsi="Arial"/>
                <w:sz w:val="16"/>
                <w:szCs w:val="16"/>
                <w:color w:val="auto"/>
              </w:rPr>
              <w:t>Item 5.</w:t>
            </w:r>
          </w:p>
        </w:tc>
        <w:tc>
          <w:tcPr>
            <w:tcW w:w="320" w:type="dxa"/>
            <w:vAlign w:val="bottom"/>
          </w:tcPr>
          <w:p>
            <w:pPr>
              <w:spacing w:after="0"/>
              <w:rPr>
                <w:sz w:val="21"/>
                <w:szCs w:val="21"/>
                <w:color w:val="auto"/>
              </w:rPr>
            </w:pPr>
          </w:p>
        </w:tc>
        <w:tc>
          <w:tcPr>
            <w:tcW w:w="8260" w:type="dxa"/>
            <w:vAlign w:val="bottom"/>
            <w:tcBorders>
              <w:bottom w:val="single" w:sz="8" w:color="0000EE"/>
            </w:tcBorders>
            <w:gridSpan w:val="18"/>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Market for the Registrant's Common Equity, Related Stockholder Matters and Issuer Purchases of Equity Securities</w:t>
              </w:r>
            </w:hyperlink>
          </w:p>
        </w:tc>
        <w:tc>
          <w:tcPr>
            <w:tcW w:w="204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9</w:t>
              </w:r>
            </w:hyperlink>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6.</w:t>
            </w:r>
          </w:p>
        </w:tc>
        <w:tc>
          <w:tcPr>
            <w:tcW w:w="320" w:type="dxa"/>
            <w:vAlign w:val="bottom"/>
          </w:tcPr>
          <w:p>
            <w:pPr>
              <w:spacing w:after="0"/>
              <w:rPr>
                <w:sz w:val="19"/>
                <w:szCs w:val="19"/>
                <w:color w:val="auto"/>
              </w:rPr>
            </w:pPr>
          </w:p>
        </w:tc>
        <w:tc>
          <w:tcPr>
            <w:tcW w:w="1720" w:type="dxa"/>
            <w:vAlign w:val="bottom"/>
            <w:gridSpan w:val="6"/>
          </w:tcPr>
          <w:p>
            <w:pPr>
              <w:spacing w:after="0"/>
              <w:rPr>
                <w:rFonts w:ascii="Arial" w:cs="Arial" w:eastAsia="Arial" w:hAnsi="Arial"/>
                <w:sz w:val="16"/>
                <w:szCs w:val="16"/>
                <w:color w:val="0000EE"/>
              </w:rPr>
            </w:pPr>
            <w:hyperlink w:anchor="page14">
              <w:r>
                <w:rPr>
                  <w:rFonts w:ascii="Arial" w:cs="Arial" w:eastAsia="Arial" w:hAnsi="Arial"/>
                  <w:sz w:val="16"/>
                  <w:szCs w:val="16"/>
                  <w:color w:val="0000EE"/>
                </w:rPr>
                <w:t>Selected Financial Data</w:t>
              </w:r>
            </w:hyperlink>
          </w:p>
        </w:tc>
        <w:tc>
          <w:tcPr>
            <w:tcW w:w="6540" w:type="dxa"/>
            <w:vAlign w:val="bottom"/>
            <w:gridSpan w:val="12"/>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12</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w:t>
            </w:r>
          </w:p>
        </w:tc>
        <w:tc>
          <w:tcPr>
            <w:tcW w:w="320" w:type="dxa"/>
            <w:vAlign w:val="bottom"/>
          </w:tcPr>
          <w:p>
            <w:pPr>
              <w:spacing w:after="0"/>
              <w:rPr>
                <w:sz w:val="19"/>
                <w:szCs w:val="19"/>
                <w:color w:val="auto"/>
              </w:rPr>
            </w:pPr>
          </w:p>
        </w:tc>
        <w:tc>
          <w:tcPr>
            <w:tcW w:w="6380" w:type="dxa"/>
            <w:vAlign w:val="bottom"/>
            <w:gridSpan w:val="15"/>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Management's Discussion and Analysis of Financial Condition and Results of Operations</w:t>
              </w:r>
            </w:hyperlink>
          </w:p>
        </w:tc>
        <w:tc>
          <w:tcPr>
            <w:tcW w:w="1880" w:type="dxa"/>
            <w:vAlign w:val="bottom"/>
            <w:gridSpan w:val="3"/>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15">
              <w:r>
                <w:rPr>
                  <w:rFonts w:ascii="Arial" w:cs="Arial" w:eastAsia="Arial" w:hAnsi="Arial"/>
                  <w:sz w:val="16"/>
                  <w:szCs w:val="16"/>
                  <w:color w:val="0000EE"/>
                </w:rPr>
                <w:t>12</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7A.</w:t>
            </w:r>
          </w:p>
        </w:tc>
        <w:tc>
          <w:tcPr>
            <w:tcW w:w="320" w:type="dxa"/>
            <w:vAlign w:val="bottom"/>
          </w:tcPr>
          <w:p>
            <w:pPr>
              <w:spacing w:after="0"/>
              <w:rPr>
                <w:sz w:val="19"/>
                <w:szCs w:val="19"/>
                <w:color w:val="auto"/>
              </w:rPr>
            </w:pPr>
          </w:p>
        </w:tc>
        <w:tc>
          <w:tcPr>
            <w:tcW w:w="6380" w:type="dxa"/>
            <w:vAlign w:val="bottom"/>
            <w:gridSpan w:val="15"/>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Quantitative and Qualitative Disclosures About Market Risk</w:t>
              </w:r>
            </w:hyperlink>
          </w:p>
        </w:tc>
        <w:tc>
          <w:tcPr>
            <w:tcW w:w="1880" w:type="dxa"/>
            <w:vAlign w:val="bottom"/>
            <w:gridSpan w:val="3"/>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24</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8.</w:t>
            </w:r>
          </w:p>
        </w:tc>
        <w:tc>
          <w:tcPr>
            <w:tcW w:w="320" w:type="dxa"/>
            <w:vAlign w:val="bottom"/>
          </w:tcPr>
          <w:p>
            <w:pPr>
              <w:spacing w:after="0"/>
              <w:rPr>
                <w:sz w:val="19"/>
                <w:szCs w:val="19"/>
                <w:color w:val="auto"/>
              </w:rPr>
            </w:pPr>
          </w:p>
        </w:tc>
        <w:tc>
          <w:tcPr>
            <w:tcW w:w="3360" w:type="dxa"/>
            <w:vAlign w:val="bottom"/>
            <w:gridSpan w:val="11"/>
          </w:tcPr>
          <w:p>
            <w:pPr>
              <w:spacing w:after="0"/>
              <w:rPr>
                <w:rFonts w:ascii="Arial" w:cs="Arial" w:eastAsia="Arial" w:hAnsi="Arial"/>
                <w:sz w:val="16"/>
                <w:szCs w:val="16"/>
                <w:color w:val="0000EE"/>
              </w:rPr>
            </w:pPr>
            <w:hyperlink w:anchor="page27">
              <w:r>
                <w:rPr>
                  <w:rFonts w:ascii="Arial" w:cs="Arial" w:eastAsia="Arial" w:hAnsi="Arial"/>
                  <w:sz w:val="16"/>
                  <w:szCs w:val="16"/>
                  <w:color w:val="0000EE"/>
                </w:rPr>
                <w:t>Financial Statements and Supplementary Data</w:t>
              </w:r>
            </w:hyperlink>
          </w:p>
        </w:tc>
        <w:tc>
          <w:tcPr>
            <w:tcW w:w="880" w:type="dxa"/>
            <w:vAlign w:val="bottom"/>
            <w:gridSpan w:val="2"/>
          </w:tcPr>
          <w:p>
            <w:pPr>
              <w:spacing w:after="0"/>
              <w:rPr>
                <w:sz w:val="19"/>
                <w:szCs w:val="19"/>
                <w:color w:val="auto"/>
              </w:rPr>
            </w:pPr>
          </w:p>
        </w:tc>
        <w:tc>
          <w:tcPr>
            <w:tcW w:w="4020" w:type="dxa"/>
            <w:vAlign w:val="bottom"/>
            <w:gridSpan w:val="5"/>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24</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w:t>
            </w:r>
          </w:p>
        </w:tc>
        <w:tc>
          <w:tcPr>
            <w:tcW w:w="320" w:type="dxa"/>
            <w:vAlign w:val="bottom"/>
          </w:tcPr>
          <w:p>
            <w:pPr>
              <w:spacing w:after="0"/>
              <w:rPr>
                <w:sz w:val="19"/>
                <w:szCs w:val="19"/>
                <w:color w:val="auto"/>
              </w:rPr>
            </w:pPr>
          </w:p>
        </w:tc>
        <w:tc>
          <w:tcPr>
            <w:tcW w:w="6440" w:type="dxa"/>
            <w:vAlign w:val="bottom"/>
            <w:gridSpan w:val="16"/>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Changes in and Disagreements with Accountants on Accounting and Financial Disclosure</w:t>
              </w:r>
            </w:hyperlink>
          </w:p>
        </w:tc>
        <w:tc>
          <w:tcPr>
            <w:tcW w:w="1820" w:type="dxa"/>
            <w:vAlign w:val="bottom"/>
            <w:gridSpan w:val="2"/>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48</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9A.</w:t>
            </w:r>
          </w:p>
        </w:tc>
        <w:tc>
          <w:tcPr>
            <w:tcW w:w="320" w:type="dxa"/>
            <w:vAlign w:val="bottom"/>
          </w:tcPr>
          <w:p>
            <w:pPr>
              <w:spacing w:after="0"/>
              <w:rPr>
                <w:sz w:val="19"/>
                <w:szCs w:val="19"/>
                <w:color w:val="auto"/>
              </w:rPr>
            </w:pPr>
          </w:p>
        </w:tc>
        <w:tc>
          <w:tcPr>
            <w:tcW w:w="1800" w:type="dxa"/>
            <w:vAlign w:val="bottom"/>
            <w:gridSpan w:val="8"/>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Controls and Procedures</w:t>
              </w:r>
            </w:hyperlink>
          </w:p>
        </w:tc>
        <w:tc>
          <w:tcPr>
            <w:tcW w:w="4640" w:type="dxa"/>
            <w:vAlign w:val="bottom"/>
            <w:gridSpan w:val="8"/>
          </w:tcPr>
          <w:p>
            <w:pPr>
              <w:spacing w:after="0"/>
              <w:rPr>
                <w:sz w:val="19"/>
                <w:szCs w:val="19"/>
                <w:color w:val="auto"/>
              </w:rPr>
            </w:pPr>
          </w:p>
        </w:tc>
        <w:tc>
          <w:tcPr>
            <w:tcW w:w="1820" w:type="dxa"/>
            <w:vAlign w:val="bottom"/>
            <w:gridSpan w:val="2"/>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1">
              <w:r>
                <w:rPr>
                  <w:rFonts w:ascii="Arial" w:cs="Arial" w:eastAsia="Arial" w:hAnsi="Arial"/>
                  <w:sz w:val="16"/>
                  <w:szCs w:val="16"/>
                  <w:color w:val="0000EE"/>
                </w:rPr>
                <w:t>48</w:t>
              </w:r>
            </w:hyperlink>
          </w:p>
        </w:tc>
      </w:tr>
      <w:tr>
        <w:trPr>
          <w:trHeight w:val="20"/>
        </w:trPr>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9B.</w:t>
            </w:r>
          </w:p>
        </w:tc>
        <w:tc>
          <w:tcPr>
            <w:tcW w:w="320" w:type="dxa"/>
            <w:vAlign w:val="bottom"/>
          </w:tcPr>
          <w:p>
            <w:pPr>
              <w:spacing w:after="0"/>
              <w:rPr>
                <w:sz w:val="19"/>
                <w:szCs w:val="19"/>
                <w:color w:val="auto"/>
              </w:rPr>
            </w:pPr>
          </w:p>
        </w:tc>
        <w:tc>
          <w:tcPr>
            <w:tcW w:w="1800" w:type="dxa"/>
            <w:vAlign w:val="bottom"/>
            <w:gridSpan w:val="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Other Information</w:t>
              </w:r>
            </w:hyperlink>
          </w:p>
        </w:tc>
        <w:tc>
          <w:tcPr>
            <w:tcW w:w="6460" w:type="dxa"/>
            <w:vAlign w:val="bottom"/>
            <w:gridSpan w:val="10"/>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rPr>
            </w:pPr>
            <w:hyperlink w:anchor="page52">
              <w:r>
                <w:rPr>
                  <w:rFonts w:ascii="Arial" w:cs="Arial" w:eastAsia="Arial" w:hAnsi="Arial"/>
                  <w:sz w:val="16"/>
                  <w:szCs w:val="16"/>
                  <w:b w:val="1"/>
                  <w:bCs w:val="1"/>
                  <w:color w:val="0000EE"/>
                </w:rPr>
                <w:t>PART III</w:t>
              </w:r>
            </w:hyperlink>
          </w:p>
        </w:tc>
        <w:tc>
          <w:tcPr>
            <w:tcW w:w="3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00" w:type="dxa"/>
            <w:vAlign w:val="bottom"/>
            <w:tcBorders>
              <w:top w:val="single" w:sz="8" w:color="0000EE"/>
            </w:tcBorders>
            <w:gridSpan w:val="3"/>
          </w:tcPr>
          <w:p>
            <w:pPr>
              <w:spacing w:after="0"/>
              <w:rPr>
                <w:sz w:val="20"/>
                <w:szCs w:val="20"/>
                <w:color w:val="auto"/>
              </w:rPr>
            </w:pPr>
            <w:r>
              <w:rPr>
                <w:rFonts w:ascii="Arial" w:cs="Arial" w:eastAsia="Arial" w:hAnsi="Arial"/>
                <w:sz w:val="16"/>
                <w:szCs w:val="16"/>
                <w:color w:val="auto"/>
              </w:rPr>
              <w:t>Item 10.</w:t>
            </w:r>
          </w:p>
        </w:tc>
        <w:tc>
          <w:tcPr>
            <w:tcW w:w="40" w:type="dxa"/>
            <w:vAlign w:val="bottom"/>
            <w:gridSpan w:val="2"/>
          </w:tcPr>
          <w:p>
            <w:pPr>
              <w:spacing w:after="0"/>
              <w:rPr>
                <w:sz w:val="21"/>
                <w:szCs w:val="21"/>
                <w:color w:val="auto"/>
              </w:rPr>
            </w:pPr>
          </w:p>
        </w:tc>
        <w:tc>
          <w:tcPr>
            <w:tcW w:w="320" w:type="dxa"/>
            <w:vAlign w:val="bottom"/>
          </w:tcPr>
          <w:p>
            <w:pPr>
              <w:spacing w:after="0"/>
              <w:rPr>
                <w:sz w:val="21"/>
                <w:szCs w:val="21"/>
                <w:color w:val="auto"/>
              </w:rPr>
            </w:pPr>
          </w:p>
        </w:tc>
        <w:tc>
          <w:tcPr>
            <w:tcW w:w="4060" w:type="dxa"/>
            <w:vAlign w:val="bottom"/>
            <w:gridSpan w:val="12"/>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Directors, Executive Officers and Corporate Governance</w:t>
              </w:r>
            </w:hyperlink>
          </w:p>
        </w:tc>
        <w:tc>
          <w:tcPr>
            <w:tcW w:w="4200" w:type="dxa"/>
            <w:vAlign w:val="bottom"/>
            <w:gridSpan w:val="6"/>
          </w:tcPr>
          <w:p>
            <w:pPr>
              <w:spacing w:after="0"/>
              <w:rPr>
                <w:sz w:val="21"/>
                <w:szCs w:val="21"/>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11.</w:t>
            </w:r>
          </w:p>
        </w:tc>
        <w:tc>
          <w:tcPr>
            <w:tcW w:w="320" w:type="dxa"/>
            <w:vAlign w:val="bottom"/>
          </w:tcPr>
          <w:p>
            <w:pPr>
              <w:spacing w:after="0"/>
              <w:rPr>
                <w:sz w:val="19"/>
                <w:szCs w:val="19"/>
                <w:color w:val="auto"/>
              </w:rPr>
            </w:pPr>
          </w:p>
        </w:tc>
        <w:tc>
          <w:tcPr>
            <w:tcW w:w="1800" w:type="dxa"/>
            <w:vAlign w:val="bottom"/>
            <w:gridSpan w:val="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Executive Compensation</w:t>
              </w:r>
            </w:hyperlink>
          </w:p>
        </w:tc>
        <w:tc>
          <w:tcPr>
            <w:tcW w:w="2260" w:type="dxa"/>
            <w:vAlign w:val="bottom"/>
            <w:gridSpan w:val="4"/>
          </w:tcPr>
          <w:p>
            <w:pPr>
              <w:spacing w:after="0"/>
              <w:rPr>
                <w:sz w:val="19"/>
                <w:szCs w:val="19"/>
                <w:color w:val="auto"/>
              </w:rPr>
            </w:pPr>
          </w:p>
        </w:tc>
        <w:tc>
          <w:tcPr>
            <w:tcW w:w="4200" w:type="dxa"/>
            <w:vAlign w:val="bottom"/>
            <w:gridSpan w:val="6"/>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12.</w:t>
            </w:r>
          </w:p>
        </w:tc>
        <w:tc>
          <w:tcPr>
            <w:tcW w:w="320" w:type="dxa"/>
            <w:vAlign w:val="bottom"/>
          </w:tcPr>
          <w:p>
            <w:pPr>
              <w:spacing w:after="0"/>
              <w:rPr>
                <w:sz w:val="19"/>
                <w:szCs w:val="19"/>
                <w:color w:val="auto"/>
              </w:rPr>
            </w:pPr>
          </w:p>
        </w:tc>
        <w:tc>
          <w:tcPr>
            <w:tcW w:w="8260" w:type="dxa"/>
            <w:vAlign w:val="bottom"/>
            <w:gridSpan w:val="18"/>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Security Ownership of Certain Beneficial Owners and Management and Related Stockholder Matters</w:t>
              </w:r>
            </w:hyperlink>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13.</w:t>
            </w:r>
          </w:p>
        </w:tc>
        <w:tc>
          <w:tcPr>
            <w:tcW w:w="320" w:type="dxa"/>
            <w:vAlign w:val="bottom"/>
          </w:tcPr>
          <w:p>
            <w:pPr>
              <w:spacing w:after="0"/>
              <w:rPr>
                <w:sz w:val="19"/>
                <w:szCs w:val="19"/>
                <w:color w:val="auto"/>
              </w:rPr>
            </w:pPr>
          </w:p>
        </w:tc>
        <w:tc>
          <w:tcPr>
            <w:tcW w:w="5440" w:type="dxa"/>
            <w:vAlign w:val="bottom"/>
            <w:gridSpan w:val="14"/>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Certain Relationships and Related Transactions and Director Independence</w:t>
              </w:r>
            </w:hyperlink>
          </w:p>
        </w:tc>
        <w:tc>
          <w:tcPr>
            <w:tcW w:w="1780" w:type="dxa"/>
            <w:vAlign w:val="bottom"/>
            <w:gridSpan w:val="3"/>
          </w:tcPr>
          <w:p>
            <w:pPr>
              <w:spacing w:after="0"/>
              <w:rPr>
                <w:sz w:val="19"/>
                <w:szCs w:val="19"/>
                <w:color w:val="auto"/>
              </w:rPr>
            </w:pPr>
          </w:p>
        </w:tc>
        <w:tc>
          <w:tcPr>
            <w:tcW w:w="1040" w:type="dxa"/>
            <w:vAlign w:val="bottom"/>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20"/>
        </w:trPr>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640" w:type="dxa"/>
            <w:vAlign w:val="bottom"/>
            <w:gridSpan w:val="5"/>
          </w:tcPr>
          <w:p>
            <w:pPr>
              <w:spacing w:after="0"/>
              <w:rPr>
                <w:sz w:val="20"/>
                <w:szCs w:val="20"/>
                <w:color w:val="auto"/>
              </w:rPr>
            </w:pPr>
            <w:r>
              <w:rPr>
                <w:rFonts w:ascii="Arial" w:cs="Arial" w:eastAsia="Arial" w:hAnsi="Arial"/>
                <w:sz w:val="16"/>
                <w:szCs w:val="16"/>
                <w:color w:val="auto"/>
              </w:rPr>
              <w:t>Item 14.</w:t>
            </w:r>
          </w:p>
        </w:tc>
        <w:tc>
          <w:tcPr>
            <w:tcW w:w="320" w:type="dxa"/>
            <w:vAlign w:val="bottom"/>
          </w:tcPr>
          <w:p>
            <w:pPr>
              <w:spacing w:after="0"/>
              <w:rPr>
                <w:sz w:val="19"/>
                <w:szCs w:val="19"/>
                <w:color w:val="auto"/>
              </w:rPr>
            </w:pPr>
          </w:p>
        </w:tc>
        <w:tc>
          <w:tcPr>
            <w:tcW w:w="5440" w:type="dxa"/>
            <w:vAlign w:val="bottom"/>
            <w:gridSpan w:val="14"/>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Principal Accounting Fees and Services</w:t>
              </w:r>
            </w:hyperlink>
          </w:p>
        </w:tc>
        <w:tc>
          <w:tcPr>
            <w:tcW w:w="2820" w:type="dxa"/>
            <w:vAlign w:val="bottom"/>
            <w:gridSpan w:val="4"/>
          </w:tcPr>
          <w:p>
            <w:pPr>
              <w:spacing w:after="0"/>
              <w:rPr>
                <w:sz w:val="19"/>
                <w:szCs w:val="19"/>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520"/>
        </w:trPr>
        <w:tc>
          <w:tcPr>
            <w:tcW w:w="640" w:type="dxa"/>
            <w:vAlign w:val="bottom"/>
            <w:gridSpan w:val="5"/>
          </w:tcPr>
          <w:p>
            <w:pPr>
              <w:spacing w:after="0"/>
              <w:rPr>
                <w:rFonts w:ascii="Arial" w:cs="Arial" w:eastAsia="Arial" w:hAnsi="Arial"/>
                <w:sz w:val="16"/>
                <w:szCs w:val="16"/>
                <w:b w:val="1"/>
                <w:bCs w:val="1"/>
                <w:color w:val="0000EE"/>
                <w:w w:val="98"/>
              </w:rPr>
            </w:pPr>
            <w:hyperlink w:anchor="page52">
              <w:r>
                <w:rPr>
                  <w:rFonts w:ascii="Arial" w:cs="Arial" w:eastAsia="Arial" w:hAnsi="Arial"/>
                  <w:sz w:val="16"/>
                  <w:szCs w:val="16"/>
                  <w:b w:val="1"/>
                  <w:bCs w:val="1"/>
                  <w:color w:val="0000EE"/>
                  <w:w w:val="98"/>
                </w:rPr>
                <w:t>PART IV</w:t>
              </w:r>
            </w:hyperlink>
          </w:p>
        </w:tc>
        <w:tc>
          <w:tcPr>
            <w:tcW w:w="32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620" w:type="dxa"/>
            <w:vAlign w:val="bottom"/>
            <w:tcBorders>
              <w:top w:val="single" w:sz="8" w:color="0000EE"/>
            </w:tcBorders>
            <w:gridSpan w:val="4"/>
          </w:tcPr>
          <w:p>
            <w:pPr>
              <w:spacing w:after="0"/>
              <w:rPr>
                <w:sz w:val="20"/>
                <w:szCs w:val="20"/>
                <w:color w:val="auto"/>
              </w:rPr>
            </w:pPr>
            <w:r>
              <w:rPr>
                <w:rFonts w:ascii="Arial" w:cs="Arial" w:eastAsia="Arial" w:hAnsi="Arial"/>
                <w:sz w:val="16"/>
                <w:szCs w:val="16"/>
                <w:color w:val="auto"/>
              </w:rPr>
              <w:t>Item 15.</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900" w:type="dxa"/>
            <w:vAlign w:val="bottom"/>
            <w:gridSpan w:val="10"/>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Exhibits, Financial Statement Schedules</w:t>
              </w:r>
            </w:hyperlink>
          </w:p>
        </w:tc>
        <w:tc>
          <w:tcPr>
            <w:tcW w:w="5360" w:type="dxa"/>
            <w:vAlign w:val="bottom"/>
            <w:gridSpan w:val="8"/>
          </w:tcPr>
          <w:p>
            <w:pPr>
              <w:spacing w:after="0"/>
              <w:rPr>
                <w:sz w:val="21"/>
                <w:szCs w:val="21"/>
                <w:color w:val="auto"/>
              </w:rPr>
            </w:pPr>
          </w:p>
        </w:tc>
        <w:tc>
          <w:tcPr>
            <w:tcW w:w="2140" w:type="dxa"/>
            <w:vAlign w:val="bottom"/>
            <w:gridSpan w:val="2"/>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49</w:t>
              </w:r>
            </w:hyperlink>
          </w:p>
        </w:tc>
      </w:tr>
      <w:tr>
        <w:trPr>
          <w:trHeight w:val="20"/>
        </w:trPr>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AOCI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0" w:type="dxa"/>
            <w:vAlign w:val="bottom"/>
          </w:tcPr>
          <w:p>
            <w:pPr>
              <w:spacing w:after="0"/>
              <w:rPr>
                <w:sz w:val="1"/>
                <w:szCs w:val="1"/>
                <w:color w:val="auto"/>
              </w:rPr>
            </w:pP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Apollo</w:t>
            </w:r>
          </w:p>
        </w:tc>
        <w:tc>
          <w:tcPr>
            <w:tcW w:w="9740" w:type="dxa"/>
            <w:vAlign w:val="bottom"/>
          </w:tcPr>
          <w:p>
            <w:pPr>
              <w:ind w:left="380"/>
              <w:spacing w:after="0"/>
              <w:rPr>
                <w:sz w:val="20"/>
                <w:szCs w:val="20"/>
                <w:color w:val="auto"/>
              </w:rPr>
            </w:pPr>
            <w:r>
              <w:rPr>
                <w:rFonts w:ascii="Arial" w:cs="Arial" w:eastAsia="Arial" w:hAnsi="Arial"/>
                <w:sz w:val="16"/>
                <w:szCs w:val="16"/>
                <w:color w:val="auto"/>
              </w:rPr>
              <w:t>Apollo Motorhome Holidays, LLC</w:t>
            </w:r>
          </w:p>
        </w:tc>
        <w:tc>
          <w:tcPr>
            <w:tcW w:w="0" w:type="dxa"/>
            <w:vAlign w:val="bottom"/>
          </w:tcPr>
          <w:p>
            <w:pPr>
              <w:spacing w:after="0"/>
              <w:rPr>
                <w:sz w:val="1"/>
                <w:szCs w:val="1"/>
                <w:color w:val="auto"/>
              </w:rPr>
            </w:pPr>
          </w:p>
        </w:tc>
      </w:tr>
      <w:tr>
        <w:trPr>
          <w:trHeight w:val="228"/>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 LLC, as</w:t>
            </w:r>
          </w:p>
        </w:tc>
        <w:tc>
          <w:tcPr>
            <w:tcW w:w="0" w:type="dxa"/>
            <w:vAlign w:val="bottom"/>
          </w:tcPr>
          <w:p>
            <w:pPr>
              <w:spacing w:after="0"/>
              <w:rPr>
                <w:sz w:val="1"/>
                <w:szCs w:val="1"/>
                <w:color w:val="auto"/>
              </w:rPr>
            </w:pPr>
          </w:p>
        </w:tc>
      </w:tr>
      <w:tr>
        <w:trPr>
          <w:trHeight w:val="21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Agreement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Borrowers, and General Electric Capital Corporation, as Agent</w:t>
            </w:r>
          </w:p>
        </w:tc>
        <w:tc>
          <w:tcPr>
            <w:tcW w:w="0" w:type="dxa"/>
            <w:vAlign w:val="bottom"/>
          </w:tcPr>
          <w:p>
            <w:pPr>
              <w:spacing w:after="0"/>
              <w:rPr>
                <w:sz w:val="1"/>
                <w:szCs w:val="1"/>
                <w:color w:val="auto"/>
              </w:rPr>
            </w:pPr>
          </w:p>
        </w:tc>
      </w:tr>
      <w:tr>
        <w:trPr>
          <w:trHeight w:val="233"/>
        </w:trPr>
        <w:tc>
          <w:tcPr>
            <w:tcW w:w="1680" w:type="dxa"/>
            <w:vAlign w:val="bottom"/>
          </w:tcPr>
          <w:p>
            <w:pPr>
              <w:ind w:left="40"/>
              <w:spacing w:after="0"/>
              <w:rPr>
                <w:sz w:val="20"/>
                <w:szCs w:val="20"/>
                <w:color w:val="auto"/>
              </w:rPr>
            </w:pPr>
            <w:r>
              <w:rPr>
                <w:rFonts w:ascii="Arial" w:cs="Arial" w:eastAsia="Arial" w:hAnsi="Arial"/>
                <w:sz w:val="16"/>
                <w:szCs w:val="16"/>
                <w:color w:val="auto"/>
              </w:rPr>
              <w:t>ARS</w:t>
            </w:r>
          </w:p>
        </w:tc>
        <w:tc>
          <w:tcPr>
            <w:tcW w:w="9740" w:type="dxa"/>
            <w:vAlign w:val="bottom"/>
          </w:tcPr>
          <w:p>
            <w:pPr>
              <w:ind w:left="380"/>
              <w:spacing w:after="0"/>
              <w:rPr>
                <w:sz w:val="20"/>
                <w:szCs w:val="20"/>
                <w:color w:val="auto"/>
              </w:rPr>
            </w:pPr>
            <w:r>
              <w:rPr>
                <w:rFonts w:ascii="Arial" w:cs="Arial" w:eastAsia="Arial" w:hAnsi="Arial"/>
                <w:sz w:val="16"/>
                <w:szCs w:val="16"/>
                <w:color w:val="auto"/>
              </w:rPr>
              <w:t>Auction Rate Securities</w:t>
            </w: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ASP</w:t>
            </w:r>
          </w:p>
        </w:tc>
        <w:tc>
          <w:tcPr>
            <w:tcW w:w="9740" w:type="dxa"/>
            <w:vAlign w:val="bottom"/>
          </w:tcPr>
          <w:p>
            <w:pPr>
              <w:ind w:left="380"/>
              <w:spacing w:after="0"/>
              <w:rPr>
                <w:sz w:val="20"/>
                <w:szCs w:val="20"/>
                <w:color w:val="auto"/>
              </w:rPr>
            </w:pPr>
            <w:r>
              <w:rPr>
                <w:rFonts w:ascii="Arial" w:cs="Arial" w:eastAsia="Arial" w:hAnsi="Arial"/>
                <w:sz w:val="16"/>
                <w:szCs w:val="16"/>
                <w:color w:val="auto"/>
              </w:rPr>
              <w:t>Average Sales Price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ASU</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COLI</w:t>
            </w:r>
          </w:p>
        </w:tc>
        <w:tc>
          <w:tcPr>
            <w:tcW w:w="9740" w:type="dxa"/>
            <w:vAlign w:val="bottom"/>
          </w:tcPr>
          <w:p>
            <w:pPr>
              <w:ind w:left="380"/>
              <w:spacing w:after="0"/>
              <w:rPr>
                <w:sz w:val="20"/>
                <w:szCs w:val="20"/>
                <w:color w:val="auto"/>
              </w:rPr>
            </w:pPr>
            <w:r>
              <w:rPr>
                <w:rFonts w:ascii="Arial" w:cs="Arial" w:eastAsia="Arial" w:hAnsi="Arial"/>
                <w:sz w:val="16"/>
                <w:szCs w:val="16"/>
                <w:color w:val="auto"/>
              </w:rPr>
              <w:t>Company Owned Life Insurance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8"/>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Agreement</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Credit Agreement dated as of October 31, 2012 by and between Winnebago Industries, Inc. and Winnebago of Indiana, LLC, as</w:t>
            </w:r>
          </w:p>
        </w:tc>
        <w:tc>
          <w:tcPr>
            <w:tcW w:w="0" w:type="dxa"/>
            <w:vAlign w:val="bottom"/>
          </w:tcPr>
          <w:p>
            <w:pPr>
              <w:spacing w:after="0"/>
              <w:rPr>
                <w:sz w:val="1"/>
                <w:szCs w:val="1"/>
                <w:color w:val="auto"/>
              </w:rPr>
            </w:pPr>
          </w:p>
        </w:tc>
      </w:tr>
      <w:tr>
        <w:trPr>
          <w:trHeight w:val="195"/>
        </w:trPr>
        <w:tc>
          <w:tcPr>
            <w:tcW w:w="1680" w:type="dxa"/>
            <w:vAlign w:val="bottom"/>
            <w:shd w:val="clear" w:color="auto" w:fill="CCEEFF"/>
          </w:tcPr>
          <w:p>
            <w:pPr>
              <w:spacing w:after="0"/>
              <w:rPr>
                <w:sz w:val="16"/>
                <w:szCs w:val="16"/>
                <w:color w:val="auto"/>
              </w:rPr>
            </w:pP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Borrowers, and General Electric Capital Corporation, as Agent (as amended May 28, 2014)</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DCF</w:t>
            </w:r>
          </w:p>
        </w:tc>
        <w:tc>
          <w:tcPr>
            <w:tcW w:w="9740" w:type="dxa"/>
            <w:vAlign w:val="bottom"/>
          </w:tcPr>
          <w:p>
            <w:pPr>
              <w:ind w:left="38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EBITDA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Earnings Before Interest, Tax, Depreciation, and Amortization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EPS</w:t>
            </w:r>
          </w:p>
        </w:tc>
        <w:tc>
          <w:tcPr>
            <w:tcW w:w="9740" w:type="dxa"/>
            <w:vAlign w:val="bottom"/>
          </w:tcPr>
          <w:p>
            <w:pPr>
              <w:ind w:left="38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FIFO</w:t>
            </w:r>
          </w:p>
        </w:tc>
        <w:tc>
          <w:tcPr>
            <w:tcW w:w="9740" w:type="dxa"/>
            <w:vAlign w:val="bottom"/>
          </w:tcPr>
          <w:p>
            <w:pPr>
              <w:ind w:left="380"/>
              <w:spacing w:after="0"/>
              <w:rPr>
                <w:sz w:val="20"/>
                <w:szCs w:val="20"/>
                <w:color w:val="auto"/>
              </w:rPr>
            </w:pPr>
            <w:r>
              <w:rPr>
                <w:rFonts w:ascii="Arial" w:cs="Arial" w:eastAsia="Arial" w:hAnsi="Arial"/>
                <w:sz w:val="16"/>
                <w:szCs w:val="16"/>
                <w:color w:val="auto"/>
              </w:rPr>
              <w:t>First In, First Out</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Generally Accepted Accounting Principles</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GECC</w:t>
            </w:r>
          </w:p>
        </w:tc>
        <w:tc>
          <w:tcPr>
            <w:tcW w:w="9740" w:type="dxa"/>
            <w:vAlign w:val="bottom"/>
          </w:tcPr>
          <w:p>
            <w:pPr>
              <w:ind w:left="380"/>
              <w:spacing w:after="0"/>
              <w:rPr>
                <w:sz w:val="20"/>
                <w:szCs w:val="20"/>
                <w:color w:val="auto"/>
              </w:rPr>
            </w:pPr>
            <w:r>
              <w:rPr>
                <w:rFonts w:ascii="Arial" w:cs="Arial" w:eastAsia="Arial" w:hAnsi="Arial"/>
                <w:sz w:val="16"/>
                <w:szCs w:val="16"/>
                <w:color w:val="auto"/>
              </w:rPr>
              <w:t>General Electric Capital Corporation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Internal Revenue Service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IT</w:t>
            </w:r>
          </w:p>
        </w:tc>
        <w:tc>
          <w:tcPr>
            <w:tcW w:w="9740" w:type="dxa"/>
            <w:vAlign w:val="bottom"/>
          </w:tcPr>
          <w:p>
            <w:pPr>
              <w:ind w:left="380"/>
              <w:spacing w:after="0"/>
              <w:rPr>
                <w:sz w:val="20"/>
                <w:szCs w:val="20"/>
                <w:color w:val="auto"/>
              </w:rPr>
            </w:pPr>
            <w:r>
              <w:rPr>
                <w:rFonts w:ascii="Arial" w:cs="Arial" w:eastAsia="Arial" w:hAnsi="Arial"/>
                <w:sz w:val="16"/>
                <w:szCs w:val="16"/>
                <w:color w:val="auto"/>
              </w:rPr>
              <w:t>Information Technology</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LIFO</w:t>
            </w:r>
          </w:p>
        </w:tc>
        <w:tc>
          <w:tcPr>
            <w:tcW w:w="9740" w:type="dxa"/>
            <w:vAlign w:val="bottom"/>
          </w:tcPr>
          <w:p>
            <w:pPr>
              <w:ind w:left="380"/>
              <w:spacing w:after="0"/>
              <w:rPr>
                <w:sz w:val="20"/>
                <w:szCs w:val="20"/>
                <w:color w:val="auto"/>
              </w:rPr>
            </w:pPr>
            <w:r>
              <w:rPr>
                <w:rFonts w:ascii="Arial" w:cs="Arial" w:eastAsia="Arial" w:hAnsi="Arial"/>
                <w:sz w:val="16"/>
                <w:szCs w:val="16"/>
                <w:color w:val="auto"/>
              </w:rPr>
              <w:t>Last In, First Out</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MVA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Motor Vehicle Act</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NMF</w:t>
            </w:r>
          </w:p>
        </w:tc>
        <w:tc>
          <w:tcPr>
            <w:tcW w:w="9740" w:type="dxa"/>
            <w:vAlign w:val="bottom"/>
          </w:tcPr>
          <w:p>
            <w:pPr>
              <w:ind w:left="380"/>
              <w:spacing w:after="0"/>
              <w:rPr>
                <w:sz w:val="20"/>
                <w:szCs w:val="20"/>
                <w:color w:val="auto"/>
              </w:rPr>
            </w:pPr>
            <w:r>
              <w:rPr>
                <w:rFonts w:ascii="Arial" w:cs="Arial" w:eastAsia="Arial" w:hAnsi="Arial"/>
                <w:sz w:val="16"/>
                <w:szCs w:val="16"/>
                <w:color w:val="auto"/>
              </w:rPr>
              <w:t>Non-Meaningful Figure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NOL</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Net Operating Loss</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NYSE</w:t>
            </w:r>
          </w:p>
        </w:tc>
        <w:tc>
          <w:tcPr>
            <w:tcW w:w="9740" w:type="dxa"/>
            <w:vAlign w:val="bottom"/>
          </w:tcPr>
          <w:p>
            <w:pPr>
              <w:ind w:left="380"/>
              <w:spacing w:after="0"/>
              <w:rPr>
                <w:sz w:val="20"/>
                <w:szCs w:val="20"/>
                <w:color w:val="auto"/>
              </w:rPr>
            </w:pPr>
            <w:r>
              <w:rPr>
                <w:rFonts w:ascii="Arial" w:cs="Arial" w:eastAsia="Arial" w:hAnsi="Arial"/>
                <w:sz w:val="16"/>
                <w:szCs w:val="16"/>
                <w:color w:val="auto"/>
              </w:rPr>
              <w:t>New York Stock Exchange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Other Comprehensive Income</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OEM</w:t>
            </w:r>
          </w:p>
        </w:tc>
        <w:tc>
          <w:tcPr>
            <w:tcW w:w="9740" w:type="dxa"/>
            <w:vAlign w:val="bottom"/>
          </w:tcPr>
          <w:p>
            <w:pPr>
              <w:ind w:left="380"/>
              <w:spacing w:after="0"/>
              <w:rPr>
                <w:sz w:val="20"/>
                <w:szCs w:val="20"/>
                <w:color w:val="auto"/>
              </w:rPr>
            </w:pPr>
            <w:r>
              <w:rPr>
                <w:rFonts w:ascii="Arial" w:cs="Arial" w:eastAsia="Arial" w:hAnsi="Arial"/>
                <w:sz w:val="16"/>
                <w:szCs w:val="16"/>
                <w:color w:val="auto"/>
              </w:rPr>
              <w:t>Original Equipment Manufacturing</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OSHA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Occupational Safety and Health Administration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ROE</w:t>
            </w:r>
          </w:p>
        </w:tc>
        <w:tc>
          <w:tcPr>
            <w:tcW w:w="9740" w:type="dxa"/>
            <w:vAlign w:val="bottom"/>
          </w:tcPr>
          <w:p>
            <w:pPr>
              <w:ind w:left="380"/>
              <w:spacing w:after="0"/>
              <w:rPr>
                <w:sz w:val="20"/>
                <w:szCs w:val="20"/>
                <w:color w:val="auto"/>
              </w:rPr>
            </w:pPr>
            <w:r>
              <w:rPr>
                <w:rFonts w:ascii="Arial" w:cs="Arial" w:eastAsia="Arial" w:hAnsi="Arial"/>
                <w:sz w:val="16"/>
                <w:szCs w:val="16"/>
                <w:color w:val="auto"/>
              </w:rPr>
              <w:t>Return on Equity</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ROIC</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Return on Invested Capital</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RV</w:t>
            </w:r>
          </w:p>
        </w:tc>
        <w:tc>
          <w:tcPr>
            <w:tcW w:w="9740" w:type="dxa"/>
            <w:vAlign w:val="bottom"/>
          </w:tcPr>
          <w:p>
            <w:pPr>
              <w:ind w:left="380"/>
              <w:spacing w:after="0"/>
              <w:rPr>
                <w:sz w:val="20"/>
                <w:szCs w:val="20"/>
                <w:color w:val="auto"/>
              </w:rPr>
            </w:pPr>
            <w:r>
              <w:rPr>
                <w:rFonts w:ascii="Arial" w:cs="Arial" w:eastAsia="Arial" w:hAnsi="Arial"/>
                <w:sz w:val="16"/>
                <w:szCs w:val="16"/>
                <w:color w:val="auto"/>
              </w:rPr>
              <w:t>Recreation Vehicle</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Recreation Vehicle Industry Association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vMerge w:val="restart"/>
          </w:tcPr>
          <w:p>
            <w:pPr>
              <w:ind w:left="40"/>
              <w:spacing w:after="0"/>
              <w:rPr>
                <w:sz w:val="20"/>
                <w:szCs w:val="20"/>
                <w:color w:val="auto"/>
              </w:rPr>
            </w:pPr>
            <w:r>
              <w:rPr>
                <w:rFonts w:ascii="Arial" w:cs="Arial" w:eastAsia="Arial" w:hAnsi="Arial"/>
                <w:sz w:val="16"/>
                <w:szCs w:val="16"/>
                <w:color w:val="auto"/>
              </w:rPr>
              <w:t>SEC</w:t>
            </w:r>
          </w:p>
        </w:tc>
        <w:tc>
          <w:tcPr>
            <w:tcW w:w="9740" w:type="dxa"/>
            <w:vAlign w:val="bottom"/>
          </w:tcPr>
          <w:p>
            <w:pPr>
              <w:ind w:left="380"/>
              <w:spacing w:after="0"/>
              <w:rPr>
                <w:sz w:val="20"/>
                <w:szCs w:val="20"/>
                <w:color w:val="auto"/>
              </w:rPr>
            </w:pPr>
            <w:r>
              <w:rPr>
                <w:rFonts w:ascii="Arial" w:cs="Arial" w:eastAsia="Arial" w:hAnsi="Arial"/>
                <w:sz w:val="16"/>
                <w:szCs w:val="16"/>
                <w:color w:val="auto"/>
              </w:rPr>
              <w:t>U.S. Securities and Exchange Commission</w:t>
            </w:r>
          </w:p>
        </w:tc>
        <w:tc>
          <w:tcPr>
            <w:tcW w:w="0" w:type="dxa"/>
            <w:vAlign w:val="bottom"/>
          </w:tcPr>
          <w:p>
            <w:pPr>
              <w:spacing w:after="0"/>
              <w:rPr>
                <w:sz w:val="1"/>
                <w:szCs w:val="1"/>
                <w:color w:val="auto"/>
              </w:rPr>
            </w:pPr>
          </w:p>
        </w:tc>
      </w:tr>
      <w:tr>
        <w:trPr>
          <w:trHeight w:val="64"/>
        </w:trPr>
        <w:tc>
          <w:tcPr>
            <w:tcW w:w="1680" w:type="dxa"/>
            <w:vAlign w:val="bottom"/>
            <w:vMerge w:val="continue"/>
          </w:tcPr>
          <w:p>
            <w:pPr>
              <w:spacing w:after="0"/>
              <w:rPr>
                <w:sz w:val="5"/>
                <w:szCs w:val="5"/>
                <w:color w:val="auto"/>
              </w:rPr>
            </w:pPr>
          </w:p>
        </w:tc>
        <w:tc>
          <w:tcPr>
            <w:tcW w:w="9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3"/>
        </w:trPr>
        <w:tc>
          <w:tcPr>
            <w:tcW w:w="168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Supplemental Executive Retirement Plan</w:t>
            </w:r>
          </w:p>
        </w:tc>
        <w:tc>
          <w:tcPr>
            <w:tcW w:w="0" w:type="dxa"/>
            <w:vAlign w:val="bottom"/>
          </w:tcPr>
          <w:p>
            <w:pPr>
              <w:spacing w:after="0"/>
              <w:rPr>
                <w:sz w:val="1"/>
                <w:szCs w:val="1"/>
                <w:color w:val="auto"/>
              </w:rPr>
            </w:pPr>
          </w:p>
        </w:tc>
      </w:tr>
      <w:tr>
        <w:trPr>
          <w:trHeight w:val="74"/>
        </w:trPr>
        <w:tc>
          <w:tcPr>
            <w:tcW w:w="1680" w:type="dxa"/>
            <w:vAlign w:val="bottom"/>
            <w:vMerge w:val="continue"/>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SIR</w:t>
            </w:r>
          </w:p>
        </w:tc>
        <w:tc>
          <w:tcPr>
            <w:tcW w:w="9740" w:type="dxa"/>
            <w:vAlign w:val="bottom"/>
          </w:tcPr>
          <w:p>
            <w:pPr>
              <w:ind w:left="380"/>
              <w:spacing w:after="0"/>
              <w:rPr>
                <w:sz w:val="20"/>
                <w:szCs w:val="20"/>
                <w:color w:val="auto"/>
              </w:rPr>
            </w:pPr>
            <w:r>
              <w:rPr>
                <w:rFonts w:ascii="Arial" w:cs="Arial" w:eastAsia="Arial" w:hAnsi="Arial"/>
                <w:sz w:val="16"/>
                <w:szCs w:val="16"/>
                <w:color w:val="auto"/>
              </w:rPr>
              <w:t>Self-Insured Retention</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Stat Surveys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Statistical Surveys, Inc.</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SunnyBrook</w:t>
            </w:r>
          </w:p>
        </w:tc>
        <w:tc>
          <w:tcPr>
            <w:tcW w:w="9740" w:type="dxa"/>
            <w:vAlign w:val="bottom"/>
          </w:tcPr>
          <w:p>
            <w:pPr>
              <w:ind w:left="380"/>
              <w:spacing w:after="0"/>
              <w:rPr>
                <w:sz w:val="20"/>
                <w:szCs w:val="20"/>
                <w:color w:val="auto"/>
              </w:rPr>
            </w:pPr>
            <w:r>
              <w:rPr>
                <w:rFonts w:ascii="Arial" w:cs="Arial" w:eastAsia="Arial" w:hAnsi="Arial"/>
                <w:sz w:val="16"/>
                <w:szCs w:val="16"/>
                <w:color w:val="auto"/>
              </w:rPr>
              <w:t>SunnyBrook RV, Inc.</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Winnebago of Indiana, LLC, a wholly-owned subsidiary of Winnebago Industries, Inc.</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tcPr>
          <w:p>
            <w:pPr>
              <w:ind w:left="40"/>
              <w:spacing w:after="0"/>
              <w:rPr>
                <w:sz w:val="20"/>
                <w:szCs w:val="20"/>
                <w:color w:val="auto"/>
              </w:rPr>
            </w:pPr>
            <w:r>
              <w:rPr>
                <w:rFonts w:ascii="Arial" w:cs="Arial" w:eastAsia="Arial" w:hAnsi="Arial"/>
                <w:sz w:val="16"/>
                <w:szCs w:val="16"/>
                <w:color w:val="auto"/>
              </w:rPr>
              <w:t>US</w:t>
            </w:r>
          </w:p>
        </w:tc>
        <w:tc>
          <w:tcPr>
            <w:tcW w:w="9740" w:type="dxa"/>
            <w:vAlign w:val="bottom"/>
          </w:tcPr>
          <w:p>
            <w:pPr>
              <w:ind w:left="380"/>
              <w:spacing w:after="0"/>
              <w:rPr>
                <w:sz w:val="20"/>
                <w:szCs w:val="20"/>
                <w:color w:val="auto"/>
              </w:rPr>
            </w:pPr>
            <w:r>
              <w:rPr>
                <w:rFonts w:ascii="Arial" w:cs="Arial" w:eastAsia="Arial" w:hAnsi="Arial"/>
                <w:sz w:val="16"/>
                <w:szCs w:val="16"/>
                <w:color w:val="auto"/>
              </w:rPr>
              <w:t>United States of America</w:t>
            </w:r>
          </w:p>
        </w:tc>
        <w:tc>
          <w:tcPr>
            <w:tcW w:w="0" w:type="dxa"/>
            <w:vAlign w:val="bottom"/>
          </w:tcPr>
          <w:p>
            <w:pPr>
              <w:spacing w:after="0"/>
              <w:rPr>
                <w:sz w:val="1"/>
                <w:szCs w:val="1"/>
                <w:color w:val="auto"/>
              </w:rPr>
            </w:pPr>
          </w:p>
        </w:tc>
      </w:tr>
      <w:tr>
        <w:trPr>
          <w:trHeight w:val="74"/>
        </w:trPr>
        <w:tc>
          <w:tcPr>
            <w:tcW w:w="1680" w:type="dxa"/>
            <w:vAlign w:val="bottom"/>
          </w:tcPr>
          <w:p>
            <w:pPr>
              <w:spacing w:after="0"/>
              <w:rPr>
                <w:sz w:val="6"/>
                <w:szCs w:val="6"/>
                <w:color w:val="auto"/>
              </w:rPr>
            </w:pPr>
          </w:p>
        </w:tc>
        <w:tc>
          <w:tcPr>
            <w:tcW w:w="9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1680" w:type="dxa"/>
            <w:vAlign w:val="bottom"/>
            <w:shd w:val="clear" w:color="auto" w:fill="CCEEFF"/>
          </w:tcPr>
          <w:p>
            <w:pPr>
              <w:ind w:left="40"/>
              <w:spacing w:after="0"/>
              <w:rPr>
                <w:sz w:val="20"/>
                <w:szCs w:val="20"/>
                <w:color w:val="auto"/>
              </w:rPr>
            </w:pPr>
            <w:r>
              <w:rPr>
                <w:rFonts w:ascii="Arial" w:cs="Arial" w:eastAsia="Arial" w:hAnsi="Arial"/>
                <w:sz w:val="16"/>
                <w:szCs w:val="16"/>
                <w:color w:val="auto"/>
              </w:rPr>
              <w:t>XBRL</w:t>
            </w:r>
          </w:p>
        </w:tc>
        <w:tc>
          <w:tcPr>
            <w:tcW w:w="9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eXtensible Business Reporting Language</w:t>
            </w:r>
          </w:p>
        </w:tc>
        <w:tc>
          <w:tcPr>
            <w:tcW w:w="0" w:type="dxa"/>
            <w:vAlign w:val="bottom"/>
          </w:tcPr>
          <w:p>
            <w:pPr>
              <w:spacing w:after="0"/>
              <w:rPr>
                <w:sz w:val="1"/>
                <w:szCs w:val="1"/>
                <w:color w:val="auto"/>
              </w:rPr>
            </w:pPr>
          </w:p>
        </w:tc>
      </w:tr>
      <w:tr>
        <w:trPr>
          <w:trHeight w:val="74"/>
        </w:trPr>
        <w:tc>
          <w:tcPr>
            <w:tcW w:w="1680" w:type="dxa"/>
            <w:vAlign w:val="bottom"/>
            <w:shd w:val="clear" w:color="auto" w:fill="CCEEFF"/>
          </w:tcPr>
          <w:p>
            <w:pPr>
              <w:spacing w:after="0"/>
              <w:rPr>
                <w:sz w:val="6"/>
                <w:szCs w:val="6"/>
                <w:color w:val="auto"/>
              </w:rPr>
            </w:pPr>
          </w:p>
        </w:tc>
        <w:tc>
          <w:tcPr>
            <w:tcW w:w="97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iii</w:t>
      </w:r>
    </w:p>
    <w:p>
      <w:pPr>
        <w:sectPr>
          <w:pgSz w:w="11900" w:h="16838" w:orient="portrait"/>
          <w:cols w:equalWidth="0" w:num="1">
            <w:col w:w="11420"/>
          </w:cols>
          <w:pgMar w:left="240" w:top="141" w:right="239" w:bottom="1440" w:gutter="0" w:footer="0" w:header="0"/>
          <w:type w:val="continuous"/>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WINNEBAGO INDUSTRIES, INC.</w:t>
      </w:r>
    </w:p>
    <w:p>
      <w:pPr>
        <w:spacing w:after="0" w:line="187" w:lineRule="exact"/>
        <w:rPr>
          <w:sz w:val="20"/>
          <w:szCs w:val="20"/>
          <w:color w:val="auto"/>
        </w:rPr>
      </w:pPr>
    </w:p>
    <w:p>
      <w:pPr>
        <w:jc w:val="center"/>
        <w:ind w:right="-79"/>
        <w:spacing w:after="0" w:line="184" w:lineRule="exact"/>
        <w:rPr>
          <w:sz w:val="20"/>
          <w:szCs w:val="20"/>
          <w:color w:val="auto"/>
        </w:rPr>
      </w:pPr>
      <w:r>
        <w:rPr>
          <w:rFonts w:ascii="Arial" w:cs="Arial" w:eastAsia="Arial" w:hAnsi="Arial"/>
          <w:sz w:val="16"/>
          <w:szCs w:val="16"/>
          <w:color w:val="auto"/>
        </w:rPr>
        <w:t>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Report for the Fiscal Year Ended August 30, 2014</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8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Certain of the matters discussed in this Annual Report on Form 10-K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and other factors which may be disclosed throughout this Annual Report on Form 10-K.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NYSE. We advise you, however, to consult any further disclosures made on related subjects in future quarterly reports on Form 10-Q and current reports on Form 8-K that are filed or furnished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18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"Winnebago Industries," "we," "our" and "us" are used interchangeably to refer to Winnebago Industries, Inc. and its subsidiary, Winnebago of Indiana, LLC, as appropriate in the context.</w:t>
      </w:r>
    </w:p>
    <w:p>
      <w:pPr>
        <w:spacing w:after="0" w:line="142"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RVs used primarily in leisure travel and outdoor recreation activities.</w:t>
      </w:r>
    </w:p>
    <w:p>
      <w:pPr>
        <w:spacing w:after="0" w:line="142" w:lineRule="exact"/>
        <w:rPr>
          <w:sz w:val="20"/>
          <w:szCs w:val="20"/>
          <w:color w:val="auto"/>
        </w:rPr>
      </w:pPr>
    </w:p>
    <w:p>
      <w:pPr>
        <w:jc w:val="both"/>
        <w:ind w:right="620"/>
        <w:spacing w:after="0" w:line="253" w:lineRule="auto"/>
        <w:rPr>
          <w:sz w:val="20"/>
          <w:szCs w:val="20"/>
          <w:color w:val="auto"/>
        </w:rPr>
      </w:pPr>
      <w:r>
        <w:rPr>
          <w:rFonts w:ascii="Arial" w:cs="Arial" w:eastAsia="Arial" w:hAnsi="Arial"/>
          <w:sz w:val="16"/>
          <w:szCs w:val="16"/>
          <w:color w:val="auto"/>
        </w:rPr>
        <w:t>As a result of our motorhome manufacturing capabilities, equipment and facilities, we use our incremental capacity to manufacture product for outside customers. Other products manufactured by us consist primarily of OEM parts, including extruded aluminum and other component products for other manufacturers and commercial vehicles.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We also rent facilities in Middlebury, Indiana where we manufacture travel trailers and fifth wheel RVs.</w:t>
      </w:r>
    </w:p>
    <w:p>
      <w:pPr>
        <w:spacing w:after="0" w:line="16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8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Our website, located at www.wgo.net, provides additional information about us. On our website, you can obtain, free of charge, this and prior year Annual Reports on Form 10-K, Quarterly Reports on Form 10-Q, Current Reports on Form 8-K and all of our other filings with the SEC. Our recent press releases are also available on our website. Our website also contains important information regarding our corporate governance practices. Information contained on our website is not incorporated into this Annual Report on Form 10-K. You may also read and copy any materials that we file with the SEC at the SEC's Public Reference Room at 100 F Street, NE, Room 1580, Washington, D.C. 20549. You may obtain information on the Public Reference Room by calling the SEC at 1-800-SEC-0330. In addition, the SEC maintains a website that contains reports, proxy statements and other information that is filed electronically with the SEC. The website can be accessed at www.sec.gov.</w:t>
      </w: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340"/>
          </w:cols>
          <w:pgMar w:left="240" w:top="141" w:right="31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Products</w:t>
      </w:r>
    </w:p>
    <w:p>
      <w:pPr>
        <w:spacing w:after="0" w:line="201" w:lineRule="exact"/>
        <w:rPr>
          <w:sz w:val="20"/>
          <w:szCs w:val="20"/>
          <w:color w:val="auto"/>
        </w:rPr>
      </w:pPr>
    </w:p>
    <w:p>
      <w:pPr>
        <w:ind w:right="660"/>
        <w:spacing w:after="0" w:line="295" w:lineRule="auto"/>
        <w:rPr>
          <w:sz w:val="20"/>
          <w:szCs w:val="20"/>
          <w:color w:val="auto"/>
        </w:rPr>
      </w:pPr>
      <w:r>
        <w:rPr>
          <w:rFonts w:ascii="Arial" w:cs="Arial" w:eastAsia="Arial" w:hAnsi="Arial"/>
          <w:sz w:val="16"/>
          <w:szCs w:val="16"/>
          <w:color w:val="auto"/>
        </w:rPr>
        <w:t>We have one reportable segment, the RV market. We design, develop, manufacture and market motorized and towable recreation products along with supporting products and services. Net revenues by major product classes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6"/>
                <w:szCs w:val="16"/>
                <w:b w:val="1"/>
                <w:bCs w:val="1"/>
                <w:color w:val="auto"/>
                <w:w w:val="96"/>
              </w:rPr>
              <w:t xml:space="preserve">Year Ended </w:t>
            </w:r>
            <w:r>
              <w:rPr>
                <w:rFonts w:ascii="Arial" w:cs="Arial" w:eastAsia="Arial" w:hAnsi="Arial"/>
                <w:sz w:val="21"/>
                <w:szCs w:val="21"/>
                <w:b w:val="1"/>
                <w:bCs w:val="1"/>
                <w:color w:val="auto"/>
                <w:w w:val="96"/>
                <w:vertAlign w:val="superscript"/>
              </w:rPr>
              <w:t>(1)</w:t>
            </w: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257"/>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0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30, 2014</w:t>
            </w:r>
          </w:p>
        </w:tc>
        <w:tc>
          <w:tcPr>
            <w:tcW w:w="180" w:type="dxa"/>
            <w:vAlign w:val="bottom"/>
          </w:tcPr>
          <w:p>
            <w:pPr>
              <w:spacing w:after="0"/>
              <w:rPr>
                <w:sz w:val="22"/>
                <w:szCs w:val="22"/>
                <w:color w:val="auto"/>
              </w:rPr>
            </w:pPr>
          </w:p>
        </w:tc>
        <w:tc>
          <w:tcPr>
            <w:tcW w:w="1720" w:type="dxa"/>
            <w:vAlign w:val="bottom"/>
            <w:gridSpan w:val="3"/>
          </w:tcPr>
          <w:p>
            <w:pPr>
              <w:ind w:left="120"/>
              <w:spacing w:after="0"/>
              <w:rPr>
                <w:sz w:val="20"/>
                <w:szCs w:val="20"/>
                <w:color w:val="auto"/>
              </w:rPr>
            </w:pPr>
            <w:r>
              <w:rPr>
                <w:rFonts w:ascii="Arial" w:cs="Arial" w:eastAsia="Arial" w:hAnsi="Arial"/>
                <w:sz w:val="16"/>
                <w:szCs w:val="16"/>
                <w:b w:val="1"/>
                <w:bCs w:val="1"/>
                <w:color w:val="auto"/>
              </w:rPr>
              <w:t>August 31, 2013</w:t>
            </w:r>
          </w:p>
        </w:tc>
        <w:tc>
          <w:tcPr>
            <w:tcW w:w="200" w:type="dxa"/>
            <w:vAlign w:val="bottom"/>
          </w:tcPr>
          <w:p>
            <w:pPr>
              <w:spacing w:after="0"/>
              <w:rPr>
                <w:sz w:val="22"/>
                <w:szCs w:val="22"/>
                <w:color w:val="auto"/>
              </w:rPr>
            </w:pPr>
          </w:p>
        </w:tc>
        <w:tc>
          <w:tcPr>
            <w:tcW w:w="17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rPr>
              <w:t>August 25, 2012</w:t>
            </w:r>
          </w:p>
        </w:tc>
        <w:tc>
          <w:tcPr>
            <w:tcW w:w="200" w:type="dxa"/>
            <w:vAlign w:val="bottom"/>
          </w:tcPr>
          <w:p>
            <w:pPr>
              <w:spacing w:after="0"/>
              <w:rPr>
                <w:sz w:val="22"/>
                <w:szCs w:val="22"/>
                <w:color w:val="auto"/>
              </w:rPr>
            </w:pPr>
          </w:p>
        </w:tc>
        <w:tc>
          <w:tcPr>
            <w:tcW w:w="1720" w:type="dxa"/>
            <w:vAlign w:val="bottom"/>
            <w:gridSpan w:val="3"/>
          </w:tcPr>
          <w:p>
            <w:pPr>
              <w:ind w:left="100"/>
              <w:spacing w:after="0"/>
              <w:rPr>
                <w:sz w:val="20"/>
                <w:szCs w:val="20"/>
                <w:color w:val="auto"/>
              </w:rPr>
            </w:pPr>
            <w:r>
              <w:rPr>
                <w:rFonts w:ascii="Arial" w:cs="Arial" w:eastAsia="Arial" w:hAnsi="Arial"/>
                <w:sz w:val="16"/>
                <w:szCs w:val="16"/>
                <w:b w:val="1"/>
                <w:bCs w:val="1"/>
                <w:color w:val="auto"/>
              </w:rPr>
              <w:t>August 27, 2011</w:t>
            </w:r>
          </w:p>
        </w:tc>
        <w:tc>
          <w:tcPr>
            <w:tcW w:w="200" w:type="dxa"/>
            <w:vAlign w:val="bottom"/>
          </w:tcPr>
          <w:p>
            <w:pPr>
              <w:spacing w:after="0"/>
              <w:rPr>
                <w:sz w:val="22"/>
                <w:szCs w:val="22"/>
                <w:color w:val="auto"/>
              </w:rPr>
            </w:pPr>
          </w:p>
        </w:tc>
        <w:tc>
          <w:tcPr>
            <w:tcW w:w="162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August 28, 2010</w:t>
            </w:r>
          </w:p>
        </w:tc>
      </w:tr>
      <w:tr>
        <w:trPr>
          <w:trHeight w:val="257"/>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853,488</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718,580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496,193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456,337</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428,932</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70"/>
        </w:trPr>
        <w:tc>
          <w:tcPr>
            <w:tcW w:w="1960" w:type="dxa"/>
            <w:vAlign w:val="bottom"/>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(3)</w:t>
            </w:r>
          </w:p>
        </w:tc>
        <w:tc>
          <w:tcPr>
            <w:tcW w:w="20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58,123</w:t>
            </w:r>
          </w:p>
        </w:tc>
        <w:tc>
          <w:tcPr>
            <w:tcW w:w="74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54,683</w:t>
            </w:r>
          </w:p>
        </w:tc>
        <w:tc>
          <w:tcPr>
            <w:tcW w:w="76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99"/>
              <w:spacing w:after="0"/>
              <w:rPr>
                <w:sz w:val="20"/>
                <w:szCs w:val="20"/>
                <w:color w:val="auto"/>
              </w:rPr>
            </w:pPr>
            <w:r>
              <w:rPr>
                <w:rFonts w:ascii="Arial" w:cs="Arial" w:eastAsia="Arial" w:hAnsi="Arial"/>
                <w:sz w:val="16"/>
                <w:szCs w:val="16"/>
                <w:color w:val="auto"/>
              </w:rPr>
              <w:t>56,784</w:t>
            </w:r>
          </w:p>
        </w:tc>
        <w:tc>
          <w:tcPr>
            <w:tcW w:w="78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16,712</w:t>
            </w:r>
          </w:p>
        </w:tc>
        <w:tc>
          <w:tcPr>
            <w:tcW w:w="76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manufactured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08"/>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products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33,552</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29,902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28,702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23,369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20,552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40"/>
        </w:trPr>
        <w:tc>
          <w:tcPr>
            <w:tcW w:w="1960" w:type="dxa"/>
            <w:vAlign w:val="bottom"/>
          </w:tcPr>
          <w:p>
            <w:pPr>
              <w:ind w:left="40"/>
              <w:spacing w:after="0"/>
              <w:rPr>
                <w:sz w:val="20"/>
                <w:szCs w:val="20"/>
                <w:color w:val="auto"/>
              </w:rPr>
            </w:pPr>
            <w:r>
              <w:rPr>
                <w:rFonts w:ascii="Arial" w:cs="Arial" w:eastAsia="Arial" w:hAnsi="Arial"/>
                <w:sz w:val="16"/>
                <w:szCs w:val="16"/>
                <w:color w:val="auto"/>
              </w:rPr>
              <w:t>Total net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945,163</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803,165</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581,679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496,418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449,484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260" w:hanging="238"/>
        <w:spacing w:after="0"/>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87"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97" w:lineRule="exact"/>
        <w:rPr>
          <w:sz w:val="20"/>
          <w:szCs w:val="20"/>
          <w:color w:val="auto"/>
        </w:rPr>
      </w:pPr>
    </w:p>
    <w:p>
      <w:pPr>
        <w:jc w:val="both"/>
        <w:ind w:right="280"/>
        <w:spacing w:after="0" w:line="301" w:lineRule="auto"/>
        <w:rPr>
          <w:sz w:val="20"/>
          <w:szCs w:val="20"/>
          <w:color w:val="auto"/>
        </w:rPr>
      </w:pPr>
      <w:r>
        <w:rPr>
          <w:rFonts w:ascii="Arial" w:cs="Arial" w:eastAsia="Arial" w:hAnsi="Arial"/>
          <w:sz w:val="16"/>
          <w:szCs w:val="16"/>
          <w:b w:val="1"/>
          <w:bCs w:val="1"/>
          <w:color w:val="auto"/>
        </w:rPr>
        <w:t>Motorhomes, parts and service</w:t>
      </w:r>
      <w:r>
        <w:rPr>
          <w:rFonts w:ascii="Arial" w:cs="Arial" w:eastAsia="Arial" w:hAnsi="Arial"/>
          <w:sz w:val="16"/>
          <w:szCs w:val="16"/>
          <w:color w:val="auto"/>
        </w:rPr>
        <w:t>. A motorhome is a self-propelled mobile dwelling used primarily as temporary living quarters during vacation and camping</w:t>
      </w:r>
      <w:r>
        <w:rPr>
          <w:rFonts w:ascii="Arial" w:cs="Arial" w:eastAsia="Arial" w:hAnsi="Arial"/>
          <w:sz w:val="16"/>
          <w:szCs w:val="16"/>
          <w:b w:val="1"/>
          <w:bCs w:val="1"/>
          <w:color w:val="auto"/>
        </w:rPr>
        <w:t xml:space="preserve"> </w:t>
      </w:r>
      <w:r>
        <w:rPr>
          <w:rFonts w:ascii="Arial" w:cs="Arial" w:eastAsia="Arial" w:hAnsi="Arial"/>
          <w:sz w:val="16"/>
          <w:szCs w:val="16"/>
          <w:color w:val="auto"/>
        </w:rPr>
        <w:t>trips, or to support some other active lifestyle. The RVIA classifies motorhomes into three types, all of which we manufacture and sell under the Winnebago brand name, which are defined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7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Description</w:t>
            </w:r>
          </w:p>
        </w:tc>
        <w:tc>
          <w:tcPr>
            <w:tcW w:w="42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Winnebago products offerings</w:t>
            </w:r>
          </w:p>
        </w:tc>
        <w:tc>
          <w:tcPr>
            <w:tcW w:w="0" w:type="dxa"/>
            <w:vAlign w:val="bottom"/>
          </w:tcPr>
          <w:p>
            <w:pPr>
              <w:spacing w:after="0"/>
              <w:rPr>
                <w:sz w:val="1"/>
                <w:szCs w:val="1"/>
                <w:color w:val="auto"/>
              </w:rPr>
            </w:pPr>
          </w:p>
        </w:tc>
      </w:tr>
      <w:tr>
        <w:trPr>
          <w:trHeight w:val="218"/>
        </w:trPr>
        <w:tc>
          <w:tcPr>
            <w:tcW w:w="1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5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Conventional motorhomes constructed directly on medium- and heavy-duty</w:t>
            </w: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Gas: Adventurer, Brave, Sightseer, Suncruiser, Sunova,</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16"/>
                <w:szCs w:val="16"/>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truck chassis, which include the engine and drivetrain components. The</w:t>
            </w: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Sunstar, Tribute, Vista</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spacing w:after="0"/>
              <w:rPr>
                <w:sz w:val="16"/>
                <w:szCs w:val="16"/>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living area and driver's compartment are designed and produced by the</w:t>
            </w:r>
          </w:p>
        </w:tc>
        <w:tc>
          <w:tcPr>
            <w:tcW w:w="426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Diesel: Ellipse, Ellipse Ultra, Forza, Grand Tour, Journey,</w:t>
            </w:r>
          </w:p>
        </w:tc>
        <w:tc>
          <w:tcPr>
            <w:tcW w:w="0" w:type="dxa"/>
            <w:vAlign w:val="bottom"/>
          </w:tcPr>
          <w:p>
            <w:pPr>
              <w:spacing w:after="0"/>
              <w:rPr>
                <w:sz w:val="1"/>
                <w:szCs w:val="1"/>
                <w:color w:val="auto"/>
              </w:rPr>
            </w:pPr>
          </w:p>
        </w:tc>
      </w:tr>
      <w:tr>
        <w:trPr>
          <w:trHeight w:val="54"/>
        </w:trPr>
        <w:tc>
          <w:tcPr>
            <w:tcW w:w="1440" w:type="dxa"/>
            <w:vAlign w:val="bottom"/>
            <w:shd w:val="clear" w:color="auto" w:fill="CCEEFF"/>
          </w:tcPr>
          <w:p>
            <w:pPr>
              <w:spacing w:after="0"/>
              <w:rPr>
                <w:sz w:val="4"/>
                <w:szCs w:val="4"/>
                <w:color w:val="auto"/>
              </w:rPr>
            </w:pPr>
          </w:p>
        </w:tc>
        <w:tc>
          <w:tcPr>
            <w:tcW w:w="5720" w:type="dxa"/>
            <w:vAlign w:val="bottom"/>
            <w:vMerge w:val="restart"/>
            <w:shd w:val="clear" w:color="auto" w:fill="CCEEFF"/>
          </w:tcPr>
          <w:p>
            <w:pPr>
              <w:ind w:left="260"/>
              <w:spacing w:after="0"/>
              <w:rPr>
                <w:sz w:val="20"/>
                <w:szCs w:val="20"/>
                <w:color w:val="auto"/>
              </w:rPr>
            </w:pPr>
            <w:r>
              <w:rPr>
                <w:rFonts w:ascii="Arial" w:cs="Arial" w:eastAsia="Arial" w:hAnsi="Arial"/>
                <w:sz w:val="16"/>
                <w:szCs w:val="16"/>
                <w:color w:val="auto"/>
              </w:rPr>
              <w:t>motorhome manufacturer.</w:t>
            </w:r>
          </w:p>
        </w:tc>
        <w:tc>
          <w:tcPr>
            <w:tcW w:w="42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1440" w:type="dxa"/>
            <w:vAlign w:val="bottom"/>
            <w:shd w:val="clear" w:color="auto" w:fill="CCEEFF"/>
          </w:tcPr>
          <w:p>
            <w:pPr>
              <w:spacing w:after="0"/>
              <w:rPr>
                <w:sz w:val="12"/>
                <w:szCs w:val="12"/>
                <w:color w:val="auto"/>
              </w:rPr>
            </w:pPr>
          </w:p>
        </w:tc>
        <w:tc>
          <w:tcPr>
            <w:tcW w:w="5720" w:type="dxa"/>
            <w:vAlign w:val="bottom"/>
            <w:vMerge w:val="continue"/>
            <w:shd w:val="clear" w:color="auto" w:fill="CCEEFF"/>
          </w:tcPr>
          <w:p>
            <w:pPr>
              <w:spacing w:after="0"/>
              <w:rPr>
                <w:sz w:val="12"/>
                <w:szCs w:val="12"/>
                <w:color w:val="auto"/>
              </w:rPr>
            </w:pPr>
          </w:p>
        </w:tc>
        <w:tc>
          <w:tcPr>
            <w:tcW w:w="4260" w:type="dxa"/>
            <w:vAlign w:val="bottom"/>
            <w:vMerge w:val="restart"/>
            <w:shd w:val="clear" w:color="auto" w:fill="CCEEFF"/>
          </w:tcPr>
          <w:p>
            <w:pPr>
              <w:ind w:left="80"/>
              <w:spacing w:after="0"/>
              <w:rPr>
                <w:sz w:val="20"/>
                <w:szCs w:val="20"/>
                <w:color w:val="auto"/>
              </w:rPr>
            </w:pPr>
            <w:r>
              <w:rPr>
                <w:rFonts w:ascii="Arial" w:cs="Arial" w:eastAsia="Arial" w:hAnsi="Arial"/>
                <w:sz w:val="16"/>
                <w:szCs w:val="16"/>
                <w:color w:val="auto"/>
              </w:rPr>
              <w:t>Meridian, Reyo, Solei, Tour, Via</w:t>
            </w:r>
          </w:p>
        </w:tc>
        <w:tc>
          <w:tcPr>
            <w:tcW w:w="0" w:type="dxa"/>
            <w:vAlign w:val="bottom"/>
          </w:tcPr>
          <w:p>
            <w:pPr>
              <w:spacing w:after="0"/>
              <w:rPr>
                <w:sz w:val="1"/>
                <w:szCs w:val="1"/>
                <w:color w:val="auto"/>
              </w:rPr>
            </w:pPr>
          </w:p>
        </w:tc>
      </w:tr>
      <w:tr>
        <w:trPr>
          <w:trHeight w:val="74"/>
        </w:trPr>
        <w:tc>
          <w:tcPr>
            <w:tcW w:w="1440" w:type="dxa"/>
            <w:vAlign w:val="bottom"/>
            <w:shd w:val="clear" w:color="auto" w:fill="CCEEFF"/>
          </w:tcPr>
          <w:p>
            <w:pPr>
              <w:spacing w:after="0"/>
              <w:rPr>
                <w:sz w:val="6"/>
                <w:szCs w:val="6"/>
                <w:color w:val="auto"/>
              </w:rPr>
            </w:pPr>
          </w:p>
        </w:tc>
        <w:tc>
          <w:tcPr>
            <w:tcW w:w="5720" w:type="dxa"/>
            <w:vAlign w:val="bottom"/>
            <w:shd w:val="clear" w:color="auto" w:fill="CCEEFF"/>
          </w:tcPr>
          <w:p>
            <w:pPr>
              <w:spacing w:after="0"/>
              <w:rPr>
                <w:sz w:val="6"/>
                <w:szCs w:val="6"/>
                <w:color w:val="auto"/>
              </w:rPr>
            </w:pPr>
          </w:p>
        </w:tc>
        <w:tc>
          <w:tcPr>
            <w:tcW w:w="42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440" w:type="dxa"/>
            <w:vAlign w:val="bottom"/>
          </w:tcPr>
          <w:p>
            <w:pPr>
              <w:ind w:left="40"/>
              <w:spacing w:after="0"/>
              <w:rPr>
                <w:sz w:val="20"/>
                <w:szCs w:val="20"/>
                <w:color w:val="auto"/>
              </w:rPr>
            </w:pPr>
            <w:r>
              <w:rPr>
                <w:rFonts w:ascii="Arial" w:cs="Arial" w:eastAsia="Arial" w:hAnsi="Arial"/>
                <w:sz w:val="16"/>
                <w:szCs w:val="16"/>
                <w:color w:val="auto"/>
              </w:rPr>
              <w:t>Class B</w:t>
            </w:r>
          </w:p>
        </w:tc>
        <w:tc>
          <w:tcPr>
            <w:tcW w:w="9980" w:type="dxa"/>
            <w:vAlign w:val="bottom"/>
            <w:gridSpan w:val="2"/>
          </w:tcPr>
          <w:p>
            <w:pPr>
              <w:ind w:left="260"/>
              <w:spacing w:after="0"/>
              <w:rPr>
                <w:sz w:val="20"/>
                <w:szCs w:val="20"/>
                <w:color w:val="auto"/>
              </w:rPr>
            </w:pPr>
            <w:r>
              <w:rPr>
                <w:rFonts w:ascii="Arial" w:cs="Arial" w:eastAsia="Arial" w:hAnsi="Arial"/>
                <w:sz w:val="16"/>
                <w:szCs w:val="16"/>
                <w:color w:val="auto"/>
              </w:rPr>
              <w:t>Panel-type vans to which sleeping, kitchen, and/or toilet facilities are added. Winnebago Touring Coach (Era, Travato)</w:t>
            </w:r>
          </w:p>
        </w:tc>
        <w:tc>
          <w:tcPr>
            <w:tcW w:w="0" w:type="dxa"/>
            <w:vAlign w:val="bottom"/>
          </w:tcPr>
          <w:p>
            <w:pPr>
              <w:spacing w:after="0"/>
              <w:rPr>
                <w:sz w:val="1"/>
                <w:szCs w:val="1"/>
                <w:color w:val="auto"/>
              </w:rPr>
            </w:pPr>
          </w:p>
        </w:tc>
      </w:tr>
      <w:tr>
        <w:trPr>
          <w:trHeight w:val="195"/>
        </w:trPr>
        <w:tc>
          <w:tcPr>
            <w:tcW w:w="1440" w:type="dxa"/>
            <w:vAlign w:val="bottom"/>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tcPr>
          <w:p>
            <w:pPr>
              <w:ind w:left="260"/>
              <w:spacing w:after="0"/>
              <w:rPr>
                <w:sz w:val="20"/>
                <w:szCs w:val="20"/>
                <w:color w:val="auto"/>
              </w:rPr>
            </w:pPr>
            <w:r>
              <w:rPr>
                <w:rFonts w:ascii="Arial" w:cs="Arial" w:eastAsia="Arial" w:hAnsi="Arial"/>
                <w:sz w:val="16"/>
                <w:szCs w:val="16"/>
                <w:color w:val="auto"/>
              </w:rPr>
              <w:t>These models may also have a top extension to provide more headroom.</w:t>
            </w:r>
          </w:p>
        </w:tc>
        <w:tc>
          <w:tcPr>
            <w:tcW w:w="4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5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Motorhomes built on van-type chassis onto which the motorhome</w:t>
            </w: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Aspect, Cambria, Minnie Winnie, Minnie Winnie Premier,</w:t>
            </w:r>
          </w:p>
        </w:tc>
        <w:tc>
          <w:tcPr>
            <w:tcW w:w="0" w:type="dxa"/>
            <w:vAlign w:val="bottom"/>
          </w:tcPr>
          <w:p>
            <w:pPr>
              <w:spacing w:after="0"/>
              <w:rPr>
                <w:sz w:val="1"/>
                <w:szCs w:val="1"/>
                <w:color w:val="auto"/>
              </w:rPr>
            </w:pPr>
          </w:p>
        </w:tc>
      </w:tr>
      <w:tr>
        <w:trPr>
          <w:trHeight w:val="189"/>
        </w:trPr>
        <w:tc>
          <w:tcPr>
            <w:tcW w:w="1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(gas and diesel)</w:t>
            </w:r>
          </w:p>
        </w:tc>
        <w:tc>
          <w:tcPr>
            <w:tcW w:w="5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manufacturer constructs a living area with access to the driver's</w:t>
            </w:r>
          </w:p>
        </w:tc>
        <w:tc>
          <w:tcPr>
            <w:tcW w:w="4260" w:type="dxa"/>
            <w:vAlign w:val="bottom"/>
            <w:shd w:val="clear" w:color="auto" w:fill="CCEEFF"/>
          </w:tcPr>
          <w:p>
            <w:pPr>
              <w:ind w:left="80"/>
              <w:spacing w:after="0"/>
              <w:rPr>
                <w:sz w:val="20"/>
                <w:szCs w:val="20"/>
                <w:color w:val="auto"/>
              </w:rPr>
            </w:pPr>
            <w:r>
              <w:rPr>
                <w:rFonts w:ascii="Arial" w:cs="Arial" w:eastAsia="Arial" w:hAnsi="Arial"/>
                <w:sz w:val="16"/>
                <w:szCs w:val="16"/>
                <w:color w:val="auto"/>
              </w:rPr>
              <w:t>Navion, Spirit, Spirit Silver, Trend, View, Viva!</w:t>
            </w:r>
          </w:p>
        </w:tc>
        <w:tc>
          <w:tcPr>
            <w:tcW w:w="0" w:type="dxa"/>
            <w:vAlign w:val="bottom"/>
          </w:tcPr>
          <w:p>
            <w:pPr>
              <w:spacing w:after="0"/>
              <w:rPr>
                <w:sz w:val="1"/>
                <w:szCs w:val="1"/>
                <w:color w:val="auto"/>
              </w:rPr>
            </w:pPr>
          </w:p>
        </w:tc>
      </w:tr>
      <w:tr>
        <w:trPr>
          <w:trHeight w:val="195"/>
        </w:trPr>
        <w:tc>
          <w:tcPr>
            <w:tcW w:w="1440" w:type="dxa"/>
            <w:vAlign w:val="bottom"/>
            <w:shd w:val="clear" w:color="auto" w:fill="CCEEFF"/>
          </w:tcPr>
          <w:p>
            <w:pPr>
              <w:spacing w:after="0"/>
              <w:rPr>
                <w:sz w:val="16"/>
                <w:szCs w:val="16"/>
                <w:color w:val="auto"/>
              </w:rPr>
            </w:pPr>
          </w:p>
        </w:tc>
        <w:tc>
          <w:tcPr>
            <w:tcW w:w="57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compartment.</w:t>
            </w:r>
          </w:p>
        </w:tc>
        <w:tc>
          <w:tcPr>
            <w:tcW w:w="4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4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160"/>
        <w:spacing w:after="0" w:line="230" w:lineRule="auto"/>
        <w:rPr>
          <w:sz w:val="20"/>
          <w:szCs w:val="20"/>
          <w:color w:val="auto"/>
        </w:rPr>
      </w:pPr>
      <w:r>
        <w:rPr>
          <w:rFonts w:ascii="Arial" w:cs="Arial" w:eastAsia="Arial" w:hAnsi="Arial"/>
          <w:sz w:val="16"/>
          <w:szCs w:val="16"/>
          <w:color w:val="auto"/>
        </w:rPr>
        <w:t>Motorhomes generally provide living accommodations for up to seven people and include kitchen, dining, sleeping and bath areas, and in some models, a lounge. Optional equipment accessories include, among other items, generators, home theater systems, king-size beds, and UltraLeather</w:t>
      </w:r>
      <w:r>
        <w:rPr>
          <w:rFonts w:ascii="Arial" w:cs="Arial" w:eastAsia="Arial" w:hAnsi="Arial"/>
          <w:sz w:val="21"/>
          <w:szCs w:val="21"/>
          <w:color w:val="auto"/>
          <w:vertAlign w:val="superscript"/>
        </w:rPr>
        <w:t>TM</w:t>
      </w:r>
      <w:r>
        <w:rPr>
          <w:rFonts w:ascii="Arial" w:cs="Arial" w:eastAsia="Arial" w:hAnsi="Arial"/>
          <w:sz w:val="16"/>
          <w:szCs w:val="16"/>
          <w:color w:val="auto"/>
        </w:rPr>
        <w:t xml:space="preserve"> upholstery and a wide selection of interior equipment. With the purchase of any new motorhome, we offer a comprehensive 12-month/15,000-mile warranty on the coach and, for Class A and C motorhomes, a 3-year/36,000-mile structural warranty on sidewalls and floors.</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Our Class A, B and C motorhomes are sold by dealers in the retail market with manufacturer's suggested retail prices ranging from approximately $60,000 to $421,000, depending on size and model, plus optional equipment and delivery charges. Our motorhomes range in length from 21 to 43 feet.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Unit sales of our motorhomes for the last five fiscal years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 xml:space="preserve">Year Ended </w:t>
            </w:r>
            <w:r>
              <w:rPr>
                <w:rFonts w:ascii="Arial" w:cs="Arial" w:eastAsia="Arial" w:hAnsi="Arial"/>
                <w:sz w:val="21"/>
                <w:szCs w:val="21"/>
                <w:b w:val="1"/>
                <w:bCs w:val="1"/>
                <w:color w:val="auto"/>
                <w:vertAlign w:val="superscript"/>
              </w:rPr>
              <w:t>(1)(2)</w:t>
            </w:r>
          </w:p>
        </w:tc>
        <w:tc>
          <w:tcPr>
            <w:tcW w:w="9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57"/>
        </w:trPr>
        <w:tc>
          <w:tcPr>
            <w:tcW w:w="196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1860" w:type="dxa"/>
            <w:vAlign w:val="bottom"/>
            <w:gridSpan w:val="3"/>
          </w:tcPr>
          <w:p>
            <w:pPr>
              <w:ind w:left="260"/>
              <w:spacing w:after="0"/>
              <w:rPr>
                <w:sz w:val="20"/>
                <w:szCs w:val="20"/>
                <w:color w:val="auto"/>
              </w:rPr>
            </w:pPr>
            <w:r>
              <w:rPr>
                <w:rFonts w:ascii="Arial" w:cs="Arial" w:eastAsia="Arial" w:hAnsi="Arial"/>
                <w:sz w:val="16"/>
                <w:szCs w:val="16"/>
                <w:b w:val="1"/>
                <w:bCs w:val="1"/>
                <w:color w:val="auto"/>
              </w:rPr>
              <w:t>August 30, 2014</w:t>
            </w:r>
          </w:p>
        </w:tc>
        <w:tc>
          <w:tcPr>
            <w:tcW w:w="1860" w:type="dxa"/>
            <w:vAlign w:val="bottom"/>
            <w:gridSpan w:val="3"/>
          </w:tcPr>
          <w:p>
            <w:pPr>
              <w:ind w:left="280"/>
              <w:spacing w:after="0"/>
              <w:rPr>
                <w:sz w:val="20"/>
                <w:szCs w:val="20"/>
                <w:color w:val="auto"/>
              </w:rPr>
            </w:pPr>
            <w:r>
              <w:rPr>
                <w:rFonts w:ascii="Arial" w:cs="Arial" w:eastAsia="Arial" w:hAnsi="Arial"/>
                <w:sz w:val="16"/>
                <w:szCs w:val="16"/>
                <w:b w:val="1"/>
                <w:bCs w:val="1"/>
                <w:color w:val="auto"/>
              </w:rPr>
              <w:t>August 31, 2013</w:t>
            </w:r>
          </w:p>
        </w:tc>
        <w:tc>
          <w:tcPr>
            <w:tcW w:w="1860" w:type="dxa"/>
            <w:vAlign w:val="bottom"/>
            <w:gridSpan w:val="3"/>
          </w:tcPr>
          <w:p>
            <w:pPr>
              <w:ind w:left="280"/>
              <w:spacing w:after="0"/>
              <w:rPr>
                <w:sz w:val="20"/>
                <w:szCs w:val="20"/>
                <w:color w:val="auto"/>
              </w:rPr>
            </w:pPr>
            <w:r>
              <w:rPr>
                <w:rFonts w:ascii="Arial" w:cs="Arial" w:eastAsia="Arial" w:hAnsi="Arial"/>
                <w:sz w:val="16"/>
                <w:szCs w:val="16"/>
                <w:b w:val="1"/>
                <w:bCs w:val="1"/>
                <w:color w:val="auto"/>
              </w:rPr>
              <w:t>August 25, 2012</w:t>
            </w:r>
          </w:p>
        </w:tc>
        <w:tc>
          <w:tcPr>
            <w:tcW w:w="1860" w:type="dxa"/>
            <w:vAlign w:val="bottom"/>
            <w:gridSpan w:val="3"/>
          </w:tcPr>
          <w:p>
            <w:pPr>
              <w:ind w:left="280"/>
              <w:spacing w:after="0"/>
              <w:rPr>
                <w:sz w:val="20"/>
                <w:szCs w:val="20"/>
                <w:color w:val="auto"/>
              </w:rPr>
            </w:pPr>
            <w:r>
              <w:rPr>
                <w:rFonts w:ascii="Arial" w:cs="Arial" w:eastAsia="Arial" w:hAnsi="Arial"/>
                <w:sz w:val="16"/>
                <w:szCs w:val="16"/>
                <w:b w:val="1"/>
                <w:bCs w:val="1"/>
                <w:color w:val="auto"/>
              </w:rPr>
              <w:t>August 27, 2011</w:t>
            </w:r>
          </w:p>
        </w:tc>
        <w:tc>
          <w:tcPr>
            <w:tcW w:w="1780" w:type="dxa"/>
            <w:vAlign w:val="bottom"/>
            <w:gridSpan w:val="2"/>
          </w:tcPr>
          <w:p>
            <w:pPr>
              <w:jc w:val="right"/>
              <w:ind w:right="179"/>
              <w:spacing w:after="0"/>
              <w:rPr>
                <w:sz w:val="20"/>
                <w:szCs w:val="20"/>
                <w:color w:val="auto"/>
              </w:rPr>
            </w:pPr>
            <w:r>
              <w:rPr>
                <w:rFonts w:ascii="Arial" w:cs="Arial" w:eastAsia="Arial" w:hAnsi="Arial"/>
                <w:sz w:val="16"/>
                <w:szCs w:val="16"/>
                <w:b w:val="1"/>
                <w:bCs w:val="1"/>
                <w:color w:val="auto"/>
              </w:rPr>
              <w:t>August 28, 2010</w:t>
            </w:r>
          </w:p>
        </w:tc>
      </w:tr>
      <w:tr>
        <w:trPr>
          <w:trHeight w:val="257"/>
        </w:trPr>
        <w:tc>
          <w:tcPr>
            <w:tcW w:w="19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9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4,466</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3,761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2,579</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Borders>
              <w:top w:val="single" w:sz="8" w:color="CCEEFF"/>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2,436</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top w:val="single" w:sz="8" w:color="CCEEFF"/>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2,452</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60"/>
        </w:trPr>
        <w:tc>
          <w:tcPr>
            <w:tcW w:w="1960" w:type="dxa"/>
            <w:vAlign w:val="bottom"/>
          </w:tcPr>
          <w:p>
            <w:pPr>
              <w:ind w:left="40"/>
              <w:spacing w:after="0"/>
              <w:rPr>
                <w:sz w:val="20"/>
                <w:szCs w:val="20"/>
                <w:color w:val="auto"/>
              </w:rPr>
            </w:pPr>
            <w:r>
              <w:rPr>
                <w:rFonts w:ascii="Arial" w:cs="Arial" w:eastAsia="Arial" w:hAnsi="Arial"/>
                <w:sz w:val="16"/>
                <w:szCs w:val="16"/>
                <w:color w:val="auto"/>
              </w:rPr>
              <w:t>Class B</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751</w:t>
            </w:r>
          </w:p>
        </w:tc>
        <w:tc>
          <w:tcPr>
            <w:tcW w:w="76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372</w:t>
            </w: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319</w:t>
            </w:r>
          </w:p>
        </w:tc>
        <w:tc>
          <w:tcPr>
            <w:tcW w:w="7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22"/>
                <w:szCs w:val="22"/>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103</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236</w:t>
            </w: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73"/>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9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3,538</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2,688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1,856</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1,745</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Total motorhomes</w:t>
            </w: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8,755</w:t>
            </w:r>
          </w:p>
        </w:tc>
        <w:tc>
          <w:tcPr>
            <w:tcW w:w="76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6,821</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4,642</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980" w:type="dxa"/>
            <w:vAlign w:val="bottom"/>
          </w:tcPr>
          <w:p>
            <w:pPr>
              <w:jc w:val="right"/>
              <w:ind w:right="99"/>
              <w:spacing w:after="0"/>
              <w:rPr>
                <w:sz w:val="20"/>
                <w:szCs w:val="20"/>
                <w:color w:val="auto"/>
              </w:rPr>
            </w:pPr>
            <w:r>
              <w:rPr>
                <w:rFonts w:ascii="Arial" w:cs="Arial" w:eastAsia="Arial" w:hAnsi="Arial"/>
                <w:sz w:val="16"/>
                <w:szCs w:val="16"/>
                <w:color w:val="auto"/>
              </w:rPr>
              <w:t>4,395</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4,433</w:t>
            </w:r>
          </w:p>
        </w:tc>
        <w:tc>
          <w:tcPr>
            <w:tcW w:w="780" w:type="dxa"/>
            <w:vAlign w:val="bottom"/>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3810</wp:posOffset>
            </wp:positionV>
            <wp:extent cx="58572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26035"/>
                    </a:xfrm>
                    <a:prstGeom prst="rect">
                      <a:avLst/>
                    </a:prstGeom>
                    <a:noFill/>
                  </pic:spPr>
                </pic:pic>
              </a:graphicData>
            </a:graphic>
          </wp:anchor>
        </w:drawing>
      </w:r>
    </w:p>
    <w:p>
      <w:pPr>
        <w:ind w:left="260" w:hanging="238"/>
        <w:spacing w:after="0"/>
        <w:tabs>
          <w:tab w:leader="none" w:pos="2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5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Motorhome parts and service activities represent revenues generated by service work we perform for retail customers at our Forest City, Iowa facility as well as revenues from sales of RV parts. As of August 30, 2014, our parts inventory was approximately $2.7 million and is located in a 450,000-square foot warehouse with what we believe to be among the most sophisticated distribution and tracking systems in the industry. Our competitive strategy is to provide proprietary manufactured parts through our dealer network, which we believe increases customer satisfaction and the value of our motorhomes.</w:t>
      </w:r>
    </w:p>
    <w:p>
      <w:pPr>
        <w:spacing w:after="0" w:line="129"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 xml:space="preserve">Towables. </w:t>
      </w:r>
      <w:r>
        <w:rPr>
          <w:rFonts w:ascii="Arial" w:cs="Arial" w:eastAsia="Arial" w:hAnsi="Arial"/>
          <w:sz w:val="16"/>
          <w:szCs w:val="16"/>
          <w:color w:val="auto"/>
        </w:rPr>
        <w:t>A towable is a non-motorized vehicle that is designed to be towed by passenger automobiles, pickup trucks, SUVs or vans and is used as</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 living quarters for recreational travel. The RVIA classifies towables in four types: conventional travel trailers, fifth wheels, folding campers trailers and truck campers; we manufacture and sell conventional travel trailers and fifth</w:t>
      </w:r>
    </w:p>
    <w:p>
      <w:pPr>
        <w:sectPr>
          <w:pgSz w:w="11900" w:h="16838" w:orient="portrait"/>
          <w:cols w:equalWidth="0" w:num="1">
            <w:col w:w="11420"/>
          </w:cols>
          <w:pgMar w:left="240" w:top="141" w:right="239"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41"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1">
              <w:r>
                <w:rPr>
                  <w:rFonts w:ascii="Arial" w:cs="Arial" w:eastAsia="Arial" w:hAnsi="Arial"/>
                  <w:sz w:val="16"/>
                  <w:szCs w:val="16"/>
                  <w:color w:val="0000EE"/>
                  <w:w w:val="98"/>
                </w:rPr>
                <w:t>Table of Contents</w:t>
              </w:r>
            </w:hyperlink>
          </w:p>
        </w:tc>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447"/>
        </w:trPr>
        <w:tc>
          <w:tcPr>
            <w:tcW w:w="6360" w:type="dxa"/>
            <w:vAlign w:val="bottom"/>
            <w:gridSpan w:val="3"/>
          </w:tcPr>
          <w:p>
            <w:pPr>
              <w:spacing w:after="0"/>
              <w:rPr>
                <w:sz w:val="20"/>
                <w:szCs w:val="20"/>
                <w:color w:val="auto"/>
              </w:rPr>
            </w:pPr>
            <w:r>
              <w:rPr>
                <w:rFonts w:ascii="Arial" w:cs="Arial" w:eastAsia="Arial" w:hAnsi="Arial"/>
                <w:sz w:val="16"/>
                <w:szCs w:val="16"/>
                <w:color w:val="auto"/>
              </w:rPr>
              <w:t>wheels under the Winnebago brand name, which are defined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64"/>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Type</w:t>
            </w:r>
          </w:p>
        </w:tc>
        <w:tc>
          <w:tcPr>
            <w:tcW w:w="5100" w:type="dxa"/>
            <w:vAlign w:val="bottom"/>
            <w:tcBorders>
              <w:bottom w:val="single" w:sz="8" w:color="auto"/>
            </w:tcBorders>
            <w:gridSpan w:val="2"/>
          </w:tcPr>
          <w:p>
            <w:pPr>
              <w:ind w:left="280"/>
              <w:spacing w:after="0"/>
              <w:rPr>
                <w:sz w:val="20"/>
                <w:szCs w:val="20"/>
                <w:color w:val="auto"/>
              </w:rPr>
            </w:pPr>
            <w:r>
              <w:rPr>
                <w:rFonts w:ascii="Arial" w:cs="Arial" w:eastAsia="Arial" w:hAnsi="Arial"/>
                <w:sz w:val="16"/>
                <w:szCs w:val="16"/>
                <w:b w:val="1"/>
                <w:bCs w:val="1"/>
                <w:color w:val="auto"/>
              </w:rPr>
              <w:t>Description</w:t>
            </w:r>
          </w:p>
        </w:tc>
        <w:tc>
          <w:tcPr>
            <w:tcW w:w="294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Winnebago product offerings</w:t>
            </w: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8"/>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5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Conventional travel trailers are towed by means of a hitch attached</w:t>
            </w:r>
          </w:p>
        </w:tc>
        <w:tc>
          <w:tcPr>
            <w:tcW w:w="5060" w:type="dxa"/>
            <w:vAlign w:val="bottom"/>
            <w:gridSpan w:val="7"/>
            <w:shd w:val="clear" w:color="auto" w:fill="CCEEFF"/>
          </w:tcPr>
          <w:p>
            <w:pPr>
              <w:ind w:left="140"/>
              <w:spacing w:after="0"/>
              <w:rPr>
                <w:sz w:val="20"/>
                <w:szCs w:val="20"/>
                <w:color w:val="auto"/>
              </w:rPr>
            </w:pPr>
            <w:r>
              <w:rPr>
                <w:rFonts w:ascii="Arial" w:cs="Arial" w:eastAsia="Arial" w:hAnsi="Arial"/>
                <w:sz w:val="16"/>
                <w:szCs w:val="16"/>
                <w:color w:val="auto"/>
              </w:rPr>
              <w:t>Minnie, Micro Minnie, Ultralite, ONE, Sunset Creek, Remington</w:t>
            </w:r>
          </w:p>
        </w:tc>
      </w:tr>
      <w:tr>
        <w:trPr>
          <w:trHeight w:val="214"/>
        </w:trPr>
        <w:tc>
          <w:tcPr>
            <w:tcW w:w="126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 the frame of the vehicle.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8"/>
        </w:trPr>
        <w:tc>
          <w:tcPr>
            <w:tcW w:w="1260" w:type="dxa"/>
            <w:vAlign w:val="bottom"/>
          </w:tcPr>
          <w:p>
            <w:pPr>
              <w:ind w:left="40"/>
              <w:spacing w:after="0"/>
              <w:rPr>
                <w:sz w:val="20"/>
                <w:szCs w:val="20"/>
                <w:color w:val="auto"/>
              </w:rPr>
            </w:pPr>
            <w:r>
              <w:rPr>
                <w:rFonts w:ascii="Arial" w:cs="Arial" w:eastAsia="Arial" w:hAnsi="Arial"/>
                <w:sz w:val="16"/>
                <w:szCs w:val="16"/>
                <w:color w:val="auto"/>
              </w:rPr>
              <w:t>Fifth wheel</w:t>
            </w:r>
          </w:p>
        </w:tc>
        <w:tc>
          <w:tcPr>
            <w:tcW w:w="9300" w:type="dxa"/>
            <w:vAlign w:val="bottom"/>
            <w:gridSpan w:val="8"/>
          </w:tcPr>
          <w:p>
            <w:pPr>
              <w:ind w:left="280"/>
              <w:spacing w:after="0"/>
              <w:rPr>
                <w:sz w:val="20"/>
                <w:szCs w:val="20"/>
                <w:color w:val="auto"/>
              </w:rPr>
            </w:pPr>
            <w:r>
              <w:rPr>
                <w:rFonts w:ascii="Arial" w:cs="Arial" w:eastAsia="Arial" w:hAnsi="Arial"/>
                <w:sz w:val="16"/>
                <w:szCs w:val="16"/>
                <w:color w:val="auto"/>
              </w:rPr>
              <w:t>Fifth wheel trailers are constructed with a raised forward section that Voyage, Latitude, Destination, Lite Five, Raven</w:t>
            </w:r>
          </w:p>
        </w:tc>
        <w:tc>
          <w:tcPr>
            <w:tcW w:w="860" w:type="dxa"/>
            <w:vAlign w:val="bottom"/>
          </w:tcPr>
          <w:p>
            <w:pPr>
              <w:spacing w:after="0"/>
              <w:rPr>
                <w:sz w:val="18"/>
                <w:szCs w:val="18"/>
                <w:color w:val="auto"/>
              </w:rPr>
            </w:pPr>
          </w:p>
        </w:tc>
      </w:tr>
      <w:tr>
        <w:trPr>
          <w:trHeight w:val="195"/>
        </w:trPr>
        <w:tc>
          <w:tcPr>
            <w:tcW w:w="1260" w:type="dxa"/>
            <w:vAlign w:val="bottom"/>
          </w:tcPr>
          <w:p>
            <w:pPr>
              <w:spacing w:after="0"/>
              <w:rPr>
                <w:sz w:val="16"/>
                <w:szCs w:val="16"/>
                <w:color w:val="auto"/>
              </w:rPr>
            </w:pPr>
          </w:p>
        </w:tc>
        <w:tc>
          <w:tcPr>
            <w:tcW w:w="5100" w:type="dxa"/>
            <w:vAlign w:val="bottom"/>
            <w:gridSpan w:val="2"/>
          </w:tcPr>
          <w:p>
            <w:pPr>
              <w:ind w:left="280"/>
              <w:spacing w:after="0"/>
              <w:rPr>
                <w:sz w:val="20"/>
                <w:szCs w:val="20"/>
                <w:color w:val="auto"/>
              </w:rPr>
            </w:pPr>
            <w:r>
              <w:rPr>
                <w:rFonts w:ascii="Arial" w:cs="Arial" w:eastAsia="Arial" w:hAnsi="Arial"/>
                <w:sz w:val="16"/>
                <w:szCs w:val="16"/>
                <w:color w:val="auto"/>
              </w:rPr>
              <w:t>is connected to the vehicle with a special fifth wheel hitch.</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78"/>
        </w:trPr>
        <w:tc>
          <w:tcPr>
            <w:tcW w:w="6360" w:type="dxa"/>
            <w:vAlign w:val="bottom"/>
            <w:gridSpan w:val="3"/>
          </w:tcPr>
          <w:p>
            <w:pPr>
              <w:spacing w:after="0"/>
              <w:rPr>
                <w:sz w:val="20"/>
                <w:szCs w:val="20"/>
                <w:color w:val="auto"/>
              </w:rPr>
            </w:pPr>
            <w:r>
              <w:rPr>
                <w:rFonts w:ascii="Arial" w:cs="Arial" w:eastAsia="Arial" w:hAnsi="Arial"/>
                <w:sz w:val="16"/>
                <w:szCs w:val="16"/>
                <w:color w:val="auto"/>
              </w:rPr>
              <w:t>Unit sales of our towables for the last three fiscal years were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8"/>
        </w:trPr>
        <w:tc>
          <w:tcPr>
            <w:tcW w:w="12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6"/>
                <w:szCs w:val="16"/>
                <w:b w:val="1"/>
                <w:bCs w:val="1"/>
                <w:color w:val="auto"/>
                <w:w w:val="94"/>
              </w:rPr>
              <w:t xml:space="preserve">Year Ended </w:t>
            </w:r>
            <w:r>
              <w:rPr>
                <w:rFonts w:ascii="Arial" w:cs="Arial" w:eastAsia="Arial" w:hAnsi="Arial"/>
                <w:sz w:val="21"/>
                <w:szCs w:val="21"/>
                <w:b w:val="1"/>
                <w:bCs w:val="1"/>
                <w:color w:val="auto"/>
                <w:w w:val="94"/>
                <w:vertAlign w:val="superscript"/>
              </w:rPr>
              <w:t>(1)(2)</w:t>
            </w:r>
          </w:p>
        </w:tc>
        <w:tc>
          <w:tcPr>
            <w:tcW w:w="1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57"/>
        </w:trPr>
        <w:tc>
          <w:tcPr>
            <w:tcW w:w="1260" w:type="dxa"/>
            <w:vAlign w:val="bottom"/>
          </w:tcPr>
          <w:p>
            <w:pPr>
              <w:ind w:left="40"/>
              <w:spacing w:after="0"/>
              <w:rPr>
                <w:sz w:val="20"/>
                <w:szCs w:val="20"/>
                <w:color w:val="auto"/>
              </w:rPr>
            </w:pPr>
            <w:r>
              <w:rPr>
                <w:rFonts w:ascii="Arial" w:cs="Arial" w:eastAsia="Arial" w:hAnsi="Arial"/>
                <w:sz w:val="16"/>
                <w:szCs w:val="16"/>
                <w:b w:val="1"/>
                <w:bCs w:val="1"/>
                <w:color w:val="auto"/>
              </w:rPr>
              <w:t>Units</w:t>
            </w:r>
          </w:p>
        </w:tc>
        <w:tc>
          <w:tcPr>
            <w:tcW w:w="3600" w:type="dxa"/>
            <w:vAlign w:val="bottom"/>
          </w:tcPr>
          <w:p>
            <w:pPr>
              <w:spacing w:after="0"/>
              <w:rPr>
                <w:sz w:val="22"/>
                <w:szCs w:val="22"/>
                <w:color w:val="auto"/>
              </w:rPr>
            </w:pPr>
          </w:p>
        </w:tc>
        <w:tc>
          <w:tcPr>
            <w:tcW w:w="2220" w:type="dxa"/>
            <w:vAlign w:val="bottom"/>
            <w:gridSpan w:val="3"/>
          </w:tcPr>
          <w:p>
            <w:pPr>
              <w:ind w:left="460"/>
              <w:spacing w:after="0"/>
              <w:rPr>
                <w:sz w:val="20"/>
                <w:szCs w:val="20"/>
                <w:color w:val="auto"/>
              </w:rPr>
            </w:pPr>
            <w:r>
              <w:rPr>
                <w:rFonts w:ascii="Arial" w:cs="Arial" w:eastAsia="Arial" w:hAnsi="Arial"/>
                <w:sz w:val="16"/>
                <w:szCs w:val="16"/>
                <w:b w:val="1"/>
                <w:bCs w:val="1"/>
                <w:color w:val="auto"/>
              </w:rPr>
              <w:t>August 30, 2014</w:t>
            </w:r>
          </w:p>
        </w:tc>
        <w:tc>
          <w:tcPr>
            <w:tcW w:w="222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August 31, 2013</w:t>
            </w:r>
          </w:p>
        </w:tc>
        <w:tc>
          <w:tcPr>
            <w:tcW w:w="212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12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5100" w:type="dxa"/>
            <w:vAlign w:val="bottom"/>
            <w:tcBorders>
              <w:top w:val="single" w:sz="8" w:color="auto"/>
            </w:tcBorders>
            <w:gridSpan w:val="2"/>
            <w:shd w:val="clear" w:color="auto" w:fill="CCEEFF"/>
          </w:tcPr>
          <w:p>
            <w:pPr>
              <w:jc w:val="right"/>
              <w:ind w:right="459"/>
              <w:spacing w:after="0"/>
              <w:rPr>
                <w:sz w:val="20"/>
                <w:szCs w:val="20"/>
                <w:color w:val="auto"/>
              </w:rPr>
            </w:pPr>
            <w:r>
              <w:rPr>
                <w:rFonts w:ascii="Arial" w:cs="Arial" w:eastAsia="Arial" w:hAnsi="Arial"/>
                <w:sz w:val="16"/>
                <w:szCs w:val="16"/>
                <w:color w:val="auto"/>
              </w:rPr>
              <w:t>2,052</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81.8%</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2,038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1,372</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58.7%</w:t>
            </w:r>
          </w:p>
        </w:tc>
      </w:tr>
      <w:tr>
        <w:trPr>
          <w:trHeight w:val="264"/>
        </w:trPr>
        <w:tc>
          <w:tcPr>
            <w:tcW w:w="1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Fifth wheel</w:t>
            </w:r>
          </w:p>
        </w:tc>
        <w:tc>
          <w:tcPr>
            <w:tcW w:w="36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457</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497</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966</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r>
      <w:tr>
        <w:trPr>
          <w:trHeight w:val="240"/>
        </w:trPr>
        <w:tc>
          <w:tcPr>
            <w:tcW w:w="1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towables</w:t>
            </w:r>
          </w:p>
        </w:tc>
        <w:tc>
          <w:tcPr>
            <w:tcW w:w="36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2,509</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2,535</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2,338</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3092450</wp:posOffset>
            </wp:positionH>
            <wp:positionV relativeFrom="paragraph">
              <wp:posOffset>8890</wp:posOffset>
            </wp:positionV>
            <wp:extent cx="41592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ind w:left="260" w:hanging="238"/>
        <w:spacing w:after="0" w:line="224"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The fiscal year ended August 31, 2013 contained 53 weeks; all other fiscal years contained 52 weeks.</w:t>
      </w:r>
    </w:p>
    <w:p>
      <w:pPr>
        <w:ind w:left="260" w:hanging="238"/>
        <w:spacing w:after="0" w:line="199" w:lineRule="auto"/>
        <w:tabs>
          <w:tab w:leader="none" w:pos="2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30"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Other Manufactured Products</w:t>
      </w:r>
      <w:r>
        <w:rPr>
          <w:rFonts w:ascii="Arial" w:cs="Arial" w:eastAsia="Arial" w:hAnsi="Arial"/>
          <w:sz w:val="16"/>
          <w:szCs w:val="16"/>
          <w:color w:val="auto"/>
        </w:rPr>
        <w:t>. As a result of our motorhome manufacturing capabilities, equipment and facilities, we use our incremental capacity to</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product for outside customers. Notably, we manufacture aluminum extrusions which are sold to approximately 80 customers. To a limited extent, we manufacture other component parts sold to outside manufacturers. We also manufacture commercial vehicles which are motorhome shells, primarily custom designed for the buyer's special needs and requirements, such as law enforcement command centers and mobile medical and dental clinics. These commercial vehicles are sold through our dealer network. In addition, we also provide commercial vehicles as bare shells to third-party upfitters for conversion at their facilities. We are a manufacturer of commercial transit buses that are sold to both public and private transportation agencies for use in community based transit programs, para transit applications, hospitality shuttles, car rental shuttles, airport shuttles, and other various applications. Our transit buses are marketed under the trade name Metro, Metro Link, and Metro Connect and distributed to a nationwide dealer network through our exclusive distribution partner, Metro Worldwide.</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We generally produce motorhomes and towables to order from dealers. We have some ability to increase our capacity by scheduling overtime and/or hiring additional production employees or to decrease our capacity through the use of shortened workweeks and/or reducing head count. We have long been known as an industry leader in innovation as each year we introduce new or redesigned products. These changes generally include new floor plans and sizes as well as design and decor modifications.</w:t>
      </w:r>
    </w:p>
    <w:p>
      <w:pPr>
        <w:spacing w:after="0" w:line="149"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Our motorhomes are produced in the state of Iowa at three different campuses. Our Forest City facilities are vertically integrated and provide mechanized assembly line manufacturing for Class A and C motorhomes. We assemble Class B motorhomes in our Lake Mills and Charles City facilities. Hardwood cabinet, countertop and compartment door products are also manufactured at our Charles City campus. Our motorhome bodies are made from various materials and structural components which are typically laminated into rigid, lightweight panels. Body designs are developed with computer aided design and manufacturing and subjected to a variety of tests and evaluations to meet our standards and requirements. We manufacture a number of components utilized in our motorhomes, with the principal exceptions being chassis, engines, generators and appliances.</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Most of our raw materials such as steel, aluminum, fiberglass and wood products are obtainable from numerous sources. Certain parts, especially motorhome chassis, are available from a small group of suppliers. We are currently purchasing Class A and C chassis from Ford Motor Company, Mercedes-Benz USA (a Daimler company) and Mercedes-Benz Canada (a Daimler company) and Class A chassis from Freightliner Custom Chassis Corporation (a Daimler company). Class B chassis are purchased from Mercedes-Benz USA, Mercedes-Benz Canada and Chrysler Group, LLC. Class C chassis are also purchased from Chrysler Group, LLC. In Fiscal 2014, only two vendors, Ford Motor Company and Freightliner Custom Chassis Corporation individually accounted for more than 10% of our raw material purchases and approximating 32% in the aggregate.</w:t>
      </w:r>
    </w:p>
    <w:p>
      <w:pPr>
        <w:spacing w:after="0" w:line="178"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Our towables are produced at an assembly plant located in Middlebury, Indiana. The majority of components are comprised of frames, appliances and furniture and are purchased from suppliers.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Backlog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approximate revenue of our motorhome backlog was $172.6 million and $346.7 million as of August 30, 2014 and August 31, 2013, respectively. The approximate revenue of our towable backlog was $3.8 million and $4.7 million as of August 30, 2014 and August 31, 2013, respectively. A more detailed description of our motorhome and towable order backlog is included in Item 7, "Management's Discussion and Analysis of Financial Condition and Results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 and Financing</w:t>
      </w:r>
    </w:p>
    <w:p>
      <w:pPr>
        <w:spacing w:after="0" w:line="187"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We market our RVs on a wholesale basis to a diversified independent dealer network located throughout the US and, to a limited extent, in Canada. Foreign sales, including Canada, were 10% or less of net revenues during each of the past three fiscal years. See Note 14 to our Financial Statements of this Annual Report on Form 10-K.</w:t>
      </w:r>
    </w:p>
    <w:p>
      <w:pPr>
        <w:spacing w:after="0" w:line="14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of August 30, 2014, our RV dealer network in the US and Canada included 274 motorized and 207 towable physical dealer locations, 113 of these locations carried both Winnebago motorized and towable product. With respect to product line points of distribution (number of product lines offered at each dealer location) as of August 30, 2014 there were 2,608 motorized points of distribution compared to 2,205 as of August 31, 2013, up 18% in Fiscal 2014 as we have taken a more strategic approach to managing our dealer network and the product lines they offer as well as a much more aggressive approach to new product innovations and introductions. One of our dealer organizations accounted for 19.7% of our net revenue for Fiscal 2014, as this dealer sold our products in 72 of their dealership locations across 28 US states. A second dealer organization accounted for 12.5% of our net revenue for Fiscal 2014, as this dealer sold our products in 11 dealership locations across 4 US states.</w:t>
      </w:r>
    </w:p>
    <w:p>
      <w:pPr>
        <w:spacing w:after="0" w:line="15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have sales and service agreements with dealers which are subject to annual review. Many of the dealers are also engaged in other areas of business, including the sale of automobiles, trailers or boats, and many dealers carry one or more competitive lines of RVs. We continue to place high emphasis on the capability of our dealers to provide complete service for our RVs. Dealers are obligated to provide full service for owners of our RVs or, in lieu thereof, to secure such service from other authorized providers.</w:t>
      </w:r>
    </w:p>
    <w:p>
      <w:pPr>
        <w:spacing w:after="0" w:line="149"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advertise and promote our products through national RV magazines, the distribution of product brochures, the Go RVing national advertising campaign sponsored by RVIA, direct-mail advertising campaigns, various national promotional opportunities and on a local basis through trade shows, television, radio and newspapers, primarily in connection with area dealers.</w:t>
      </w:r>
    </w:p>
    <w:p>
      <w:pPr>
        <w:spacing w:after="0" w:line="14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RV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RV industry, we typically enter into a repurchase agreement with a lending institution financing a dealer's purchase of our product upon the lending institution's request and after completion of a credit check of the dealer involved. Our repurchase agreements provide that for up to 18 months after a unit is financed, in the event of default by the dealer on the agreement to pay the lending institution and repossession of the unit(s) by the lending institution, we will repurchase the financed merchandise. Our maximum exposure for repurchases varies significantly from time to time, depending upon general economic conditions, seasonal shipments, competition, dealer organization, gasoline availability and access to and the cost of financing. See Note 10.</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RV market is highly competitive with many other manufacturers selling products which compete directly with our products. Some of our competitors are much larger than us, most notably in the towable RV market, which may provide these competitors additional purchasing power. The competition in the RV industry is based upon design, price, quality and service of the products. We believe our principal competitive advantages are our brand strength, product quality and our service after the sale. We also believe that our motorhome products have historically commanded a price premium as a result of these competitive advantages.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primary use of RVs for leisure travel and outdoor recreation has historically led to a peak retail selling season concentrated in the spring and summer months and lower during winter months. Our sales of RVs are generally influenced by this pattern in retail sales, but can also be affected by the level of dealer inventory. As a result, RV sales are historically lowest during our second fiscal quarter, which ends in February.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Regulations and Trademarks</w:t>
      </w:r>
    </w:p>
    <w:p>
      <w:pPr>
        <w:spacing w:after="0" w:line="18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are subject to a variety of federal, state and local laws and regulations, including the MVA, under which the National Highway Traffic Safety Administration may require manufacturers to recall RVs that contain safety-related defects, and numerous state consumer protection laws and regulations relating to the operation of motor vehicles, including so-called "Lemon Laws." We are also subject to regulations established by OSHA. Our facilities are periodically inspected by federal and state agencies, such as OSHA. We are a member of RVIA, a voluntary association of RV manufacturers which promulgates RV safety standards. We place an RVIA seal on each of our RVs to certify that the RVIA standards have been met. We believe that our products and facilities comply in all material respects with the applicable vehicle safety, consumer protection, RVIA and OSHA regulations and standards.</w:t>
      </w:r>
    </w:p>
    <w:p>
      <w:pPr>
        <w:spacing w:after="0" w:line="151" w:lineRule="exact"/>
        <w:rPr>
          <w:sz w:val="20"/>
          <w:szCs w:val="20"/>
          <w:color w:val="auto"/>
        </w:rPr>
      </w:pPr>
    </w:p>
    <w:p>
      <w:pPr>
        <w:jc w:val="both"/>
        <w:ind w:right="260"/>
        <w:spacing w:after="0" w:line="253"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labeling, and disposal of hazardous materials and wastes and noise pollution. We believe that we currently are in compliance with applicable environmental laws and regulations in all material aspects.</w:t>
      </w:r>
    </w:p>
    <w:p>
      <w:pPr>
        <w:spacing w:after="0" w:line="147"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have several registered trademarks associated with our motorhomes and towable products which include: Winnebago, Access, Adventurer, Aspect, Bristol Bay, Brookside, Cambria, Chalet, Destination, Ellipse, Era, Impulse, Itasca, Journey, Latitude, Meridian,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Navion, Outlook, Raven, Reyo, Rialta, Sightseer, Spirit, Suncruiser, Sundancer, Sunnybrook, Sunova, Sunrise, Sunset Creek, Sunstar, Tour, Vectra, Via, View, Vista, Voyage, and West Pointe. We believe that our trademarks and trade names are significant to our business and we have in the past and will in the future vigorously protect them against infringement by third parties. We are not dependent upon any patents or technology licenses of others for the conduct of our business.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87"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Research and development expenditures are expensed as incurred. During Fiscal 2014, 2013 and 2012, we spent approximately $4.3 million, $3.8 million and $3.4 million, respectively on research and development activities.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At the end of Fiscal 2014, 2013 and 2012, we employed approximately 2,850, 2,680 and 2,380 persons, respectively. None of our employees are covered under a collective bargaining agreement. We believe our relations with our employees are good.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20"/>
                <w:szCs w:val="20"/>
                <w:color w:val="auto"/>
              </w:rPr>
            </w:pPr>
            <w:r>
              <w:rPr>
                <w:rFonts w:ascii="Arial" w:cs="Arial" w:eastAsia="Arial" w:hAnsi="Arial"/>
                <w:sz w:val="16"/>
                <w:szCs w:val="16"/>
                <w:b w:val="1"/>
                <w:bCs w:val="1"/>
                <w:color w:val="auto"/>
              </w:rPr>
              <w:t>Executive Officers of the Registrant</w:t>
            </w:r>
          </w:p>
        </w:tc>
        <w:tc>
          <w:tcPr>
            <w:tcW w:w="65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64"/>
        </w:trPr>
        <w:tc>
          <w:tcPr>
            <w:tcW w:w="3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65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Office (Year First Elected an Officer)</w:t>
            </w:r>
          </w:p>
        </w:tc>
        <w:tc>
          <w:tcPr>
            <w:tcW w:w="192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b w:val="1"/>
                <w:bCs w:val="1"/>
                <w:color w:val="auto"/>
                <w:w w:val="99"/>
              </w:rPr>
              <w:t>Age</w:t>
            </w: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Randy J. Potts </w:t>
            </w:r>
            <w:r>
              <w:rPr>
                <w:rFonts w:ascii="Arial" w:cs="Arial" w:eastAsia="Arial" w:hAnsi="Arial"/>
                <w:sz w:val="21"/>
                <w:szCs w:val="21"/>
                <w:color w:val="auto"/>
                <w:vertAlign w:val="superscript"/>
              </w:rPr>
              <w:t>(1)</w:t>
            </w:r>
          </w:p>
        </w:tc>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Chairman of the Board, Chief Executive Officer and President (2006)</w:t>
            </w:r>
          </w:p>
        </w:tc>
        <w:tc>
          <w:tcPr>
            <w:tcW w:w="19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55</w:t>
            </w:r>
          </w:p>
        </w:tc>
      </w:tr>
      <w:tr>
        <w:trPr>
          <w:trHeight w:val="233"/>
        </w:trPr>
        <w:tc>
          <w:tcPr>
            <w:tcW w:w="3000" w:type="dxa"/>
            <w:vAlign w:val="bottom"/>
          </w:tcPr>
          <w:p>
            <w:pPr>
              <w:ind w:left="40"/>
              <w:spacing w:after="0"/>
              <w:rPr>
                <w:sz w:val="20"/>
                <w:szCs w:val="20"/>
                <w:color w:val="auto"/>
              </w:rPr>
            </w:pPr>
            <w:r>
              <w:rPr>
                <w:rFonts w:ascii="Arial" w:cs="Arial" w:eastAsia="Arial" w:hAnsi="Arial"/>
                <w:sz w:val="16"/>
                <w:szCs w:val="16"/>
                <w:color w:val="auto"/>
              </w:rPr>
              <w:t>S. Scott Degnan</w:t>
            </w:r>
          </w:p>
        </w:tc>
        <w:tc>
          <w:tcPr>
            <w:tcW w:w="6500" w:type="dxa"/>
            <w:vAlign w:val="bottom"/>
          </w:tcPr>
          <w:p>
            <w:pPr>
              <w:ind w:left="240"/>
              <w:spacing w:after="0"/>
              <w:rPr>
                <w:sz w:val="20"/>
                <w:szCs w:val="20"/>
                <w:color w:val="auto"/>
              </w:rPr>
            </w:pPr>
            <w:r>
              <w:rPr>
                <w:rFonts w:ascii="Arial" w:cs="Arial" w:eastAsia="Arial" w:hAnsi="Arial"/>
                <w:sz w:val="16"/>
                <w:szCs w:val="16"/>
                <w:color w:val="auto"/>
              </w:rPr>
              <w:t>Vice President, Sales and Product Management (2012)</w:t>
            </w:r>
          </w:p>
        </w:tc>
        <w:tc>
          <w:tcPr>
            <w:tcW w:w="1920" w:type="dxa"/>
            <w:vAlign w:val="bottom"/>
          </w:tcPr>
          <w:p>
            <w:pPr>
              <w:jc w:val="center"/>
              <w:ind w:left="979"/>
              <w:spacing w:after="0"/>
              <w:rPr>
                <w:sz w:val="20"/>
                <w:szCs w:val="20"/>
                <w:color w:val="auto"/>
              </w:rPr>
            </w:pPr>
            <w:r>
              <w:rPr>
                <w:rFonts w:ascii="Arial" w:cs="Arial" w:eastAsia="Arial" w:hAnsi="Arial"/>
                <w:sz w:val="16"/>
                <w:szCs w:val="16"/>
                <w:color w:val="auto"/>
              </w:rPr>
              <w:t>49</w:t>
            </w:r>
          </w:p>
        </w:tc>
      </w:tr>
      <w:tr>
        <w:trPr>
          <w:trHeight w:val="25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Scott C. Folkers</w:t>
            </w:r>
          </w:p>
        </w:tc>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Vice President, General Counsel &amp; Secretary (2012)</w:t>
            </w:r>
          </w:p>
        </w:tc>
        <w:tc>
          <w:tcPr>
            <w:tcW w:w="19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52</w:t>
            </w:r>
          </w:p>
        </w:tc>
      </w:tr>
      <w:tr>
        <w:trPr>
          <w:trHeight w:val="233"/>
        </w:trPr>
        <w:tc>
          <w:tcPr>
            <w:tcW w:w="3000" w:type="dxa"/>
            <w:vAlign w:val="bottom"/>
          </w:tcPr>
          <w:p>
            <w:pPr>
              <w:ind w:left="40"/>
              <w:spacing w:after="0"/>
              <w:rPr>
                <w:sz w:val="20"/>
                <w:szCs w:val="20"/>
                <w:color w:val="auto"/>
              </w:rPr>
            </w:pPr>
            <w:r>
              <w:rPr>
                <w:rFonts w:ascii="Arial" w:cs="Arial" w:eastAsia="Arial" w:hAnsi="Arial"/>
                <w:sz w:val="16"/>
                <w:szCs w:val="16"/>
                <w:color w:val="auto"/>
              </w:rPr>
              <w:t>Robert L. Gossett</w:t>
            </w:r>
          </w:p>
        </w:tc>
        <w:tc>
          <w:tcPr>
            <w:tcW w:w="6500" w:type="dxa"/>
            <w:vAlign w:val="bottom"/>
          </w:tcPr>
          <w:p>
            <w:pPr>
              <w:ind w:left="240"/>
              <w:spacing w:after="0"/>
              <w:rPr>
                <w:sz w:val="20"/>
                <w:szCs w:val="20"/>
                <w:color w:val="auto"/>
              </w:rPr>
            </w:pPr>
            <w:r>
              <w:rPr>
                <w:rFonts w:ascii="Arial" w:cs="Arial" w:eastAsia="Arial" w:hAnsi="Arial"/>
                <w:sz w:val="16"/>
                <w:szCs w:val="16"/>
                <w:color w:val="auto"/>
              </w:rPr>
              <w:t>Vice President, Administration (1998)</w:t>
            </w:r>
          </w:p>
        </w:tc>
        <w:tc>
          <w:tcPr>
            <w:tcW w:w="1920" w:type="dxa"/>
            <w:vAlign w:val="bottom"/>
          </w:tcPr>
          <w:p>
            <w:pPr>
              <w:jc w:val="center"/>
              <w:ind w:left="979"/>
              <w:spacing w:after="0"/>
              <w:rPr>
                <w:sz w:val="20"/>
                <w:szCs w:val="20"/>
                <w:color w:val="auto"/>
              </w:rPr>
            </w:pPr>
            <w:r>
              <w:rPr>
                <w:rFonts w:ascii="Arial" w:cs="Arial" w:eastAsia="Arial" w:hAnsi="Arial"/>
                <w:sz w:val="16"/>
                <w:szCs w:val="16"/>
                <w:color w:val="auto"/>
              </w:rPr>
              <w:t>63</w:t>
            </w:r>
          </w:p>
        </w:tc>
      </w:tr>
      <w:tr>
        <w:trPr>
          <w:trHeight w:val="25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Daryl W. Krieger</w:t>
            </w:r>
          </w:p>
        </w:tc>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Vice President, Manufacturing (2010)</w:t>
            </w:r>
          </w:p>
        </w:tc>
        <w:tc>
          <w:tcPr>
            <w:tcW w:w="19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51</w:t>
            </w:r>
          </w:p>
        </w:tc>
      </w:tr>
      <w:tr>
        <w:trPr>
          <w:trHeight w:val="233"/>
        </w:trPr>
        <w:tc>
          <w:tcPr>
            <w:tcW w:w="3000" w:type="dxa"/>
            <w:vAlign w:val="bottom"/>
          </w:tcPr>
          <w:p>
            <w:pPr>
              <w:ind w:left="40"/>
              <w:spacing w:after="0"/>
              <w:rPr>
                <w:sz w:val="20"/>
                <w:szCs w:val="20"/>
                <w:color w:val="auto"/>
              </w:rPr>
            </w:pPr>
            <w:r>
              <w:rPr>
                <w:rFonts w:ascii="Arial" w:cs="Arial" w:eastAsia="Arial" w:hAnsi="Arial"/>
                <w:sz w:val="16"/>
                <w:szCs w:val="16"/>
                <w:color w:val="auto"/>
              </w:rPr>
              <w:t>Sarah N. Nielsen</w:t>
            </w:r>
          </w:p>
        </w:tc>
        <w:tc>
          <w:tcPr>
            <w:tcW w:w="6500" w:type="dxa"/>
            <w:vAlign w:val="bottom"/>
          </w:tcPr>
          <w:p>
            <w:pPr>
              <w:ind w:left="240"/>
              <w:spacing w:after="0"/>
              <w:rPr>
                <w:sz w:val="20"/>
                <w:szCs w:val="20"/>
                <w:color w:val="auto"/>
              </w:rPr>
            </w:pPr>
            <w:r>
              <w:rPr>
                <w:rFonts w:ascii="Arial" w:cs="Arial" w:eastAsia="Arial" w:hAnsi="Arial"/>
                <w:sz w:val="16"/>
                <w:szCs w:val="16"/>
                <w:color w:val="auto"/>
              </w:rPr>
              <w:t>Vice President, Chief Financial Officer (2005)</w:t>
            </w:r>
          </w:p>
        </w:tc>
        <w:tc>
          <w:tcPr>
            <w:tcW w:w="1920" w:type="dxa"/>
            <w:vAlign w:val="bottom"/>
          </w:tcPr>
          <w:p>
            <w:pPr>
              <w:jc w:val="center"/>
              <w:ind w:left="979"/>
              <w:spacing w:after="0"/>
              <w:rPr>
                <w:sz w:val="20"/>
                <w:szCs w:val="20"/>
                <w:color w:val="auto"/>
              </w:rPr>
            </w:pPr>
            <w:r>
              <w:rPr>
                <w:rFonts w:ascii="Arial" w:cs="Arial" w:eastAsia="Arial" w:hAnsi="Arial"/>
                <w:sz w:val="16"/>
                <w:szCs w:val="16"/>
                <w:color w:val="auto"/>
              </w:rPr>
              <w:t>41</w:t>
            </w:r>
          </w:p>
        </w:tc>
      </w:tr>
      <w:tr>
        <w:trPr>
          <w:trHeight w:val="253"/>
        </w:trPr>
        <w:tc>
          <w:tcPr>
            <w:tcW w:w="3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William J. O'Leary</w:t>
            </w:r>
          </w:p>
        </w:tc>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Vice President, Product Development (2001)</w:t>
            </w:r>
          </w:p>
        </w:tc>
        <w:tc>
          <w:tcPr>
            <w:tcW w:w="19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rPr>
              <w:t>65</w:t>
            </w:r>
          </w:p>
        </w:tc>
      </w:tr>
      <w:tr>
        <w:trPr>
          <w:trHeight w:val="224"/>
        </w:trPr>
        <w:tc>
          <w:tcPr>
            <w:tcW w:w="3000" w:type="dxa"/>
            <w:vAlign w:val="bottom"/>
          </w:tcPr>
          <w:p>
            <w:pPr>
              <w:ind w:left="40"/>
              <w:spacing w:after="0"/>
              <w:rPr>
                <w:sz w:val="20"/>
                <w:szCs w:val="20"/>
                <w:color w:val="auto"/>
              </w:rPr>
            </w:pPr>
            <w:r>
              <w:rPr>
                <w:rFonts w:ascii="Arial" w:cs="Arial" w:eastAsia="Arial" w:hAnsi="Arial"/>
                <w:sz w:val="16"/>
                <w:szCs w:val="16"/>
                <w:color w:val="auto"/>
              </w:rPr>
              <w:t>Donald L. Heidemann</w:t>
            </w:r>
          </w:p>
        </w:tc>
        <w:tc>
          <w:tcPr>
            <w:tcW w:w="6500" w:type="dxa"/>
            <w:vAlign w:val="bottom"/>
          </w:tcPr>
          <w:p>
            <w:pPr>
              <w:ind w:left="240"/>
              <w:spacing w:after="0"/>
              <w:rPr>
                <w:sz w:val="20"/>
                <w:szCs w:val="20"/>
                <w:color w:val="auto"/>
              </w:rPr>
            </w:pPr>
            <w:r>
              <w:rPr>
                <w:rFonts w:ascii="Arial" w:cs="Arial" w:eastAsia="Arial" w:hAnsi="Arial"/>
                <w:sz w:val="16"/>
                <w:szCs w:val="16"/>
                <w:color w:val="auto"/>
              </w:rPr>
              <w:t>Treasurer and Director of Finance (2007)</w:t>
            </w:r>
          </w:p>
        </w:tc>
        <w:tc>
          <w:tcPr>
            <w:tcW w:w="1920" w:type="dxa"/>
            <w:vAlign w:val="bottom"/>
          </w:tcPr>
          <w:p>
            <w:pPr>
              <w:jc w:val="center"/>
              <w:ind w:left="979"/>
              <w:spacing w:after="0"/>
              <w:rPr>
                <w:sz w:val="20"/>
                <w:szCs w:val="20"/>
                <w:color w:val="auto"/>
              </w:rPr>
            </w:pPr>
            <w:r>
              <w:rPr>
                <w:rFonts w:ascii="Arial" w:cs="Arial" w:eastAsia="Arial" w:hAnsi="Arial"/>
                <w:sz w:val="16"/>
                <w:szCs w:val="16"/>
                <w:color w:val="auto"/>
              </w:rPr>
              <w:t>42</w:t>
            </w:r>
          </w:p>
        </w:tc>
      </w:tr>
      <w:tr>
        <w:trPr>
          <w:trHeight w:val="293"/>
        </w:trPr>
        <w:tc>
          <w:tcPr>
            <w:tcW w:w="3000" w:type="dxa"/>
            <w:vAlign w:val="bottom"/>
          </w:tcPr>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Director</w:t>
            </w:r>
          </w:p>
        </w:tc>
        <w:tc>
          <w:tcPr>
            <w:tcW w:w="6500" w:type="dxa"/>
            <w:vAlign w:val="bottom"/>
          </w:tcPr>
          <w:p>
            <w:pPr>
              <w:spacing w:after="0"/>
              <w:rPr>
                <w:sz w:val="24"/>
                <w:szCs w:val="24"/>
                <w:color w:val="auto"/>
              </w:rPr>
            </w:pPr>
          </w:p>
        </w:tc>
        <w:tc>
          <w:tcPr>
            <w:tcW w:w="1920" w:type="dxa"/>
            <w:vAlign w:val="bottom"/>
          </w:tcPr>
          <w:p>
            <w:pPr>
              <w:spacing w:after="0"/>
              <w:rPr>
                <w:sz w:val="24"/>
                <w:szCs w:val="24"/>
                <w:color w:val="auto"/>
              </w:rPr>
            </w:pPr>
          </w:p>
        </w:tc>
      </w:tr>
    </w:tbl>
    <w:p>
      <w:pPr>
        <w:spacing w:after="0" w:line="80"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Officers are elected annually by the Board of Directors. There are no family relationships between or among any of the Corporate Officers or Directors of the Company.</w:t>
      </w:r>
    </w:p>
    <w:p>
      <w:pPr>
        <w:spacing w:after="0" w:line="142"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Mr. Potts has over 30 years of experience with Winnebago Industries. He has been Chairman of the Board since January 2012, Chief Executive Officer since June 2011, and President since January 2011. Prior to that time, he served as Senior Vice President, Strategic Planning from November 2009 to June 2011, Vice President, Manufacturing from October 2006 to November 2009, Director of Manufacturing from February 2006 to October 2006 and as General Manager of Manufacturing Services from November 2000 to February 2006.</w:t>
      </w:r>
    </w:p>
    <w:p>
      <w:pPr>
        <w:spacing w:after="0" w:line="14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Mr. Degnan joined Winnebago Industries in May 2012, as Vice President of Sales and Product Management. Prior to joining Winnebago Industries, Mr. Degnan served as vice president of sales for Riverside, California's MVP RV from 2010 to 2012. He also previously served in management and sales positions with Coachmen RV from 2008 to 2010, with National RV from 2007 to 2008, and Fleetwood Enterprises from 1987 to 2007.</w:t>
      </w:r>
    </w:p>
    <w:p>
      <w:pPr>
        <w:spacing w:after="0" w:line="147" w:lineRule="exact"/>
        <w:rPr>
          <w:sz w:val="20"/>
          <w:szCs w:val="20"/>
          <w:color w:val="auto"/>
        </w:rPr>
      </w:pPr>
    </w:p>
    <w:p>
      <w:pPr>
        <w:jc w:val="both"/>
        <w:ind w:right="120"/>
        <w:spacing w:after="0" w:line="191" w:lineRule="exact"/>
        <w:rPr>
          <w:sz w:val="20"/>
          <w:szCs w:val="20"/>
          <w:color w:val="auto"/>
        </w:rPr>
      </w:pPr>
      <w:r>
        <w:rPr>
          <w:rFonts w:ascii="Arial" w:cs="Arial" w:eastAsia="Arial" w:hAnsi="Arial"/>
          <w:sz w:val="16"/>
          <w:szCs w:val="16"/>
          <w:color w:val="auto"/>
        </w:rPr>
        <w:t>Mr. Folkers joined Winnebago Industries in August 2010, as assistant general counsel. He was elected to the position of Vice President, General Counsel and Secretary in June 2012. Prior to joining Winnebago Industries, Mr. Folkers was employed as in</w:t>
      </w:r>
      <w:r>
        <w:rPr>
          <w:rFonts w:ascii="MS PGothic" w:cs="MS PGothic" w:eastAsia="MS PGothic" w:hAnsi="MS PGothic"/>
          <w:sz w:val="16"/>
          <w:szCs w:val="16"/>
          <w:color w:val="auto"/>
        </w:rPr>
        <w:t>‑</w:t>
      </w:r>
      <w:r>
        <w:rPr>
          <w:rFonts w:ascii="Arial" w:cs="Arial" w:eastAsia="Arial" w:hAnsi="Arial"/>
          <w:sz w:val="16"/>
          <w:szCs w:val="16"/>
          <w:color w:val="auto"/>
        </w:rPr>
        <w:t>house counsel for John Morrell &amp; Co., in Sioux Falls, SD from 1998 to 2010. Mr. Folkers is a member of the Iowa Bar Association.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15 years of experience with Winnebago Industries. He has been Vice President, Administration since joining the Company in 1998.</w:t>
      </w:r>
    </w:p>
    <w:p>
      <w:pPr>
        <w:spacing w:after="0" w:line="16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Mr. Krieger has over 30 years of experience with Winnebago Industries. He has been Vice President, Manufacturing since May 2010. Prior to that time, he served as Director of Manufacturing from November 2009 to May 2010 and General Manager - Fabrication from February 2002 to November 2009.</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Ms. Nielsen has nine years of experience with Winnebago Industries. She has been Vice President and Chief Financial Officer since November 2005. Ms. Nielsen joined the Company in August 2005 as Director of Special Projects and Training. Prior to joining Winnebago Industries, she was employed as a senior audit manager at Deloitte &amp; Touche LLP, where she worked from 1995 to 2005. Ms. Nielsen is a Certified Public Accountant.</w:t>
      </w:r>
    </w:p>
    <w:p>
      <w:pPr>
        <w:spacing w:after="0" w:line="93"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Mr. O'Leary has over 42 years of experience with Winnebago Industries. He has been Vice President, Product Development since 2001. Mr. O'Leary has announced plans to retire effective on or about January 9, 2015.</w:t>
      </w:r>
    </w:p>
    <w:p>
      <w:pPr>
        <w:spacing w:after="0" w:line="8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Mr. Heidemann has seven years of experience with Winnebago Industries. He was elected to the position of Treasurer in August 2007 and added Director of Finance responsibilities in August 2011. Prior to joining Winnebago Industries, Mr. Heidemann served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in various treasury positions for Select Comfort Corporation from 2003 to July 2007 and served in various treasury positions for Rent-A-Center Incorporated from 1998 to 2003.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8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risk factors should be considered carefully in addition to the other information contained in this Annual Report on Form 10-K. The risks and uncertainties described below are not the only ones we face, but represent the most significant risk factors that we believe may adversely affect the RV industry and our business, operations or financial position. The risks and uncertainties discussed in this report are not exclusive and other risk factors that we may consider immaterial or do not anticipate may emerge as significant risks and uncertainties.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market for RVs is very competitive. Competition in this industry is based upon price, design, value, quality and service. There can be no assurance that existing or new competitors will not develop products that are superior to our RVs or that achieve better consumer acceptance, thereby adversely affecting our market share, sales volume and profit margins. Some of our competitors are much larger than us, most notably in the towable RV market, which may provide them additional purchasing power. These competitive pressures may continue to have a material adverse effect on our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Hiring Constraints</w:t>
      </w:r>
    </w:p>
    <w:p>
      <w:pPr>
        <w:spacing w:after="0" w:line="10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Our operations are dependent upon attracting and retaining skilled employees. Our motorhome operation is located in northern Iowa, a largely rural area. If we are unable to hire enough skilled employees to meet production demands or are unable to hire, motivate, retain and promote skilled personnel in all levels of our organization, we may be unable to develop and distribute products as effectively as might otherwise be achieved.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Conditions and Certain Other External Factors</w:t>
      </w:r>
    </w:p>
    <w:p>
      <w:pPr>
        <w:spacing w:after="0" w:line="187"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Companies within the RV industry are subject to volatility in operating results due primarily to general economic conditions because the purchase of an RV is often viewed as a consumer luxury purchase. Specific factors affecting the RV industry include:</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overall consumer confidence and the level of discretionary consumer spending;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employment trends;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adverse impact of global tensions on consumer spending and travel-related activities;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Credit Availability and Interest Rates to Dealers and Retail Purchasers</w:t>
      </w:r>
    </w:p>
    <w:p>
      <w:pPr>
        <w:spacing w:after="0" w:line="18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business is affected by the availability and terms of the financing to dealers. Generally, RV dealers finance their purchases of inventory with financing provided by lending institutions. Three financial flooring institutions held 71% of our total financed dealer inventory dollars that were outstanding at August 30, 2014. In the event that any of these lending institutions limit or discontinue dealer financing, we could experience a material adverse effect on our results of operations. Our business is also affected by the availability and terms of financing to retail purchasers. Retail buyers purchasing a motorhome or towable may elect to finance their purchase through the dealership or a financial institution of their choice. Substantial increases in interest rates or decreases in the general availability of credit for our dealers or for the retail purchaser may have an adverse impact upon our business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Cyclicality and Seasonality</w:t>
      </w:r>
    </w:p>
    <w:p>
      <w:pPr>
        <w:spacing w:after="0" w:line="18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The RV industry has been characterized by cycles of growth and contraction in consumer demand, reflecting prevailing economic and demographic conditions, which affect disposable income for leisure-time activities. Consequently, the results for any prior period may not be indicative of results for any future period.</w:t>
      </w:r>
    </w:p>
    <w:p>
      <w:pPr>
        <w:spacing w:after="0" w:line="142"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Seasonal factors, over which we have no control, also have an effect on the demand for our products. Demand in the RV industry generally declines over the winter season, while sales are generally highest during the spring and summer months. Also, unusually severe weather conditions in some markets may impact demand. Our business also does well when the US housing market is strong and our business weakens when the US housing market weakens.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Loss of a Large Dealer Organization</w:t>
      </w:r>
    </w:p>
    <w:p>
      <w:pPr>
        <w:spacing w:after="0" w:line="18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One of our dealer organizations accounted for 19.7% of our net revenue for Fiscal 2014, as they sold our products in 72 of their dealership locations across 28 US states. A second dealer organization accounted for 12.5% of our net revenue for Fiscal 2014, as they sold products in 11 of their dealership locations across 4 US states. The loss of either or both of these dealer organizations could have a significant adverse effect on our business. In addition, deterioration in the liquidity or creditworthiness of either of both of these dealers could negatively impact our sales and could trigger repurchase obligations under our repurchase agreements.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Repurchase Liabilities</w:t>
      </w:r>
    </w:p>
    <w:p>
      <w:pPr>
        <w:spacing w:after="0" w:line="18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accordance with customary practice in the RV industry, upon request we enter into formal repurchase agreements with lending institutions financing a dealer's purchase of our products. In these repurchase agreements we agree, in the event of a default by an independent dealer in its obligation to a lender and repossession of the unit(s) by the lending institution, to repurchase units at declining prices over the term of the agreements, which can last up to 18 months. The difference between the gross repurchase price and the price at which the repurchased product can then be resold, which is typically at a discount to the gross repurchase price, represents a potential expense to us. In certain instances, we also repurchase inventory from our dealers due to state law or regulatory requirements that govern voluntary or involuntary terminations. We also have agreed to repurchase certain units that we sell to a rental company. If we are obligated to repurchase a substantially larger number of RVs in the future, this would increase our costs and could have a material adverse effect on our results of operations, financial condition, and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Lower-Than-Anticipated Residual Values for Rental Motorhomes Sold with Repurchase Option</w:t>
      </w:r>
    </w:p>
    <w:p>
      <w:pPr>
        <w:spacing w:after="0" w:line="18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project expected residual values and return volumes for the motorhomes we deliver with a repurchase option. Actual proceeds realized upon the sale of repurchased rental motorhomes may be lower than the amount projected, which would reduce the profitability of the transaction. Among the factors that can affect the value of repurchased rental motorhomes are the volume of motorhomes returned, economic conditions, and quality or perceived quality, or reliability of the units. Each of these factors, alone or in combination, has the potential to adversely affect our profitability if actual results were to differ significantly from our projections.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Fuel Availability and Price Volatility</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Gasoline or diesel fuel is required for the operation of motorized RVs. There can be no assurance that the supply of these petroleum products will continue uninterrupted or that the price or tax on these petroleum products will not significantly increase in the future. RVs, however, are not generally purchased for fuel efficiency. Fuel shortages and substantial increases in fuel prices have had a material adverse effect on the RV industry as a whole in the past and could have a material adverse effect on us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Dependence on Suppliers</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Most of our RV components are readily available from numerous sources. However, a few of our components are produced by a small group of suppliers. In the case of motorhome chassis, Ford Motor Company, Freightliner Custom Chassis Corporation, Mercedes-Benz (USA and Canada) and Chrysler Group, LLC are our major suppliers. Our relationship with our chassis suppliers is similar to our other supplier relationships in that no special contractual commitments are engaged in by either party. This means that we do not have minimum purchase requirements and our chassis suppliers do not have minimum supply requirements. Our chassis suppliers also supply to our competitors. Historically, chassis suppliers resort to an industry-wide allocation system during periods when supply is restricted. These allocations have been based on the volume of chassis previously purchased. Sales of motorhomes rely on chassis supply and are affected by shortages from time to time. Decisions by our suppliers to decrease production, production delays, or work stoppages by the employees of such suppliers, or price increases could have a material adverse effect on our ability to produce motorhomes and ultimately, on our results of operations, financial condition and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Warranty Claims</w:t>
      </w:r>
    </w:p>
    <w:p>
      <w:pPr>
        <w:spacing w:after="0" w:line="18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receive warranty claims from our dealers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49"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In addition to the costs associated with the contractual warranty coverage provided on our products,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Liability</w:t>
      </w:r>
    </w:p>
    <w:p>
      <w:pPr>
        <w:spacing w:after="0" w:line="187"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are subject, in the ordinary course of business, to litigation including a variety of warranty, "Lemon Law" and product liability claims typical in the RV industry. Although we have an insurance policy with a $35 million limit covering product liability, we are self-insured for the first $2.5 million of product liability claims on a per occurrence basis, with a $6.0 million aggregate. We cannot be certain that our insurance coverage will be sufficient to cover all future claims against us, which may have a material adverse effect on our results of operations and financial condition. Any increase in the frequency and size of these claims, as compared to our experience in prior years, may cause the premium that we are required to pay for insurance to rise significantly. Product liability claims may also cause us to pay punitive damages, not all of which are covered by our insurance. In addition, if product liability claims rise to a level of frequency or size that are significantly higher than similar claims made against our competitors, our reputation and business may be harmed.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Systems and Web Applications</w:t>
      </w:r>
    </w:p>
    <w:p>
      <w:pPr>
        <w:spacing w:after="0" w:line="187" w:lineRule="exact"/>
        <w:rPr>
          <w:sz w:val="20"/>
          <w:szCs w:val="20"/>
          <w:color w:val="auto"/>
        </w:rPr>
      </w:pPr>
    </w:p>
    <w:p>
      <w:pPr>
        <w:ind w:right="380"/>
        <w:spacing w:after="0" w:line="250" w:lineRule="auto"/>
        <w:rPr>
          <w:sz w:val="20"/>
          <w:szCs w:val="20"/>
          <w:color w:val="auto"/>
        </w:rPr>
      </w:pPr>
      <w:r>
        <w:rPr>
          <w:rFonts w:ascii="Arial" w:cs="Arial" w:eastAsia="Arial" w:hAnsi="Arial"/>
          <w:sz w:val="16"/>
          <w:szCs w:val="16"/>
          <w:color w:val="auto"/>
        </w:rPr>
        <w:t>We rely on our information systems and web applications to support our business operations, including but not limited to procurement, supply chain, manufacturing, distribution, warranty administration, invoicing and collection of payments. We use information systems to report and audit our operational results. Additionally, we rely upon information systems in our sales, marketing, human resources and communication efforts. Due to our reliance on our information systems, our business processes may be negatively impacted in the event of substantial disruption of service. Further, misuse, leakage or falsification of information could result in a violation of privacy laws and damage our reputation which could, in turn, have a negative impact on our results.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8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are subject to numerous federal, state and local regulations. Some regulations govern the manufacture and sale of our products, including the provisions of the MVA, and the safety standards for RVs and components which have been established under the Motor Vehicle Act by the Department of Transportation. The MVA authorizes the National Highway Traffic Safety Administration to require a manufacturer to recall and repair vehicles which contain certain hazards or defects. Any major recalls of our vehicles, voluntary or involuntary, could have a material adverse effect on our results of operations, financial condition and cash flows. While we believe we are substantially in compliance with the foregoing laws and regulations as they currently exist, amendments to any of these regulations or the implementation of new regulations could significantly increase the cost of manufacturing, purchasing, operating or selling our products and could have a material adverse effect on our results of operations, financial condition, and cash flows. In addition, our failure to comply with present or future regulations could result in fines being imposed on us, potential civil and criminal liability, suspension of sales or production or cessation of operations.</w:t>
      </w:r>
    </w:p>
    <w:p>
      <w:pPr>
        <w:spacing w:after="0" w:line="15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 including motorhomes that may be operated in certain jurisdictions or on certain roadways. Certain jurisdictions also prohibit the sale of vehicles exceeding length restrictions.</w:t>
      </w:r>
    </w:p>
    <w:p>
      <w:pPr>
        <w:spacing w:after="0" w:line="14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Failure to comply with NYSE and SEC laws or regulations could have an adverse impact on our business. Additionally, amendments to these regulations and the implementation of new regulations could increase the cost of manufacturing, purchasing, operating or selling our products and therefore could have an adverse impact on our business.</w:t>
      </w:r>
    </w:p>
    <w:p>
      <w:pPr>
        <w:spacing w:after="0" w:line="30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SEC adopted rules pursuant to Section 1502 of the Dodd-Frank Wall Street Reform and Consumer Protection Act setting forth new disclosure requirements concerning the use or potential use of certain minerals, deemed conflict minerals (tantalum, tin, gold and tungsten), that are mined from the Democratic Republic of Congo and adjoining countries. These requirements necessitate due diligence efforts on our part to assess whether such minerals are used in our products in order to make the relevant required disclosures that began in May 2014. We incurred costs and diverted internal resource to comply with these new disclosure requirements, including for diligence to determine the sources of those minerals that may be used or necessary to the production of our products. Compliance costs may increase in future periods. We may face reputational challenges that could impact future sales if we determine that certain of our products contain minerals not determined to be conflict free or if we are unable to sufficiently verify the origins for all conflict minerals used in our products.</w:t>
      </w:r>
    </w:p>
    <w:p>
      <w:pPr>
        <w:spacing w:after="0" w:line="34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Finally, federal and state authorities also have various environmental control standards relating to air, water, noise pollution and hazardous waste generation and disposal which affect us and our operations. Failure by us to comply with present or future laws and regulations could result in fines being imposed on us, potential civil and criminal liability, suspension of production or operations, alterations to the manufacturing process, or costly cleanup or capital expenditures, any or all of which could have a material adverse effect on our results of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Company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w:t>
      </w:r>
    </w:p>
    <w:p>
      <w:pPr>
        <w:spacing w:after="0" w:line="18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Provisions of our articles of incorporation, by-laws, the Iowa Business Corporation Act and provisions in our credit facilities and certain of our compensation programs that we may enter into from time to time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1B. </w:t>
      </w:r>
      <w:r>
        <w:rPr>
          <w:rFonts w:ascii="Arial" w:cs="Arial" w:eastAsia="Arial" w:hAnsi="Arial"/>
          <w:sz w:val="16"/>
          <w:szCs w:val="16"/>
          <w:color w:val="auto"/>
        </w:rPr>
        <w:t>Unresolved Staff Comments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141"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Properties</w:t>
      </w:r>
    </w:p>
    <w:p>
      <w:pPr>
        <w:spacing w:after="0" w:line="20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Our principal manufacturing, maintenance and service operations are conducted in multi-building complexes owned or leased by us. The following sets forth our material facilities as of August 30, 2014:</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8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Owned or</w:t>
            </w: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rPr>
              <w:t>Square</w:t>
            </w:r>
          </w:p>
        </w:tc>
      </w:tr>
      <w:tr>
        <w:trPr>
          <w:trHeight w:val="22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Location</w:t>
            </w:r>
          </w:p>
        </w:tc>
        <w:tc>
          <w:tcPr>
            <w:tcW w:w="5560" w:type="dxa"/>
            <w:vAlign w:val="bottom"/>
            <w:tcBorders>
              <w:bottom w:val="single" w:sz="8" w:color="auto"/>
            </w:tcBorders>
          </w:tcPr>
          <w:p>
            <w:pPr>
              <w:ind w:left="740"/>
              <w:spacing w:after="0"/>
              <w:rPr>
                <w:sz w:val="20"/>
                <w:szCs w:val="20"/>
                <w:color w:val="auto"/>
              </w:rPr>
            </w:pPr>
            <w:r>
              <w:rPr>
                <w:rFonts w:ascii="Arial" w:cs="Arial" w:eastAsia="Arial" w:hAnsi="Arial"/>
                <w:sz w:val="16"/>
                <w:szCs w:val="16"/>
                <w:b w:val="1"/>
                <w:bCs w:val="1"/>
                <w:color w:val="auto"/>
              </w:rPr>
              <w:t>Facility Type/Use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 of Buildings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Leased</w:t>
            </w:r>
          </w:p>
        </w:tc>
        <w:tc>
          <w:tcPr>
            <w:tcW w:w="12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Footage</w:t>
            </w: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Forest City, Iowa</w:t>
            </w:r>
          </w:p>
        </w:tc>
        <w:tc>
          <w:tcPr>
            <w:tcW w:w="55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maintenance, service and office</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1,546,000</w:t>
            </w:r>
          </w:p>
        </w:tc>
      </w:tr>
      <w:tr>
        <w:trPr>
          <w:trHeight w:val="233"/>
        </w:trPr>
        <w:tc>
          <w:tcPr>
            <w:tcW w:w="2180" w:type="dxa"/>
            <w:vAlign w:val="bottom"/>
          </w:tcPr>
          <w:p>
            <w:pPr>
              <w:ind w:left="40"/>
              <w:spacing w:after="0"/>
              <w:rPr>
                <w:sz w:val="20"/>
                <w:szCs w:val="20"/>
                <w:color w:val="auto"/>
              </w:rPr>
            </w:pPr>
            <w:r>
              <w:rPr>
                <w:rFonts w:ascii="Arial" w:cs="Arial" w:eastAsia="Arial" w:hAnsi="Arial"/>
                <w:sz w:val="16"/>
                <w:szCs w:val="16"/>
                <w:color w:val="auto"/>
              </w:rPr>
              <w:t>Forest City, Iowa</w:t>
            </w:r>
          </w:p>
        </w:tc>
        <w:tc>
          <w:tcPr>
            <w:tcW w:w="5560" w:type="dxa"/>
            <w:vAlign w:val="bottom"/>
          </w:tcPr>
          <w:p>
            <w:pPr>
              <w:ind w:left="740"/>
              <w:spacing w:after="0"/>
              <w:rPr>
                <w:sz w:val="20"/>
                <w:szCs w:val="20"/>
                <w:color w:val="auto"/>
              </w:rPr>
            </w:pPr>
            <w:r>
              <w:rPr>
                <w:rFonts w:ascii="Arial" w:cs="Arial" w:eastAsia="Arial" w:hAnsi="Arial"/>
                <w:sz w:val="16"/>
                <w:szCs w:val="16"/>
                <w:color w:val="auto"/>
              </w:rPr>
              <w:t>Warehouse</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220" w:type="dxa"/>
            <w:vAlign w:val="bottom"/>
          </w:tcPr>
          <w:p>
            <w:pPr>
              <w:jc w:val="center"/>
              <w:spacing w:after="0"/>
              <w:rPr>
                <w:sz w:val="20"/>
                <w:szCs w:val="20"/>
                <w:color w:val="auto"/>
              </w:rPr>
            </w:pPr>
            <w:r>
              <w:rPr>
                <w:rFonts w:ascii="Arial" w:cs="Arial" w:eastAsia="Arial" w:hAnsi="Arial"/>
                <w:sz w:val="16"/>
                <w:szCs w:val="16"/>
                <w:color w:val="auto"/>
              </w:rPr>
              <w:t>Owned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459,000</w:t>
            </w:r>
          </w:p>
        </w:tc>
      </w:tr>
      <w:tr>
        <w:trPr>
          <w:trHeight w:val="253"/>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Charles City, Iowa</w:t>
            </w:r>
          </w:p>
        </w:tc>
        <w:tc>
          <w:tcPr>
            <w:tcW w:w="55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Owned</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161,000</w:t>
            </w:r>
          </w:p>
        </w:tc>
      </w:tr>
      <w:tr>
        <w:trPr>
          <w:trHeight w:val="233"/>
        </w:trPr>
        <w:tc>
          <w:tcPr>
            <w:tcW w:w="2180" w:type="dxa"/>
            <w:vAlign w:val="bottom"/>
          </w:tcPr>
          <w:p>
            <w:pPr>
              <w:ind w:left="40"/>
              <w:spacing w:after="0"/>
              <w:rPr>
                <w:sz w:val="20"/>
                <w:szCs w:val="20"/>
                <w:color w:val="auto"/>
              </w:rPr>
            </w:pPr>
            <w:r>
              <w:rPr>
                <w:rFonts w:ascii="Arial" w:cs="Arial" w:eastAsia="Arial" w:hAnsi="Arial"/>
                <w:sz w:val="16"/>
                <w:szCs w:val="16"/>
                <w:color w:val="auto"/>
              </w:rPr>
              <w:t>Lake Mills, Iowa</w:t>
            </w:r>
          </w:p>
        </w:tc>
        <w:tc>
          <w:tcPr>
            <w:tcW w:w="5560" w:type="dxa"/>
            <w:vAlign w:val="bottom"/>
          </w:tcPr>
          <w:p>
            <w:pPr>
              <w:ind w:left="740"/>
              <w:spacing w:after="0"/>
              <w:rPr>
                <w:sz w:val="20"/>
                <w:szCs w:val="20"/>
                <w:color w:val="auto"/>
              </w:rPr>
            </w:pPr>
            <w:r>
              <w:rPr>
                <w:rFonts w:ascii="Arial" w:cs="Arial" w:eastAsia="Arial" w:hAnsi="Arial"/>
                <w:sz w:val="16"/>
                <w:szCs w:val="16"/>
                <w:color w:val="auto"/>
              </w:rPr>
              <w:t>Manufacturing</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Leased</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96,000</w:t>
            </w:r>
          </w:p>
        </w:tc>
      </w:tr>
      <w:tr>
        <w:trPr>
          <w:trHeight w:val="246"/>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Middlebury, Indiana</w:t>
            </w:r>
          </w:p>
        </w:tc>
        <w:tc>
          <w:tcPr>
            <w:tcW w:w="5560" w:type="dxa"/>
            <w:vAlign w:val="bottom"/>
            <w:shd w:val="clear" w:color="auto" w:fill="CCEEFF"/>
          </w:tcPr>
          <w:p>
            <w:pPr>
              <w:ind w:left="740"/>
              <w:spacing w:after="0"/>
              <w:rPr>
                <w:sz w:val="20"/>
                <w:szCs w:val="20"/>
                <w:color w:val="auto"/>
              </w:rPr>
            </w:pPr>
            <w:r>
              <w:rPr>
                <w:rFonts w:ascii="Arial" w:cs="Arial" w:eastAsia="Arial" w:hAnsi="Arial"/>
                <w:sz w:val="16"/>
                <w:szCs w:val="16"/>
                <w:color w:val="auto"/>
              </w:rPr>
              <w:t>Manufacturing and office</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Leased</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277,000</w:t>
            </w:r>
          </w:p>
        </w:tc>
      </w:tr>
      <w:tr>
        <w:trPr>
          <w:trHeight w:val="237"/>
        </w:trPr>
        <w:tc>
          <w:tcPr>
            <w:tcW w:w="218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220" w:type="dxa"/>
            <w:vAlign w:val="bottom"/>
          </w:tcPr>
          <w:p>
            <w:pPr>
              <w:spacing w:after="0"/>
              <w:rPr>
                <w:sz w:val="20"/>
                <w:szCs w:val="20"/>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2,539,000</w:t>
            </w:r>
          </w:p>
        </w:tc>
      </w:tr>
      <w:tr>
        <w:trPr>
          <w:trHeight w:val="20"/>
        </w:trPr>
        <w:tc>
          <w:tcPr>
            <w:tcW w:w="21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20"/>
        <w:spacing w:after="0" w:line="191" w:lineRule="exact"/>
        <w:rPr>
          <w:sz w:val="20"/>
          <w:szCs w:val="20"/>
          <w:color w:val="auto"/>
        </w:rPr>
      </w:pPr>
      <w:r>
        <w:rPr>
          <w:rFonts w:ascii="Arial" w:cs="Arial" w:eastAsia="Arial" w:hAnsi="Arial"/>
          <w:sz w:val="16"/>
          <w:szCs w:val="16"/>
          <w:color w:val="auto"/>
        </w:rPr>
        <w:t>The facilities that we own in Forest City and Charles City are located on approximately 310 acres of land. Most of our buildings are of steel or steel and concrete construction and are protected from fire with high</w:t>
      </w:r>
      <w:r>
        <w:rPr>
          <w:rFonts w:ascii="MS PGothic" w:cs="MS PGothic" w:eastAsia="MS PGothic" w:hAnsi="MS PGothic"/>
          <w:sz w:val="16"/>
          <w:szCs w:val="16"/>
          <w:color w:val="auto"/>
        </w:rPr>
        <w:t>‑</w:t>
      </w:r>
      <w:r>
        <w:rPr>
          <w:rFonts w:ascii="Arial" w:cs="Arial" w:eastAsia="Arial" w:hAnsi="Arial"/>
          <w:sz w:val="16"/>
          <w:szCs w:val="16"/>
          <w:color w:val="auto"/>
        </w:rPr>
        <w:t>pressure sprinkler systems, dust collector systems, automatic fire doors and alarm systems. We believe that our facilities and equipment are well maintained, in excellent condition and suitable for the purposes for which they are intended.</w:t>
      </w:r>
    </w:p>
    <w:p>
      <w:pPr>
        <w:spacing w:after="0" w:line="15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January 2011, we entered into a five-year lease agreement with FFT Land Management for real property consisting of four buildings and approximately 30 acres of land located in Middlebury, Indiana. The buildings are being utilized to assemble towables.</w:t>
      </w:r>
    </w:p>
    <w:p>
      <w:pPr>
        <w:spacing w:after="0" w:line="142"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In November 2013, we entered into a five-year lease with the city of Lake Mills, IA for a manufacturing plant with two options to renew for five years each. This plan is being utilized to assemble Class B product.</w:t>
      </w:r>
    </w:p>
    <w:p>
      <w:pPr>
        <w:spacing w:after="0" w:line="142"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In the first quarter of Fiscal 2013, property in Hampton, Iowa, an asset held for sale, was sold for $550,000 in gross proceeds resulting in a loss of $28,000 not including previous impairments. In the second quarter of Fiscal 2014, we sold a warehouse property for $2.3 million in gross proceeds resulting in a gain of $629,000. See Note 5.</w:t>
      </w:r>
    </w:p>
    <w:p>
      <w:pPr>
        <w:spacing w:after="0" w:line="14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Under terms of our credit facility, as further described in Note 7, we have encumbered substantially all of our real property for the benefit of the lender under such facility.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Legal Proceedings</w:t>
      </w:r>
    </w:p>
    <w:p>
      <w:pPr>
        <w:spacing w:after="0" w:line="18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Mine Safety Disclosure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5. </w:t>
      </w:r>
      <w:r>
        <w:rPr>
          <w:rFonts w:ascii="Arial" w:cs="Arial" w:eastAsia="Arial" w:hAnsi="Arial"/>
          <w:sz w:val="16"/>
          <w:szCs w:val="16"/>
          <w:color w:val="auto"/>
        </w:rPr>
        <w:t>Market for the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listed on the New York and Chicago Stock Exchanges with the ticker symbol of WGO.</w:t>
      </w:r>
    </w:p>
    <w:p>
      <w:pPr>
        <w:spacing w:after="0" w:line="18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Below are the New York Stock Exchange high, low and closing prices of Winnebago Industries, Inc. common stock for each quarter of Fiscal 2014 and Fiscal 2013:</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9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Fiscal 2014</w:t>
            </w:r>
          </w:p>
        </w:tc>
        <w:tc>
          <w:tcPr>
            <w:tcW w:w="9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Low</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Close</w:t>
            </w:r>
          </w:p>
        </w:tc>
        <w:tc>
          <w:tcPr>
            <w:tcW w:w="20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Fiscal 2013</w:t>
            </w: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Low</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Close</w:t>
            </w:r>
          </w:p>
        </w:tc>
      </w:tr>
      <w:tr>
        <w:trPr>
          <w:trHeight w:val="27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Quarter</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31.80</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30.96</w:t>
            </w:r>
          </w:p>
        </w:tc>
        <w:tc>
          <w:tcPr>
            <w:tcW w:w="2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First Quarter</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14.22</w:t>
            </w:r>
          </w:p>
        </w:tc>
      </w:tr>
      <w:tr>
        <w:trPr>
          <w:trHeight w:val="260"/>
        </w:trPr>
        <w:tc>
          <w:tcPr>
            <w:tcW w:w="19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9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32.41</w:t>
            </w:r>
          </w:p>
        </w:tc>
        <w:tc>
          <w:tcPr>
            <w:tcW w:w="28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23.18</w:t>
            </w:r>
          </w:p>
        </w:tc>
        <w:tc>
          <w:tcPr>
            <w:tcW w:w="220" w:type="dxa"/>
            <w:vAlign w:val="bottom"/>
          </w:tcPr>
          <w:p>
            <w:pPr>
              <w:spacing w:after="0"/>
              <w:rPr>
                <w:sz w:val="22"/>
                <w:szCs w:val="22"/>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26.66</w:t>
            </w:r>
          </w:p>
        </w:tc>
        <w:tc>
          <w:tcPr>
            <w:tcW w:w="2060" w:type="dxa"/>
            <w:vAlign w:val="bottom"/>
          </w:tcPr>
          <w:p>
            <w:pPr>
              <w:ind w:left="260"/>
              <w:spacing w:after="0"/>
              <w:rPr>
                <w:sz w:val="20"/>
                <w:szCs w:val="20"/>
                <w:color w:val="auto"/>
              </w:rPr>
            </w:pPr>
            <w:r>
              <w:rPr>
                <w:rFonts w:ascii="Arial" w:cs="Arial" w:eastAsia="Arial" w:hAnsi="Arial"/>
                <w:sz w:val="16"/>
                <w:szCs w:val="16"/>
                <w:color w:val="auto"/>
              </w:rPr>
              <w:t>Second Quarter</w:t>
            </w:r>
          </w:p>
        </w:tc>
        <w:tc>
          <w:tcPr>
            <w:tcW w:w="8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20.10</w:t>
            </w:r>
          </w:p>
        </w:tc>
        <w:tc>
          <w:tcPr>
            <w:tcW w:w="2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13.53</w:t>
            </w:r>
          </w:p>
        </w:tc>
        <w:tc>
          <w:tcPr>
            <w:tcW w:w="2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19.49</w:t>
            </w:r>
          </w:p>
        </w:tc>
      </w:tr>
      <w:tr>
        <w:trPr>
          <w:trHeight w:val="280"/>
        </w:trPr>
        <w:tc>
          <w:tcPr>
            <w:tcW w:w="1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9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22.68</w:t>
            </w: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24.76</w:t>
            </w:r>
          </w:p>
        </w:tc>
        <w:tc>
          <w:tcPr>
            <w:tcW w:w="20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Third Quarter</w:t>
            </w:r>
          </w:p>
        </w:tc>
        <w:tc>
          <w:tcPr>
            <w:tcW w:w="8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w:t>
            </w:r>
          </w:p>
        </w:tc>
        <w:tc>
          <w:tcPr>
            <w:tcW w:w="2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20.76</w:t>
            </w:r>
          </w:p>
        </w:tc>
      </w:tr>
      <w:tr>
        <w:trPr>
          <w:trHeight w:val="251"/>
        </w:trPr>
        <w:tc>
          <w:tcPr>
            <w:tcW w:w="19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9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26.69</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22.80</w:t>
            </w:r>
          </w:p>
        </w:tc>
        <w:tc>
          <w:tcPr>
            <w:tcW w:w="220" w:type="dxa"/>
            <w:vAlign w:val="bottom"/>
          </w:tcPr>
          <w:p>
            <w:pPr>
              <w:spacing w:after="0"/>
              <w:rPr>
                <w:sz w:val="21"/>
                <w:szCs w:val="21"/>
                <w:color w:val="auto"/>
              </w:rPr>
            </w:pPr>
          </w:p>
        </w:tc>
        <w:tc>
          <w:tcPr>
            <w:tcW w:w="940" w:type="dxa"/>
            <w:vAlign w:val="bottom"/>
          </w:tcPr>
          <w:p>
            <w:pPr>
              <w:jc w:val="right"/>
              <w:ind w:right="179"/>
              <w:spacing w:after="0"/>
              <w:rPr>
                <w:sz w:val="20"/>
                <w:szCs w:val="20"/>
                <w:color w:val="auto"/>
              </w:rPr>
            </w:pPr>
            <w:r>
              <w:rPr>
                <w:rFonts w:ascii="Arial" w:cs="Arial" w:eastAsia="Arial" w:hAnsi="Arial"/>
                <w:sz w:val="16"/>
                <w:szCs w:val="16"/>
                <w:color w:val="auto"/>
              </w:rPr>
              <w:t>24.73</w:t>
            </w:r>
          </w:p>
        </w:tc>
        <w:tc>
          <w:tcPr>
            <w:tcW w:w="2060" w:type="dxa"/>
            <w:vAlign w:val="bottom"/>
          </w:tcPr>
          <w:p>
            <w:pPr>
              <w:ind w:left="260"/>
              <w:spacing w:after="0"/>
              <w:rPr>
                <w:sz w:val="20"/>
                <w:szCs w:val="20"/>
                <w:color w:val="auto"/>
              </w:rPr>
            </w:pPr>
            <w:r>
              <w:rPr>
                <w:rFonts w:ascii="Arial" w:cs="Arial" w:eastAsia="Arial" w:hAnsi="Arial"/>
                <w:sz w:val="16"/>
                <w:szCs w:val="16"/>
                <w:color w:val="auto"/>
              </w:rPr>
              <w:t>Fourth Quarter</w:t>
            </w:r>
          </w:p>
        </w:tc>
        <w:tc>
          <w:tcPr>
            <w:tcW w:w="8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25.15</w:t>
            </w: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19.33</w:t>
            </w:r>
          </w:p>
        </w:tc>
        <w:tc>
          <w:tcPr>
            <w:tcW w:w="240" w:type="dxa"/>
            <w:vAlign w:val="bottom"/>
          </w:tcPr>
          <w:p>
            <w:pPr>
              <w:spacing w:after="0"/>
              <w:rPr>
                <w:sz w:val="21"/>
                <w:szCs w:val="21"/>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22.27</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Shareholders of record as of October 14, 2014: 3,150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 Paid Per Share</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On October 15, 2014, our Board of Directors declared a cash dividend of $0.09 per outstanding share of common stock. The dividend will be paid on November 26, 2014 to all shareholders of record at the close of business on November 12, 2014. The Board currently intends to continue to pay quarterly cash dividends payments in the future; however, declaration of future dividends, if any, will be based on several factors including our financial performance, outlook and liquidity. We have not paid dividends since the first quarter of Fiscal 2009.</w:t>
      </w:r>
    </w:p>
    <w:p>
      <w:pPr>
        <w:spacing w:after="0" w:line="14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payment of dividends may limit our ability to fully utilize our credit facility. Our credit facility, as further described in Note 7, contains covenants that limit our ability to pay certain cash dividends without impacting financial ratio covenants.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8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Our credit facility, as further described in Note 7, contains covenants that limits our ability, among other things, except for limited purchases of our common stock from employees, to make distributions or payments with respect to or purchases of our common stock without consent of the lenders.</w:t>
      </w:r>
    </w:p>
    <w:p>
      <w:pPr>
        <w:spacing w:after="0" w:line="142"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Fiscal 2014, approximately 1.0 million shares were repurchased under the authorization, at an aggregate cost of approximately $26.3 million, or $25.62 per share. Approximately 61,000 of these shares were repurchased from employees who vested in Winnebago Industries shares during the fiscal year and elected to pay their payroll tax via delivery of common stock as opposed to cash. As of August 30, 2014, there was approximately $13.6 million remaining under this authorization.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2014: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8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Number of Shares</w:t>
            </w:r>
          </w:p>
        </w:tc>
        <w:tc>
          <w:tcPr>
            <w:tcW w:w="400" w:type="dxa"/>
            <w:vAlign w:val="bottom"/>
          </w:tcPr>
          <w:p>
            <w:pPr>
              <w:spacing w:after="0"/>
              <w:rPr>
                <w:sz w:val="16"/>
                <w:szCs w:val="16"/>
                <w:color w:val="auto"/>
              </w:rPr>
            </w:pPr>
          </w:p>
        </w:tc>
        <w:tc>
          <w:tcPr>
            <w:tcW w:w="2520" w:type="dxa"/>
            <w:vAlign w:val="bottom"/>
          </w:tcPr>
          <w:p>
            <w:pPr>
              <w:jc w:val="center"/>
              <w:ind w:right="399"/>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27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98"/>
              </w:rPr>
              <w:t>Total Number</w:t>
            </w: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80" w:type="dxa"/>
            <w:vAlign w:val="bottom"/>
            <w:gridSpan w:val="2"/>
          </w:tcPr>
          <w:p>
            <w:pPr>
              <w:jc w:val="center"/>
              <w:ind w:right="86"/>
              <w:spacing w:after="0"/>
              <w:rPr>
                <w:sz w:val="20"/>
                <w:szCs w:val="20"/>
                <w:color w:val="auto"/>
              </w:rPr>
            </w:pPr>
            <w:r>
              <w:rPr>
                <w:rFonts w:ascii="Arial" w:cs="Arial" w:eastAsia="Arial" w:hAnsi="Arial"/>
                <w:sz w:val="16"/>
                <w:szCs w:val="16"/>
                <w:b w:val="1"/>
                <w:bCs w:val="1"/>
                <w:color w:val="auto"/>
              </w:rPr>
              <w:t>Purchased as Part of</w:t>
            </w:r>
          </w:p>
        </w:tc>
        <w:tc>
          <w:tcPr>
            <w:tcW w:w="400" w:type="dxa"/>
            <w:vAlign w:val="bottom"/>
          </w:tcPr>
          <w:p>
            <w:pPr>
              <w:spacing w:after="0"/>
              <w:rPr>
                <w:sz w:val="16"/>
                <w:szCs w:val="16"/>
                <w:color w:val="auto"/>
              </w:rPr>
            </w:pPr>
          </w:p>
        </w:tc>
        <w:tc>
          <w:tcPr>
            <w:tcW w:w="2520" w:type="dxa"/>
            <w:vAlign w:val="bottom"/>
          </w:tcPr>
          <w:p>
            <w:pPr>
              <w:jc w:val="center"/>
              <w:ind w:right="39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2720" w:type="dxa"/>
            <w:vAlign w:val="bottom"/>
          </w:tcPr>
          <w:p>
            <w:pPr>
              <w:spacing w:after="0"/>
              <w:rPr>
                <w:sz w:val="16"/>
                <w:szCs w:val="16"/>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80" w:type="dxa"/>
            <w:vAlign w:val="bottom"/>
          </w:tcPr>
          <w:p>
            <w:pPr>
              <w:spacing w:after="0"/>
              <w:rPr>
                <w:sz w:val="16"/>
                <w:szCs w:val="16"/>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auto"/>
              </w:rPr>
              <w:t>Average Price</w:t>
            </w:r>
          </w:p>
        </w:tc>
        <w:tc>
          <w:tcPr>
            <w:tcW w:w="2080" w:type="dxa"/>
            <w:vAlign w:val="bottom"/>
            <w:gridSpan w:val="2"/>
          </w:tcPr>
          <w:p>
            <w:pPr>
              <w:jc w:val="center"/>
              <w:ind w:right="66"/>
              <w:spacing w:after="0"/>
              <w:rPr>
                <w:sz w:val="20"/>
                <w:szCs w:val="20"/>
                <w:color w:val="auto"/>
              </w:rPr>
            </w:pPr>
            <w:r>
              <w:rPr>
                <w:rFonts w:ascii="Arial" w:cs="Arial" w:eastAsia="Arial" w:hAnsi="Arial"/>
                <w:sz w:val="16"/>
                <w:szCs w:val="16"/>
                <w:b w:val="1"/>
                <w:bCs w:val="1"/>
                <w:color w:val="auto"/>
              </w:rPr>
              <w:t>Publicly Announced</w:t>
            </w:r>
          </w:p>
        </w:tc>
        <w:tc>
          <w:tcPr>
            <w:tcW w:w="400" w:type="dxa"/>
            <w:vAlign w:val="bottom"/>
          </w:tcPr>
          <w:p>
            <w:pPr>
              <w:spacing w:after="0"/>
              <w:rPr>
                <w:sz w:val="16"/>
                <w:szCs w:val="16"/>
                <w:color w:val="auto"/>
              </w:rPr>
            </w:pPr>
          </w:p>
        </w:tc>
        <w:tc>
          <w:tcPr>
            <w:tcW w:w="2520" w:type="dxa"/>
            <w:vAlign w:val="bottom"/>
          </w:tcPr>
          <w:p>
            <w:pPr>
              <w:jc w:val="center"/>
              <w:ind w:right="399"/>
              <w:spacing w:after="0"/>
              <w:rPr>
                <w:sz w:val="20"/>
                <w:szCs w:val="20"/>
                <w:color w:val="auto"/>
              </w:rPr>
            </w:pPr>
            <w:r>
              <w:rPr>
                <w:rFonts w:ascii="Arial" w:cs="Arial" w:eastAsia="Arial" w:hAnsi="Arial"/>
                <w:sz w:val="16"/>
                <w:szCs w:val="16"/>
                <w:b w:val="1"/>
                <w:bCs w:val="1"/>
                <w:color w:val="auto"/>
              </w:rPr>
              <w:t>Purchased Under the</w:t>
            </w:r>
          </w:p>
        </w:tc>
      </w:tr>
      <w:tr>
        <w:trPr>
          <w:trHeight w:val="228"/>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Paid per Share</w:t>
            </w:r>
          </w:p>
        </w:tc>
        <w:tc>
          <w:tcPr>
            <w:tcW w:w="2080" w:type="dxa"/>
            <w:vAlign w:val="bottom"/>
            <w:tcBorders>
              <w:bottom w:val="single" w:sz="8" w:color="auto"/>
            </w:tcBorders>
            <w:gridSpan w:val="2"/>
          </w:tcPr>
          <w:p>
            <w:pPr>
              <w:jc w:val="center"/>
              <w:ind w:right="66"/>
              <w:spacing w:after="0"/>
              <w:rPr>
                <w:sz w:val="20"/>
                <w:szCs w:val="20"/>
                <w:color w:val="auto"/>
              </w:rPr>
            </w:pPr>
            <w:r>
              <w:rPr>
                <w:rFonts w:ascii="Arial" w:cs="Arial" w:eastAsia="Arial" w:hAnsi="Arial"/>
                <w:sz w:val="16"/>
                <w:szCs w:val="16"/>
                <w:b w:val="1"/>
                <w:bCs w:val="1"/>
                <w:color w:val="auto"/>
              </w:rPr>
              <w:t>Plans or Programs</w:t>
            </w:r>
          </w:p>
        </w:tc>
        <w:tc>
          <w:tcPr>
            <w:tcW w:w="4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center"/>
              <w:ind w:right="399"/>
              <w:spacing w:after="0"/>
              <w:rPr>
                <w:sz w:val="20"/>
                <w:szCs w:val="20"/>
                <w:color w:val="auto"/>
              </w:rPr>
            </w:pPr>
            <w:r>
              <w:rPr>
                <w:rFonts w:ascii="Arial" w:cs="Arial" w:eastAsia="Arial" w:hAnsi="Arial"/>
                <w:sz w:val="16"/>
                <w:szCs w:val="16"/>
                <w:b w:val="1"/>
                <w:bCs w:val="1"/>
                <w:color w:val="auto"/>
              </w:rPr>
              <w:t>Plans or Programs</w:t>
            </w:r>
          </w:p>
        </w:tc>
      </w:tr>
      <w:tr>
        <w:trPr>
          <w:trHeight w:val="270"/>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06/01/14 - 07/05/14</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23.81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84,641</w:t>
            </w:r>
          </w:p>
        </w:tc>
        <w:tc>
          <w:tcPr>
            <w:tcW w:w="560" w:type="dxa"/>
            <w:vAlign w:val="bottom"/>
            <w:shd w:val="clear" w:color="auto" w:fill="CCEEFF"/>
          </w:tcPr>
          <w:p>
            <w:pPr>
              <w:jc w:val="right"/>
              <w:ind w:right="306"/>
              <w:spacing w:after="0"/>
              <w:rPr>
                <w:sz w:val="20"/>
                <w:szCs w:val="20"/>
                <w:color w:val="auto"/>
              </w:rPr>
            </w:pPr>
            <w:r>
              <w:rPr>
                <w:rFonts w:ascii="Arial" w:cs="Arial" w:eastAsia="Arial" w:hAnsi="Arial"/>
                <w:sz w:val="11"/>
                <w:szCs w:val="11"/>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13,582,000</w:t>
            </w:r>
          </w:p>
        </w:tc>
      </w:tr>
      <w:tr>
        <w:trPr>
          <w:trHeight w:val="260"/>
        </w:trPr>
        <w:tc>
          <w:tcPr>
            <w:tcW w:w="2720" w:type="dxa"/>
            <w:vAlign w:val="bottom"/>
          </w:tcPr>
          <w:p>
            <w:pPr>
              <w:ind w:left="40"/>
              <w:spacing w:after="0"/>
              <w:rPr>
                <w:sz w:val="20"/>
                <w:szCs w:val="20"/>
                <w:color w:val="auto"/>
              </w:rPr>
            </w:pPr>
            <w:r>
              <w:rPr>
                <w:rFonts w:ascii="Arial" w:cs="Arial" w:eastAsia="Arial" w:hAnsi="Arial"/>
                <w:sz w:val="16"/>
                <w:szCs w:val="16"/>
                <w:color w:val="auto"/>
              </w:rPr>
              <w:t>07/06/14 - 08/02/14</w:t>
            </w: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2520" w:type="dxa"/>
            <w:vAlign w:val="bottom"/>
          </w:tcPr>
          <w:p>
            <w:pPr>
              <w:jc w:val="right"/>
              <w:ind w:right="419"/>
              <w:spacing w:after="0"/>
              <w:rPr>
                <w:sz w:val="20"/>
                <w:szCs w:val="20"/>
                <w:color w:val="auto"/>
              </w:rPr>
            </w:pPr>
            <w:r>
              <w:rPr>
                <w:rFonts w:ascii="Arial" w:cs="Arial" w:eastAsia="Arial" w:hAnsi="Arial"/>
                <w:sz w:val="16"/>
                <w:szCs w:val="16"/>
                <w:color w:val="auto"/>
              </w:rPr>
              <w:t>13,582,000</w:t>
            </w:r>
          </w:p>
        </w:tc>
      </w:tr>
      <w:tr>
        <w:trPr>
          <w:trHeight w:val="273"/>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08/03/14 - 08/30/14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13,582,000</w:t>
            </w:r>
          </w:p>
        </w:tc>
      </w:tr>
      <w:tr>
        <w:trPr>
          <w:trHeight w:val="267"/>
        </w:trPr>
        <w:tc>
          <w:tcPr>
            <w:tcW w:w="2720" w:type="dxa"/>
            <w:vAlign w:val="bottom"/>
          </w:tcPr>
          <w:p>
            <w:pPr>
              <w:ind w:left="40"/>
              <w:spacing w:after="0"/>
              <w:rPr>
                <w:sz w:val="20"/>
                <w:szCs w:val="20"/>
                <w:color w:val="auto"/>
              </w:rPr>
            </w:pPr>
            <w:r>
              <w:rPr>
                <w:rFonts w:ascii="Arial" w:cs="Arial" w:eastAsia="Arial" w:hAnsi="Arial"/>
                <w:sz w:val="16"/>
                <w:szCs w:val="16"/>
                <w:color w:val="auto"/>
              </w:rPr>
              <w:t>Total</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84,641</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23.81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84,641</w:t>
            </w:r>
          </w:p>
        </w:tc>
        <w:tc>
          <w:tcPr>
            <w:tcW w:w="5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5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13,582,000</w:t>
            </w:r>
          </w:p>
        </w:tc>
      </w:tr>
      <w:tr>
        <w:trPr>
          <w:trHeight w:val="20"/>
        </w:trPr>
        <w:tc>
          <w:tcPr>
            <w:tcW w:w="27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201" w:lineRule="exact"/>
        <w:rPr>
          <w:sz w:val="20"/>
          <w:szCs w:val="20"/>
          <w:color w:val="auto"/>
        </w:rPr>
      </w:pPr>
    </w:p>
    <w:p>
      <w:pPr>
        <w:ind w:right="540"/>
        <w:spacing w:after="0" w:line="295" w:lineRule="auto"/>
        <w:rPr>
          <w:sz w:val="20"/>
          <w:szCs w:val="20"/>
          <w:color w:val="auto"/>
        </w:rPr>
      </w:pPr>
      <w:r>
        <w:rPr>
          <w:rFonts w:ascii="Arial" w:cs="Arial" w:eastAsia="Arial" w:hAnsi="Arial"/>
          <w:sz w:val="16"/>
          <w:szCs w:val="16"/>
          <w:color w:val="auto"/>
        </w:rPr>
        <w:t>The following table provides information as of August 30, 2014 with respect to shares of our common stock that may be issued under our existing equity compensation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840" w:type="dxa"/>
            <w:vAlign w:val="bottom"/>
          </w:tcPr>
          <w:p>
            <w:pPr>
              <w:spacing w:after="0"/>
              <w:rPr>
                <w:sz w:val="19"/>
                <w:szCs w:val="19"/>
                <w:color w:val="auto"/>
              </w:rPr>
            </w:pPr>
          </w:p>
        </w:tc>
        <w:tc>
          <w:tcPr>
            <w:tcW w:w="1840" w:type="dxa"/>
            <w:vAlign w:val="bottom"/>
            <w:tcBorders>
              <w:bottom w:val="single" w:sz="8" w:color="auto"/>
            </w:tcBorders>
          </w:tcPr>
          <w:p>
            <w:pPr>
              <w:ind w:left="1120"/>
              <w:spacing w:after="0"/>
              <w:rPr>
                <w:sz w:val="20"/>
                <w:szCs w:val="20"/>
                <w:color w:val="auto"/>
              </w:rPr>
            </w:pPr>
            <w:r>
              <w:rPr>
                <w:rFonts w:ascii="Arial" w:cs="Arial" w:eastAsia="Arial" w:hAnsi="Arial"/>
                <w:sz w:val="16"/>
                <w:szCs w:val="16"/>
                <w:b w:val="1"/>
                <w:bCs w:val="1"/>
                <w:color w:val="auto"/>
              </w:rPr>
              <w:t>(a)</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79"/>
              <w:spacing w:after="0"/>
              <w:rPr>
                <w:sz w:val="20"/>
                <w:szCs w:val="20"/>
                <w:color w:val="auto"/>
              </w:rPr>
            </w:pPr>
            <w:r>
              <w:rPr>
                <w:rFonts w:ascii="Arial" w:cs="Arial" w:eastAsia="Arial" w:hAnsi="Arial"/>
                <w:sz w:val="16"/>
                <w:szCs w:val="16"/>
                <w:b w:val="1"/>
                <w:bCs w:val="1"/>
                <w:color w:val="auto"/>
                <w:w w:val="97"/>
              </w:rPr>
              <w:t>(b)</w:t>
            </w:r>
          </w:p>
        </w:tc>
        <w:tc>
          <w:tcPr>
            <w:tcW w:w="204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rPr>
              <w:t>(c)</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8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0" w:type="dxa"/>
            <w:vAlign w:val="bottom"/>
            <w:gridSpan w:val="2"/>
          </w:tcPr>
          <w:p>
            <w:pPr>
              <w:jc w:val="center"/>
              <w:ind w:right="26"/>
              <w:spacing w:after="0"/>
              <w:rPr>
                <w:sz w:val="20"/>
                <w:szCs w:val="20"/>
                <w:color w:val="auto"/>
              </w:rPr>
            </w:pPr>
            <w:r>
              <w:rPr>
                <w:rFonts w:ascii="Arial" w:cs="Arial" w:eastAsia="Arial" w:hAnsi="Arial"/>
                <w:sz w:val="16"/>
                <w:szCs w:val="16"/>
                <w:b w:val="1"/>
                <w:bCs w:val="1"/>
                <w:color w:val="auto"/>
              </w:rPr>
              <w:t>Number of Securities</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Number of Securities to</w:t>
            </w:r>
          </w:p>
        </w:tc>
        <w:tc>
          <w:tcPr>
            <w:tcW w:w="9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Remaining Available for</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be Issued Upon</w:t>
            </w:r>
          </w:p>
        </w:tc>
        <w:tc>
          <w:tcPr>
            <w:tcW w:w="580" w:type="dxa"/>
            <w:vAlign w:val="bottom"/>
          </w:tcPr>
          <w:p>
            <w:pPr>
              <w:spacing w:after="0"/>
              <w:rPr>
                <w:sz w:val="16"/>
                <w:szCs w:val="16"/>
                <w:color w:val="auto"/>
              </w:rPr>
            </w:pPr>
          </w:p>
        </w:tc>
        <w:tc>
          <w:tcPr>
            <w:tcW w:w="236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rPr>
              <w:t>Weighted Average</w:t>
            </w:r>
          </w:p>
        </w:tc>
        <w:tc>
          <w:tcPr>
            <w:tcW w:w="2800" w:type="dxa"/>
            <w:vAlign w:val="bottom"/>
            <w:gridSpan w:val="2"/>
          </w:tcPr>
          <w:p>
            <w:pPr>
              <w:jc w:val="center"/>
              <w:ind w:right="46"/>
              <w:spacing w:after="0"/>
              <w:rPr>
                <w:sz w:val="20"/>
                <w:szCs w:val="20"/>
                <w:color w:val="auto"/>
              </w:rPr>
            </w:pPr>
            <w:r>
              <w:rPr>
                <w:rFonts w:ascii="Arial" w:cs="Arial" w:eastAsia="Arial" w:hAnsi="Arial"/>
                <w:sz w:val="16"/>
                <w:szCs w:val="16"/>
                <w:b w:val="1"/>
                <w:bCs w:val="1"/>
                <w:color w:val="auto"/>
              </w:rPr>
              <w:t>Future Issuance Under Equity</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840" w:type="dxa"/>
            <w:vAlign w:val="bottom"/>
          </w:tcPr>
          <w:p>
            <w:pPr>
              <w:jc w:val="center"/>
              <w:ind w:left="519"/>
              <w:spacing w:after="0"/>
              <w:rPr>
                <w:sz w:val="20"/>
                <w:szCs w:val="20"/>
                <w:color w:val="auto"/>
              </w:rPr>
            </w:pPr>
            <w:r>
              <w:rPr>
                <w:rFonts w:ascii="Arial" w:cs="Arial" w:eastAsia="Arial" w:hAnsi="Arial"/>
                <w:sz w:val="16"/>
                <w:szCs w:val="16"/>
                <w:b w:val="1"/>
                <w:bCs w:val="1"/>
                <w:color w:val="auto"/>
              </w:rPr>
              <w:t>Exercise of</w:t>
            </w:r>
          </w:p>
        </w:tc>
        <w:tc>
          <w:tcPr>
            <w:tcW w:w="580" w:type="dxa"/>
            <w:vAlign w:val="bottom"/>
          </w:tcPr>
          <w:p>
            <w:pPr>
              <w:spacing w:after="0"/>
              <w:rPr>
                <w:sz w:val="16"/>
                <w:szCs w:val="16"/>
                <w:color w:val="auto"/>
              </w:rPr>
            </w:pPr>
          </w:p>
        </w:tc>
        <w:tc>
          <w:tcPr>
            <w:tcW w:w="236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Exercise Price of</w:t>
            </w:r>
          </w:p>
        </w:tc>
        <w:tc>
          <w:tcPr>
            <w:tcW w:w="2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Compensation Plans</w:t>
            </w: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2420" w:type="dxa"/>
            <w:vAlign w:val="bottom"/>
            <w:gridSpan w:val="2"/>
          </w:tcPr>
          <w:p>
            <w:pPr>
              <w:jc w:val="center"/>
              <w:spacing w:after="0"/>
              <w:rPr>
                <w:sz w:val="20"/>
                <w:szCs w:val="20"/>
                <w:color w:val="auto"/>
              </w:rPr>
            </w:pPr>
            <w:r>
              <w:rPr>
                <w:rFonts w:ascii="Arial" w:cs="Arial" w:eastAsia="Arial" w:hAnsi="Arial"/>
                <w:sz w:val="16"/>
                <w:szCs w:val="16"/>
                <w:b w:val="1"/>
                <w:bCs w:val="1"/>
                <w:color w:val="auto"/>
              </w:rPr>
              <w:t>Outstanding Options,</w:t>
            </w:r>
          </w:p>
        </w:tc>
        <w:tc>
          <w:tcPr>
            <w:tcW w:w="236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Outstanding Options,</w:t>
            </w:r>
          </w:p>
        </w:tc>
        <w:tc>
          <w:tcPr>
            <w:tcW w:w="2800" w:type="dxa"/>
            <w:vAlign w:val="bottom"/>
            <w:gridSpan w:val="2"/>
          </w:tcPr>
          <w:p>
            <w:pPr>
              <w:jc w:val="center"/>
              <w:spacing w:after="0"/>
              <w:rPr>
                <w:sz w:val="20"/>
                <w:szCs w:val="20"/>
                <w:color w:val="auto"/>
              </w:rPr>
            </w:pPr>
            <w:r>
              <w:rPr>
                <w:rFonts w:ascii="Arial" w:cs="Arial" w:eastAsia="Arial" w:hAnsi="Arial"/>
                <w:sz w:val="16"/>
                <w:szCs w:val="16"/>
                <w:b w:val="1"/>
                <w:bCs w:val="1"/>
                <w:color w:val="auto"/>
              </w:rPr>
              <w:t>(Excluding Securities</w:t>
            </w:r>
          </w:p>
        </w:tc>
        <w:tc>
          <w:tcPr>
            <w:tcW w:w="0" w:type="dxa"/>
            <w:vAlign w:val="bottom"/>
          </w:tcPr>
          <w:p>
            <w:pPr>
              <w:spacing w:after="0"/>
              <w:rPr>
                <w:sz w:val="1"/>
                <w:szCs w:val="1"/>
                <w:color w:val="auto"/>
              </w:rPr>
            </w:pPr>
          </w:p>
        </w:tc>
      </w:tr>
      <w:tr>
        <w:trPr>
          <w:trHeight w:val="228"/>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Plan Category</w:t>
            </w: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Warrants and Rights</w:t>
            </w:r>
          </w:p>
        </w:tc>
        <w:tc>
          <w:tcPr>
            <w:tcW w:w="236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rPr>
              <w:t>Warrants and Rights</w:t>
            </w:r>
          </w:p>
        </w:tc>
        <w:tc>
          <w:tcPr>
            <w:tcW w:w="204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b w:val="1"/>
                <w:bCs w:val="1"/>
                <w:color w:val="auto"/>
              </w:rPr>
              <w:t>Reflected in (a))</w:t>
            </w:r>
          </w:p>
        </w:tc>
        <w:tc>
          <w:tcPr>
            <w:tcW w:w="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20"/>
              <w:spacing w:after="0" w:line="219" w:lineRule="exact"/>
              <w:rPr>
                <w:sz w:val="20"/>
                <w:szCs w:val="20"/>
                <w:color w:val="auto"/>
              </w:rPr>
            </w:pPr>
            <w:r>
              <w:rPr>
                <w:rFonts w:ascii="Arial" w:cs="Arial" w:eastAsia="Arial" w:hAnsi="Arial"/>
                <w:sz w:val="16"/>
                <w:szCs w:val="16"/>
                <w:color w:val="auto"/>
              </w:rPr>
              <w:t xml:space="preserve">approved by shareholders - 2004 Plan </w:t>
            </w:r>
            <w:r>
              <w:rPr>
                <w:rFonts w:ascii="Arial" w:cs="Arial" w:eastAsia="Arial" w:hAnsi="Arial"/>
                <w:sz w:val="21"/>
                <w:szCs w:val="21"/>
                <w:color w:val="auto"/>
                <w:vertAlign w:val="superscript"/>
              </w:rPr>
              <w:t>(1)</w:t>
            </w:r>
          </w:p>
        </w:tc>
        <w:tc>
          <w:tcPr>
            <w:tcW w:w="18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457,421</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30.38</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approved by shareholders - 2004 Plan </w:t>
            </w:r>
            <w:r>
              <w:rPr>
                <w:rFonts w:ascii="Arial" w:cs="Arial" w:eastAsia="Arial" w:hAnsi="Arial"/>
                <w:sz w:val="21"/>
                <w:szCs w:val="21"/>
                <w:color w:val="auto"/>
                <w:vertAlign w:val="superscript"/>
              </w:rPr>
              <w:t>(2)</w:t>
            </w:r>
          </w:p>
        </w:tc>
        <w:tc>
          <w:tcPr>
            <w:tcW w:w="1840" w:type="dxa"/>
            <w:vAlign w:val="bottom"/>
          </w:tcPr>
          <w:p>
            <w:pPr>
              <w:ind w:left="1100"/>
              <w:spacing w:after="0"/>
              <w:rPr>
                <w:sz w:val="20"/>
                <w:szCs w:val="20"/>
                <w:color w:val="auto"/>
              </w:rPr>
            </w:pPr>
            <w:r>
              <w:rPr>
                <w:rFonts w:ascii="Arial" w:cs="Arial" w:eastAsia="Arial" w:hAnsi="Arial"/>
                <w:sz w:val="16"/>
                <w:szCs w:val="16"/>
                <w:color w:val="auto"/>
              </w:rPr>
              <w:t>198,523</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18.98</w:t>
            </w:r>
          </w:p>
        </w:tc>
        <w:tc>
          <w:tcPr>
            <w:tcW w:w="20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 compensation plans</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760" w:type="dxa"/>
            <w:vAlign w:val="bottom"/>
            <w:vMerge w:val="restart"/>
            <w:shd w:val="clear" w:color="auto" w:fill="CCEEFF"/>
          </w:tcPr>
          <w:p>
            <w:pPr>
              <w:jc w:val="right"/>
              <w:ind w:right="506"/>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4"/>
        </w:trPr>
        <w:tc>
          <w:tcPr>
            <w:tcW w:w="38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approved by shareholders - 2014 Plan</w:t>
            </w:r>
          </w:p>
        </w:tc>
        <w:tc>
          <w:tcPr>
            <w:tcW w:w="18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3,600,000</w:t>
            </w: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40"/>
              <w:spacing w:after="0"/>
              <w:rPr>
                <w:sz w:val="20"/>
                <w:szCs w:val="20"/>
                <w:color w:val="auto"/>
              </w:rPr>
            </w:pPr>
            <w:r>
              <w:rPr>
                <w:rFonts w:ascii="Arial" w:cs="Arial" w:eastAsia="Arial" w:hAnsi="Arial"/>
                <w:sz w:val="16"/>
                <w:szCs w:val="16"/>
                <w:color w:val="auto"/>
              </w:rPr>
              <w:t>Equity compensation plans not</w:t>
            </w:r>
          </w:p>
        </w:tc>
        <w:tc>
          <w:tcPr>
            <w:tcW w:w="1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tcBorders>
              <w:bottom w:val="single" w:sz="8" w:color="CCEEFF"/>
            </w:tcBorders>
          </w:tcPr>
          <w:p>
            <w:pPr>
              <w:ind w:left="120"/>
              <w:spacing w:after="0" w:line="219" w:lineRule="exact"/>
              <w:rPr>
                <w:sz w:val="20"/>
                <w:szCs w:val="20"/>
                <w:color w:val="auto"/>
              </w:rPr>
            </w:pPr>
            <w:r>
              <w:rPr>
                <w:rFonts w:ascii="Arial" w:cs="Arial" w:eastAsia="Arial" w:hAnsi="Arial"/>
                <w:sz w:val="16"/>
                <w:szCs w:val="16"/>
                <w:color w:val="auto"/>
              </w:rPr>
              <w:t xml:space="preserve">approved by shareholders </w:t>
            </w:r>
            <w:r>
              <w:rPr>
                <w:rFonts w:ascii="Arial" w:cs="Arial" w:eastAsia="Arial" w:hAnsi="Arial"/>
                <w:sz w:val="21"/>
                <w:szCs w:val="21"/>
                <w:color w:val="auto"/>
                <w:vertAlign w:val="superscript"/>
              </w:rPr>
              <w:t>(4)</w:t>
            </w:r>
          </w:p>
        </w:tc>
        <w:tc>
          <w:tcPr>
            <w:tcW w:w="18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104,490</w:t>
            </w:r>
          </w:p>
        </w:tc>
        <w:tc>
          <w:tcPr>
            <w:tcW w:w="580" w:type="dxa"/>
            <w:vAlign w:val="bottom"/>
            <w:tcBorders>
              <w:bottom w:val="single" w:sz="8" w:color="auto"/>
            </w:tcBorders>
          </w:tcPr>
          <w:p>
            <w:pPr>
              <w:jc w:val="right"/>
              <w:ind w:right="386"/>
              <w:spacing w:after="0"/>
              <w:rPr>
                <w:sz w:val="20"/>
                <w:szCs w:val="20"/>
                <w:color w:val="auto"/>
              </w:rPr>
            </w:pPr>
            <w:r>
              <w:rPr>
                <w:rFonts w:ascii="Arial" w:cs="Arial" w:eastAsia="Arial" w:hAnsi="Arial"/>
                <w:sz w:val="11"/>
                <w:szCs w:val="11"/>
                <w:color w:val="auto"/>
                <w:w w:val="88"/>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13.44</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506"/>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61"/>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760,434</w:t>
            </w:r>
          </w:p>
        </w:tc>
        <w:tc>
          <w:tcPr>
            <w:tcW w:w="5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25.08</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3,600,000</w:t>
            </w:r>
          </w:p>
        </w:tc>
        <w:tc>
          <w:tcPr>
            <w:tcW w:w="7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60" w:right="26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granted under the 2004 Incentive Compensation Plan, as amended ("2004 Plan") which will continue to be exercisable in accordance with their original terms and conditions. No new grants may be made under the 2004 Plan.</w:t>
      </w:r>
    </w:p>
    <w:p>
      <w:pPr>
        <w:ind w:left="260" w:hanging="238"/>
        <w:spacing w:after="0" w:line="187"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unvested share awards granted under the 2004 Plan. No new grants may be made under the 2004 Plan.</w:t>
      </w:r>
    </w:p>
    <w:p>
      <w:pPr>
        <w:ind w:left="260" w:hanging="238"/>
        <w:spacing w:after="0" w:line="211"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This number represents stock options available for grant under the 2014 Omnibus Equity, Performance Award, and Incentive Compensation Plan, as amended ("2014 Plan") as of August 30, 2014. The 2014 Plan replaced the 2004 Plan effective January 1, 2014 and was approved by the shareholders at the December 17, 2013 Annual Meeting.</w:t>
      </w:r>
    </w:p>
    <w:p>
      <w:pPr>
        <w:ind w:left="260" w:right="280" w:hanging="238"/>
        <w:spacing w:after="0" w:line="225" w:lineRule="auto"/>
        <w:tabs>
          <w:tab w:leader="none" w:pos="2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Our sole equity compensation plan not previously submitted to our shareholders for approval is the Directors' Deferred Compensation Plan, as amended ("Directors' Plan"). The Board of Directors may terminate the Directors' Plan at any time. If not terminated earlier, the Directors' Plan will automatically terminate on June 30, 2023. For a description of the key provisions of the Directors' Plan, see the information in our Proxy</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92" w:lineRule="exact"/>
        <w:rPr>
          <w:sz w:val="20"/>
          <w:szCs w:val="20"/>
          <w:color w:val="auto"/>
        </w:rPr>
      </w:pPr>
    </w:p>
    <w:p>
      <w:pPr>
        <w:ind w:left="260" w:right="160"/>
        <w:spacing w:after="0" w:line="348" w:lineRule="auto"/>
        <w:rPr>
          <w:sz w:val="20"/>
          <w:szCs w:val="20"/>
          <w:color w:val="auto"/>
        </w:rPr>
      </w:pPr>
      <w:r>
        <w:rPr>
          <w:rFonts w:ascii="Arial" w:cs="Arial" w:eastAsia="Arial" w:hAnsi="Arial"/>
          <w:sz w:val="14"/>
          <w:szCs w:val="14"/>
          <w:color w:val="auto"/>
        </w:rPr>
        <w:t>Statement for the Annual Meeting of Shareholders scheduled to be held December 16, 2014 under the caption "Director Compensation," which information is incorporated by reference herein.</w:t>
      </w:r>
    </w:p>
    <w:p>
      <w:pPr>
        <w:spacing w:after="0" w:line="6" w:lineRule="exact"/>
        <w:rPr>
          <w:sz w:val="20"/>
          <w:szCs w:val="20"/>
          <w:color w:val="auto"/>
        </w:rPr>
      </w:pPr>
    </w:p>
    <w:p>
      <w:pPr>
        <w:ind w:left="260" w:right="160" w:hanging="238"/>
        <w:spacing w:after="0" w:line="211"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Represents shares of common stock issued to a trust which underlie stock units, payable on a one-for-one basis, credited to stock unit accounts as of August 30, 2014 under the Directors' Plan.</w:t>
      </w:r>
    </w:p>
    <w:p>
      <w:pPr>
        <w:ind w:left="260" w:right="20" w:hanging="238"/>
        <w:spacing w:after="0" w:line="225" w:lineRule="auto"/>
        <w:tabs>
          <w:tab w:leader="none" w:pos="2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The table does not reflect a specific number of stock units which may be distributed pursuant to the Directors' Plan. The Directors' Plan does not limit the number of stock units issuable thereunder. The number of stock units to be distributed pursuant to the Directors' Plan will be based on the amount of the director's compensation deferred and the per share price of our common stock at the time of deferral.</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8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following graph compares our five-year cumulative total shareholder return (including reinvestment of dividends) with the cumulative total return on the Standard &amp; Poor's 500 Index and a peer group. The peer group companies consisting of Thor Industries, Inc., Polaris Industries, Inc. and Brunswick Corporation were selected by us as they also manufacture recreation products. It is assumed in the graph that $100 was invested in our common stock, in the Standard &amp; Poor's 500 Index and in the stocks of the peer group companies on August 29, 2009 and that all dividends received within a quarter were reinvested in that quarter. In accordance with the guidelines of the SEC, the shareholder return for each entity in the peer group index has been weighted on the basis of market capitalization as of each annual measurement date set forth in the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969000" cy="3430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9000"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60" w:type="dxa"/>
            <w:vAlign w:val="bottom"/>
          </w:tcPr>
          <w:p>
            <w:pPr>
              <w:spacing w:after="0"/>
              <w:rPr>
                <w:sz w:val="16"/>
                <w:szCs w:val="16"/>
                <w:color w:val="auto"/>
              </w:rPr>
            </w:pPr>
          </w:p>
        </w:tc>
        <w:tc>
          <w:tcPr>
            <w:tcW w:w="2280" w:type="dxa"/>
            <w:vAlign w:val="bottom"/>
          </w:tcPr>
          <w:p>
            <w:pPr>
              <w:jc w:val="right"/>
              <w:ind w:right="63"/>
              <w:spacing w:after="0"/>
              <w:rPr>
                <w:sz w:val="20"/>
                <w:szCs w:val="20"/>
                <w:color w:val="auto"/>
              </w:rPr>
            </w:pPr>
            <w:r>
              <w:rPr>
                <w:rFonts w:ascii="Arial" w:cs="Arial" w:eastAsia="Arial" w:hAnsi="Arial"/>
                <w:sz w:val="14"/>
                <w:szCs w:val="14"/>
                <w:b w:val="1"/>
                <w:bCs w:val="1"/>
                <w:color w:val="auto"/>
              </w:rPr>
              <w:t>Base Period</w:t>
            </w: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Company/Index</w:t>
            </w:r>
          </w:p>
        </w:tc>
        <w:tc>
          <w:tcPr>
            <w:tcW w:w="22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8/29/09</w:t>
            </w:r>
          </w:p>
        </w:tc>
        <w:tc>
          <w:tcPr>
            <w:tcW w:w="126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8/28/10</w:t>
            </w: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8/27/11</w:t>
            </w:r>
          </w:p>
        </w:tc>
        <w:tc>
          <w:tcPr>
            <w:tcW w:w="118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8/25/12</w:t>
            </w:r>
          </w:p>
        </w:tc>
        <w:tc>
          <w:tcPr>
            <w:tcW w:w="12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8/31/13</w:t>
            </w: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8/30/14</w:t>
            </w:r>
          </w:p>
        </w:tc>
      </w:tr>
      <w:tr>
        <w:trPr>
          <w:trHeight w:val="27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Winnebago Industries, Inc.</w:t>
            </w:r>
          </w:p>
        </w:tc>
        <w:tc>
          <w:tcPr>
            <w:tcW w:w="2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100.00</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77.88</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61.45</w:t>
            </w: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97.68</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197.57</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219.39</w:t>
            </w:r>
          </w:p>
        </w:tc>
      </w:tr>
      <w:tr>
        <w:trPr>
          <w:trHeight w:val="260"/>
        </w:trPr>
        <w:tc>
          <w:tcPr>
            <w:tcW w:w="3260" w:type="dxa"/>
            <w:vAlign w:val="bottom"/>
          </w:tcPr>
          <w:p>
            <w:pPr>
              <w:ind w:left="40"/>
              <w:spacing w:after="0"/>
              <w:rPr>
                <w:sz w:val="20"/>
                <w:szCs w:val="20"/>
                <w:color w:val="auto"/>
              </w:rPr>
            </w:pPr>
            <w:r>
              <w:rPr>
                <w:rFonts w:ascii="Arial" w:cs="Arial" w:eastAsia="Arial" w:hAnsi="Arial"/>
                <w:sz w:val="16"/>
                <w:szCs w:val="16"/>
                <w:color w:val="auto"/>
              </w:rPr>
              <w:t>S&amp;P 500 Index</w:t>
            </w:r>
          </w:p>
        </w:tc>
        <w:tc>
          <w:tcPr>
            <w:tcW w:w="2280" w:type="dxa"/>
            <w:vAlign w:val="bottom"/>
          </w:tcPr>
          <w:p>
            <w:pPr>
              <w:jc w:val="right"/>
              <w:ind w:right="3"/>
              <w:spacing w:after="0"/>
              <w:rPr>
                <w:sz w:val="20"/>
                <w:szCs w:val="20"/>
                <w:color w:val="auto"/>
              </w:rPr>
            </w:pPr>
            <w:r>
              <w:rPr>
                <w:rFonts w:ascii="Arial" w:cs="Arial" w:eastAsia="Arial" w:hAnsi="Arial"/>
                <w:sz w:val="16"/>
                <w:szCs w:val="16"/>
                <w:color w:val="auto"/>
              </w:rPr>
              <w:t>100.00</w:t>
            </w:r>
          </w:p>
        </w:tc>
        <w:tc>
          <w:tcPr>
            <w:tcW w:w="1260" w:type="dxa"/>
            <w:vAlign w:val="bottom"/>
          </w:tcPr>
          <w:p>
            <w:pPr>
              <w:jc w:val="right"/>
              <w:ind w:right="181"/>
              <w:spacing w:after="0"/>
              <w:rPr>
                <w:sz w:val="20"/>
                <w:szCs w:val="20"/>
                <w:color w:val="auto"/>
              </w:rPr>
            </w:pPr>
            <w:r>
              <w:rPr>
                <w:rFonts w:ascii="Arial" w:cs="Arial" w:eastAsia="Arial" w:hAnsi="Arial"/>
                <w:sz w:val="16"/>
                <w:szCs w:val="16"/>
                <w:color w:val="auto"/>
              </w:rPr>
              <w:t>105.56</w:t>
            </w:r>
          </w:p>
        </w:tc>
        <w:tc>
          <w:tcPr>
            <w:tcW w:w="1200" w:type="dxa"/>
            <w:vAlign w:val="bottom"/>
          </w:tcPr>
          <w:p>
            <w:pPr>
              <w:jc w:val="right"/>
              <w:ind w:right="181"/>
              <w:spacing w:after="0"/>
              <w:rPr>
                <w:sz w:val="20"/>
                <w:szCs w:val="20"/>
                <w:color w:val="auto"/>
              </w:rPr>
            </w:pPr>
            <w:r>
              <w:rPr>
                <w:rFonts w:ascii="Arial" w:cs="Arial" w:eastAsia="Arial" w:hAnsi="Arial"/>
                <w:sz w:val="16"/>
                <w:szCs w:val="16"/>
                <w:color w:val="auto"/>
              </w:rPr>
              <w:t>119.01</w:t>
            </w:r>
          </w:p>
        </w:tc>
        <w:tc>
          <w:tcPr>
            <w:tcW w:w="1180" w:type="dxa"/>
            <w:vAlign w:val="bottom"/>
          </w:tcPr>
          <w:p>
            <w:pPr>
              <w:jc w:val="right"/>
              <w:ind w:right="181"/>
              <w:spacing w:after="0"/>
              <w:rPr>
                <w:sz w:val="20"/>
                <w:szCs w:val="20"/>
                <w:color w:val="auto"/>
              </w:rPr>
            </w:pPr>
            <w:r>
              <w:rPr>
                <w:rFonts w:ascii="Arial" w:cs="Arial" w:eastAsia="Arial" w:hAnsi="Arial"/>
                <w:sz w:val="16"/>
                <w:szCs w:val="16"/>
                <w:color w:val="auto"/>
              </w:rPr>
              <w:t>145.74</w:t>
            </w:r>
          </w:p>
        </w:tc>
        <w:tc>
          <w:tcPr>
            <w:tcW w:w="1200" w:type="dxa"/>
            <w:vAlign w:val="bottom"/>
          </w:tcPr>
          <w:p>
            <w:pPr>
              <w:jc w:val="right"/>
              <w:ind w:right="201"/>
              <w:spacing w:after="0"/>
              <w:rPr>
                <w:sz w:val="20"/>
                <w:szCs w:val="20"/>
                <w:color w:val="auto"/>
              </w:rPr>
            </w:pPr>
            <w:r>
              <w:rPr>
                <w:rFonts w:ascii="Arial" w:cs="Arial" w:eastAsia="Arial" w:hAnsi="Arial"/>
                <w:sz w:val="16"/>
                <w:szCs w:val="16"/>
                <w:color w:val="auto"/>
              </w:rPr>
              <w:t>172.52</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216.08</w:t>
            </w:r>
          </w:p>
        </w:tc>
      </w:tr>
      <w:tr>
        <w:trPr>
          <w:trHeight w:val="280"/>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Peer Group</w:t>
            </w:r>
          </w:p>
        </w:tc>
        <w:tc>
          <w:tcPr>
            <w:tcW w:w="22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100.00</w:t>
            </w:r>
          </w:p>
        </w:tc>
        <w:tc>
          <w:tcPr>
            <w:tcW w:w="12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123.04</w:t>
            </w:r>
          </w:p>
        </w:tc>
        <w:tc>
          <w:tcPr>
            <w:tcW w:w="12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168.91</w:t>
            </w:r>
          </w:p>
        </w:tc>
        <w:tc>
          <w:tcPr>
            <w:tcW w:w="11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256.64</w:t>
            </w:r>
          </w:p>
        </w:tc>
        <w:tc>
          <w:tcPr>
            <w:tcW w:w="12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395.88</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498.02</w:t>
            </w:r>
          </w:p>
        </w:tc>
      </w:tr>
      <w:tr>
        <w:trPr>
          <w:trHeight w:val="629"/>
        </w:trPr>
        <w:tc>
          <w:tcPr>
            <w:tcW w:w="3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60" w:type="dxa"/>
            <w:vAlign w:val="bottom"/>
          </w:tcPr>
          <w:p>
            <w:pPr>
              <w:jc w:val="right"/>
              <w:ind w:right="921"/>
              <w:spacing w:after="0"/>
              <w:rPr>
                <w:sz w:val="20"/>
                <w:szCs w:val="20"/>
                <w:color w:val="auto"/>
              </w:rPr>
            </w:pPr>
            <w:r>
              <w:rPr>
                <w:rFonts w:ascii="Arial" w:cs="Arial" w:eastAsia="Arial" w:hAnsi="Arial"/>
                <w:sz w:val="16"/>
                <w:szCs w:val="16"/>
                <w:color w:val="auto"/>
              </w:rPr>
              <w:t>11</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447"/>
        </w:trPr>
        <w:tc>
          <w:tcPr>
            <w:tcW w:w="444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color w:val="auto"/>
              </w:rPr>
              <w:t>Selected Financial Data</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Fiscal Years Ended</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70"/>
        </w:trPr>
        <w:tc>
          <w:tcPr>
            <w:tcW w:w="44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EPS)</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08/30/14</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08/31/13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xml:space="preserve">8/25/12 </w:t>
            </w:r>
            <w:r>
              <w:rPr>
                <w:rFonts w:ascii="Arial" w:cs="Arial" w:eastAsia="Arial" w:hAnsi="Arial"/>
                <w:sz w:val="21"/>
                <w:szCs w:val="21"/>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08/27/11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08/28/10</w:t>
            </w:r>
          </w:p>
        </w:tc>
      </w:tr>
      <w:tr>
        <w:trPr>
          <w:trHeight w:val="264"/>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statement data:</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60"/>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Net revenues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945,163</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803,165</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581,679</w:t>
            </w:r>
          </w:p>
        </w:tc>
        <w:tc>
          <w:tcPr>
            <w:tcW w:w="12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496,418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449,484</w:t>
            </w:r>
          </w:p>
        </w:tc>
      </w:tr>
      <w:tr>
        <w:trPr>
          <w:trHeight w:val="28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31,953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10,247</w:t>
            </w:r>
          </w:p>
        </w:tc>
      </w:tr>
      <w:tr>
        <w:trPr>
          <w:trHeight w:val="270"/>
        </w:trPr>
        <w:tc>
          <w:tcPr>
            <w:tcW w:w="126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44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Per share data:</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60"/>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Net income - basic</w:t>
            </w:r>
          </w:p>
        </w:tc>
        <w:tc>
          <w:tcPr>
            <w:tcW w:w="2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0.41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0.35</w:t>
            </w:r>
          </w:p>
        </w:tc>
      </w:tr>
      <w:tr>
        <w:trPr>
          <w:trHeight w:val="280"/>
        </w:trPr>
        <w:tc>
          <w:tcPr>
            <w:tcW w:w="44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Net income - diluted</w:t>
            </w: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60"/>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Dividends declared and paid per common share</w:t>
            </w:r>
          </w:p>
        </w:tc>
        <w:tc>
          <w:tcPr>
            <w:tcW w:w="22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1260" w:type="dxa"/>
            <w:vAlign w:val="bottom"/>
            <w:shd w:val="clear" w:color="auto" w:fill="CCEEFF"/>
          </w:tcPr>
          <w:p>
            <w:pPr>
              <w:spacing w:after="0"/>
              <w:rPr>
                <w:sz w:val="24"/>
                <w:szCs w:val="24"/>
                <w:color w:val="auto"/>
              </w:rPr>
            </w:pPr>
          </w:p>
        </w:tc>
        <w:tc>
          <w:tcPr>
            <w:tcW w:w="31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51"/>
        </w:trPr>
        <w:tc>
          <w:tcPr>
            <w:tcW w:w="4440" w:type="dxa"/>
            <w:vAlign w:val="bottom"/>
            <w:gridSpan w:val="2"/>
          </w:tcPr>
          <w:p>
            <w:pPr>
              <w:ind w:left="40"/>
              <w:spacing w:after="0"/>
              <w:rPr>
                <w:sz w:val="20"/>
                <w:szCs w:val="20"/>
                <w:color w:val="auto"/>
              </w:rPr>
            </w:pPr>
            <w:r>
              <w:rPr>
                <w:rFonts w:ascii="Arial" w:cs="Arial" w:eastAsia="Arial" w:hAnsi="Arial"/>
                <w:sz w:val="16"/>
                <w:szCs w:val="16"/>
                <w:color w:val="auto"/>
              </w:rPr>
              <w:t>Balance sheet data:</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0"/>
        </w:trPr>
        <w:tc>
          <w:tcPr>
            <w:tcW w:w="4440" w:type="dxa"/>
            <w:vAlign w:val="bottom"/>
            <w:gridSpan w:val="2"/>
          </w:tcPr>
          <w:p>
            <w:pPr>
              <w:ind w:left="180"/>
              <w:spacing w:after="0"/>
              <w:rPr>
                <w:sz w:val="20"/>
                <w:szCs w:val="20"/>
                <w:color w:val="auto"/>
              </w:rPr>
            </w:pPr>
            <w:r>
              <w:rPr>
                <w:rFonts w:ascii="Arial" w:cs="Arial" w:eastAsia="Arial" w:hAnsi="Arial"/>
                <w:sz w:val="16"/>
                <w:szCs w:val="16"/>
                <w:color w:val="auto"/>
              </w:rPr>
              <w:t>Total assets</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358,302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309,145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286,072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239,927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227,357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180" w:hanging="172"/>
        <w:spacing w:after="0" w:line="214"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 Fiscal 2012 we recorded a non-cash tax benefit of $37.7 million through the reduction of our Fiscal 2009 deferred tax asset valuation allowance.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 </w:t>
      </w:r>
      <w:r>
        <w:rPr>
          <w:rFonts w:ascii="Arial" w:cs="Arial" w:eastAsia="Arial" w:hAnsi="Arial"/>
          <w:sz w:val="16"/>
          <w:szCs w:val="16"/>
          <w:color w:val="auto"/>
        </w:rPr>
        <w:t>Management's Discussion and Analysis of Financial Condition and Results of Operations</w:t>
      </w:r>
    </w:p>
    <w:p>
      <w:pPr>
        <w:spacing w:after="0" w:line="187"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Our MD&amp;A is presented in eight sections:</w:t>
      </w:r>
    </w:p>
    <w:p>
      <w:pPr>
        <w:spacing w:after="0" w:line="1"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Executive Overview</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Industry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17">
        <w:r>
          <w:rPr>
            <w:rFonts w:ascii="Arial" w:cs="Arial" w:eastAsia="Arial" w:hAnsi="Arial"/>
            <w:sz w:val="16"/>
            <w:szCs w:val="16"/>
            <w:u w:val="single" w:color="auto"/>
            <w:color w:val="0000EE"/>
          </w:rPr>
          <w:t>Company Outlook</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Results of Operations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Analysis of Financial Condition, Liquidity and Capital Resources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Contractual Obligations and Commercial Commitments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24">
        <w:r>
          <w:rPr>
            <w:rFonts w:ascii="Arial" w:cs="Arial" w:eastAsia="Arial" w:hAnsi="Arial"/>
            <w:sz w:val="16"/>
            <w:szCs w:val="16"/>
            <w:u w:val="single" w:color="auto"/>
            <w:color w:val="0000EE"/>
          </w:rPr>
          <w:t>Critical Accounting Policies</w:t>
        </w:r>
      </w:hyperlink>
    </w:p>
    <w:p>
      <w:pPr>
        <w:spacing w:after="0" w:line="5" w:lineRule="exact"/>
        <w:rPr>
          <w:rFonts w:ascii="Arial" w:cs="Arial" w:eastAsia="Arial" w:hAnsi="Arial"/>
          <w:sz w:val="16"/>
          <w:szCs w:val="16"/>
          <w:u w:val="single" w:color="auto"/>
          <w:color w:val="0000EE"/>
        </w:rPr>
      </w:pPr>
    </w:p>
    <w:p>
      <w:pPr>
        <w:ind w:left="340" w:hanging="332"/>
        <w:spacing w:after="0"/>
        <w:tabs>
          <w:tab w:leader="none" w:pos="340" w:val="left"/>
        </w:tabs>
        <w:numPr>
          <w:ilvl w:val="0"/>
          <w:numId w:val="8"/>
        </w:numPr>
        <w:rPr>
          <w:rFonts w:ascii="Arial" w:cs="Arial" w:eastAsia="Arial" w:hAnsi="Arial"/>
          <w:sz w:val="16"/>
          <w:szCs w:val="16"/>
          <w:u w:val="single" w:color="auto"/>
          <w:color w:val="0000EE"/>
        </w:rPr>
      </w:pPr>
      <w:hyperlink w:anchor="page27">
        <w:r>
          <w:rPr>
            <w:rFonts w:ascii="Arial" w:cs="Arial" w:eastAsia="Arial" w:hAnsi="Arial"/>
            <w:sz w:val="16"/>
            <w:szCs w:val="16"/>
            <w:u w:val="single" w:color="auto"/>
            <w:color w:val="0000EE"/>
          </w:rPr>
          <w:t>New Accounting Pronouncements</w:t>
        </w:r>
      </w:hyperlink>
    </w:p>
    <w:p>
      <w:pPr>
        <w:spacing w:after="0" w:line="194" w:lineRule="exact"/>
        <w:rPr>
          <w:rFonts w:ascii="Arial" w:cs="Arial" w:eastAsia="Arial" w:hAnsi="Arial"/>
          <w:sz w:val="16"/>
          <w:szCs w:val="16"/>
          <w:color w:val="auto"/>
        </w:rPr>
      </w:pPr>
    </w:p>
    <w:p>
      <w:pPr>
        <w:spacing w:after="0" w:line="260" w:lineRule="auto"/>
        <w:rPr>
          <w:sz w:val="20"/>
          <w:szCs w:val="20"/>
          <w:color w:val="auto"/>
        </w:rPr>
      </w:pPr>
      <w:r>
        <w:rPr>
          <w:rFonts w:ascii="Arial" w:cs="Arial" w:eastAsia="Arial" w:hAnsi="Arial"/>
          <w:sz w:val="16"/>
          <w:szCs w:val="16"/>
          <w:color w:val="auto"/>
        </w:rPr>
        <w:t>Our MD&amp;A should be read in conjunction with the Financial Statements and related Notes included in Item 8, Financial Statements and Supplementary Data, of this Annual Report on Form 10-K.</w:t>
      </w:r>
    </w:p>
    <w:p>
      <w:pPr>
        <w:spacing w:after="0" w:line="14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Executive Overview</w:t>
      </w:r>
    </w:p>
    <w:p>
      <w:pPr>
        <w:spacing w:after="0" w:line="268" w:lineRule="exact"/>
        <w:rPr>
          <w:rFonts w:ascii="Arial" w:cs="Arial" w:eastAsia="Arial" w:hAnsi="Arial"/>
          <w:sz w:val="16"/>
          <w:szCs w:val="16"/>
          <w:color w:val="auto"/>
        </w:rPr>
      </w:pPr>
    </w:p>
    <w:p>
      <w:pPr>
        <w:ind w:right="160"/>
        <w:spacing w:after="0" w:line="253"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produce all of our motorhomes in vertically integrated manufacturing facilities in Iowa and we produce all travel trailer and fifth wheel trailers in Indiana. We distribute our products primarily through independent dealers throughout the US and Canada, who then retail the products to the end consumer.</w:t>
      </w:r>
    </w:p>
    <w:p>
      <w:pPr>
        <w:spacing w:after="0" w:line="80" w:lineRule="exact"/>
        <w:rPr>
          <w:rFonts w:ascii="Arial" w:cs="Arial" w:eastAsia="Arial" w:hAnsi="Arial"/>
          <w:sz w:val="16"/>
          <w:szCs w:val="16"/>
          <w:color w:val="auto"/>
        </w:rPr>
      </w:pPr>
    </w:p>
    <w:p>
      <w:pPr>
        <w:ind w:right="640"/>
        <w:spacing w:after="0" w:line="295"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16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3"/>
          </w:tcPr>
          <w:p>
            <w:pPr>
              <w:ind w:left="660"/>
              <w:spacing w:after="0"/>
              <w:rPr>
                <w:sz w:val="20"/>
                <w:szCs w:val="20"/>
                <w:color w:val="auto"/>
              </w:rPr>
            </w:pPr>
            <w:r>
              <w:rPr>
                <w:rFonts w:ascii="Arial" w:cs="Arial" w:eastAsia="Arial" w:hAnsi="Arial"/>
                <w:sz w:val="14"/>
                <w:szCs w:val="14"/>
                <w:b w:val="1"/>
                <w:bCs w:val="1"/>
                <w:color w:val="auto"/>
              </w:rPr>
              <w:t>Through July 31</w:t>
            </w:r>
          </w:p>
        </w:tc>
        <w:tc>
          <w:tcPr>
            <w:tcW w:w="1300" w:type="dxa"/>
            <w:vAlign w:val="bottom"/>
          </w:tcPr>
          <w:p>
            <w:pPr>
              <w:spacing w:after="0"/>
              <w:rPr>
                <w:sz w:val="17"/>
                <w:szCs w:val="17"/>
                <w:color w:val="auto"/>
              </w:rPr>
            </w:pPr>
          </w:p>
        </w:tc>
        <w:tc>
          <w:tcPr>
            <w:tcW w:w="1520" w:type="dxa"/>
            <w:vAlign w:val="bottom"/>
          </w:tcPr>
          <w:p>
            <w:pPr>
              <w:jc w:val="right"/>
              <w:ind w:right="263"/>
              <w:spacing w:after="0"/>
              <w:rPr>
                <w:sz w:val="20"/>
                <w:szCs w:val="20"/>
                <w:color w:val="auto"/>
              </w:rPr>
            </w:pPr>
            <w:r>
              <w:rPr>
                <w:rFonts w:ascii="Arial" w:cs="Arial" w:eastAsia="Arial" w:hAnsi="Arial"/>
                <w:sz w:val="14"/>
                <w:szCs w:val="14"/>
                <w:b w:val="1"/>
                <w:bCs w:val="1"/>
                <w:color w:val="auto"/>
              </w:rPr>
              <w:t>Calendar Year</w:t>
            </w:r>
          </w:p>
        </w:tc>
        <w:tc>
          <w:tcPr>
            <w:tcW w:w="1160" w:type="dxa"/>
            <w:vAlign w:val="bottom"/>
          </w:tcPr>
          <w:p>
            <w:pPr>
              <w:spacing w:after="0"/>
              <w:rPr>
                <w:sz w:val="17"/>
                <w:szCs w:val="17"/>
                <w:color w:val="auto"/>
              </w:rPr>
            </w:pPr>
          </w:p>
        </w:tc>
      </w:tr>
      <w:tr>
        <w:trPr>
          <w:trHeight w:val="250"/>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00" w:type="dxa"/>
            <w:vAlign w:val="bottom"/>
            <w:tcBorders>
              <w:bottom w:val="single" w:sz="8" w:color="CCEEFF"/>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2014</w:t>
            </w:r>
          </w:p>
        </w:tc>
        <w:tc>
          <w:tcPr>
            <w:tcW w:w="1060" w:type="dxa"/>
            <w:vAlign w:val="bottom"/>
            <w:tcBorders>
              <w:top w:val="single" w:sz="8" w:color="auto"/>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2013</w:t>
            </w:r>
          </w:p>
        </w:tc>
        <w:tc>
          <w:tcPr>
            <w:tcW w:w="152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2011</w:t>
            </w:r>
          </w:p>
        </w:tc>
      </w:tr>
      <w:tr>
        <w:trPr>
          <w:trHeight w:val="256"/>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4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20.9%</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17.6%</w:t>
            </w: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18.6%</w:t>
            </w:r>
          </w:p>
        </w:tc>
        <w:tc>
          <w:tcPr>
            <w:tcW w:w="152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19.8%</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18.1%</w:t>
            </w:r>
          </w:p>
        </w:tc>
      </w:tr>
      <w:tr>
        <w:trPr>
          <w:trHeight w:val="270"/>
        </w:trPr>
        <w:tc>
          <w:tcPr>
            <w:tcW w:w="4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48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 and fifth wheels</w:t>
            </w:r>
          </w:p>
        </w:tc>
        <w:tc>
          <w:tcPr>
            <w:tcW w:w="1340" w:type="dxa"/>
            <w:vAlign w:val="bottom"/>
            <w:shd w:val="clear" w:color="auto" w:fill="CCEEFF"/>
          </w:tcPr>
          <w:p>
            <w:pPr>
              <w:jc w:val="right"/>
              <w:ind w:right="223"/>
              <w:spacing w:after="0"/>
              <w:rPr>
                <w:sz w:val="20"/>
                <w:szCs w:val="20"/>
                <w:color w:val="auto"/>
              </w:rPr>
            </w:pPr>
            <w:r>
              <w:rPr>
                <w:rFonts w:ascii="Arial" w:cs="Arial" w:eastAsia="Arial" w:hAnsi="Arial"/>
                <w:sz w:val="16"/>
                <w:szCs w:val="16"/>
                <w:color w:val="auto"/>
              </w:rPr>
              <w:t>0.8%</w:t>
            </w:r>
          </w:p>
        </w:tc>
        <w:tc>
          <w:tcPr>
            <w:tcW w:w="106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0.9%</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1.0%</w:t>
            </w:r>
          </w:p>
        </w:tc>
        <w:tc>
          <w:tcPr>
            <w:tcW w:w="1520" w:type="dxa"/>
            <w:vAlign w:val="bottom"/>
            <w:shd w:val="clear" w:color="auto" w:fill="CCEEFF"/>
          </w:tcPr>
          <w:p>
            <w:pPr>
              <w:jc w:val="right"/>
              <w:ind w:right="363"/>
              <w:spacing w:after="0"/>
              <w:rPr>
                <w:sz w:val="20"/>
                <w:szCs w:val="20"/>
                <w:color w:val="auto"/>
              </w:rPr>
            </w:pPr>
            <w:r>
              <w:rPr>
                <w:rFonts w:ascii="Arial" w:cs="Arial" w:eastAsia="Arial" w:hAnsi="Arial"/>
                <w:sz w:val="16"/>
                <w:szCs w:val="16"/>
                <w:color w:val="auto"/>
              </w:rPr>
              <w:t>0.9%</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0.6%</w:t>
            </w:r>
          </w:p>
        </w:tc>
      </w:tr>
    </w:tbl>
    <w:p>
      <w:pPr>
        <w:spacing w:after="0" w:line="191" w:lineRule="exact"/>
        <w:rPr>
          <w:rFonts w:ascii="Arial" w:cs="Arial" w:eastAsia="Arial" w:hAnsi="Arial"/>
          <w:sz w:val="16"/>
          <w:szCs w:val="16"/>
          <w:color w:val="auto"/>
        </w:rPr>
      </w:pPr>
    </w:p>
    <w:p>
      <w:pPr>
        <w:jc w:val="both"/>
        <w:ind w:right="120"/>
        <w:spacing w:after="0" w:line="253" w:lineRule="auto"/>
        <w:rPr>
          <w:sz w:val="20"/>
          <w:szCs w:val="20"/>
          <w:color w:val="auto"/>
        </w:rPr>
      </w:pPr>
      <w:r>
        <w:rPr>
          <w:rFonts w:ascii="Arial" w:cs="Arial" w:eastAsia="Arial" w:hAnsi="Arial"/>
          <w:sz w:val="16"/>
          <w:szCs w:val="16"/>
          <w:color w:val="auto"/>
        </w:rPr>
        <w:t>Through the first seven months of the calendar year, we increased our North American motorhome retail market share by 330 basis points. The most notable growth occurred in the Class C segment which was fueled in part by our partnership with a large rental dealer. We also experienced strong retail growth in our Class B and Class A diesel segments due to new products introduced in those categories.</w:t>
      </w:r>
    </w:p>
    <w:p>
      <w:pPr>
        <w:spacing w:after="0" w:line="22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1720" w:type="dxa"/>
            <w:vAlign w:val="bottom"/>
            <w:gridSpan w:val="3"/>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60"/>
        </w:trPr>
        <w:tc>
          <w:tcPr>
            <w:tcW w:w="5580" w:type="dxa"/>
            <w:vAlign w:val="bottom"/>
            <w:gridSpan w:val="6"/>
          </w:tcPr>
          <w:p>
            <w:pPr>
              <w:spacing w:after="0"/>
              <w:rPr>
                <w:sz w:val="20"/>
                <w:szCs w:val="20"/>
                <w:color w:val="auto"/>
              </w:rPr>
            </w:pPr>
            <w:r>
              <w:rPr>
                <w:rFonts w:ascii="Arial" w:cs="Arial" w:eastAsia="Arial" w:hAnsi="Arial"/>
                <w:sz w:val="16"/>
                <w:szCs w:val="16"/>
                <w:color w:val="auto"/>
              </w:rPr>
              <w:t>Presented in fiscal quarters, certain key metrics are shown below:</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5"/>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2"/>
          </w:tcPr>
          <w:p>
            <w:pPr>
              <w:jc w:val="right"/>
              <w:ind w:right="281"/>
              <w:spacing w:after="0"/>
              <w:rPr>
                <w:sz w:val="20"/>
                <w:szCs w:val="20"/>
                <w:color w:val="auto"/>
              </w:rPr>
            </w:pPr>
            <w:r>
              <w:rPr>
                <w:rFonts w:ascii="Arial" w:cs="Arial" w:eastAsia="Arial" w:hAnsi="Arial"/>
                <w:sz w:val="16"/>
                <w:szCs w:val="16"/>
                <w:b w:val="1"/>
                <w:bCs w:val="1"/>
                <w:color w:val="auto"/>
              </w:rPr>
              <w:t>Class A, B &amp; C Motorhomes</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6"/>
                <w:szCs w:val="16"/>
                <w:b w:val="1"/>
                <w:bCs w:val="1"/>
                <w:color w:val="auto"/>
              </w:rPr>
              <w:t>Travel Trailers &amp; Fifth Wheels</w:t>
            </w:r>
          </w:p>
        </w:tc>
        <w:tc>
          <w:tcPr>
            <w:tcW w:w="96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12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As of Quarter End</w:t>
            </w: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140" w:type="dxa"/>
            <w:vAlign w:val="bottom"/>
            <w:tcBorders>
              <w:bottom w:val="single" w:sz="8" w:color="auto"/>
            </w:tcBorders>
            <w:gridSpan w:val="2"/>
          </w:tcPr>
          <w:p>
            <w:pPr>
              <w:jc w:val="right"/>
              <w:ind w:right="361"/>
              <w:spacing w:after="0"/>
              <w:rPr>
                <w:sz w:val="20"/>
                <w:szCs w:val="20"/>
                <w:color w:val="auto"/>
              </w:rPr>
            </w:pPr>
            <w:r>
              <w:rPr>
                <w:rFonts w:ascii="Arial" w:cs="Arial" w:eastAsia="Arial" w:hAnsi="Arial"/>
                <w:sz w:val="14"/>
                <w:szCs w:val="14"/>
                <w:b w:val="1"/>
                <w:bCs w:val="1"/>
                <w:color w:val="auto"/>
              </w:rPr>
              <w:t>As of Quarter End</w:t>
            </w:r>
          </w:p>
        </w:tc>
      </w:tr>
      <w:tr>
        <w:trPr>
          <w:trHeight w:val="244"/>
        </w:trPr>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540" w:type="dxa"/>
            <w:vAlign w:val="bottom"/>
          </w:tcPr>
          <w:p>
            <w:pPr>
              <w:jc w:val="right"/>
              <w:ind w:right="460"/>
              <w:spacing w:after="0"/>
              <w:rPr>
                <w:sz w:val="20"/>
                <w:szCs w:val="20"/>
                <w:color w:val="auto"/>
              </w:rPr>
            </w:pPr>
            <w:r>
              <w:rPr>
                <w:rFonts w:ascii="Arial" w:cs="Arial" w:eastAsia="Arial" w:hAnsi="Arial"/>
                <w:sz w:val="14"/>
                <w:szCs w:val="14"/>
                <w:b w:val="1"/>
                <w:bCs w:val="1"/>
                <w:color w:val="auto"/>
              </w:rPr>
              <w:t>Retail</w:t>
            </w:r>
          </w:p>
        </w:tc>
        <w:tc>
          <w:tcPr>
            <w:tcW w:w="1160" w:type="dxa"/>
            <w:vAlign w:val="bottom"/>
          </w:tcPr>
          <w:p>
            <w:pPr>
              <w:jc w:val="right"/>
              <w:ind w:right="261"/>
              <w:spacing w:after="0"/>
              <w:rPr>
                <w:sz w:val="20"/>
                <w:szCs w:val="20"/>
                <w:color w:val="auto"/>
              </w:rPr>
            </w:pPr>
            <w:r>
              <w:rPr>
                <w:rFonts w:ascii="Arial" w:cs="Arial" w:eastAsia="Arial" w:hAnsi="Arial"/>
                <w:sz w:val="14"/>
                <w:szCs w:val="14"/>
                <w:b w:val="1"/>
                <w:bCs w:val="1"/>
                <w:color w:val="auto"/>
              </w:rPr>
              <w:t>Dealer</w:t>
            </w:r>
          </w:p>
        </w:tc>
        <w:tc>
          <w:tcPr>
            <w:tcW w:w="1080" w:type="dxa"/>
            <w:vAlign w:val="bottom"/>
            <w:gridSpan w:val="2"/>
          </w:tcPr>
          <w:p>
            <w:pPr>
              <w:ind w:left="300"/>
              <w:spacing w:after="0"/>
              <w:rPr>
                <w:sz w:val="20"/>
                <w:szCs w:val="20"/>
                <w:color w:val="auto"/>
              </w:rPr>
            </w:pPr>
            <w:r>
              <w:rPr>
                <w:rFonts w:ascii="Arial" w:cs="Arial" w:eastAsia="Arial" w:hAnsi="Arial"/>
                <w:sz w:val="14"/>
                <w:szCs w:val="14"/>
                <w:b w:val="1"/>
                <w:bCs w:val="1"/>
                <w:color w:val="auto"/>
              </w:rPr>
              <w:t>Order</w:t>
            </w:r>
          </w:p>
        </w:tc>
        <w:tc>
          <w:tcPr>
            <w:tcW w:w="1120" w:type="dxa"/>
            <w:vAlign w:val="bottom"/>
          </w:tcPr>
          <w:p>
            <w:pPr>
              <w:jc w:val="right"/>
              <w:ind w:right="120"/>
              <w:spacing w:after="0"/>
              <w:rPr>
                <w:sz w:val="20"/>
                <w:szCs w:val="20"/>
                <w:color w:val="auto"/>
              </w:rPr>
            </w:pPr>
            <w:r>
              <w:rPr>
                <w:rFonts w:ascii="Arial" w:cs="Arial" w:eastAsia="Arial" w:hAnsi="Arial"/>
                <w:sz w:val="14"/>
                <w:szCs w:val="14"/>
                <w:b w:val="1"/>
                <w:bCs w:val="1"/>
                <w:color w:val="auto"/>
              </w:rPr>
              <w:t>Wholesale</w:t>
            </w:r>
          </w:p>
        </w:tc>
        <w:tc>
          <w:tcPr>
            <w:tcW w:w="1500" w:type="dxa"/>
            <w:vAlign w:val="bottom"/>
          </w:tcPr>
          <w:p>
            <w:pPr>
              <w:jc w:val="right"/>
              <w:ind w:right="460"/>
              <w:spacing w:after="0"/>
              <w:rPr>
                <w:sz w:val="20"/>
                <w:szCs w:val="20"/>
                <w:color w:val="auto"/>
              </w:rPr>
            </w:pPr>
            <w:r>
              <w:rPr>
                <w:rFonts w:ascii="Arial" w:cs="Arial" w:eastAsia="Arial" w:hAnsi="Arial"/>
                <w:sz w:val="14"/>
                <w:szCs w:val="14"/>
                <w:b w:val="1"/>
                <w:bCs w:val="1"/>
                <w:color w:val="auto"/>
              </w:rPr>
              <w:t>Retail</w:t>
            </w:r>
          </w:p>
        </w:tc>
        <w:tc>
          <w:tcPr>
            <w:tcW w:w="1180" w:type="dxa"/>
            <w:vAlign w:val="bottom"/>
          </w:tcPr>
          <w:p>
            <w:pPr>
              <w:jc w:val="right"/>
              <w:ind w:right="261"/>
              <w:spacing w:after="0"/>
              <w:rPr>
                <w:sz w:val="20"/>
                <w:szCs w:val="20"/>
                <w:color w:val="auto"/>
              </w:rPr>
            </w:pPr>
            <w:r>
              <w:rPr>
                <w:rFonts w:ascii="Arial" w:cs="Arial" w:eastAsia="Arial" w:hAnsi="Arial"/>
                <w:sz w:val="14"/>
                <w:szCs w:val="14"/>
                <w:b w:val="1"/>
                <w:bCs w:val="1"/>
                <w:color w:val="auto"/>
              </w:rPr>
              <w:t>Dealer</w:t>
            </w:r>
          </w:p>
        </w:tc>
        <w:tc>
          <w:tcPr>
            <w:tcW w:w="960" w:type="dxa"/>
            <w:vAlign w:val="bottom"/>
          </w:tcPr>
          <w:p>
            <w:pPr>
              <w:jc w:val="right"/>
              <w:ind w:right="181"/>
              <w:spacing w:after="0"/>
              <w:rPr>
                <w:sz w:val="20"/>
                <w:szCs w:val="20"/>
                <w:color w:val="auto"/>
              </w:rPr>
            </w:pPr>
            <w:r>
              <w:rPr>
                <w:rFonts w:ascii="Arial" w:cs="Arial" w:eastAsia="Arial" w:hAnsi="Arial"/>
                <w:sz w:val="14"/>
                <w:szCs w:val="14"/>
                <w:b w:val="1"/>
                <w:bCs w:val="1"/>
                <w:color w:val="auto"/>
              </w:rPr>
              <w:t>Order</w:t>
            </w:r>
          </w:p>
        </w:tc>
      </w:tr>
      <w:tr>
        <w:trPr>
          <w:trHeight w:val="276"/>
        </w:trPr>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units)</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Deliveries</w:t>
            </w:r>
          </w:p>
        </w:tc>
        <w:tc>
          <w:tcPr>
            <w:tcW w:w="15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Registrations</w:t>
            </w: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Inventory</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Backlog</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Deliveries</w:t>
            </w: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Registrations</w:t>
            </w: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Inventory</w:t>
            </w:r>
          </w:p>
        </w:tc>
        <w:tc>
          <w:tcPr>
            <w:tcW w:w="96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Backlog</w:t>
            </w:r>
          </w:p>
        </w:tc>
      </w:tr>
      <w:tr>
        <w:trPr>
          <w:trHeight w:val="256"/>
        </w:trPr>
        <w:tc>
          <w:tcPr>
            <w:tcW w:w="1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1,534</w:t>
            </w:r>
          </w:p>
        </w:tc>
        <w:tc>
          <w:tcPr>
            <w:tcW w:w="15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1,416</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2,045</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557</w:t>
            </w:r>
          </w:p>
        </w:tc>
        <w:tc>
          <w:tcPr>
            <w:tcW w:w="15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367</w:t>
            </w:r>
          </w:p>
        </w:tc>
        <w:tc>
          <w:tcPr>
            <w:tcW w:w="11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1,555</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687</w:t>
            </w:r>
          </w:p>
        </w:tc>
      </w:tr>
      <w:tr>
        <w:trPr>
          <w:trHeight w:val="260"/>
        </w:trPr>
        <w:tc>
          <w:tcPr>
            <w:tcW w:w="1720" w:type="dxa"/>
            <w:vAlign w:val="bottom"/>
            <w:gridSpan w:val="3"/>
          </w:tcPr>
          <w:p>
            <w:pPr>
              <w:ind w:left="40"/>
              <w:spacing w:after="0"/>
              <w:rPr>
                <w:sz w:val="20"/>
                <w:szCs w:val="20"/>
                <w:color w:val="auto"/>
              </w:rPr>
            </w:pPr>
            <w:r>
              <w:rPr>
                <w:rFonts w:ascii="Arial" w:cs="Arial" w:eastAsia="Arial" w:hAnsi="Arial"/>
                <w:sz w:val="16"/>
                <w:szCs w:val="16"/>
                <w:color w:val="auto"/>
              </w:rPr>
              <w:t>Q2</w:t>
            </w:r>
          </w:p>
        </w:tc>
        <w:tc>
          <w:tcPr>
            <w:tcW w:w="1160" w:type="dxa"/>
            <w:vAlign w:val="bottom"/>
          </w:tcPr>
          <w:p>
            <w:pPr>
              <w:jc w:val="right"/>
              <w:ind w:right="280"/>
              <w:spacing w:after="0"/>
              <w:rPr>
                <w:sz w:val="20"/>
                <w:szCs w:val="20"/>
                <w:color w:val="auto"/>
              </w:rPr>
            </w:pPr>
            <w:r>
              <w:rPr>
                <w:rFonts w:ascii="Arial" w:cs="Arial" w:eastAsia="Arial" w:hAnsi="Arial"/>
                <w:sz w:val="16"/>
                <w:szCs w:val="16"/>
                <w:color w:val="auto"/>
              </w:rPr>
              <w:t>1,419</w:t>
            </w:r>
          </w:p>
        </w:tc>
        <w:tc>
          <w:tcPr>
            <w:tcW w:w="1540" w:type="dxa"/>
            <w:vAlign w:val="bottom"/>
          </w:tcPr>
          <w:p>
            <w:pPr>
              <w:jc w:val="right"/>
              <w:ind w:right="340"/>
              <w:spacing w:after="0"/>
              <w:rPr>
                <w:sz w:val="20"/>
                <w:szCs w:val="20"/>
                <w:color w:val="auto"/>
              </w:rPr>
            </w:pPr>
            <w:r>
              <w:rPr>
                <w:rFonts w:ascii="Arial" w:cs="Arial" w:eastAsia="Arial" w:hAnsi="Arial"/>
                <w:sz w:val="16"/>
                <w:szCs w:val="16"/>
                <w:color w:val="auto"/>
              </w:rPr>
              <w:t>1,072</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2,392</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2,752</w:t>
            </w:r>
          </w:p>
        </w:tc>
        <w:tc>
          <w:tcPr>
            <w:tcW w:w="120" w:type="dxa"/>
            <w:vAlign w:val="bottom"/>
          </w:tcPr>
          <w:p>
            <w:pPr>
              <w:spacing w:after="0"/>
              <w:rPr>
                <w:sz w:val="22"/>
                <w:szCs w:val="22"/>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548</w:t>
            </w:r>
          </w:p>
        </w:tc>
        <w:tc>
          <w:tcPr>
            <w:tcW w:w="1500" w:type="dxa"/>
            <w:vAlign w:val="bottom"/>
          </w:tcPr>
          <w:p>
            <w:pPr>
              <w:jc w:val="right"/>
              <w:ind w:right="340"/>
              <w:spacing w:after="0"/>
              <w:rPr>
                <w:sz w:val="20"/>
                <w:szCs w:val="20"/>
                <w:color w:val="auto"/>
              </w:rPr>
            </w:pPr>
            <w:r>
              <w:rPr>
                <w:rFonts w:ascii="Arial" w:cs="Arial" w:eastAsia="Arial" w:hAnsi="Arial"/>
                <w:sz w:val="16"/>
                <w:szCs w:val="16"/>
                <w:color w:val="auto"/>
              </w:rPr>
              <w:t>328</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1,775</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381</w:t>
            </w:r>
          </w:p>
        </w:tc>
      </w:tr>
      <w:tr>
        <w:trPr>
          <w:trHeight w:val="280"/>
        </w:trPr>
        <w:tc>
          <w:tcPr>
            <w:tcW w:w="1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1,978</w:t>
            </w:r>
          </w:p>
        </w:tc>
        <w:tc>
          <w:tcPr>
            <w:tcW w:w="15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1,736</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2,634</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2,846</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713</w:t>
            </w:r>
          </w:p>
        </w:tc>
        <w:tc>
          <w:tcPr>
            <w:tcW w:w="15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846</w:t>
            </w:r>
          </w:p>
        </w:tc>
        <w:tc>
          <w:tcPr>
            <w:tcW w:w="11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1,642</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443</w:t>
            </w:r>
          </w:p>
        </w:tc>
      </w:tr>
      <w:tr>
        <w:trPr>
          <w:trHeight w:val="264"/>
        </w:trPr>
        <w:tc>
          <w:tcPr>
            <w:tcW w:w="1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1,890</w:t>
            </w: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1,870</w:t>
            </w:r>
          </w:p>
        </w:tc>
        <w:tc>
          <w:tcPr>
            <w:tcW w:w="116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2,654</w:t>
            </w:r>
          </w:p>
        </w:tc>
        <w:tc>
          <w:tcPr>
            <w:tcW w:w="96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rPr>
              <w:t>3,380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717</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748</w:t>
            </w:r>
          </w:p>
        </w:tc>
        <w:tc>
          <w:tcPr>
            <w:tcW w:w="1180" w:type="dxa"/>
            <w:vAlign w:val="bottom"/>
            <w:tcBorders>
              <w:bottom w:val="single" w:sz="8" w:color="CCEEFF"/>
            </w:tcBorders>
          </w:tcPr>
          <w:p>
            <w:pPr>
              <w:jc w:val="right"/>
              <w:ind w:right="301"/>
              <w:spacing w:after="0"/>
              <w:rPr>
                <w:sz w:val="20"/>
                <w:szCs w:val="20"/>
                <w:color w:val="auto"/>
              </w:rPr>
            </w:pPr>
            <w:r>
              <w:rPr>
                <w:rFonts w:ascii="Arial" w:cs="Arial" w:eastAsia="Arial" w:hAnsi="Arial"/>
                <w:sz w:val="16"/>
                <w:szCs w:val="16"/>
                <w:color w:val="auto"/>
              </w:rPr>
              <w:t>1,611</w:t>
            </w:r>
          </w:p>
        </w:tc>
        <w:tc>
          <w:tcPr>
            <w:tcW w:w="960" w:type="dxa"/>
            <w:vAlign w:val="bottom"/>
            <w:tcBorders>
              <w:bottom w:val="single" w:sz="8" w:color="CCEEFF"/>
            </w:tcBorders>
          </w:tcPr>
          <w:p>
            <w:pPr>
              <w:jc w:val="right"/>
              <w:ind w:right="21"/>
              <w:spacing w:after="0"/>
              <w:rPr>
                <w:sz w:val="20"/>
                <w:szCs w:val="20"/>
                <w:color w:val="auto"/>
              </w:rPr>
            </w:pPr>
            <w:r>
              <w:rPr>
                <w:rFonts w:ascii="Arial" w:cs="Arial" w:eastAsia="Arial" w:hAnsi="Arial"/>
                <w:sz w:val="16"/>
                <w:szCs w:val="16"/>
                <w:color w:val="auto"/>
              </w:rPr>
              <w:t>221</w:t>
            </w:r>
          </w:p>
        </w:tc>
      </w:tr>
      <w:tr>
        <w:trPr>
          <w:trHeight w:val="240"/>
        </w:trPr>
        <w:tc>
          <w:tcPr>
            <w:tcW w:w="1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Fiscal 2013</w:t>
            </w:r>
          </w:p>
        </w:tc>
        <w:tc>
          <w:tcPr>
            <w:tcW w:w="11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6,821</w:t>
            </w:r>
          </w:p>
        </w:tc>
        <w:tc>
          <w:tcPr>
            <w:tcW w:w="15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6,094</w:t>
            </w:r>
          </w:p>
        </w:tc>
        <w:tc>
          <w:tcPr>
            <w:tcW w:w="1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2,535</w:t>
            </w:r>
          </w:p>
        </w:tc>
        <w:tc>
          <w:tcPr>
            <w:tcW w:w="15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2,289</w:t>
            </w:r>
          </w:p>
        </w:tc>
        <w:tc>
          <w:tcPr>
            <w:tcW w:w="1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06"/>
        </w:trPr>
        <w:tc>
          <w:tcPr>
            <w:tcW w:w="1720" w:type="dxa"/>
            <w:vAlign w:val="bottom"/>
            <w:gridSpan w:val="3"/>
          </w:tcPr>
          <w:p>
            <w:pPr>
              <w:ind w:left="40"/>
              <w:spacing w:after="0"/>
              <w:rPr>
                <w:sz w:val="20"/>
                <w:szCs w:val="20"/>
                <w:color w:val="auto"/>
              </w:rPr>
            </w:pPr>
            <w:r>
              <w:rPr>
                <w:rFonts w:ascii="Arial" w:cs="Arial" w:eastAsia="Arial" w:hAnsi="Arial"/>
                <w:sz w:val="16"/>
                <w:szCs w:val="16"/>
                <w:color w:val="auto"/>
              </w:rPr>
              <w:t>Q1</w:t>
            </w:r>
          </w:p>
        </w:tc>
        <w:tc>
          <w:tcPr>
            <w:tcW w:w="1160" w:type="dxa"/>
            <w:vAlign w:val="bottom"/>
          </w:tcPr>
          <w:p>
            <w:pPr>
              <w:jc w:val="right"/>
              <w:ind w:right="280"/>
              <w:spacing w:after="0"/>
              <w:rPr>
                <w:sz w:val="20"/>
                <w:szCs w:val="20"/>
                <w:color w:val="auto"/>
              </w:rPr>
            </w:pPr>
            <w:r>
              <w:rPr>
                <w:rFonts w:ascii="Arial" w:cs="Arial" w:eastAsia="Arial" w:hAnsi="Arial"/>
                <w:sz w:val="16"/>
                <w:szCs w:val="16"/>
                <w:color w:val="auto"/>
              </w:rPr>
              <w:t>2,005</w:t>
            </w:r>
          </w:p>
        </w:tc>
        <w:tc>
          <w:tcPr>
            <w:tcW w:w="1540" w:type="dxa"/>
            <w:vAlign w:val="bottom"/>
          </w:tcPr>
          <w:p>
            <w:pPr>
              <w:jc w:val="right"/>
              <w:ind w:right="340"/>
              <w:spacing w:after="0"/>
              <w:rPr>
                <w:sz w:val="20"/>
                <w:szCs w:val="20"/>
                <w:color w:val="auto"/>
              </w:rPr>
            </w:pPr>
            <w:r>
              <w:rPr>
                <w:rFonts w:ascii="Arial" w:cs="Arial" w:eastAsia="Arial" w:hAnsi="Arial"/>
                <w:sz w:val="16"/>
                <w:szCs w:val="16"/>
                <w:color w:val="auto"/>
              </w:rPr>
              <w:t>1,524</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3,135</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3,534</w:t>
            </w:r>
          </w:p>
        </w:tc>
        <w:tc>
          <w:tcPr>
            <w:tcW w:w="120" w:type="dxa"/>
            <w:vAlign w:val="bottom"/>
          </w:tcPr>
          <w:p>
            <w:pPr>
              <w:spacing w:after="0"/>
              <w:rPr>
                <w:sz w:val="24"/>
                <w:szCs w:val="24"/>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484</w:t>
            </w:r>
          </w:p>
        </w:tc>
        <w:tc>
          <w:tcPr>
            <w:tcW w:w="1500" w:type="dxa"/>
            <w:vAlign w:val="bottom"/>
          </w:tcPr>
          <w:p>
            <w:pPr>
              <w:jc w:val="right"/>
              <w:ind w:right="340"/>
              <w:spacing w:after="0"/>
              <w:rPr>
                <w:sz w:val="20"/>
                <w:szCs w:val="20"/>
                <w:color w:val="auto"/>
              </w:rPr>
            </w:pPr>
            <w:r>
              <w:rPr>
                <w:rFonts w:ascii="Arial" w:cs="Arial" w:eastAsia="Arial" w:hAnsi="Arial"/>
                <w:sz w:val="16"/>
                <w:szCs w:val="16"/>
                <w:color w:val="auto"/>
              </w:rPr>
              <w:t>504</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1,591</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151</w:t>
            </w:r>
          </w:p>
        </w:tc>
      </w:tr>
      <w:tr>
        <w:trPr>
          <w:trHeight w:val="280"/>
        </w:trPr>
        <w:tc>
          <w:tcPr>
            <w:tcW w:w="1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Q2</w:t>
            </w:r>
          </w:p>
        </w:tc>
        <w:tc>
          <w:tcPr>
            <w:tcW w:w="1160" w:type="dxa"/>
            <w:vAlign w:val="bottom"/>
            <w:shd w:val="clear" w:color="auto" w:fill="CCEEFF"/>
          </w:tcPr>
          <w:p>
            <w:pPr>
              <w:jc w:val="right"/>
              <w:ind w:right="280"/>
              <w:spacing w:after="0"/>
              <w:rPr>
                <w:sz w:val="20"/>
                <w:szCs w:val="20"/>
                <w:color w:val="auto"/>
              </w:rPr>
            </w:pPr>
            <w:r>
              <w:rPr>
                <w:rFonts w:ascii="Arial" w:cs="Arial" w:eastAsia="Arial" w:hAnsi="Arial"/>
                <w:sz w:val="16"/>
                <w:szCs w:val="16"/>
                <w:color w:val="auto"/>
              </w:rPr>
              <w:t>2,055</w:t>
            </w:r>
          </w:p>
        </w:tc>
        <w:tc>
          <w:tcPr>
            <w:tcW w:w="15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1,283</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3,907</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60"/>
              <w:spacing w:after="0"/>
              <w:rPr>
                <w:sz w:val="20"/>
                <w:szCs w:val="20"/>
                <w:color w:val="auto"/>
              </w:rPr>
            </w:pPr>
            <w:r>
              <w:rPr>
                <w:rFonts w:ascii="Arial" w:cs="Arial" w:eastAsia="Arial" w:hAnsi="Arial"/>
                <w:sz w:val="16"/>
                <w:szCs w:val="16"/>
                <w:color w:val="auto"/>
              </w:rPr>
              <w:t>575</w:t>
            </w:r>
          </w:p>
        </w:tc>
        <w:tc>
          <w:tcPr>
            <w:tcW w:w="150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394</w:t>
            </w:r>
          </w:p>
        </w:tc>
        <w:tc>
          <w:tcPr>
            <w:tcW w:w="11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1,772</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206</w:t>
            </w:r>
          </w:p>
        </w:tc>
      </w:tr>
      <w:tr>
        <w:trPr>
          <w:trHeight w:val="270"/>
        </w:trPr>
        <w:tc>
          <w:tcPr>
            <w:tcW w:w="1720" w:type="dxa"/>
            <w:vAlign w:val="bottom"/>
            <w:gridSpan w:val="3"/>
          </w:tcPr>
          <w:p>
            <w:pPr>
              <w:ind w:left="40"/>
              <w:spacing w:after="0" w:line="269" w:lineRule="exact"/>
              <w:rPr>
                <w:sz w:val="20"/>
                <w:szCs w:val="20"/>
                <w:color w:val="auto"/>
              </w:rPr>
            </w:pPr>
            <w:r>
              <w:rPr>
                <w:rFonts w:ascii="Arial" w:cs="Arial" w:eastAsia="Arial" w:hAnsi="Arial"/>
                <w:sz w:val="31"/>
                <w:szCs w:val="31"/>
                <w:color w:val="auto"/>
                <w:vertAlign w:val="subscript"/>
              </w:rPr>
              <w:t>Q3</w:t>
            </w:r>
            <w:r>
              <w:rPr>
                <w:rFonts w:ascii="Arial" w:cs="Arial" w:eastAsia="Arial" w:hAnsi="Arial"/>
                <w:sz w:val="11"/>
                <w:szCs w:val="11"/>
                <w:color w:val="auto"/>
              </w:rPr>
              <w:t xml:space="preserve"> (1)</w:t>
            </w:r>
          </w:p>
        </w:tc>
        <w:tc>
          <w:tcPr>
            <w:tcW w:w="1160" w:type="dxa"/>
            <w:vAlign w:val="bottom"/>
          </w:tcPr>
          <w:p>
            <w:pPr>
              <w:jc w:val="right"/>
              <w:ind w:right="280"/>
              <w:spacing w:after="0"/>
              <w:rPr>
                <w:sz w:val="20"/>
                <w:szCs w:val="20"/>
                <w:color w:val="auto"/>
              </w:rPr>
            </w:pPr>
            <w:r>
              <w:rPr>
                <w:rFonts w:ascii="Arial" w:cs="Arial" w:eastAsia="Arial" w:hAnsi="Arial"/>
                <w:sz w:val="16"/>
                <w:szCs w:val="16"/>
                <w:color w:val="auto"/>
              </w:rPr>
              <w:t>2,331</w:t>
            </w:r>
          </w:p>
        </w:tc>
        <w:tc>
          <w:tcPr>
            <w:tcW w:w="1540" w:type="dxa"/>
            <w:vAlign w:val="bottom"/>
          </w:tcPr>
          <w:p>
            <w:pPr>
              <w:jc w:val="right"/>
              <w:ind w:right="340"/>
              <w:spacing w:after="0"/>
              <w:rPr>
                <w:sz w:val="20"/>
                <w:szCs w:val="20"/>
                <w:color w:val="auto"/>
              </w:rPr>
            </w:pPr>
            <w:r>
              <w:rPr>
                <w:rFonts w:ascii="Arial" w:cs="Arial" w:eastAsia="Arial" w:hAnsi="Arial"/>
                <w:sz w:val="16"/>
                <w:szCs w:val="16"/>
                <w:color w:val="auto"/>
              </w:rPr>
              <w:t>2,783</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3,798</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2,357</w:t>
            </w:r>
          </w:p>
        </w:tc>
        <w:tc>
          <w:tcPr>
            <w:tcW w:w="120" w:type="dxa"/>
            <w:vAlign w:val="bottom"/>
          </w:tcPr>
          <w:p>
            <w:pPr>
              <w:spacing w:after="0"/>
              <w:rPr>
                <w:sz w:val="23"/>
                <w:szCs w:val="23"/>
                <w:color w:val="auto"/>
              </w:rPr>
            </w:pPr>
          </w:p>
        </w:tc>
        <w:tc>
          <w:tcPr>
            <w:tcW w:w="1120" w:type="dxa"/>
            <w:vAlign w:val="bottom"/>
          </w:tcPr>
          <w:p>
            <w:pPr>
              <w:jc w:val="right"/>
              <w:ind w:right="260"/>
              <w:spacing w:after="0"/>
              <w:rPr>
                <w:sz w:val="20"/>
                <w:szCs w:val="20"/>
                <w:color w:val="auto"/>
              </w:rPr>
            </w:pPr>
            <w:r>
              <w:rPr>
                <w:rFonts w:ascii="Arial" w:cs="Arial" w:eastAsia="Arial" w:hAnsi="Arial"/>
                <w:sz w:val="16"/>
                <w:szCs w:val="16"/>
                <w:color w:val="auto"/>
              </w:rPr>
              <w:t>727</w:t>
            </w:r>
          </w:p>
        </w:tc>
        <w:tc>
          <w:tcPr>
            <w:tcW w:w="1500" w:type="dxa"/>
            <w:vAlign w:val="bottom"/>
          </w:tcPr>
          <w:p>
            <w:pPr>
              <w:jc w:val="right"/>
              <w:ind w:right="340"/>
              <w:spacing w:after="0"/>
              <w:rPr>
                <w:sz w:val="20"/>
                <w:szCs w:val="20"/>
                <w:color w:val="auto"/>
              </w:rPr>
            </w:pPr>
            <w:r>
              <w:rPr>
                <w:rFonts w:ascii="Arial" w:cs="Arial" w:eastAsia="Arial" w:hAnsi="Arial"/>
                <w:sz w:val="16"/>
                <w:szCs w:val="16"/>
                <w:color w:val="auto"/>
              </w:rPr>
              <w:t>724</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1,775</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303</w:t>
            </w:r>
          </w:p>
        </w:tc>
      </w:tr>
      <w:tr>
        <w:trPr>
          <w:trHeight w:val="264"/>
        </w:trPr>
        <w:tc>
          <w:tcPr>
            <w:tcW w:w="17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16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2,364</w:t>
            </w:r>
          </w:p>
        </w:tc>
        <w:tc>
          <w:tcPr>
            <w:tcW w:w="15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2,183</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3,979</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1,899</w:t>
            </w:r>
          </w:p>
        </w:tc>
        <w:tc>
          <w:tcPr>
            <w:tcW w:w="12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723</w:t>
            </w:r>
          </w:p>
        </w:tc>
        <w:tc>
          <w:tcPr>
            <w:tcW w:w="15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777</w:t>
            </w:r>
          </w:p>
        </w:tc>
        <w:tc>
          <w:tcPr>
            <w:tcW w:w="11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1,721</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163</w:t>
            </w:r>
          </w:p>
        </w:tc>
      </w:tr>
      <w:tr>
        <w:trPr>
          <w:trHeight w:val="280"/>
        </w:trPr>
        <w:tc>
          <w:tcPr>
            <w:tcW w:w="172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Fiscal 2014</w:t>
            </w: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8,755</w:t>
            </w:r>
          </w:p>
        </w:tc>
        <w:tc>
          <w:tcPr>
            <w:tcW w:w="15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7,773</w:t>
            </w:r>
          </w:p>
        </w:tc>
        <w:tc>
          <w:tcPr>
            <w:tcW w:w="1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2,509</w:t>
            </w:r>
          </w:p>
        </w:tc>
        <w:tc>
          <w:tcPr>
            <w:tcW w:w="15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2,399</w:t>
            </w:r>
          </w:p>
        </w:tc>
        <w:tc>
          <w:tcPr>
            <w:tcW w:w="118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r>
      <w:tr>
        <w:trPr>
          <w:trHeight w:val="146"/>
        </w:trPr>
        <w:tc>
          <w:tcPr>
            <w:tcW w:w="1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251"/>
        </w:trPr>
        <w:tc>
          <w:tcPr>
            <w:tcW w:w="1720" w:type="dxa"/>
            <w:vAlign w:val="bottom"/>
            <w:gridSpan w:val="3"/>
          </w:tcPr>
          <w:p>
            <w:pPr>
              <w:ind w:left="40"/>
              <w:spacing w:after="0"/>
              <w:rPr>
                <w:sz w:val="20"/>
                <w:szCs w:val="20"/>
                <w:color w:val="auto"/>
              </w:rPr>
            </w:pPr>
            <w:r>
              <w:rPr>
                <w:rFonts w:ascii="Arial" w:cs="Arial" w:eastAsia="Arial" w:hAnsi="Arial"/>
                <w:sz w:val="16"/>
                <w:szCs w:val="16"/>
                <w:color w:val="auto"/>
              </w:rPr>
              <w:t>Unit change</w:t>
            </w:r>
          </w:p>
        </w:tc>
        <w:tc>
          <w:tcPr>
            <w:tcW w:w="1160" w:type="dxa"/>
            <w:vAlign w:val="bottom"/>
          </w:tcPr>
          <w:p>
            <w:pPr>
              <w:jc w:val="right"/>
              <w:ind w:right="280"/>
              <w:spacing w:after="0"/>
              <w:rPr>
                <w:sz w:val="20"/>
                <w:szCs w:val="20"/>
                <w:color w:val="auto"/>
              </w:rPr>
            </w:pPr>
            <w:r>
              <w:rPr>
                <w:rFonts w:ascii="Arial" w:cs="Arial" w:eastAsia="Arial" w:hAnsi="Arial"/>
                <w:sz w:val="16"/>
                <w:szCs w:val="16"/>
                <w:color w:val="auto"/>
              </w:rPr>
              <w:t>1,934</w:t>
            </w:r>
          </w:p>
        </w:tc>
        <w:tc>
          <w:tcPr>
            <w:tcW w:w="1540" w:type="dxa"/>
            <w:vAlign w:val="bottom"/>
          </w:tcPr>
          <w:p>
            <w:pPr>
              <w:jc w:val="right"/>
              <w:ind w:right="340"/>
              <w:spacing w:after="0"/>
              <w:rPr>
                <w:sz w:val="20"/>
                <w:szCs w:val="20"/>
                <w:color w:val="auto"/>
              </w:rPr>
            </w:pPr>
            <w:r>
              <w:rPr>
                <w:rFonts w:ascii="Arial" w:cs="Arial" w:eastAsia="Arial" w:hAnsi="Arial"/>
                <w:sz w:val="16"/>
                <w:szCs w:val="16"/>
                <w:color w:val="auto"/>
              </w:rPr>
              <w:t>1,679</w:t>
            </w:r>
          </w:p>
        </w:tc>
        <w:tc>
          <w:tcPr>
            <w:tcW w:w="1160" w:type="dxa"/>
            <w:vAlign w:val="bottom"/>
          </w:tcPr>
          <w:p>
            <w:pPr>
              <w:jc w:val="right"/>
              <w:ind w:right="301"/>
              <w:spacing w:after="0"/>
              <w:rPr>
                <w:sz w:val="20"/>
                <w:szCs w:val="20"/>
                <w:color w:val="auto"/>
              </w:rPr>
            </w:pPr>
            <w:r>
              <w:rPr>
                <w:rFonts w:ascii="Arial" w:cs="Arial" w:eastAsia="Arial" w:hAnsi="Arial"/>
                <w:sz w:val="16"/>
                <w:szCs w:val="16"/>
                <w:color w:val="auto"/>
              </w:rPr>
              <w:t>1,325</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ind w:right="200"/>
              <w:spacing w:after="0"/>
              <w:rPr>
                <w:sz w:val="20"/>
                <w:szCs w:val="20"/>
                <w:color w:val="auto"/>
              </w:rPr>
            </w:pPr>
            <w:r>
              <w:rPr>
                <w:rFonts w:ascii="Arial" w:cs="Arial" w:eastAsia="Arial" w:hAnsi="Arial"/>
                <w:sz w:val="16"/>
                <w:szCs w:val="16"/>
                <w:color w:val="auto"/>
              </w:rPr>
              <w:t>(26)</w:t>
            </w:r>
          </w:p>
        </w:tc>
        <w:tc>
          <w:tcPr>
            <w:tcW w:w="1500" w:type="dxa"/>
            <w:vAlign w:val="bottom"/>
          </w:tcPr>
          <w:p>
            <w:pPr>
              <w:jc w:val="right"/>
              <w:ind w:right="340"/>
              <w:spacing w:after="0"/>
              <w:rPr>
                <w:sz w:val="20"/>
                <w:szCs w:val="20"/>
                <w:color w:val="auto"/>
              </w:rPr>
            </w:pPr>
            <w:r>
              <w:rPr>
                <w:rFonts w:ascii="Arial" w:cs="Arial" w:eastAsia="Arial" w:hAnsi="Arial"/>
                <w:sz w:val="16"/>
                <w:szCs w:val="16"/>
                <w:color w:val="auto"/>
              </w:rPr>
              <w:t>110</w:t>
            </w:r>
          </w:p>
        </w:tc>
        <w:tc>
          <w:tcPr>
            <w:tcW w:w="1180" w:type="dxa"/>
            <w:vAlign w:val="bottom"/>
          </w:tcPr>
          <w:p>
            <w:pPr>
              <w:jc w:val="right"/>
              <w:ind w:right="301"/>
              <w:spacing w:after="0"/>
              <w:rPr>
                <w:sz w:val="20"/>
                <w:szCs w:val="20"/>
                <w:color w:val="auto"/>
              </w:rPr>
            </w:pPr>
            <w:r>
              <w:rPr>
                <w:rFonts w:ascii="Arial" w:cs="Arial" w:eastAsia="Arial" w:hAnsi="Arial"/>
                <w:sz w:val="16"/>
                <w:szCs w:val="16"/>
                <w:color w:val="auto"/>
              </w:rPr>
              <w:t>110</w:t>
            </w:r>
          </w:p>
        </w:tc>
        <w:tc>
          <w:tcPr>
            <w:tcW w:w="960" w:type="dxa"/>
            <w:vAlign w:val="bottom"/>
          </w:tcPr>
          <w:p>
            <w:pPr>
              <w:spacing w:after="0"/>
              <w:rPr>
                <w:sz w:val="21"/>
                <w:szCs w:val="21"/>
                <w:color w:val="auto"/>
              </w:rPr>
            </w:pPr>
          </w:p>
        </w:tc>
      </w:tr>
      <w:tr>
        <w:trPr>
          <w:trHeight w:val="270"/>
        </w:trPr>
        <w:tc>
          <w:tcPr>
            <w:tcW w:w="1720" w:type="dxa"/>
            <w:vAlign w:val="bottom"/>
            <w:gridSpan w:val="3"/>
          </w:tcPr>
          <w:p>
            <w:pPr>
              <w:ind w:left="40"/>
              <w:spacing w:after="0"/>
              <w:rPr>
                <w:sz w:val="20"/>
                <w:szCs w:val="20"/>
                <w:color w:val="auto"/>
              </w:rPr>
            </w:pPr>
            <w:r>
              <w:rPr>
                <w:rFonts w:ascii="Arial" w:cs="Arial" w:eastAsia="Arial" w:hAnsi="Arial"/>
                <w:sz w:val="16"/>
                <w:szCs w:val="16"/>
                <w:color w:val="auto"/>
              </w:rPr>
              <w:t>Percentage change</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28.4%</w:t>
            </w:r>
          </w:p>
        </w:tc>
        <w:tc>
          <w:tcPr>
            <w:tcW w:w="1540" w:type="dxa"/>
            <w:vAlign w:val="bottom"/>
          </w:tcPr>
          <w:p>
            <w:pPr>
              <w:jc w:val="right"/>
              <w:ind w:right="200"/>
              <w:spacing w:after="0"/>
              <w:rPr>
                <w:sz w:val="20"/>
                <w:szCs w:val="20"/>
                <w:color w:val="auto"/>
              </w:rPr>
            </w:pPr>
            <w:r>
              <w:rPr>
                <w:rFonts w:ascii="Arial" w:cs="Arial" w:eastAsia="Arial" w:hAnsi="Arial"/>
                <w:sz w:val="16"/>
                <w:szCs w:val="16"/>
                <w:color w:val="auto"/>
              </w:rPr>
              <w:t>27.6%</w:t>
            </w:r>
          </w:p>
        </w:tc>
        <w:tc>
          <w:tcPr>
            <w:tcW w:w="1160" w:type="dxa"/>
            <w:vAlign w:val="bottom"/>
          </w:tcPr>
          <w:p>
            <w:pPr>
              <w:jc w:val="right"/>
              <w:ind w:right="141"/>
              <w:spacing w:after="0"/>
              <w:rPr>
                <w:sz w:val="20"/>
                <w:szCs w:val="20"/>
                <w:color w:val="auto"/>
              </w:rPr>
            </w:pPr>
            <w:r>
              <w:rPr>
                <w:rFonts w:ascii="Arial" w:cs="Arial" w:eastAsia="Arial" w:hAnsi="Arial"/>
                <w:sz w:val="16"/>
                <w:szCs w:val="16"/>
                <w:color w:val="auto"/>
              </w:rPr>
              <w:t>49.9%</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60"/>
              <w:spacing w:after="0"/>
              <w:rPr>
                <w:sz w:val="20"/>
                <w:szCs w:val="20"/>
                <w:color w:val="auto"/>
              </w:rPr>
            </w:pPr>
            <w:r>
              <w:rPr>
                <w:rFonts w:ascii="Arial" w:cs="Arial" w:eastAsia="Arial" w:hAnsi="Arial"/>
                <w:sz w:val="16"/>
                <w:szCs w:val="16"/>
                <w:color w:val="auto"/>
              </w:rPr>
              <w:t>(1.0)%</w:t>
            </w:r>
          </w:p>
        </w:tc>
        <w:tc>
          <w:tcPr>
            <w:tcW w:w="1500" w:type="dxa"/>
            <w:vAlign w:val="bottom"/>
          </w:tcPr>
          <w:p>
            <w:pPr>
              <w:jc w:val="right"/>
              <w:ind w:right="180"/>
              <w:spacing w:after="0"/>
              <w:rPr>
                <w:sz w:val="20"/>
                <w:szCs w:val="20"/>
                <w:color w:val="auto"/>
              </w:rPr>
            </w:pPr>
            <w:r>
              <w:rPr>
                <w:rFonts w:ascii="Arial" w:cs="Arial" w:eastAsia="Arial" w:hAnsi="Arial"/>
                <w:sz w:val="16"/>
                <w:szCs w:val="16"/>
                <w:color w:val="auto"/>
              </w:rPr>
              <w:t>4.8%</w:t>
            </w:r>
          </w:p>
        </w:tc>
        <w:tc>
          <w:tcPr>
            <w:tcW w:w="1180" w:type="dxa"/>
            <w:vAlign w:val="bottom"/>
          </w:tcPr>
          <w:p>
            <w:pPr>
              <w:jc w:val="right"/>
              <w:ind w:right="161"/>
              <w:spacing w:after="0"/>
              <w:rPr>
                <w:sz w:val="20"/>
                <w:szCs w:val="20"/>
                <w:color w:val="auto"/>
              </w:rPr>
            </w:pPr>
            <w:r>
              <w:rPr>
                <w:rFonts w:ascii="Arial" w:cs="Arial" w:eastAsia="Arial" w:hAnsi="Arial"/>
                <w:sz w:val="16"/>
                <w:szCs w:val="16"/>
                <w:color w:val="auto"/>
              </w:rPr>
              <w:t>6.8%</w:t>
            </w:r>
          </w:p>
        </w:tc>
        <w:tc>
          <w:tcPr>
            <w:tcW w:w="9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sz w:val="20"/>
          <w:szCs w:val="20"/>
          <w:color w:val="auto"/>
        </w:rPr>
      </w:pPr>
    </w:p>
    <w:p>
      <w:pPr>
        <w:jc w:val="both"/>
        <w:ind w:left="340" w:right="280" w:hanging="332"/>
        <w:spacing w:after="0" w:line="225" w:lineRule="auto"/>
        <w:tabs>
          <w:tab w:leader="none" w:pos="34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An additional 343 units were delivered but not included in Q3 2014 motorhome wholesale deliveries as presented in the table above as the units are subject to repurchase option. These units were included as retail registrations, not in dealer inventory, as the units were immediately placed into rental service once delivered. See Note 5 to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 of Fiscal 2014:</w:t>
      </w:r>
    </w:p>
    <w:p>
      <w:pPr>
        <w:spacing w:after="0" w:line="106"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Consolidated revenues, gross profit, and operating income were significantly higher for Fiscal 2014 as compared to Fiscal 2013. Quarterly results for the past two fiscal years are illustrated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Operating</w:t>
            </w:r>
          </w:p>
        </w:tc>
        <w:tc>
          <w:tcPr>
            <w:tcW w:w="1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60" w:type="dxa"/>
            <w:vAlign w:val="bottom"/>
            <w:gridSpan w:val="4"/>
          </w:tcPr>
          <w:p>
            <w:pPr>
              <w:ind w:left="44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19"/>
                <w:szCs w:val="19"/>
                <w:color w:val="auto"/>
              </w:rPr>
            </w:pPr>
          </w:p>
        </w:tc>
        <w:tc>
          <w:tcPr>
            <w:tcW w:w="1840" w:type="dxa"/>
            <w:vAlign w:val="bottom"/>
            <w:gridSpan w:val="4"/>
          </w:tcPr>
          <w:p>
            <w:pPr>
              <w:ind w:left="320"/>
              <w:spacing w:after="0"/>
              <w:rPr>
                <w:sz w:val="20"/>
                <w:szCs w:val="20"/>
                <w:color w:val="auto"/>
              </w:rPr>
            </w:pPr>
            <w:r>
              <w:rPr>
                <w:rFonts w:ascii="Arial" w:cs="Arial" w:eastAsia="Arial" w:hAnsi="Arial"/>
                <w:sz w:val="16"/>
                <w:szCs w:val="16"/>
                <w:b w:val="1"/>
                <w:bCs w:val="1"/>
                <w:color w:val="auto"/>
              </w:rPr>
              <w:t>Gross Profit</w:t>
            </w:r>
          </w:p>
        </w:tc>
        <w:tc>
          <w:tcPr>
            <w:tcW w:w="2140" w:type="dxa"/>
            <w:vAlign w:val="bottom"/>
            <w:gridSpan w:val="3"/>
          </w:tcPr>
          <w:p>
            <w:pPr>
              <w:ind w:left="500"/>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Pr>
          <w:p>
            <w:pPr>
              <w:spacing w:after="0"/>
              <w:rPr>
                <w:sz w:val="19"/>
                <w:szCs w:val="19"/>
                <w:color w:val="auto"/>
              </w:rPr>
            </w:pPr>
          </w:p>
        </w:tc>
        <w:tc>
          <w:tcPr>
            <w:tcW w:w="168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rPr>
              <w:t>Income</w:t>
            </w:r>
          </w:p>
        </w:tc>
        <w:tc>
          <w:tcPr>
            <w:tcW w:w="20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Operating Margin</w:t>
            </w:r>
          </w:p>
        </w:tc>
      </w:tr>
      <w:tr>
        <w:trPr>
          <w:trHeight w:val="251"/>
        </w:trPr>
        <w:tc>
          <w:tcPr>
            <w:tcW w:w="1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9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9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r>
      <w:tr>
        <w:trPr>
          <w:trHeight w:val="256"/>
        </w:trPr>
        <w:tc>
          <w:tcPr>
            <w:tcW w:w="1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222,670</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193,554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25,962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20,747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11.7%</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16,006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9,946</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7.2%</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5.1%</w:t>
            </w:r>
          </w:p>
        </w:tc>
      </w:tr>
      <w:tr>
        <w:trPr>
          <w:trHeight w:val="260"/>
        </w:trPr>
        <w:tc>
          <w:tcPr>
            <w:tcW w:w="1100" w:type="dxa"/>
            <w:vAlign w:val="bottom"/>
          </w:tcPr>
          <w:p>
            <w:pPr>
              <w:ind w:left="40"/>
              <w:spacing w:after="0"/>
              <w:rPr>
                <w:sz w:val="20"/>
                <w:szCs w:val="20"/>
                <w:color w:val="auto"/>
              </w:rPr>
            </w:pPr>
            <w:r>
              <w:rPr>
                <w:rFonts w:ascii="Arial" w:cs="Arial" w:eastAsia="Arial" w:hAnsi="Arial"/>
                <w:sz w:val="16"/>
                <w:szCs w:val="16"/>
                <w:color w:val="auto"/>
              </w:rPr>
              <w:t>Q2</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228,811</w:t>
            </w:r>
          </w:p>
        </w:tc>
        <w:tc>
          <w:tcPr>
            <w:tcW w:w="260" w:type="dxa"/>
            <w:vAlign w:val="bottom"/>
          </w:tcPr>
          <w:p>
            <w:pPr>
              <w:spacing w:after="0"/>
              <w:rPr>
                <w:sz w:val="22"/>
                <w:szCs w:val="22"/>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177,166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22,845</w:t>
            </w:r>
          </w:p>
        </w:tc>
        <w:tc>
          <w:tcPr>
            <w:tcW w:w="24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17,191</w:t>
            </w:r>
          </w:p>
        </w:tc>
        <w:tc>
          <w:tcPr>
            <w:tcW w:w="100" w:type="dxa"/>
            <w:vAlign w:val="bottom"/>
          </w:tcPr>
          <w:p>
            <w:pPr>
              <w:spacing w:after="0"/>
              <w:rPr>
                <w:sz w:val="22"/>
                <w:szCs w:val="22"/>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color w:val="auto"/>
              </w:rPr>
              <w:t>10.0%</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14,036</w:t>
            </w:r>
          </w:p>
        </w:tc>
        <w:tc>
          <w:tcPr>
            <w:tcW w:w="220" w:type="dxa"/>
            <w:vAlign w:val="bottom"/>
          </w:tcPr>
          <w:p>
            <w:pPr>
              <w:spacing w:after="0"/>
              <w:rPr>
                <w:sz w:val="22"/>
                <w:szCs w:val="22"/>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8,872</w:t>
            </w:r>
          </w:p>
        </w:tc>
        <w:tc>
          <w:tcPr>
            <w:tcW w:w="1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6.1%</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5.0%</w:t>
            </w:r>
          </w:p>
        </w:tc>
      </w:tr>
      <w:tr>
        <w:trPr>
          <w:trHeight w:val="280"/>
        </w:trPr>
        <w:tc>
          <w:tcPr>
            <w:tcW w:w="1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247,747</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218,199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26,481</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21,197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10.7%</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15,589</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4.7%</w:t>
            </w:r>
          </w:p>
        </w:tc>
      </w:tr>
      <w:tr>
        <w:trPr>
          <w:trHeight w:val="264"/>
        </w:trPr>
        <w:tc>
          <w:tcPr>
            <w:tcW w:w="11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245,935</w:t>
            </w: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214,246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28,709</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25,496</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11.7%</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18,278</w:t>
            </w: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15,332</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7.4%</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w:t>
            </w:r>
          </w:p>
        </w:tc>
      </w:tr>
      <w:tr>
        <w:trPr>
          <w:trHeight w:val="240"/>
        </w:trPr>
        <w:tc>
          <w:tcPr>
            <w:tcW w:w="1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945,163</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803,165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103,997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84,631</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11.0%</w:t>
            </w: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63,909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44,398</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6.8%</w:t>
            </w: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20"/>
        </w:trPr>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performance</w:t>
      </w:r>
      <w:r>
        <w:rPr>
          <w:rFonts w:ascii="Arial" w:cs="Arial" w:eastAsia="Arial" w:hAnsi="Arial"/>
          <w:sz w:val="16"/>
          <w:szCs w:val="16"/>
          <w:color w:val="auto"/>
        </w:rPr>
        <w:t>:</w:t>
      </w:r>
    </w:p>
    <w:p>
      <w:pPr>
        <w:spacing w:after="0" w:line="201" w:lineRule="exact"/>
        <w:rPr>
          <w:sz w:val="20"/>
          <w:szCs w:val="20"/>
          <w:color w:val="auto"/>
        </w:rPr>
      </w:pPr>
    </w:p>
    <w:p>
      <w:pPr>
        <w:ind w:left="340" w:right="240" w:hanging="332"/>
        <w:spacing w:after="0" w:line="250"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Fiscal 2014 wholesale motorhome deliveries and retail demand both increased by approximately 28% as compared to Fiscal 2013. As a result, dealer inventory grew by nearly 50% to support the increased retail demand when comparing the same time periods. We view this as a reflection of our dealer network's confidence in our products and the overall industry. During the course of the fiscal year we continued to accelerate our motorhome production rates. This acceleration, coupled with the elimination of a key chassis supply chain constraint, allowed us to reduce our motorhome backlog to a more reasonable level of 1,899 at the end of Fiscal 2014 compared to 3,380 at the end of Fiscal 2013.</w:t>
      </w:r>
    </w:p>
    <w:p>
      <w:pPr>
        <w:spacing w:after="0" w:line="162" w:lineRule="exact"/>
        <w:rPr>
          <w:rFonts w:ascii="Arial" w:cs="Arial" w:eastAsia="Arial" w:hAnsi="Arial"/>
          <w:sz w:val="16"/>
          <w:szCs w:val="16"/>
          <w:color w:val="auto"/>
        </w:rPr>
      </w:pPr>
    </w:p>
    <w:p>
      <w:pPr>
        <w:ind w:left="340" w:right="20" w:hanging="332"/>
        <w:spacing w:after="0" w:line="25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As previously discussed, we entered into a new partnership with a large rental dealer. This relationship generated a new transaction for us. Not reflected in our wholesale motorhome deliveries are 343 units that we produced for this rental customer. These units are not recorded as motorhome revenue due to the fact that we agreed to repurchase 343 units at the end of the customer's rental season, however we did record operating lease income. Details of this transaction are available in Note 4 to the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performance:</w:t>
      </w:r>
    </w:p>
    <w:p>
      <w:pPr>
        <w:spacing w:after="0" w:line="201" w:lineRule="exact"/>
        <w:rPr>
          <w:sz w:val="20"/>
          <w:szCs w:val="20"/>
          <w:color w:val="auto"/>
        </w:rPr>
      </w:pPr>
    </w:p>
    <w:p>
      <w:pPr>
        <w:ind w:left="340" w:right="140" w:hanging="332"/>
        <w:spacing w:after="0" w:line="251"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towable products achieved our objective of being financially accretive for the fiscal year. The emphasis for the towable management team was operational improvement; most notably the focus was on cost reductions and improved pricing. Towables generated operating income of $1.3 million in Fiscal 2014 compared to an operating loss of $3.5 million in Fiscal 2013. While towable net revenue experienced modest growth of 6%, the key factors in the $4.8 million improvement in operating loss to operating income were reduced costs associated with materials and warranty.</w:t>
      </w:r>
    </w:p>
    <w:p>
      <w:pPr>
        <w:spacing w:after="0" w:line="162" w:lineRule="exact"/>
        <w:rPr>
          <w:rFonts w:ascii="Arial" w:cs="Arial" w:eastAsia="Arial" w:hAnsi="Arial"/>
          <w:sz w:val="16"/>
          <w:szCs w:val="16"/>
          <w:color w:val="auto"/>
        </w:rPr>
      </w:pPr>
    </w:p>
    <w:p>
      <w:pPr>
        <w:jc w:val="both"/>
        <w:ind w:left="340" w:right="160" w:hanging="332"/>
        <w:spacing w:after="0" w:line="253"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strong growth for our motorized products has led to enhanced financial performance. Our net income in Fiscal 2014 grew 41% compared to the prior fiscal year. This was achieved by strong revenue growth, expanding gross margins and leveraging our operating expenses which remained flat on a year over year basis.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Outlook</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motorhome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US and Canada Industry Class A, B &amp; C Motorhomes</w:t>
            </w:r>
          </w:p>
        </w:tc>
        <w:tc>
          <w:tcPr>
            <w:tcW w:w="1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Wholesale Shipments</w:t>
            </w:r>
            <w:r>
              <w:rPr>
                <w:rFonts w:ascii="Arial" w:cs="Arial" w:eastAsia="Arial" w:hAnsi="Arial"/>
                <w:sz w:val="21"/>
                <w:szCs w:val="21"/>
                <w:b w:val="1"/>
                <w:bCs w:val="1"/>
                <w:color w:val="auto"/>
                <w:w w:val="99"/>
                <w:vertAlign w:val="superscript"/>
              </w:rPr>
              <w:t>(1)</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42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2"/>
          </w:tcPr>
          <w:p>
            <w:pPr>
              <w:jc w:val="right"/>
              <w:ind w:right="459"/>
              <w:spacing w:after="0"/>
              <w:rPr>
                <w:sz w:val="20"/>
                <w:szCs w:val="20"/>
                <w:color w:val="auto"/>
              </w:rPr>
            </w:pPr>
            <w:r>
              <w:rPr>
                <w:rFonts w:ascii="Arial" w:cs="Arial" w:eastAsia="Arial" w:hAnsi="Arial"/>
                <w:sz w:val="16"/>
                <w:szCs w:val="16"/>
                <w:b w:val="1"/>
                <w:bCs w:val="1"/>
                <w:color w:val="auto"/>
              </w:rPr>
              <w:t>Calendar Year</w:t>
            </w:r>
          </w:p>
        </w:tc>
        <w:tc>
          <w:tcPr>
            <w:tcW w:w="10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6"/>
                <w:szCs w:val="16"/>
                <w:b w:val="1"/>
                <w:bCs w:val="1"/>
                <w:color w:val="auto"/>
              </w:rPr>
              <w:t>Calendar Year</w:t>
            </w:r>
          </w:p>
        </w:tc>
        <w:tc>
          <w:tcPr>
            <w:tcW w:w="10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2012</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8,500</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6,869</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1,631</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5,706</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1,441</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420" w:type="dxa"/>
            <w:vAlign w:val="bottom"/>
          </w:tcPr>
          <w:p>
            <w:pPr>
              <w:ind w:left="40"/>
              <w:spacing w:after="0"/>
              <w:rPr>
                <w:sz w:val="20"/>
                <w:szCs w:val="20"/>
                <w:color w:val="auto"/>
              </w:rPr>
            </w:pPr>
            <w:r>
              <w:rPr>
                <w:rFonts w:ascii="Arial" w:cs="Arial" w:eastAsia="Arial" w:hAnsi="Arial"/>
                <w:sz w:val="16"/>
                <w:szCs w:val="16"/>
                <w:color w:val="auto"/>
              </w:rPr>
              <w:t>Q2</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10,972</w:t>
            </w:r>
          </w:p>
        </w:tc>
        <w:tc>
          <w:tcPr>
            <w:tcW w:w="32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7,707</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3,265</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42.4%</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10,909</w:t>
            </w:r>
          </w:p>
        </w:tc>
        <w:tc>
          <w:tcPr>
            <w:tcW w:w="28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8,206</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2,703</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32.9%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9,469</w:t>
            </w: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6,678</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2,791</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9,125</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6,916</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2,209</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9,391</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6,944</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2,447</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4,922</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1,359</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42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38,332</w:t>
            </w: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28,198</w:t>
            </w: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10,134</w:t>
            </w:r>
          </w:p>
        </w:tc>
        <w:tc>
          <w:tcPr>
            <w:tcW w:w="10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33,462</w:t>
            </w: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25,750</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7,712</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29.9%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2014</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Increase</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4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11,125</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8,500</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2,625</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8,070</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7,147</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923</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Q2</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12,203</w:t>
            </w:r>
          </w:p>
        </w:tc>
        <w:tc>
          <w:tcPr>
            <w:tcW w:w="3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10,972</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1,231</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11.2%</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12,427</w:t>
            </w: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10,909</w:t>
            </w: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1,518</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42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3,201</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2,850</w:t>
            </w:r>
          </w:p>
        </w:tc>
        <w:tc>
          <w:tcPr>
            <w:tcW w:w="10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351</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3,655</w:t>
            </w: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3,328</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327</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9.8%</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42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August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3,964</w:t>
            </w:r>
          </w:p>
        </w:tc>
        <w:tc>
          <w:tcPr>
            <w:tcW w:w="320" w:type="dxa"/>
            <w:vAlign w:val="bottom"/>
          </w:tcPr>
          <w:p>
            <w:pPr>
              <w:spacing w:after="0"/>
              <w:rPr>
                <w:sz w:val="22"/>
                <w:szCs w:val="22"/>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3,302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662</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2,996</w:t>
            </w:r>
          </w:p>
        </w:tc>
        <w:tc>
          <w:tcPr>
            <w:tcW w:w="1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420" w:type="dxa"/>
            <w:vAlign w:val="bottom"/>
            <w:tcBorders>
              <w:left w:val="single" w:sz="8" w:color="auto"/>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3,626</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3,317</w:t>
            </w:r>
          </w:p>
        </w:tc>
        <w:tc>
          <w:tcPr>
            <w:tcW w:w="10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309</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2,801</w:t>
            </w:r>
          </w:p>
        </w:tc>
        <w:tc>
          <w:tcPr>
            <w:tcW w:w="1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420" w:type="dxa"/>
            <w:vAlign w:val="bottom"/>
            <w:tcBorders>
              <w:left w:val="single" w:sz="8" w:color="auto"/>
              <w:bottom w:val="single" w:sz="8" w:color="auto"/>
            </w:tcBorders>
            <w:vMerge w:val="continue"/>
            <w:shd w:val="clear" w:color="auto" w:fill="CCEEFF"/>
          </w:tcPr>
          <w:p>
            <w:pPr>
              <w:spacing w:after="0"/>
              <w:rPr>
                <w:sz w:val="9"/>
                <w:szCs w:val="9"/>
                <w:color w:val="auto"/>
              </w:rPr>
            </w:pPr>
          </w:p>
        </w:tc>
        <w:tc>
          <w:tcPr>
            <w:tcW w:w="880" w:type="dxa"/>
            <w:vAlign w:val="bottom"/>
            <w:tcBorders>
              <w:bottom w:val="single" w:sz="8" w:color="auto"/>
            </w:tcBorders>
            <w:vMerge w:val="continue"/>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28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00" w:type="dxa"/>
            <w:vAlign w:val="bottom"/>
            <w:tcBorders>
              <w:bottom w:val="single" w:sz="8" w:color="auto"/>
            </w:tcBorders>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420" w:type="dxa"/>
            <w:vAlign w:val="bottom"/>
            <w:vMerge w:val="restart"/>
          </w:tcPr>
          <w:p>
            <w:pPr>
              <w:ind w:left="40"/>
              <w:spacing w:after="0"/>
              <w:rPr>
                <w:sz w:val="20"/>
                <w:szCs w:val="20"/>
                <w:color w:val="auto"/>
              </w:rPr>
            </w:pPr>
            <w:r>
              <w:rPr>
                <w:rFonts w:ascii="Arial" w:cs="Arial" w:eastAsia="Arial" w:hAnsi="Arial"/>
                <w:sz w:val="16"/>
                <w:szCs w:val="16"/>
                <w:color w:val="auto"/>
              </w:rPr>
              <w:t>Q3</w:t>
            </w: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10,791</w:t>
            </w:r>
          </w:p>
        </w:tc>
        <w:tc>
          <w:tcPr>
            <w:tcW w:w="320" w:type="dxa"/>
            <w:vAlign w:val="bottom"/>
          </w:tcPr>
          <w:p>
            <w:pPr>
              <w:jc w:val="right"/>
              <w:spacing w:after="0"/>
              <w:rPr>
                <w:sz w:val="20"/>
                <w:szCs w:val="20"/>
                <w:color w:val="auto"/>
              </w:rPr>
            </w:pPr>
            <w:r>
              <w:rPr>
                <w:rFonts w:ascii="Arial" w:cs="Arial" w:eastAsia="Arial" w:hAnsi="Arial"/>
                <w:sz w:val="11"/>
                <w:szCs w:val="11"/>
                <w:color w:val="auto"/>
              </w:rPr>
              <w:t>(3)</w:t>
            </w: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auto"/>
              </w:rPr>
              <w:t>9,469</w:t>
            </w:r>
          </w:p>
        </w:tc>
        <w:tc>
          <w:tcPr>
            <w:tcW w:w="1060" w:type="dxa"/>
            <w:vAlign w:val="bottom"/>
            <w:vMerge w:val="restart"/>
          </w:tcPr>
          <w:p>
            <w:pPr>
              <w:jc w:val="right"/>
              <w:ind w:right="99"/>
              <w:spacing w:after="0"/>
              <w:rPr>
                <w:sz w:val="20"/>
                <w:szCs w:val="20"/>
                <w:color w:val="auto"/>
              </w:rPr>
            </w:pPr>
            <w:r>
              <w:rPr>
                <w:rFonts w:ascii="Arial" w:cs="Arial" w:eastAsia="Arial" w:hAnsi="Arial"/>
                <w:sz w:val="16"/>
                <w:szCs w:val="16"/>
                <w:color w:val="auto"/>
              </w:rPr>
              <w:t>1,322</w:t>
            </w: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vMerge w:val="restart"/>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9,125</w:t>
            </w: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2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42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10,500</w:t>
            </w: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9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9,391</w:t>
            </w:r>
          </w:p>
        </w:tc>
        <w:tc>
          <w:tcPr>
            <w:tcW w:w="106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1,109</w:t>
            </w:r>
          </w:p>
        </w:tc>
        <w:tc>
          <w:tcPr>
            <w:tcW w:w="104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6,281</w:t>
            </w:r>
          </w:p>
        </w:tc>
        <w:tc>
          <w:tcPr>
            <w:tcW w:w="1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420" w:type="dxa"/>
            <w:vAlign w:val="bottom"/>
            <w:tcBorders>
              <w:left w:val="single" w:sz="8" w:color="CCEEFF"/>
            </w:tcBorders>
            <w:vMerge w:val="continue"/>
            <w:shd w:val="clear" w:color="auto" w:fill="CCEEFF"/>
          </w:tcPr>
          <w:p>
            <w:pPr>
              <w:spacing w:after="0"/>
              <w:rPr>
                <w:sz w:val="9"/>
                <w:szCs w:val="9"/>
                <w:color w:val="auto"/>
              </w:rPr>
            </w:pPr>
          </w:p>
        </w:tc>
        <w:tc>
          <w:tcPr>
            <w:tcW w:w="880" w:type="dxa"/>
            <w:vAlign w:val="bottom"/>
            <w:tcBorders>
              <w:bottom w:val="single" w:sz="8" w:color="auto"/>
            </w:tcBorders>
            <w:vMerge w:val="continue"/>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96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280" w:type="dxa"/>
            <w:vAlign w:val="bottom"/>
            <w:vMerge w:val="continue"/>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0"/>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44,619</w:t>
            </w:r>
          </w:p>
        </w:tc>
        <w:tc>
          <w:tcPr>
            <w:tcW w:w="32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w:t>
            </w: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38,332</w:t>
            </w: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6,287</w:t>
            </w: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16.4%</w:t>
            </w:r>
          </w:p>
        </w:tc>
        <w:tc>
          <w:tcPr>
            <w:tcW w:w="10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33,462</w:t>
            </w:r>
          </w:p>
        </w:tc>
        <w:tc>
          <w:tcPr>
            <w:tcW w:w="1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420" w:type="dxa"/>
            <w:vAlign w:val="bottom"/>
            <w:tcBorders>
              <w:left w:val="single" w:sz="8" w:color="CCEEFF"/>
            </w:tcBorders>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6"/>
                <w:szCs w:val="16"/>
                <w:color w:val="auto"/>
              </w:rPr>
              <w:t>July year to date growth</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26,529</w:t>
            </w:r>
          </w:p>
        </w:tc>
        <w:tc>
          <w:tcPr>
            <w:tcW w:w="320" w:type="dxa"/>
            <w:vAlign w:val="bottom"/>
          </w:tcPr>
          <w:p>
            <w:pPr>
              <w:spacing w:after="0"/>
              <w:rPr>
                <w:sz w:val="21"/>
                <w:szCs w:val="21"/>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22,322</w:t>
            </w: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4,207</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18.8%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24,152</w:t>
            </w:r>
          </w:p>
        </w:tc>
        <w:tc>
          <w:tcPr>
            <w:tcW w:w="28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21,384</w:t>
            </w: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2,768</w:t>
            </w: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Class A, B and C wholesale shipments as reported by RVIA.</w:t>
      </w:r>
    </w:p>
    <w:p>
      <w:pPr>
        <w:ind w:left="340" w:hanging="332"/>
        <w:spacing w:after="0" w:line="187"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Class A, B and C retail registrations as reported by Stat Surveys for the US and Canada combined.</w:t>
      </w:r>
    </w:p>
    <w:p>
      <w:pPr>
        <w:ind w:left="340" w:hanging="332"/>
        <w:spacing w:after="0" w:line="220"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Class A, B and C wholesale shipments are based upon the forecast prepared by Dr. Richard Curtin of the University of Michigan Consumer Survey Research Center for RVIA and reported in the RoadSigns RV Fall 2014 Industry Forecast Issue. The revised RVIA annual 2014 wholesale shipment forecast is 44,800 and the annual forecast for 2015 is 45,700, an increase of 2.0%.</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2014 retail demand for this period.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Key statistics for the towable industry are as follows: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2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5"/>
          </w:tcPr>
          <w:p>
            <w:pPr>
              <w:jc w:val="right"/>
              <w:ind w:right="259"/>
              <w:spacing w:after="0"/>
              <w:rPr>
                <w:sz w:val="20"/>
                <w:szCs w:val="20"/>
                <w:color w:val="auto"/>
              </w:rPr>
            </w:pPr>
            <w:r>
              <w:rPr>
                <w:rFonts w:ascii="Arial" w:cs="Arial" w:eastAsia="Arial" w:hAnsi="Arial"/>
                <w:sz w:val="16"/>
                <w:szCs w:val="16"/>
                <w:b w:val="1"/>
                <w:bCs w:val="1"/>
                <w:color w:val="auto"/>
              </w:rPr>
              <w:t>US and Canada Travel Trailer &amp; Fifth Wheel Industry</w:t>
            </w:r>
          </w:p>
        </w:tc>
        <w:tc>
          <w:tcPr>
            <w:tcW w:w="10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6"/>
        </w:trPr>
        <w:tc>
          <w:tcPr>
            <w:tcW w:w="2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w w:val="98"/>
              </w:rPr>
              <w:t>Wholesale Shipments</w:t>
            </w:r>
            <w:r>
              <w:rPr>
                <w:rFonts w:ascii="Arial" w:cs="Arial" w:eastAsia="Arial" w:hAnsi="Arial"/>
                <w:sz w:val="21"/>
                <w:szCs w:val="21"/>
                <w:b w:val="1"/>
                <w:bCs w:val="1"/>
                <w:color w:val="auto"/>
                <w:w w:val="98"/>
                <w:vertAlign w:val="superscript"/>
              </w:rPr>
              <w:t>(1)</w:t>
            </w: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80" w:type="dxa"/>
            <w:vAlign w:val="bottom"/>
            <w:gridSpan w:val="2"/>
          </w:tcPr>
          <w:p>
            <w:pPr>
              <w:jc w:val="right"/>
              <w:ind w:right="281"/>
              <w:spacing w:after="0"/>
              <w:rPr>
                <w:sz w:val="20"/>
                <w:szCs w:val="20"/>
                <w:color w:val="auto"/>
              </w:rPr>
            </w:pPr>
            <w:r>
              <w:rPr>
                <w:rFonts w:ascii="Arial" w:cs="Arial" w:eastAsia="Arial" w:hAnsi="Arial"/>
                <w:sz w:val="16"/>
                <w:szCs w:val="16"/>
                <w:b w:val="1"/>
                <w:bCs w:val="1"/>
                <w:color w:val="auto"/>
              </w:rPr>
              <w:t>Retail Registrations</w:t>
            </w:r>
            <w:r>
              <w:rPr>
                <w:rFonts w:ascii="Arial" w:cs="Arial" w:eastAsia="Arial" w:hAnsi="Arial"/>
                <w:sz w:val="21"/>
                <w:szCs w:val="21"/>
                <w:b w:val="1"/>
                <w:bCs w:val="1"/>
                <w:color w:val="auto"/>
                <w:vertAlign w:val="superscript"/>
              </w:rPr>
              <w:t>(2)</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jc w:val="right"/>
              <w:ind w:right="559"/>
              <w:spacing w:after="0"/>
              <w:rPr>
                <w:sz w:val="20"/>
                <w:szCs w:val="20"/>
                <w:color w:val="auto"/>
              </w:rPr>
            </w:pPr>
            <w:r>
              <w:rPr>
                <w:rFonts w:ascii="Arial" w:cs="Arial" w:eastAsia="Arial" w:hAnsi="Arial"/>
                <w:sz w:val="16"/>
                <w:szCs w:val="16"/>
                <w:b w:val="1"/>
                <w:bCs w:val="1"/>
                <w:color w:val="auto"/>
              </w:rPr>
              <w:t>Calendar Year</w:t>
            </w:r>
          </w:p>
        </w:tc>
        <w:tc>
          <w:tcPr>
            <w:tcW w:w="1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right"/>
              <w:ind w:right="561"/>
              <w:spacing w:after="0"/>
              <w:rPr>
                <w:sz w:val="20"/>
                <w:szCs w:val="20"/>
                <w:color w:val="auto"/>
              </w:rPr>
            </w:pPr>
            <w:r>
              <w:rPr>
                <w:rFonts w:ascii="Arial" w:cs="Arial" w:eastAsia="Arial" w:hAnsi="Arial"/>
                <w:sz w:val="16"/>
                <w:szCs w:val="16"/>
                <w:b w:val="1"/>
                <w:bCs w:val="1"/>
                <w:color w:val="auto"/>
              </w:rPr>
              <w:t>Calendar Year</w:t>
            </w: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2012</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Increase</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2012</w:t>
            </w: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66,745</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60,402</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6,343</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42,987</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39,093</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3,894</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Q2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79,935</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71,095</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8,840</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12.4%</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94,717</w:t>
            </w:r>
          </w:p>
        </w:tc>
        <w:tc>
          <w:tcPr>
            <w:tcW w:w="3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83,990</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10,727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12.8%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2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Q3</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61,251</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56,601</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4,650</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79,805</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67,344</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12,461</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Q4</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60,104</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54,782</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5,322</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9.7%</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37,054</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32,469</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4,585</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240" w:type="dxa"/>
            <w:vAlign w:val="bottom"/>
            <w:tcBorders>
              <w:left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268,035</w:t>
            </w: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242,880</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25,155</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10.4%</w:t>
            </w: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254,563</w:t>
            </w:r>
          </w:p>
        </w:tc>
        <w:tc>
          <w:tcPr>
            <w:tcW w:w="3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222,896</w:t>
            </w:r>
          </w:p>
        </w:tc>
        <w:tc>
          <w:tcPr>
            <w:tcW w:w="10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31,667</w:t>
            </w:r>
          </w:p>
        </w:tc>
        <w:tc>
          <w:tcPr>
            <w:tcW w:w="10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2014</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Increase</w:t>
            </w:r>
          </w:p>
        </w:tc>
        <w:tc>
          <w:tcPr>
            <w:tcW w:w="10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Change</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2014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2013</w:t>
            </w:r>
          </w:p>
        </w:tc>
        <w:tc>
          <w:tcPr>
            <w:tcW w:w="10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Increase</w:t>
            </w: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Q1</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75,458</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66,745</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8,713</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13.1%</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45,873</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42,987</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2,886</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Q2</w:t>
            </w: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85,648</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79,935</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5,713</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98,754</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94,717</w:t>
            </w:r>
          </w:p>
        </w:tc>
        <w:tc>
          <w:tcPr>
            <w:tcW w:w="10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4,037</w:t>
            </w:r>
          </w:p>
        </w:tc>
        <w:tc>
          <w:tcPr>
            <w:tcW w:w="10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auto"/>
            </w:tcBorders>
            <w:shd w:val="clear" w:color="auto" w:fill="CCEEFF"/>
          </w:tcPr>
          <w:p>
            <w:pPr>
              <w:ind w:left="180"/>
              <w:spacing w:after="0"/>
              <w:rPr>
                <w:sz w:val="20"/>
                <w:szCs w:val="20"/>
                <w:color w:val="auto"/>
              </w:rPr>
            </w:pPr>
            <w:r>
              <w:rPr>
                <w:rFonts w:ascii="Arial" w:cs="Arial" w:eastAsia="Arial" w:hAnsi="Arial"/>
                <w:sz w:val="16"/>
                <w:szCs w:val="16"/>
                <w:color w:val="auto"/>
              </w:rPr>
              <w:t>July</w:t>
            </w: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23,691</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22,083</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1,608</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7.3%</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32,111</w:t>
            </w:r>
          </w:p>
        </w:tc>
        <w:tc>
          <w:tcPr>
            <w:tcW w:w="3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31,306</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805</w:t>
            </w:r>
          </w:p>
        </w:tc>
        <w:tc>
          <w:tcPr>
            <w:tcW w:w="10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c>
          <w:tcPr>
            <w:tcW w:w="20" w:type="dxa"/>
            <w:vAlign w:val="bottom"/>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240" w:type="dxa"/>
            <w:vAlign w:val="bottom"/>
            <w:tcBorders>
              <w:left w:val="single" w:sz="8" w:color="auto"/>
            </w:tcBorders>
          </w:tcPr>
          <w:p>
            <w:pPr>
              <w:ind w:left="180"/>
              <w:spacing w:after="0"/>
              <w:rPr>
                <w:sz w:val="20"/>
                <w:szCs w:val="20"/>
                <w:color w:val="auto"/>
              </w:rPr>
            </w:pPr>
            <w:r>
              <w:rPr>
                <w:rFonts w:ascii="Arial" w:cs="Arial" w:eastAsia="Arial" w:hAnsi="Arial"/>
                <w:sz w:val="16"/>
                <w:szCs w:val="16"/>
                <w:color w:val="auto"/>
              </w:rPr>
              <w:t>August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21,370</w:t>
            </w:r>
          </w:p>
        </w:tc>
        <w:tc>
          <w:tcPr>
            <w:tcW w:w="3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20,797</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573</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060" w:type="dxa"/>
            <w:vAlign w:val="bottom"/>
          </w:tcPr>
          <w:p>
            <w:pPr>
              <w:spacing w:after="0"/>
              <w:rPr>
                <w:sz w:val="22"/>
                <w:szCs w:val="22"/>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27,935</w:t>
            </w: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2240" w:type="dxa"/>
            <w:vAlign w:val="bottom"/>
            <w:tcBorders>
              <w:left w:val="single" w:sz="8" w:color="auto"/>
            </w:tcBorders>
            <w:vMerge w:val="restart"/>
            <w:shd w:val="clear" w:color="auto" w:fill="CCEEFF"/>
          </w:tcPr>
          <w:p>
            <w:pPr>
              <w:ind w:left="180"/>
              <w:spacing w:after="0"/>
              <w:rPr>
                <w:sz w:val="20"/>
                <w:szCs w:val="20"/>
                <w:color w:val="auto"/>
              </w:rPr>
            </w:pPr>
            <w:r>
              <w:rPr>
                <w:rFonts w:ascii="Arial" w:cs="Arial" w:eastAsia="Arial" w:hAnsi="Arial"/>
                <w:sz w:val="16"/>
                <w:szCs w:val="16"/>
                <w:color w:val="auto"/>
              </w:rPr>
              <w:t>September</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19,672</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18,371</w:t>
            </w:r>
          </w:p>
        </w:tc>
        <w:tc>
          <w:tcPr>
            <w:tcW w:w="10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1,301</w:t>
            </w: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7.1%</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20,564</w:t>
            </w:r>
          </w:p>
        </w:tc>
        <w:tc>
          <w:tcPr>
            <w:tcW w:w="10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auto"/>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tcBorders>
              <w:bottom w:val="single" w:sz="8" w:color="auto"/>
            </w:tcBorders>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shd w:val="clear" w:color="auto" w:fill="CCEEFF"/>
          </w:tcPr>
          <w:p>
            <w:pPr>
              <w:spacing w:after="0"/>
              <w:rPr>
                <w:sz w:val="9"/>
                <w:szCs w:val="9"/>
                <w:color w:val="auto"/>
              </w:rPr>
            </w:pPr>
          </w:p>
        </w:tc>
        <w:tc>
          <w:tcPr>
            <w:tcW w:w="20" w:type="dxa"/>
            <w:vAlign w:val="bottom"/>
            <w:tcBorders>
              <w:bottom w:val="single" w:sz="8" w:color="auto"/>
            </w:tcBorders>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40" w:type="dxa"/>
            <w:vAlign w:val="bottom"/>
            <w:vMerge w:val="restart"/>
          </w:tcPr>
          <w:p>
            <w:pPr>
              <w:ind w:left="40"/>
              <w:spacing w:after="0"/>
              <w:rPr>
                <w:sz w:val="20"/>
                <w:szCs w:val="20"/>
                <w:color w:val="auto"/>
              </w:rPr>
            </w:pPr>
            <w:r>
              <w:rPr>
                <w:rFonts w:ascii="Arial" w:cs="Arial" w:eastAsia="Arial" w:hAnsi="Arial"/>
                <w:sz w:val="16"/>
                <w:szCs w:val="16"/>
                <w:color w:val="auto"/>
              </w:rPr>
              <w:t>Q3</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64,733</w:t>
            </w:r>
          </w:p>
        </w:tc>
        <w:tc>
          <w:tcPr>
            <w:tcW w:w="300" w:type="dxa"/>
            <w:vAlign w:val="bottom"/>
          </w:tcPr>
          <w:p>
            <w:pPr>
              <w:jc w:val="right"/>
              <w:spacing w:after="0"/>
              <w:rPr>
                <w:sz w:val="20"/>
                <w:szCs w:val="20"/>
                <w:color w:val="auto"/>
              </w:rPr>
            </w:pPr>
            <w:r>
              <w:rPr>
                <w:rFonts w:ascii="Arial" w:cs="Arial" w:eastAsia="Arial" w:hAnsi="Arial"/>
                <w:sz w:val="11"/>
                <w:szCs w:val="11"/>
                <w:color w:val="auto"/>
              </w:rPr>
              <w:t>(3)</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61,251</w:t>
            </w:r>
          </w:p>
        </w:tc>
        <w:tc>
          <w:tcPr>
            <w:tcW w:w="1040" w:type="dxa"/>
            <w:vAlign w:val="bottom"/>
            <w:vMerge w:val="restart"/>
          </w:tcPr>
          <w:p>
            <w:pPr>
              <w:jc w:val="right"/>
              <w:ind w:right="99"/>
              <w:spacing w:after="0"/>
              <w:rPr>
                <w:sz w:val="20"/>
                <w:szCs w:val="20"/>
                <w:color w:val="auto"/>
              </w:rPr>
            </w:pPr>
            <w:r>
              <w:rPr>
                <w:rFonts w:ascii="Arial" w:cs="Arial" w:eastAsia="Arial" w:hAnsi="Arial"/>
                <w:sz w:val="16"/>
                <w:szCs w:val="16"/>
                <w:color w:val="auto"/>
              </w:rPr>
              <w:t>3,482</w:t>
            </w: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5.7%</w:t>
            </w:r>
          </w:p>
        </w:tc>
        <w:tc>
          <w:tcPr>
            <w:tcW w:w="1060" w:type="dxa"/>
            <w:vAlign w:val="bottom"/>
          </w:tcPr>
          <w:p>
            <w:pPr>
              <w:spacing w:after="0"/>
              <w:rPr>
                <w:sz w:val="13"/>
                <w:szCs w:val="13"/>
                <w:color w:val="auto"/>
              </w:rPr>
            </w:pPr>
          </w:p>
        </w:tc>
        <w:tc>
          <w:tcPr>
            <w:tcW w:w="380" w:type="dxa"/>
            <w:vAlign w:val="bottom"/>
          </w:tcPr>
          <w:p>
            <w:pPr>
              <w:jc w:val="right"/>
              <w:ind w:right="6"/>
              <w:spacing w:after="0"/>
              <w:rPr>
                <w:sz w:val="20"/>
                <w:szCs w:val="20"/>
                <w:color w:val="auto"/>
              </w:rPr>
            </w:pPr>
            <w:r>
              <w:rPr>
                <w:rFonts w:ascii="Arial" w:cs="Arial" w:eastAsia="Arial" w:hAnsi="Arial"/>
                <w:sz w:val="11"/>
                <w:szCs w:val="11"/>
                <w:color w:val="auto"/>
              </w:rPr>
              <w:t>(4)</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79,805</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2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240" w:type="dxa"/>
            <w:vAlign w:val="bottom"/>
            <w:tcBorders>
              <w:left w:val="single" w:sz="8" w:color="CCEEFF"/>
            </w:tcBorders>
            <w:vMerge w:val="restart"/>
            <w:shd w:val="clear" w:color="auto" w:fill="CCEEFF"/>
          </w:tcPr>
          <w:p>
            <w:pPr>
              <w:ind w:left="40"/>
              <w:spacing w:after="0"/>
              <w:rPr>
                <w:sz w:val="20"/>
                <w:szCs w:val="20"/>
                <w:color w:val="auto"/>
              </w:rPr>
            </w:pPr>
            <w:r>
              <w:rPr>
                <w:rFonts w:ascii="Arial" w:cs="Arial" w:eastAsia="Arial" w:hAnsi="Arial"/>
                <w:sz w:val="16"/>
                <w:szCs w:val="16"/>
                <w:color w:val="auto"/>
              </w:rPr>
              <w:t>Q4</w:t>
            </w:r>
          </w:p>
        </w:tc>
        <w:tc>
          <w:tcPr>
            <w:tcW w:w="10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62,400</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60,104</w:t>
            </w:r>
          </w:p>
        </w:tc>
        <w:tc>
          <w:tcPr>
            <w:tcW w:w="104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color w:val="auto"/>
              </w:rPr>
              <w:t>2,296</w:t>
            </w: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06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w:t>
            </w:r>
          </w:p>
        </w:tc>
        <w:tc>
          <w:tcPr>
            <w:tcW w:w="10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37,054</w:t>
            </w:r>
          </w:p>
        </w:tc>
        <w:tc>
          <w:tcPr>
            <w:tcW w:w="1080" w:type="dxa"/>
            <w:vAlign w:val="bottom"/>
            <w:shd w:val="clear" w:color="auto" w:fill="CCEEFF"/>
          </w:tcPr>
          <w:p>
            <w:pPr>
              <w:jc w:val="right"/>
              <w:ind w:right="101"/>
              <w:spacing w:after="0"/>
              <w:rPr>
                <w:sz w:val="20"/>
                <w:szCs w:val="20"/>
                <w:color w:val="auto"/>
              </w:rPr>
            </w:pPr>
            <w:r>
              <w:rPr>
                <w:rFonts w:ascii="Arial" w:cs="Arial" w:eastAsia="Arial" w:hAnsi="Arial"/>
                <w:sz w:val="11"/>
                <w:szCs w:val="11"/>
                <w:color w:val="auto"/>
              </w:rPr>
              <w:t>`</w:t>
            </w:r>
          </w:p>
        </w:tc>
        <w:tc>
          <w:tcPr>
            <w:tcW w:w="10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240" w:type="dxa"/>
            <w:vAlign w:val="bottom"/>
            <w:tcBorders>
              <w:left w:val="single" w:sz="8" w:color="CCEEFF"/>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0" w:type="dxa"/>
            <w:vAlign w:val="bottom"/>
            <w:tcBorders>
              <w:bottom w:val="single" w:sz="8" w:color="auto"/>
            </w:tcBorders>
            <w:vMerge w:val="continue"/>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2240" w:type="dxa"/>
            <w:vAlign w:val="bottom"/>
            <w:vMerge w:val="restart"/>
          </w:tcPr>
          <w:p>
            <w:pPr>
              <w:ind w:left="40"/>
              <w:spacing w:after="0"/>
              <w:rPr>
                <w:sz w:val="20"/>
                <w:szCs w:val="20"/>
                <w:color w:val="auto"/>
              </w:rPr>
            </w:pPr>
            <w:r>
              <w:rPr>
                <w:rFonts w:ascii="Arial" w:cs="Arial" w:eastAsia="Arial" w:hAnsi="Arial"/>
                <w:sz w:val="16"/>
                <w:szCs w:val="16"/>
                <w:color w:val="auto"/>
              </w:rPr>
              <w:t>Total</w:t>
            </w:r>
          </w:p>
        </w:tc>
        <w:tc>
          <w:tcPr>
            <w:tcW w:w="1000" w:type="dxa"/>
            <w:vAlign w:val="bottom"/>
            <w:vMerge w:val="restart"/>
          </w:tcPr>
          <w:p>
            <w:pPr>
              <w:jc w:val="right"/>
              <w:ind w:right="59"/>
              <w:spacing w:after="0"/>
              <w:rPr>
                <w:sz w:val="20"/>
                <w:szCs w:val="20"/>
                <w:color w:val="auto"/>
              </w:rPr>
            </w:pPr>
            <w:r>
              <w:rPr>
                <w:rFonts w:ascii="Arial" w:cs="Arial" w:eastAsia="Arial" w:hAnsi="Arial"/>
                <w:sz w:val="16"/>
                <w:szCs w:val="16"/>
                <w:color w:val="auto"/>
              </w:rPr>
              <w:t>288,239</w:t>
            </w:r>
          </w:p>
        </w:tc>
        <w:tc>
          <w:tcPr>
            <w:tcW w:w="300" w:type="dxa"/>
            <w:vAlign w:val="bottom"/>
          </w:tcPr>
          <w:p>
            <w:pPr>
              <w:jc w:val="right"/>
              <w:spacing w:after="0"/>
              <w:rPr>
                <w:sz w:val="20"/>
                <w:szCs w:val="20"/>
                <w:color w:val="auto"/>
              </w:rPr>
            </w:pPr>
            <w:r>
              <w:rPr>
                <w:rFonts w:ascii="Arial" w:cs="Arial" w:eastAsia="Arial" w:hAnsi="Arial"/>
                <w:sz w:val="11"/>
                <w:szCs w:val="11"/>
                <w:color w:val="auto"/>
              </w:rPr>
              <w:t>(3)</w:t>
            </w: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color w:val="auto"/>
              </w:rPr>
              <w:t>268,035</w:t>
            </w:r>
          </w:p>
        </w:tc>
        <w:tc>
          <w:tcPr>
            <w:tcW w:w="1040" w:type="dxa"/>
            <w:vAlign w:val="bottom"/>
            <w:vMerge w:val="restart"/>
          </w:tcPr>
          <w:p>
            <w:pPr>
              <w:jc w:val="right"/>
              <w:ind w:right="99"/>
              <w:spacing w:after="0"/>
              <w:rPr>
                <w:sz w:val="20"/>
                <w:szCs w:val="20"/>
                <w:color w:val="auto"/>
              </w:rPr>
            </w:pPr>
            <w:r>
              <w:rPr>
                <w:rFonts w:ascii="Arial" w:cs="Arial" w:eastAsia="Arial" w:hAnsi="Arial"/>
                <w:sz w:val="16"/>
                <w:szCs w:val="16"/>
                <w:color w:val="auto"/>
              </w:rPr>
              <w:t>20,204</w:t>
            </w:r>
          </w:p>
        </w:tc>
        <w:tc>
          <w:tcPr>
            <w:tcW w:w="1000" w:type="dxa"/>
            <w:vAlign w:val="bottom"/>
            <w:vMerge w:val="restart"/>
          </w:tcPr>
          <w:p>
            <w:pPr>
              <w:jc w:val="right"/>
              <w:ind w:right="79"/>
              <w:spacing w:after="0"/>
              <w:rPr>
                <w:sz w:val="20"/>
                <w:szCs w:val="20"/>
                <w:color w:val="auto"/>
              </w:rPr>
            </w:pPr>
            <w:r>
              <w:rPr>
                <w:rFonts w:ascii="Arial" w:cs="Arial" w:eastAsia="Arial" w:hAnsi="Arial"/>
                <w:sz w:val="16"/>
                <w:szCs w:val="16"/>
                <w:color w:val="auto"/>
              </w:rPr>
              <w:t>7.5%</w:t>
            </w: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254,563</w:t>
            </w:r>
          </w:p>
        </w:tc>
        <w:tc>
          <w:tcPr>
            <w:tcW w:w="10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240" w:type="dxa"/>
            <w:vAlign w:val="bottom"/>
            <w:tcBorders>
              <w:bottom w:val="single" w:sz="8" w:color="CCEEFF"/>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vMerge w:val="continue"/>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8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240" w:type="dxa"/>
            <w:vAlign w:val="bottom"/>
            <w:tcBorders>
              <w:left w:val="single" w:sz="8" w:color="CCEEFF"/>
            </w:tcBorders>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2240" w:type="dxa"/>
            <w:vAlign w:val="bottom"/>
          </w:tcPr>
          <w:p>
            <w:pPr>
              <w:ind w:left="40"/>
              <w:spacing w:after="0"/>
              <w:rPr>
                <w:sz w:val="20"/>
                <w:szCs w:val="20"/>
                <w:color w:val="auto"/>
              </w:rPr>
            </w:pPr>
            <w:r>
              <w:rPr>
                <w:rFonts w:ascii="Arial" w:cs="Arial" w:eastAsia="Arial" w:hAnsi="Arial"/>
                <w:sz w:val="16"/>
                <w:szCs w:val="16"/>
                <w:color w:val="auto"/>
              </w:rPr>
              <w:t>July year to date growth</w:t>
            </w: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184,797</w:t>
            </w:r>
          </w:p>
        </w:tc>
        <w:tc>
          <w:tcPr>
            <w:tcW w:w="30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168,763</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16,034</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9.5%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176,738</w:t>
            </w:r>
          </w:p>
        </w:tc>
        <w:tc>
          <w:tcPr>
            <w:tcW w:w="3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169,010</w:t>
            </w:r>
          </w:p>
        </w:tc>
        <w:tc>
          <w:tcPr>
            <w:tcW w:w="1080" w:type="dxa"/>
            <w:vAlign w:val="bottom"/>
          </w:tcPr>
          <w:p>
            <w:pPr>
              <w:jc w:val="right"/>
              <w:ind w:right="101"/>
              <w:spacing w:after="0"/>
              <w:rPr>
                <w:sz w:val="20"/>
                <w:szCs w:val="20"/>
                <w:color w:val="auto"/>
              </w:rPr>
            </w:pPr>
            <w:r>
              <w:rPr>
                <w:rFonts w:ascii="Arial" w:cs="Arial" w:eastAsia="Arial" w:hAnsi="Arial"/>
                <w:sz w:val="16"/>
                <w:szCs w:val="16"/>
                <w:color w:val="auto"/>
              </w:rPr>
              <w:t>7,728</w:t>
            </w: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Towable wholesale shipments as reported by RVIA.</w:t>
      </w:r>
    </w:p>
    <w:p>
      <w:pPr>
        <w:ind w:left="340" w:hanging="332"/>
        <w:spacing w:after="0" w:line="187"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Towable retail registrations as reported by Stat Surveys for the US and Canada combined.</w:t>
      </w:r>
    </w:p>
    <w:p>
      <w:pPr>
        <w:ind w:left="340" w:right="260" w:hanging="332"/>
        <w:spacing w:after="0" w:line="220"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Monthly and quarterly 2014 towable wholesale shipments are based upon the forecast prepared by Dr. Richard Curtin of the University of Michigan Consumer Survey Research Center for RVIA and reported in the RoadSigns RV Fall 2014 Industry Forecast Issue. The revised annual 2014 wholesale shipment forecast is 291,100 and the annual forecast for 2015 is 301,400, an increase of 3.5%.</w:t>
      </w:r>
    </w:p>
    <w:p>
      <w:pPr>
        <w:spacing w:after="0" w:line="1" w:lineRule="exact"/>
        <w:rPr>
          <w:rFonts w:ascii="Arial" w:cs="Arial" w:eastAsia="Arial" w:hAnsi="Arial"/>
          <w:sz w:val="18"/>
          <w:szCs w:val="18"/>
          <w:color w:val="auto"/>
          <w:vertAlign w:val="superscript"/>
        </w:rPr>
      </w:pPr>
    </w:p>
    <w:p>
      <w:pPr>
        <w:ind w:left="340" w:hanging="332"/>
        <w:spacing w:after="0" w:line="199" w:lineRule="auto"/>
        <w:tabs>
          <w:tab w:leader="none" w:pos="34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Stat Surveys has not issued a projection for 2014 retail demand for this period.</w:t>
      </w:r>
    </w:p>
    <w:p>
      <w:pPr>
        <w:sectPr>
          <w:pgSz w:w="11900" w:h="16838" w:orient="portrait"/>
          <w:cols w:equalWidth="0" w:num="1">
            <w:col w:w="11400"/>
          </w:cols>
          <w:pgMar w:left="240" w:top="141" w:right="259" w:bottom="336"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141" w:right="259" w:bottom="336"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Company Outlook</w:t>
      </w:r>
    </w:p>
    <w:p>
      <w:pPr>
        <w:spacing w:after="0" w:line="18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Based on our profitable operating results in recent years, we believe that we have demonstrated our ability to maintain our liquidity, cover operations costs, recover fixed assets, and maintain physical capacity at present levels. Now that we have entered into the towable market, we are attempting to grow revenues and earnings in a market significantly larger than the motorized market.</w:t>
      </w:r>
    </w:p>
    <w:p>
      <w:pPr>
        <w:spacing w:after="0" w:line="174" w:lineRule="exact"/>
        <w:rPr>
          <w:sz w:val="20"/>
          <w:szCs w:val="20"/>
          <w:color w:val="auto"/>
        </w:rPr>
      </w:pPr>
    </w:p>
    <w:p>
      <w:pPr>
        <w:jc w:val="both"/>
        <w:ind w:right="200"/>
        <w:spacing w:after="0" w:line="253" w:lineRule="auto"/>
        <w:rPr>
          <w:sz w:val="20"/>
          <w:szCs w:val="20"/>
          <w:color w:val="auto"/>
        </w:rPr>
      </w:pPr>
      <w:r>
        <w:rPr>
          <w:rFonts w:ascii="Arial" w:cs="Arial" w:eastAsia="Arial" w:hAnsi="Arial"/>
          <w:sz w:val="16"/>
          <w:szCs w:val="16"/>
          <w:color w:val="auto"/>
        </w:rPr>
        <w:t>In Fiscal 2014 our motorhome shipments increased by approximately 28% compared to the forecasted industry growth rate for calendar 2014 of 16.4%. We believe this demonstrates that our dealer network and ultimately the retail consumer have a strong demand for our products. This is driven in part by the new products that we have introduced in recent periods.</w:t>
      </w:r>
    </w:p>
    <w:p>
      <w:pPr>
        <w:spacing w:after="0" w:line="17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During the course of the fiscal year we continued to accelerate our motorhome production rates. As a result we produced nearly 30% more units in Fiscal 2014. This acceleration, coupled with the elimination of a key supply chain constraint of Class A gas chassis, allowed us to reduce our motorhome backlog to 1,899 at the end of the fiscal year. We expect to continue to increase production during Fiscal 2015 to align the growing demand for our products, while managing constraints as they may occur in relation to labor and component parts.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00" w:type="dxa"/>
            <w:vAlign w:val="bottom"/>
          </w:tcPr>
          <w:p>
            <w:pPr>
              <w:spacing w:after="0"/>
              <w:rPr>
                <w:sz w:val="20"/>
                <w:szCs w:val="20"/>
                <w:color w:val="auto"/>
              </w:rPr>
            </w:pPr>
            <w:r>
              <w:rPr>
                <w:rFonts w:ascii="Arial" w:cs="Arial" w:eastAsia="Arial" w:hAnsi="Arial"/>
                <w:sz w:val="16"/>
                <w:szCs w:val="16"/>
                <w:color w:val="auto"/>
              </w:rPr>
              <w:t>Our unit order backlog was as follows:</w:t>
            </w: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91"/>
        </w:trPr>
        <w:tc>
          <w:tcPr>
            <w:tcW w:w="32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As Of</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198"/>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(Decrease)</w:t>
            </w:r>
          </w:p>
        </w:tc>
        <w:tc>
          <w:tcPr>
            <w:tcW w:w="136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3200" w:type="dxa"/>
            <w:vAlign w:val="bottom"/>
          </w:tcPr>
          <w:p>
            <w:pPr>
              <w:ind w:left="40"/>
              <w:spacing w:after="0"/>
              <w:rPr>
                <w:sz w:val="20"/>
                <w:szCs w:val="20"/>
                <w:color w:val="auto"/>
              </w:rPr>
            </w:pPr>
            <w:r>
              <w:rPr>
                <w:rFonts w:ascii="Arial" w:cs="Arial" w:eastAsia="Arial" w:hAnsi="Arial"/>
                <w:sz w:val="16"/>
                <w:szCs w:val="16"/>
                <w:b w:val="1"/>
                <w:bCs w:val="1"/>
                <w:color w:val="auto"/>
              </w:rPr>
              <w:t>(In units)</w:t>
            </w:r>
          </w:p>
        </w:tc>
        <w:tc>
          <w:tcPr>
            <w:tcW w:w="340" w:type="dxa"/>
            <w:vAlign w:val="bottom"/>
          </w:tcPr>
          <w:p>
            <w:pPr>
              <w:spacing w:after="0"/>
              <w:rPr>
                <w:sz w:val="19"/>
                <w:szCs w:val="19"/>
                <w:color w:val="auto"/>
              </w:rPr>
            </w:pPr>
          </w:p>
        </w:tc>
        <w:tc>
          <w:tcPr>
            <w:tcW w:w="2340" w:type="dxa"/>
            <w:vAlign w:val="bottom"/>
            <w:gridSpan w:val="3"/>
          </w:tcPr>
          <w:p>
            <w:pPr>
              <w:ind w:left="320"/>
              <w:spacing w:after="0"/>
              <w:rPr>
                <w:sz w:val="20"/>
                <w:szCs w:val="20"/>
                <w:color w:val="auto"/>
              </w:rPr>
            </w:pPr>
            <w:r>
              <w:rPr>
                <w:rFonts w:ascii="Arial" w:cs="Arial" w:eastAsia="Arial" w:hAnsi="Arial"/>
                <w:sz w:val="16"/>
                <w:szCs w:val="16"/>
                <w:b w:val="1"/>
                <w:bCs w:val="1"/>
                <w:color w:val="auto"/>
              </w:rPr>
              <w:t>August 30, 2014</w:t>
            </w:r>
          </w:p>
        </w:tc>
        <w:tc>
          <w:tcPr>
            <w:tcW w:w="300" w:type="dxa"/>
            <w:vAlign w:val="bottom"/>
          </w:tcPr>
          <w:p>
            <w:pPr>
              <w:spacing w:after="0"/>
              <w:rPr>
                <w:sz w:val="19"/>
                <w:szCs w:val="19"/>
                <w:color w:val="auto"/>
              </w:rPr>
            </w:pPr>
          </w:p>
        </w:tc>
        <w:tc>
          <w:tcPr>
            <w:tcW w:w="2380" w:type="dxa"/>
            <w:vAlign w:val="bottom"/>
            <w:gridSpan w:val="3"/>
          </w:tcPr>
          <w:p>
            <w:pPr>
              <w:ind w:left="360"/>
              <w:spacing w:after="0"/>
              <w:rPr>
                <w:sz w:val="20"/>
                <w:szCs w:val="20"/>
                <w:color w:val="auto"/>
              </w:rPr>
            </w:pPr>
            <w:r>
              <w:rPr>
                <w:rFonts w:ascii="Arial" w:cs="Arial" w:eastAsia="Arial" w:hAnsi="Arial"/>
                <w:sz w:val="16"/>
                <w:szCs w:val="16"/>
                <w:b w:val="1"/>
                <w:bCs w:val="1"/>
                <w:color w:val="auto"/>
              </w:rPr>
              <w:t>August 31, 2013</w:t>
            </w:r>
          </w:p>
        </w:tc>
        <w:tc>
          <w:tcPr>
            <w:tcW w:w="200" w:type="dxa"/>
            <w:vAlign w:val="bottom"/>
          </w:tcPr>
          <w:p>
            <w:pPr>
              <w:spacing w:after="0"/>
              <w:rPr>
                <w:sz w:val="19"/>
                <w:szCs w:val="19"/>
                <w:color w:val="auto"/>
              </w:rPr>
            </w:pPr>
          </w:p>
        </w:tc>
        <w:tc>
          <w:tcPr>
            <w:tcW w:w="1300" w:type="dxa"/>
            <w:vAlign w:val="bottom"/>
          </w:tcPr>
          <w:p>
            <w:pPr>
              <w:jc w:val="right"/>
              <w:ind w:right="37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3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Class A gas</w:t>
            </w:r>
          </w:p>
        </w:tc>
        <w:tc>
          <w:tcPr>
            <w:tcW w:w="34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c>
          <w:tcPr>
            <w:tcW w:w="13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16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13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41.6%</w:t>
            </w:r>
          </w:p>
        </w:tc>
        <w:tc>
          <w:tcPr>
            <w:tcW w:w="16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(1,067)</w:t>
            </w:r>
          </w:p>
        </w:tc>
        <w:tc>
          <w:tcPr>
            <w:tcW w:w="13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(75.9)%</w:t>
            </w:r>
          </w:p>
        </w:tc>
      </w:tr>
      <w:tr>
        <w:trPr>
          <w:trHeight w:val="264"/>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Class A diesel</w:t>
            </w:r>
          </w:p>
        </w:tc>
        <w:tc>
          <w:tcPr>
            <w:tcW w:w="3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302</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15.9%</w:t>
            </w: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18.0%</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(305)</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(50.2)%</w:t>
            </w: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Class A</w:t>
            </w:r>
          </w:p>
        </w:tc>
        <w:tc>
          <w:tcPr>
            <w:tcW w:w="34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640</w:t>
            </w:r>
          </w:p>
        </w:tc>
        <w:tc>
          <w:tcPr>
            <w:tcW w:w="13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33.7%</w:t>
            </w: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2,012</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59.5%</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(1,372)</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(68.2)%</w:t>
            </w: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Class B</w:t>
            </w:r>
          </w:p>
        </w:tc>
        <w:tc>
          <w:tcPr>
            <w:tcW w:w="3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17.0%</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8.9%</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23</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7.7 %</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936</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49.3%</w:t>
            </w:r>
          </w:p>
        </w:tc>
        <w:tc>
          <w:tcPr>
            <w:tcW w:w="1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31.6%</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(132)</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r>
      <w:tr>
        <w:trPr>
          <w:trHeight w:val="283"/>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motorhome backlog</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1,899</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(1,481)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(43.8)%</w:t>
            </w:r>
          </w:p>
        </w:tc>
      </w:tr>
      <w:tr>
        <w:trPr>
          <w:trHeight w:val="143"/>
        </w:trPr>
        <w:tc>
          <w:tcPr>
            <w:tcW w:w="3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60"/>
        </w:trPr>
        <w:tc>
          <w:tcPr>
            <w:tcW w:w="320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34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134</w:t>
            </w: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82.2%</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180</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81.4%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(46)</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(25.6)%</w:t>
            </w:r>
          </w:p>
        </w:tc>
      </w:tr>
      <w:tr>
        <w:trPr>
          <w:trHeight w:val="273"/>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3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w:t>
            </w:r>
          </w:p>
        </w:tc>
        <w:tc>
          <w:tcPr>
            <w:tcW w:w="13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17.8%</w:t>
            </w:r>
          </w:p>
        </w:tc>
        <w:tc>
          <w:tcPr>
            <w:tcW w:w="16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18.6%</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w:t>
            </w:r>
          </w:p>
        </w:tc>
        <w:tc>
          <w:tcPr>
            <w:tcW w:w="13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(29.3)%</w:t>
            </w:r>
          </w:p>
        </w:tc>
      </w:tr>
      <w:tr>
        <w:trPr>
          <w:trHeight w:val="283"/>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towable backlog</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(58)</w:t>
            </w:r>
          </w:p>
        </w:tc>
        <w:tc>
          <w:tcPr>
            <w:tcW w:w="13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(26.2)%</w:t>
            </w:r>
          </w:p>
        </w:tc>
      </w:tr>
      <w:tr>
        <w:trPr>
          <w:trHeight w:val="143"/>
        </w:trPr>
        <w:tc>
          <w:tcPr>
            <w:tcW w:w="3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r>
      <w:tr>
        <w:trPr>
          <w:trHeight w:val="264"/>
        </w:trPr>
        <w:tc>
          <w:tcPr>
            <w:tcW w:w="3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Approximate backlog revenue in thousands</w:t>
            </w:r>
          </w:p>
        </w:tc>
        <w:tc>
          <w:tcPr>
            <w:tcW w:w="84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7"/>
        </w:trPr>
        <w:tc>
          <w:tcPr>
            <w:tcW w:w="3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172,575</w:t>
            </w:r>
          </w:p>
        </w:tc>
        <w:tc>
          <w:tcPr>
            <w:tcW w:w="13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346,665</w:t>
            </w:r>
          </w:p>
        </w:tc>
        <w:tc>
          <w:tcPr>
            <w:tcW w:w="13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(174,090)</w:t>
            </w:r>
          </w:p>
        </w:tc>
        <w:tc>
          <w:tcPr>
            <w:tcW w:w="13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(50.2)%</w:t>
            </w:r>
          </w:p>
        </w:tc>
      </w:tr>
      <w:tr>
        <w:trPr>
          <w:trHeight w:val="251"/>
        </w:trPr>
        <w:tc>
          <w:tcPr>
            <w:tcW w:w="3200" w:type="dxa"/>
            <w:vAlign w:val="bottom"/>
          </w:tcPr>
          <w:p>
            <w:pPr>
              <w:ind w:left="40"/>
              <w:spacing w:after="0"/>
              <w:rPr>
                <w:sz w:val="20"/>
                <w:szCs w:val="20"/>
                <w:color w:val="auto"/>
              </w:rPr>
            </w:pPr>
            <w:r>
              <w:rPr>
                <w:rFonts w:ascii="Arial" w:cs="Arial" w:eastAsia="Arial" w:hAnsi="Arial"/>
                <w:sz w:val="16"/>
                <w:szCs w:val="16"/>
                <w:color w:val="auto"/>
              </w:rPr>
              <w:t>Towable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3,750</w:t>
            </w:r>
          </w:p>
        </w:tc>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4,744</w:t>
            </w:r>
          </w:p>
        </w:tc>
        <w:tc>
          <w:tcPr>
            <w:tcW w:w="1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59"/>
              <w:spacing w:after="0"/>
              <w:rPr>
                <w:sz w:val="20"/>
                <w:szCs w:val="20"/>
                <w:color w:val="auto"/>
              </w:rPr>
            </w:pPr>
            <w:r>
              <w:rPr>
                <w:rFonts w:ascii="Arial" w:cs="Arial" w:eastAsia="Arial" w:hAnsi="Arial"/>
                <w:sz w:val="16"/>
                <w:szCs w:val="16"/>
                <w:color w:val="auto"/>
              </w:rPr>
              <w:t>(994)</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(21.0)%</w:t>
            </w:r>
          </w:p>
        </w:tc>
      </w:tr>
    </w:tbl>
    <w:p>
      <w:pPr>
        <w:spacing w:after="0" w:line="24" w:lineRule="exact"/>
        <w:rPr>
          <w:sz w:val="20"/>
          <w:szCs w:val="20"/>
          <w:color w:val="auto"/>
        </w:rPr>
      </w:pPr>
    </w:p>
    <w:p>
      <w:pPr>
        <w:ind w:left="240" w:right="40" w:hanging="232"/>
        <w:spacing w:after="0" w:line="218" w:lineRule="auto"/>
        <w:tabs>
          <w:tab w:leader="none" w:pos="24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We include in our backlog all accepted purchase orders from dealers to be shipped within the next six months. Orders in backlog can be canceled or postponed at the option of the dealer at any time without penalty and, therefore, backlog may not necessarily be an accurate measure of future sales.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20"/>
                <w:szCs w:val="20"/>
                <w:color w:val="auto"/>
              </w:rPr>
            </w:pPr>
            <w:r>
              <w:rPr>
                <w:rFonts w:ascii="Arial" w:cs="Arial" w:eastAsia="Arial" w:hAnsi="Arial"/>
                <w:sz w:val="16"/>
                <w:szCs w:val="16"/>
                <w:color w:val="auto"/>
              </w:rPr>
              <w:t>Our unit dealer inventory was as follows:</w:t>
            </w:r>
          </w:p>
        </w:tc>
        <w:tc>
          <w:tcPr>
            <w:tcW w:w="27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26"/>
        </w:trPr>
        <w:tc>
          <w:tcPr>
            <w:tcW w:w="4500" w:type="dxa"/>
            <w:vAlign w:val="bottom"/>
          </w:tcPr>
          <w:p>
            <w:pPr>
              <w:spacing w:after="0"/>
              <w:rPr>
                <w:sz w:val="24"/>
                <w:szCs w:val="24"/>
                <w:color w:val="auto"/>
              </w:rPr>
            </w:pPr>
          </w:p>
        </w:tc>
        <w:tc>
          <w:tcPr>
            <w:tcW w:w="278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w:t>
            </w:r>
          </w:p>
        </w:tc>
        <w:tc>
          <w:tcPr>
            <w:tcW w:w="1480" w:type="dxa"/>
            <w:vAlign w:val="bottom"/>
            <w:gridSpan w:val="2"/>
          </w:tcPr>
          <w:p>
            <w:pPr>
              <w:ind w:left="200"/>
              <w:spacing w:after="0"/>
              <w:rPr>
                <w:sz w:val="20"/>
                <w:szCs w:val="20"/>
                <w:color w:val="auto"/>
              </w:rPr>
            </w:pPr>
            <w:r>
              <w:rPr>
                <w:rFonts w:ascii="Arial" w:cs="Arial" w:eastAsia="Arial" w:hAnsi="Arial"/>
                <w:sz w:val="16"/>
                <w:szCs w:val="16"/>
                <w:b w:val="1"/>
                <w:bCs w:val="1"/>
                <w:color w:val="auto"/>
              </w:rPr>
              <w:t>August 31,</w:t>
            </w:r>
          </w:p>
        </w:tc>
        <w:tc>
          <w:tcPr>
            <w:tcW w:w="1380" w:type="dxa"/>
            <w:vAlign w:val="bottom"/>
          </w:tcPr>
          <w:p>
            <w:pPr>
              <w:spacing w:after="0"/>
              <w:rPr>
                <w:sz w:val="24"/>
                <w:szCs w:val="24"/>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28"/>
        </w:trPr>
        <w:tc>
          <w:tcPr>
            <w:tcW w:w="45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2014</w:t>
            </w:r>
          </w:p>
        </w:tc>
        <w:tc>
          <w:tcPr>
            <w:tcW w:w="13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2013</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2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57"/>
        </w:trPr>
        <w:tc>
          <w:tcPr>
            <w:tcW w:w="4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27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3,979</w:t>
            </w:r>
          </w:p>
        </w:tc>
        <w:tc>
          <w:tcPr>
            <w:tcW w:w="1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2,654</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1,325</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49.9%</w:t>
            </w:r>
          </w:p>
        </w:tc>
      </w:tr>
      <w:tr>
        <w:trPr>
          <w:trHeight w:val="251"/>
        </w:trPr>
        <w:tc>
          <w:tcPr>
            <w:tcW w:w="4500" w:type="dxa"/>
            <w:vAlign w:val="bottom"/>
          </w:tcPr>
          <w:p>
            <w:pPr>
              <w:ind w:left="40"/>
              <w:spacing w:after="0"/>
              <w:rPr>
                <w:sz w:val="20"/>
                <w:szCs w:val="20"/>
                <w:color w:val="auto"/>
              </w:rPr>
            </w:pPr>
            <w:r>
              <w:rPr>
                <w:rFonts w:ascii="Arial" w:cs="Arial" w:eastAsia="Arial" w:hAnsi="Arial"/>
                <w:sz w:val="16"/>
                <w:szCs w:val="16"/>
                <w:color w:val="auto"/>
              </w:rPr>
              <w:t>Towables</w:t>
            </w:r>
          </w:p>
        </w:tc>
        <w:tc>
          <w:tcPr>
            <w:tcW w:w="2780" w:type="dxa"/>
            <w:vAlign w:val="bottom"/>
          </w:tcPr>
          <w:p>
            <w:pPr>
              <w:jc w:val="right"/>
              <w:ind w:right="99"/>
              <w:spacing w:after="0"/>
              <w:rPr>
                <w:sz w:val="20"/>
                <w:szCs w:val="20"/>
                <w:color w:val="auto"/>
              </w:rPr>
            </w:pPr>
            <w:r>
              <w:rPr>
                <w:rFonts w:ascii="Arial" w:cs="Arial" w:eastAsia="Arial" w:hAnsi="Arial"/>
                <w:sz w:val="16"/>
                <w:szCs w:val="16"/>
                <w:color w:val="auto"/>
              </w:rPr>
              <w:t>1,721</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1,611</w:t>
            </w:r>
          </w:p>
        </w:tc>
        <w:tc>
          <w:tcPr>
            <w:tcW w:w="140" w:type="dxa"/>
            <w:vAlign w:val="bottom"/>
          </w:tcPr>
          <w:p>
            <w:pPr>
              <w:spacing w:after="0"/>
              <w:rPr>
                <w:sz w:val="21"/>
                <w:szCs w:val="21"/>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110</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6.8%</w:t>
            </w:r>
          </w:p>
        </w:tc>
      </w:tr>
    </w:tbl>
    <w:p>
      <w:pPr>
        <w:spacing w:after="0" w:line="238"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believe that the level of our dealer inventory at the end of Fiscal 2014 is reasonable given the improved retail demand and current sales order backlog of our product. We have introduced a number of new products in the past year (Class B: Travato; Class C: Trend, Viva; Class A diesel: Forza, Solei), many of these products were delivered to the dealers during Fiscal 2014 for their initial stocking. These innovative products have generated additional retail demand and we believe will continue to do so. We have also expanded our points of distribution for these new product offerings in the past year as our dealer locations have increased 11.8%, which is another factor contributing to our dealer inventory growth.</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8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Materials cost is the primary component in the cost of our products. Historically, the impact of inflation on our operations has not been significantly detrimental, as we have usually been able to adjust our prices to reflect the inflationary impact on the cost of manufacturing our products. While we have historically been able to pass on these increased costs, in the event we are unable to continue to do so due to market conditions, future increases in manufacturing costs could have a material adverse effect on our results of operations.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2014 Compared to Fiscal 2013</w:t>
      </w:r>
    </w:p>
    <w:p>
      <w:pPr>
        <w:spacing w:after="0" w:line="187"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30, 2014 compared to the fiscal year ended August 31, 2013: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8"/>
        </w:trPr>
        <w:tc>
          <w:tcPr>
            <w:tcW w:w="334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w:t>
            </w:r>
          </w:p>
        </w:tc>
        <w:tc>
          <w:tcPr>
            <w:tcW w:w="160" w:type="dxa"/>
            <w:vAlign w:val="bottom"/>
          </w:tcPr>
          <w:p>
            <w:pPr>
              <w:spacing w:after="0"/>
              <w:rPr>
                <w:sz w:val="17"/>
                <w:szCs w:val="17"/>
                <w:color w:val="auto"/>
              </w:rPr>
            </w:pPr>
          </w:p>
        </w:tc>
        <w:tc>
          <w:tcPr>
            <w:tcW w:w="110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30,</w:t>
            </w:r>
          </w:p>
        </w:tc>
        <w:tc>
          <w:tcPr>
            <w:tcW w:w="1580" w:type="dxa"/>
            <w:vAlign w:val="bottom"/>
          </w:tcPr>
          <w:p>
            <w:pPr>
              <w:jc w:val="right"/>
              <w:ind w:right="539"/>
              <w:spacing w:after="0"/>
              <w:rPr>
                <w:sz w:val="20"/>
                <w:szCs w:val="20"/>
                <w:color w:val="auto"/>
              </w:rPr>
            </w:pPr>
            <w:r>
              <w:rPr>
                <w:rFonts w:ascii="Arial" w:cs="Arial" w:eastAsia="Arial" w:hAnsi="Arial"/>
                <w:sz w:val="16"/>
                <w:szCs w:val="16"/>
                <w:b w:val="1"/>
                <w:bCs w:val="1"/>
                <w:color w:val="auto"/>
              </w:rPr>
              <w:t>% of</w:t>
            </w:r>
          </w:p>
        </w:tc>
        <w:tc>
          <w:tcPr>
            <w:tcW w:w="1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w:t>
            </w:r>
          </w:p>
        </w:tc>
        <w:tc>
          <w:tcPr>
            <w:tcW w:w="152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20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4"/>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 data)</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580" w:type="dxa"/>
            <w:vAlign w:val="bottom"/>
            <w:tcBorders>
              <w:bottom w:val="single" w:sz="8" w:color="auto"/>
            </w:tcBorders>
          </w:tcPr>
          <w:p>
            <w:pPr>
              <w:jc w:val="right"/>
              <w:ind w:right="25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52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945,163</w:t>
            </w:r>
          </w:p>
        </w:tc>
        <w:tc>
          <w:tcPr>
            <w:tcW w:w="1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803,165</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141,998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17.7 %</w:t>
            </w: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841,166</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89.0 %</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718,534</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122,632</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17.1 %</w:t>
            </w:r>
          </w:p>
        </w:tc>
      </w:tr>
      <w:tr>
        <w:trPr>
          <w:trHeight w:val="237"/>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103,997</w:t>
            </w:r>
          </w:p>
        </w:tc>
        <w:tc>
          <w:tcPr>
            <w:tcW w:w="15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11.0 %</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84,631</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19,366</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22.9 %</w:t>
            </w:r>
          </w:p>
        </w:tc>
      </w:tr>
      <w:tr>
        <w:trPr>
          <w:trHeight w:val="162"/>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18,293</w:t>
            </w:r>
          </w:p>
        </w:tc>
        <w:tc>
          <w:tcPr>
            <w:tcW w:w="15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18,318</w:t>
            </w:r>
          </w:p>
        </w:tc>
        <w:tc>
          <w:tcPr>
            <w:tcW w:w="1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(25)</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33"/>
        </w:trPr>
        <w:tc>
          <w:tcPr>
            <w:tcW w:w="33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6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22,424</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21,887</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0"/>
                <w:szCs w:val="20"/>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537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2.5 %</w:t>
            </w:r>
          </w:p>
        </w:tc>
      </w:tr>
      <w:tr>
        <w:trPr>
          <w:trHeight w:val="24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real estate</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(629)</w:t>
            </w:r>
          </w:p>
        </w:tc>
        <w:tc>
          <w:tcPr>
            <w:tcW w:w="15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(657)</w:t>
            </w:r>
          </w:p>
        </w:tc>
        <w:tc>
          <w:tcPr>
            <w:tcW w:w="118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rPr>
              <w:t>NMF</w:t>
            </w:r>
          </w:p>
        </w:tc>
      </w:tr>
      <w:tr>
        <w:trPr>
          <w:trHeight w:val="237"/>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40,088</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40,233</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(145)</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(0.4)%</w:t>
            </w:r>
          </w:p>
        </w:tc>
      </w:tr>
      <w:tr>
        <w:trPr>
          <w:trHeight w:val="162"/>
        </w:trPr>
        <w:tc>
          <w:tcPr>
            <w:tcW w:w="3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33"/>
        </w:trPr>
        <w:tc>
          <w:tcPr>
            <w:tcW w:w="334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63,909</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44,398</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0"/>
                <w:szCs w:val="20"/>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19,511</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43.9 %</w:t>
            </w:r>
          </w:p>
        </w:tc>
      </w:tr>
      <w:tr>
        <w:trPr>
          <w:trHeight w:val="24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768</w:t>
            </w:r>
          </w:p>
        </w:tc>
        <w:tc>
          <w:tcPr>
            <w:tcW w:w="15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0.1 %</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696</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72</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10.3 %</w:t>
            </w:r>
          </w:p>
        </w:tc>
      </w:tr>
      <w:tr>
        <w:trPr>
          <w:trHeight w:val="233"/>
        </w:trPr>
        <w:tc>
          <w:tcPr>
            <w:tcW w:w="334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60" w:type="dxa"/>
            <w:vAlign w:val="bottom"/>
          </w:tcPr>
          <w:p>
            <w:pPr>
              <w:spacing w:after="0"/>
              <w:rPr>
                <w:sz w:val="20"/>
                <w:szCs w:val="20"/>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64,677</w:t>
            </w:r>
          </w:p>
        </w:tc>
        <w:tc>
          <w:tcPr>
            <w:tcW w:w="1580" w:type="dxa"/>
            <w:vAlign w:val="bottom"/>
          </w:tcPr>
          <w:p>
            <w:pPr>
              <w:jc w:val="right"/>
              <w:ind w:right="99"/>
              <w:spacing w:after="0"/>
              <w:rPr>
                <w:sz w:val="20"/>
                <w:szCs w:val="20"/>
                <w:color w:val="auto"/>
              </w:rPr>
            </w:pPr>
            <w:r>
              <w:rPr>
                <w:rFonts w:ascii="Arial" w:cs="Arial" w:eastAsia="Arial" w:hAnsi="Arial"/>
                <w:sz w:val="16"/>
                <w:szCs w:val="16"/>
                <w:color w:val="auto"/>
              </w:rPr>
              <w:t>6.8 %</w:t>
            </w:r>
          </w:p>
        </w:tc>
        <w:tc>
          <w:tcPr>
            <w:tcW w:w="1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45,094</w:t>
            </w:r>
          </w:p>
        </w:tc>
        <w:tc>
          <w:tcPr>
            <w:tcW w:w="152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20"/>
                <w:szCs w:val="20"/>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19,583</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43.4 %</w:t>
            </w:r>
          </w:p>
        </w:tc>
      </w:tr>
      <w:tr>
        <w:trPr>
          <w:trHeight w:val="246"/>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1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19,624</w:t>
            </w:r>
          </w:p>
        </w:tc>
        <w:tc>
          <w:tcPr>
            <w:tcW w:w="15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13,141</w:t>
            </w:r>
          </w:p>
        </w:tc>
        <w:tc>
          <w:tcPr>
            <w:tcW w:w="1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6,483</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49.3 %</w:t>
            </w:r>
          </w:p>
        </w:tc>
      </w:tr>
      <w:tr>
        <w:trPr>
          <w:trHeight w:val="280"/>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45,053</w:t>
            </w: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31,953</w:t>
            </w:r>
          </w:p>
        </w:tc>
        <w:tc>
          <w:tcPr>
            <w:tcW w:w="1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13,100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41.0 %</w:t>
            </w: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1.64</w:t>
            </w: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5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0.51</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45.1 %</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27,545</w:t>
            </w: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28,170</w:t>
            </w:r>
          </w:p>
        </w:tc>
        <w:tc>
          <w:tcPr>
            <w:tcW w:w="1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4"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b w:val="1"/>
                <w:bCs w:val="1"/>
                <w:color w:val="auto"/>
              </w:rPr>
              <w:t>Year Ended</w:t>
            </w:r>
          </w:p>
        </w:tc>
        <w:tc>
          <w:tcPr>
            <w:tcW w:w="3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198"/>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30,</w:t>
            </w:r>
          </w:p>
        </w:tc>
        <w:tc>
          <w:tcPr>
            <w:tcW w:w="1220" w:type="dxa"/>
            <w:vAlign w:val="bottom"/>
          </w:tcPr>
          <w:p>
            <w:pPr>
              <w:jc w:val="right"/>
              <w:ind w:right="259"/>
              <w:spacing w:after="0"/>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31,</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360" w:type="dxa"/>
            <w:vAlign w:val="bottom"/>
          </w:tcPr>
          <w:p>
            <w:pPr>
              <w:spacing w:after="0"/>
              <w:rPr>
                <w:sz w:val="17"/>
                <w:szCs w:val="17"/>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3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34"/>
        </w:trPr>
        <w:tc>
          <w:tcPr>
            <w:tcW w:w="27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2014</w:t>
            </w:r>
          </w:p>
        </w:tc>
        <w:tc>
          <w:tcPr>
            <w:tcW w:w="122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2013</w:t>
            </w:r>
          </w:p>
        </w:tc>
        <w:tc>
          <w:tcPr>
            <w:tcW w:w="122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 xml:space="preserve">Mix % </w:t>
            </w:r>
            <w:r>
              <w:rPr>
                <w:rFonts w:ascii="Arial" w:cs="Arial" w:eastAsia="Arial" w:hAnsi="Arial"/>
                <w:sz w:val="21"/>
                <w:szCs w:val="21"/>
                <w:b w:val="1"/>
                <w:bCs w:val="1"/>
                <w:color w:val="auto"/>
                <w:vertAlign w:val="superscript"/>
              </w:rPr>
              <w:t>(1)</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(Decrease)</w:t>
            </w:r>
          </w:p>
        </w:tc>
        <w:tc>
          <w:tcPr>
            <w:tcW w:w="13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33"/>
        </w:trPr>
        <w:tc>
          <w:tcPr>
            <w:tcW w:w="270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80" w:type="dxa"/>
            <w:vAlign w:val="bottom"/>
          </w:tcPr>
          <w:p>
            <w:pPr>
              <w:spacing w:after="0"/>
              <w:rPr>
                <w:sz w:val="20"/>
                <w:szCs w:val="20"/>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3,056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34.9%</w:t>
            </w:r>
          </w:p>
        </w:tc>
        <w:tc>
          <w:tcPr>
            <w:tcW w:w="30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2,446</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35.9%</w:t>
            </w:r>
          </w:p>
        </w:tc>
        <w:tc>
          <w:tcPr>
            <w:tcW w:w="36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610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24.9 %</w:t>
            </w:r>
          </w:p>
        </w:tc>
      </w:tr>
      <w:tr>
        <w:trPr>
          <w:trHeight w:val="246"/>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1,410</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16.1%</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1,315</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19.3%</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95</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7.2 %</w:t>
            </w:r>
          </w:p>
        </w:tc>
      </w:tr>
      <w:tr>
        <w:trPr>
          <w:trHeight w:val="233"/>
        </w:trPr>
        <w:tc>
          <w:tcPr>
            <w:tcW w:w="270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80" w:type="dxa"/>
            <w:vAlign w:val="bottom"/>
          </w:tcPr>
          <w:p>
            <w:pPr>
              <w:spacing w:after="0"/>
              <w:rPr>
                <w:sz w:val="20"/>
                <w:szCs w:val="20"/>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4,466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51.0%</w:t>
            </w:r>
          </w:p>
        </w:tc>
        <w:tc>
          <w:tcPr>
            <w:tcW w:w="30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3,761</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55.1%</w:t>
            </w:r>
          </w:p>
        </w:tc>
        <w:tc>
          <w:tcPr>
            <w:tcW w:w="36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705</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18.7 %</w:t>
            </w:r>
          </w:p>
        </w:tc>
      </w:tr>
      <w:tr>
        <w:trPr>
          <w:trHeight w:val="253"/>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751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8.6%</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372</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5.5%</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379</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101.9 %</w:t>
            </w:r>
          </w:p>
        </w:tc>
      </w:tr>
      <w:tr>
        <w:trPr>
          <w:trHeight w:val="237"/>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3,538</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40.4%</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2,688</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39.4%</w:t>
            </w:r>
          </w:p>
        </w:tc>
        <w:tc>
          <w:tcPr>
            <w:tcW w:w="3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850</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31.6 %</w:t>
            </w:r>
          </w:p>
        </w:tc>
      </w:tr>
      <w:tr>
        <w:trPr>
          <w:trHeight w:val="240"/>
        </w:trPr>
        <w:tc>
          <w:tcPr>
            <w:tcW w:w="2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8,755</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6,821</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1,934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28.4 %</w:t>
            </w: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46"/>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80" w:type="dxa"/>
            <w:vAlign w:val="bottom"/>
          </w:tcPr>
          <w:p>
            <w:pPr>
              <w:spacing w:after="0"/>
              <w:rPr>
                <w:sz w:val="12"/>
                <w:szCs w:val="12"/>
                <w:color w:val="auto"/>
              </w:rPr>
            </w:pPr>
          </w:p>
        </w:tc>
      </w:tr>
      <w:tr>
        <w:trPr>
          <w:trHeight w:val="270"/>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ASP (in thousands)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96</w:t>
            </w:r>
          </w:p>
        </w:tc>
        <w:tc>
          <w:tcPr>
            <w:tcW w:w="122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r>
      <w:tr>
        <w:trPr>
          <w:trHeight w:val="162"/>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70"/>
        </w:trPr>
        <w:tc>
          <w:tcPr>
            <w:tcW w:w="2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8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33"/>
        </w:trPr>
        <w:tc>
          <w:tcPr>
            <w:tcW w:w="270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80" w:type="dxa"/>
            <w:vAlign w:val="bottom"/>
          </w:tcPr>
          <w:p>
            <w:pPr>
              <w:spacing w:after="0"/>
              <w:rPr>
                <w:sz w:val="20"/>
                <w:szCs w:val="20"/>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2,052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81.8%</w:t>
            </w:r>
          </w:p>
        </w:tc>
        <w:tc>
          <w:tcPr>
            <w:tcW w:w="300" w:type="dxa"/>
            <w:vAlign w:val="bottom"/>
          </w:tcPr>
          <w:p>
            <w:pPr>
              <w:spacing w:after="0"/>
              <w:rPr>
                <w:sz w:val="20"/>
                <w:szCs w:val="20"/>
                <w:color w:val="auto"/>
              </w:rPr>
            </w:pP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2,038</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80.4%</w:t>
            </w:r>
          </w:p>
        </w:tc>
        <w:tc>
          <w:tcPr>
            <w:tcW w:w="360" w:type="dxa"/>
            <w:vAlign w:val="bottom"/>
          </w:tcPr>
          <w:p>
            <w:pPr>
              <w:spacing w:after="0"/>
              <w:rPr>
                <w:sz w:val="20"/>
                <w:szCs w:val="20"/>
                <w:color w:val="auto"/>
              </w:rPr>
            </w:pP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14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0.7 %</w:t>
            </w:r>
          </w:p>
        </w:tc>
      </w:tr>
      <w:tr>
        <w:trPr>
          <w:trHeight w:val="246"/>
        </w:trPr>
        <w:tc>
          <w:tcPr>
            <w:tcW w:w="27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457</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18.2%</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497</w:t>
            </w:r>
          </w:p>
        </w:tc>
        <w:tc>
          <w:tcPr>
            <w:tcW w:w="12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19.6%</w:t>
            </w:r>
          </w:p>
        </w:tc>
        <w:tc>
          <w:tcPr>
            <w:tcW w:w="3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(40)</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r>
      <w:tr>
        <w:trPr>
          <w:trHeight w:val="280"/>
        </w:trPr>
        <w:tc>
          <w:tcPr>
            <w:tcW w:w="2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deliveries</w:t>
            </w: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2,509</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2,535</w:t>
            </w:r>
          </w:p>
        </w:tc>
        <w:tc>
          <w:tcPr>
            <w:tcW w:w="12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3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(26)</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r>
      <w:tr>
        <w:trPr>
          <w:trHeight w:val="146"/>
        </w:trPr>
        <w:tc>
          <w:tcPr>
            <w:tcW w:w="2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270"/>
        </w:trPr>
        <w:tc>
          <w:tcPr>
            <w:tcW w:w="2700" w:type="dxa"/>
            <w:vAlign w:val="bottom"/>
          </w:tcPr>
          <w:p>
            <w:pPr>
              <w:ind w:left="180"/>
              <w:spacing w:after="0"/>
              <w:rPr>
                <w:sz w:val="20"/>
                <w:szCs w:val="20"/>
                <w:color w:val="auto"/>
              </w:rPr>
            </w:pPr>
            <w:r>
              <w:rPr>
                <w:rFonts w:ascii="Arial" w:cs="Arial" w:eastAsia="Arial" w:hAnsi="Arial"/>
                <w:sz w:val="16"/>
                <w:szCs w:val="16"/>
                <w:color w:val="auto"/>
              </w:rPr>
              <w:t>ASP (in thousands)</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9"/>
              <w:spacing w:after="0"/>
              <w:rPr>
                <w:sz w:val="20"/>
                <w:szCs w:val="20"/>
                <w:color w:val="auto"/>
              </w:rPr>
            </w:pPr>
            <w:r>
              <w:rPr>
                <w:rFonts w:ascii="Arial" w:cs="Arial" w:eastAsia="Arial" w:hAnsi="Arial"/>
                <w:sz w:val="16"/>
                <w:szCs w:val="16"/>
                <w:color w:val="auto"/>
              </w:rPr>
              <w:t>23</w:t>
            </w:r>
          </w:p>
        </w:tc>
        <w:tc>
          <w:tcPr>
            <w:tcW w:w="12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9"/>
              <w:spacing w:after="0"/>
              <w:rPr>
                <w:sz w:val="20"/>
                <w:szCs w:val="20"/>
                <w:color w:val="auto"/>
              </w:rPr>
            </w:pPr>
            <w:r>
              <w:rPr>
                <w:rFonts w:ascii="Arial" w:cs="Arial" w:eastAsia="Arial" w:hAnsi="Arial"/>
                <w:sz w:val="16"/>
                <w:szCs w:val="16"/>
                <w:color w:val="auto"/>
              </w:rPr>
              <w:t>21</w:t>
            </w:r>
          </w:p>
        </w:tc>
        <w:tc>
          <w:tcPr>
            <w:tcW w:w="1220" w:type="dxa"/>
            <w:vAlign w:val="bottom"/>
          </w:tcPr>
          <w:p>
            <w:pPr>
              <w:spacing w:after="0"/>
              <w:rPr>
                <w:sz w:val="23"/>
                <w:szCs w:val="23"/>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19"/>
              <w:spacing w:after="0"/>
              <w:rPr>
                <w:sz w:val="20"/>
                <w:szCs w:val="20"/>
                <w:color w:val="auto"/>
              </w:rPr>
            </w:pPr>
            <w:r>
              <w:rPr>
                <w:rFonts w:ascii="Arial" w:cs="Arial" w:eastAsia="Arial" w:hAnsi="Arial"/>
                <w:sz w:val="16"/>
                <w:szCs w:val="16"/>
                <w:color w:val="auto"/>
              </w:rPr>
              <w:t>2</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8.6 %</w:t>
            </w:r>
          </w:p>
        </w:tc>
      </w:tr>
    </w:tbl>
    <w:p>
      <w:pPr>
        <w:ind w:left="160" w:hanging="152"/>
        <w:spacing w:after="0" w:line="205" w:lineRule="auto"/>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4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312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636"/>
        </w:trPr>
        <w:tc>
          <w:tcPr>
            <w:tcW w:w="312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Year Ended</w:t>
            </w:r>
          </w:p>
        </w:tc>
        <w:tc>
          <w:tcPr>
            <w:tcW w:w="7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28"/>
        </w:trPr>
        <w:tc>
          <w:tcPr>
            <w:tcW w:w="3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30, 2014</w:t>
            </w:r>
          </w:p>
        </w:tc>
        <w:tc>
          <w:tcPr>
            <w:tcW w:w="7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August 31, 2013</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Increase</w:t>
            </w: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853,488</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90.3%</w:t>
            </w:r>
          </w:p>
        </w:tc>
        <w:tc>
          <w:tcPr>
            <w:tcW w:w="5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718,580</w:t>
            </w: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89.5%</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134,908</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18.8%</w:t>
            </w:r>
          </w:p>
        </w:tc>
      </w:tr>
      <w:tr>
        <w:trPr>
          <w:trHeight w:val="270"/>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80" w:type="dxa"/>
            <w:vAlign w:val="bottom"/>
          </w:tcPr>
          <w:p>
            <w:pPr>
              <w:spacing w:after="0"/>
              <w:rPr>
                <w:sz w:val="23"/>
                <w:szCs w:val="23"/>
                <w:color w:val="auto"/>
              </w:rPr>
            </w:pPr>
          </w:p>
        </w:tc>
        <w:tc>
          <w:tcPr>
            <w:tcW w:w="1600" w:type="dxa"/>
            <w:vAlign w:val="bottom"/>
          </w:tcPr>
          <w:p>
            <w:pPr>
              <w:jc w:val="right"/>
              <w:ind w:right="639"/>
              <w:spacing w:after="0"/>
              <w:rPr>
                <w:sz w:val="20"/>
                <w:szCs w:val="20"/>
                <w:color w:val="auto"/>
              </w:rPr>
            </w:pPr>
            <w:r>
              <w:rPr>
                <w:rFonts w:ascii="Arial" w:cs="Arial" w:eastAsia="Arial" w:hAnsi="Arial"/>
                <w:sz w:val="16"/>
                <w:szCs w:val="16"/>
                <w:color w:val="auto"/>
              </w:rPr>
              <w:t>58,123</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520" w:type="dxa"/>
            <w:vAlign w:val="bottom"/>
          </w:tcPr>
          <w:p>
            <w:pPr>
              <w:spacing w:after="0"/>
              <w:rPr>
                <w:sz w:val="23"/>
                <w:szCs w:val="23"/>
                <w:color w:val="auto"/>
              </w:rPr>
            </w:pP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54,683</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6.8%</w:t>
            </w:r>
          </w:p>
        </w:tc>
        <w:tc>
          <w:tcPr>
            <w:tcW w:w="360" w:type="dxa"/>
            <w:vAlign w:val="bottom"/>
          </w:tcPr>
          <w:p>
            <w:pPr>
              <w:spacing w:after="0"/>
              <w:rPr>
                <w:sz w:val="23"/>
                <w:szCs w:val="23"/>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3,440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6.3%</w:t>
            </w:r>
          </w:p>
        </w:tc>
      </w:tr>
      <w:tr>
        <w:trPr>
          <w:trHeight w:val="264"/>
        </w:trPr>
        <w:tc>
          <w:tcPr>
            <w:tcW w:w="31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80" w:type="dxa"/>
            <w:vAlign w:val="bottom"/>
            <w:tcBorders>
              <w:bottom w:val="single" w:sz="8" w:color="auto"/>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33,552</w:t>
            </w:r>
          </w:p>
        </w:tc>
        <w:tc>
          <w:tcPr>
            <w:tcW w:w="7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w:t>
            </w:r>
          </w:p>
        </w:tc>
        <w:tc>
          <w:tcPr>
            <w:tcW w:w="5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rPr>
              <w:t>29,902</w:t>
            </w: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3.7%</w:t>
            </w:r>
          </w:p>
        </w:tc>
        <w:tc>
          <w:tcPr>
            <w:tcW w:w="3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3,650</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12.2%</w:t>
            </w:r>
          </w:p>
        </w:tc>
      </w:tr>
      <w:tr>
        <w:trPr>
          <w:trHeight w:val="264"/>
        </w:trPr>
        <w:tc>
          <w:tcPr>
            <w:tcW w:w="312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639"/>
              <w:spacing w:after="0"/>
              <w:rPr>
                <w:sz w:val="20"/>
                <w:szCs w:val="20"/>
                <w:color w:val="auto"/>
              </w:rPr>
            </w:pPr>
            <w:r>
              <w:rPr>
                <w:rFonts w:ascii="Arial" w:cs="Arial" w:eastAsia="Arial" w:hAnsi="Arial"/>
                <w:sz w:val="16"/>
                <w:szCs w:val="16"/>
                <w:color w:val="auto"/>
              </w:rPr>
              <w:t>945,163</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w w:val="95"/>
              </w:rPr>
              <w:t>100.0%</w:t>
            </w:r>
          </w:p>
        </w:tc>
        <w:tc>
          <w:tcPr>
            <w:tcW w:w="5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639"/>
              <w:spacing w:after="0"/>
              <w:rPr>
                <w:sz w:val="20"/>
                <w:szCs w:val="20"/>
                <w:color w:val="auto"/>
              </w:rPr>
            </w:pPr>
            <w:r>
              <w:rPr>
                <w:rFonts w:ascii="Arial" w:cs="Arial" w:eastAsia="Arial" w:hAnsi="Arial"/>
                <w:sz w:val="16"/>
                <w:szCs w:val="16"/>
                <w:color w:val="auto"/>
              </w:rPr>
              <w:t>803,165</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w w:val="99"/>
              </w:rPr>
              <w:t>100.0%</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59"/>
              <w:spacing w:after="0"/>
              <w:rPr>
                <w:sz w:val="20"/>
                <w:szCs w:val="20"/>
                <w:color w:val="auto"/>
              </w:rPr>
            </w:pPr>
            <w:r>
              <w:rPr>
                <w:rFonts w:ascii="Arial" w:cs="Arial" w:eastAsia="Arial" w:hAnsi="Arial"/>
                <w:sz w:val="16"/>
                <w:szCs w:val="16"/>
                <w:color w:val="auto"/>
              </w:rPr>
              <w:t>141,998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3810</wp:posOffset>
            </wp:positionV>
            <wp:extent cx="52743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20955</wp:posOffset>
            </wp:positionV>
            <wp:extent cx="52743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ind w:left="260" w:hanging="238"/>
        <w:spacing w:after="0"/>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services</w:t>
      </w:r>
    </w:p>
    <w:p>
      <w:pPr>
        <w:ind w:left="260" w:hanging="238"/>
        <w:spacing w:after="0" w:line="199"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increase in motorhome net revenues of $134.9 million or 18.8% was primarily attributed to a 28.4% increase in unit deliveries driven by higher dealer and retail consumer demand when compared to Fiscal 2013. ASP decreased 7.8% in Fiscal 2014 due to new products introduced in all classes at lower price points during the year.</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Towables revenues were $58.1 million in Fiscal 2014 compared to revenues of $54.7 million in Fiscal 2013. ASP increased 8.6% and towable unit deliveries decreased by 1.0%.</w:t>
      </w:r>
    </w:p>
    <w:p>
      <w:pPr>
        <w:spacing w:after="0" w:line="16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One contributing factor to the increase in unit deliveries during Fiscal 2014 relates to revised shipping terms with our dealers. Effective in the first quarter of Fiscal 2014, we entered into revised dealer agreements to change our shipping terms so that title and risk of loss passes to our dealers upon acceptance of the unit by an independent transportation company for delivery which is standard industry practice. As a result of this term change, an additional $40.8 million of revenue was recognized in Fiscal 2014, which represented units in possession of the transportation company in-transit to the dealer. In Fiscal 2013, such revenues would have been recognized in the next fiscal year. Conversely, due to our 52/53 week fiscal year convention, Fiscal 2013 had an extra week in the first quarter as compared to Fiscal 2014 resulting in an additional $13.8 million of revenue recognized in the prior year first quarter. The net effect of these two timing items resulted in a positive impact of $27.0 million when comparing Fiscal 2014 to Fiscal 2013.</w:t>
      </w:r>
    </w:p>
    <w:p>
      <w:pPr>
        <w:spacing w:after="0" w:line="182"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$841.2 million, or 89.0% of net revenues for Fiscal 2014 compared to $718.5 million, or 89.5% of net revenues for Fiscal 2013 due to the following:</w:t>
      </w:r>
    </w:p>
    <w:p>
      <w:pPr>
        <w:spacing w:after="0" w:line="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were 83.7% in both years.</w:t>
      </w:r>
    </w:p>
    <w:p>
      <w:pPr>
        <w:spacing w:after="0" w:line="5" w:lineRule="exact"/>
        <w:rPr>
          <w:rFonts w:ascii="Arial" w:cs="Arial" w:eastAsia="Arial" w:hAnsi="Arial"/>
          <w:sz w:val="16"/>
          <w:szCs w:val="16"/>
          <w:color w:val="auto"/>
        </w:rPr>
      </w:pPr>
    </w:p>
    <w:p>
      <w:pPr>
        <w:ind w:left="340" w:right="500" w:hanging="332"/>
        <w:spacing w:after="0" w:line="246"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5.3% of net revenues compared to 5.7%. The difference was due primarily to increased revenues in Fiscal 2014.</w:t>
      </w:r>
    </w:p>
    <w:p>
      <w:pPr>
        <w:ind w:left="340" w:hanging="332"/>
        <w:spacing w:after="0"/>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10.5% to 11.0% of net revenues.</w:t>
      </w:r>
    </w:p>
    <w:p>
      <w:pPr>
        <w:spacing w:after="0" w:line="167"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Selling expenses decreased to 1.9% from 2.3% of net revenues in Fiscal 2014 and Fiscal 2013, respectively. The decrease was due primarily to increased revenues in Fiscal 2014, as selling expenses were flat year over year.</w:t>
      </w:r>
    </w:p>
    <w:p>
      <w:pPr>
        <w:spacing w:after="0" w:line="142"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General and administrative expenses were 2.4% and 2.7% of net revenues in Fiscal 2014 and Fiscal 2013, respectively. The decrease was due primarily to increased revenues in Fiscal 2014. General and administrative expenses increased $537,000, or 2.5%, in Fiscal 2014. This increase was due primarily to a reduction of rental income as a result of the sale of one of our warehouse properties in Fiscal 2014 and was partially offset by approximately $550,000 additional amortization on our Towables intangible assets in Fiscal 2013 (see Note 6).</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During the second quarter of Fiscal 2014, we sold a warehouse facility in Forest City, Iowa, resulting in a gain of $629,000. See Note 5.</w:t>
      </w:r>
    </w:p>
    <w:p>
      <w:pPr>
        <w:spacing w:after="0" w:line="167"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Non-operating income increased $72,000 or 10.3%, in Fiscal 2014. We received proceeds from COLI policies in both Fiscal 2014 and Fiscal 2013. See Note 12.</w:t>
      </w:r>
    </w:p>
    <w:p>
      <w:pPr>
        <w:spacing w:after="0" w:line="169"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The overall effective income tax rate for Fiscal 2014 was 30.3% compared to 29.1% in Fiscal 2013. The overall increase is primarily a result of higher level of pre-tax book income earned in Fiscal 2014 compared to Fiscal 2013, as certain permanent deductions (tax-free income from COLI) recorded during Fiscal 2014 were relatively flat in dollar value compared to the prior year and legislation for various applicable tax credits expired on December 31, 2013; therefore our projected benefits for these tax credits are limited to four months of our fiscal year. See Note 11.</w:t>
      </w:r>
    </w:p>
    <w:p>
      <w:pPr>
        <w:spacing w:after="0" w:line="176" w:lineRule="exact"/>
        <w:rPr>
          <w:sz w:val="20"/>
          <w:szCs w:val="20"/>
          <w:color w:val="auto"/>
        </w:rPr>
      </w:pPr>
    </w:p>
    <w:p>
      <w:pPr>
        <w:ind w:right="480"/>
        <w:spacing w:after="0" w:line="260" w:lineRule="auto"/>
        <w:rPr>
          <w:sz w:val="20"/>
          <w:szCs w:val="20"/>
          <w:color w:val="auto"/>
        </w:rPr>
      </w:pPr>
      <w:r>
        <w:rPr>
          <w:rFonts w:ascii="Arial" w:cs="Arial" w:eastAsia="Arial" w:hAnsi="Arial"/>
          <w:sz w:val="16"/>
          <w:szCs w:val="16"/>
          <w:color w:val="auto"/>
        </w:rPr>
        <w:t>Net income and diluted income per share were $45.1 million and $1.64 per share, respectively, for Fiscal 2014. In Fiscal 2013, the net income was $32.0 million and diluted income was $1.13 per share.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2013 Compared to Fiscal 2012</w:t>
      </w:r>
    </w:p>
    <w:p>
      <w:pPr>
        <w:spacing w:after="0" w:line="228"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The following is an analysis of changes in key items included in the statements of operations for the fiscal year ended August 31, 2013 compared to the fiscal year ended August 25, 2012:</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959"/>
              <w:spacing w:after="0"/>
              <w:rPr>
                <w:sz w:val="20"/>
                <w:szCs w:val="20"/>
                <w:color w:val="auto"/>
              </w:rPr>
            </w:pPr>
            <w:r>
              <w:rPr>
                <w:rFonts w:ascii="Arial" w:cs="Arial" w:eastAsia="Arial" w:hAnsi="Arial"/>
                <w:sz w:val="16"/>
                <w:szCs w:val="16"/>
                <w:b w:val="1"/>
                <w:bCs w:val="1"/>
                <w:color w:val="auto"/>
              </w:rPr>
              <w:t>Year Ended</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198"/>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percent and per</w:t>
            </w:r>
          </w:p>
        </w:tc>
        <w:tc>
          <w:tcPr>
            <w:tcW w:w="140" w:type="dxa"/>
            <w:vAlign w:val="bottom"/>
          </w:tcPr>
          <w:p>
            <w:pPr>
              <w:spacing w:after="0"/>
              <w:rPr>
                <w:sz w:val="17"/>
                <w:szCs w:val="17"/>
                <w:color w:val="auto"/>
              </w:rPr>
            </w:pPr>
          </w:p>
        </w:tc>
        <w:tc>
          <w:tcPr>
            <w:tcW w:w="1040" w:type="dxa"/>
            <w:vAlign w:val="bottom"/>
          </w:tcPr>
          <w:p>
            <w:pPr>
              <w:jc w:val="right"/>
              <w:ind w:right="119"/>
              <w:spacing w:after="0"/>
              <w:rPr>
                <w:sz w:val="20"/>
                <w:szCs w:val="20"/>
                <w:color w:val="auto"/>
              </w:rPr>
            </w:pPr>
            <w:r>
              <w:rPr>
                <w:rFonts w:ascii="Arial" w:cs="Arial" w:eastAsia="Arial" w:hAnsi="Arial"/>
                <w:sz w:val="16"/>
                <w:szCs w:val="16"/>
                <w:b w:val="1"/>
                <w:bCs w:val="1"/>
                <w:color w:val="auto"/>
              </w:rPr>
              <w:t>August 31,</w:t>
            </w:r>
          </w:p>
        </w:tc>
        <w:tc>
          <w:tcPr>
            <w:tcW w:w="1480" w:type="dxa"/>
            <w:vAlign w:val="bottom"/>
          </w:tcPr>
          <w:p>
            <w:pPr>
              <w:jc w:val="right"/>
              <w:ind w:right="47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b w:val="1"/>
                <w:bCs w:val="1"/>
                <w:color w:val="auto"/>
              </w:rPr>
              <w:t>August 25,</w:t>
            </w:r>
          </w:p>
        </w:tc>
        <w:tc>
          <w:tcPr>
            <w:tcW w:w="1540" w:type="dxa"/>
            <w:vAlign w:val="bottom"/>
          </w:tcPr>
          <w:p>
            <w:pPr>
              <w:jc w:val="right"/>
              <w:ind w:right="519"/>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1140" w:type="dxa"/>
            <w:vAlign w:val="bottom"/>
          </w:tcPr>
          <w:p>
            <w:pPr>
              <w:ind w:left="420"/>
              <w:spacing w:after="0"/>
              <w:rPr>
                <w:sz w:val="20"/>
                <w:szCs w:val="20"/>
                <w:color w:val="auto"/>
              </w:rPr>
            </w:pPr>
            <w:r>
              <w:rPr>
                <w:rFonts w:ascii="Arial" w:cs="Arial" w:eastAsia="Arial" w:hAnsi="Arial"/>
                <w:sz w:val="16"/>
                <w:szCs w:val="16"/>
                <w:b w:val="1"/>
                <w:bCs w:val="1"/>
                <w:color w:val="auto"/>
              </w:rPr>
              <w:t>%</w:t>
            </w:r>
          </w:p>
        </w:tc>
      </w:tr>
      <w:tr>
        <w:trPr>
          <w:trHeight w:val="234"/>
        </w:trPr>
        <w:tc>
          <w:tcPr>
            <w:tcW w:w="34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share data)</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480" w:type="dxa"/>
            <w:vAlign w:val="bottom"/>
            <w:tcBorders>
              <w:bottom w:val="single" w:sz="8" w:color="auto"/>
            </w:tcBorders>
          </w:tcPr>
          <w:p>
            <w:pPr>
              <w:jc w:val="right"/>
              <w:ind w:right="19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2012</w:t>
            </w:r>
          </w:p>
        </w:tc>
        <w:tc>
          <w:tcPr>
            <w:tcW w:w="154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11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37"/>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803,165</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581,679</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221,486</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38.1 %</w:t>
            </w:r>
          </w:p>
        </w:tc>
      </w:tr>
      <w:tr>
        <w:trPr>
          <w:trHeight w:val="237"/>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718,534</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89.5%</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537,999</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92.5 %</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180,535</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33.6 %</w:t>
            </w:r>
          </w:p>
        </w:tc>
      </w:tr>
      <w:tr>
        <w:trPr>
          <w:trHeight w:val="237"/>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84,631</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43,680</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7.5 %</w:t>
            </w:r>
          </w:p>
        </w:tc>
        <w:tc>
          <w:tcPr>
            <w:tcW w:w="1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40,951</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93.8 %</w:t>
            </w:r>
          </w:p>
        </w:tc>
      </w:tr>
      <w:tr>
        <w:trPr>
          <w:trHeight w:val="162"/>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18,318</w:t>
            </w:r>
          </w:p>
        </w:tc>
        <w:tc>
          <w:tcPr>
            <w:tcW w:w="14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16,837</w:t>
            </w:r>
          </w:p>
        </w:tc>
        <w:tc>
          <w:tcPr>
            <w:tcW w:w="15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2.9 %</w:t>
            </w: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1,481</w:t>
            </w:r>
          </w:p>
        </w:tc>
        <w:tc>
          <w:tcPr>
            <w:tcW w:w="11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8.8 %</w:t>
            </w:r>
          </w:p>
        </w:tc>
      </w:tr>
      <w:tr>
        <w:trPr>
          <w:trHeight w:val="233"/>
        </w:trPr>
        <w:tc>
          <w:tcPr>
            <w:tcW w:w="34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21,887</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17,267</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3.0 %</w:t>
            </w:r>
          </w:p>
        </w:tc>
        <w:tc>
          <w:tcPr>
            <w:tcW w:w="16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4,620</w:t>
            </w:r>
          </w:p>
        </w:tc>
        <w:tc>
          <w:tcPr>
            <w:tcW w:w="1140" w:type="dxa"/>
            <w:vAlign w:val="bottom"/>
          </w:tcPr>
          <w:p>
            <w:pPr>
              <w:jc w:val="right"/>
              <w:ind w:right="99"/>
              <w:spacing w:after="0"/>
              <w:rPr>
                <w:sz w:val="20"/>
                <w:szCs w:val="20"/>
                <w:color w:val="auto"/>
              </w:rPr>
            </w:pPr>
            <w:r>
              <w:rPr>
                <w:rFonts w:ascii="Arial" w:cs="Arial" w:eastAsia="Arial" w:hAnsi="Arial"/>
                <w:sz w:val="16"/>
                <w:szCs w:val="16"/>
                <w:color w:val="auto"/>
              </w:rPr>
              <w:t>26.8 %</w:t>
            </w:r>
          </w:p>
        </w:tc>
      </w:tr>
      <w:tr>
        <w:trPr>
          <w:trHeight w:val="24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real estate</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50</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 %</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1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NMF</w:t>
            </w:r>
          </w:p>
        </w:tc>
      </w:tr>
      <w:tr>
        <w:trPr>
          <w:trHeight w:val="237"/>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Operating expenses</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40,233</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5.0%</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34,154</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5.9 %</w:t>
            </w: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6,079</w:t>
            </w:r>
          </w:p>
        </w:tc>
        <w:tc>
          <w:tcPr>
            <w:tcW w:w="11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17.8 %</w:t>
            </w:r>
          </w:p>
        </w:tc>
      </w:tr>
      <w:tr>
        <w:trPr>
          <w:trHeight w:val="162"/>
        </w:trPr>
        <w:tc>
          <w:tcPr>
            <w:tcW w:w="3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33"/>
        </w:trPr>
        <w:tc>
          <w:tcPr>
            <w:tcW w:w="3460" w:type="dxa"/>
            <w:vAlign w:val="bottom"/>
          </w:tcPr>
          <w:p>
            <w:pPr>
              <w:ind w:left="40"/>
              <w:spacing w:after="0"/>
              <w:rPr>
                <w:sz w:val="20"/>
                <w:szCs w:val="20"/>
                <w:color w:val="auto"/>
              </w:rPr>
            </w:pPr>
            <w:r>
              <w:rPr>
                <w:rFonts w:ascii="Arial" w:cs="Arial" w:eastAsia="Arial" w:hAnsi="Arial"/>
                <w:sz w:val="16"/>
                <w:szCs w:val="16"/>
                <w:color w:val="auto"/>
              </w:rPr>
              <w:t>Operating income</w:t>
            </w: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44,398</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5.5%</w:t>
            </w:r>
          </w:p>
        </w:tc>
        <w:tc>
          <w:tcPr>
            <w:tcW w:w="16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9,526</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1.6 %</w:t>
            </w:r>
          </w:p>
        </w:tc>
        <w:tc>
          <w:tcPr>
            <w:tcW w:w="16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34,872</w:t>
            </w:r>
          </w:p>
        </w:tc>
        <w:tc>
          <w:tcPr>
            <w:tcW w:w="1140" w:type="dxa"/>
            <w:vAlign w:val="bottom"/>
          </w:tcPr>
          <w:p>
            <w:pPr>
              <w:ind w:left="420"/>
              <w:spacing w:after="0"/>
              <w:rPr>
                <w:sz w:val="20"/>
                <w:szCs w:val="20"/>
                <w:color w:val="auto"/>
              </w:rPr>
            </w:pPr>
            <w:r>
              <w:rPr>
                <w:rFonts w:ascii="Arial" w:cs="Arial" w:eastAsia="Arial" w:hAnsi="Arial"/>
                <w:sz w:val="16"/>
                <w:szCs w:val="16"/>
                <w:color w:val="auto"/>
              </w:rPr>
              <w:t>NMF</w:t>
            </w:r>
          </w:p>
        </w:tc>
      </w:tr>
      <w:tr>
        <w:trPr>
          <w:trHeight w:val="24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696</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581</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0.1 %</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115</w:t>
            </w:r>
          </w:p>
        </w:tc>
        <w:tc>
          <w:tcPr>
            <w:tcW w:w="11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19.8 %</w:t>
            </w:r>
          </w:p>
        </w:tc>
      </w:tr>
      <w:tr>
        <w:trPr>
          <w:trHeight w:val="233"/>
        </w:trPr>
        <w:tc>
          <w:tcPr>
            <w:tcW w:w="346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1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45,094</w:t>
            </w:r>
          </w:p>
        </w:tc>
        <w:tc>
          <w:tcPr>
            <w:tcW w:w="1480" w:type="dxa"/>
            <w:vAlign w:val="bottom"/>
          </w:tcPr>
          <w:p>
            <w:pPr>
              <w:jc w:val="right"/>
              <w:ind w:right="79"/>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10,107</w:t>
            </w:r>
          </w:p>
        </w:tc>
        <w:tc>
          <w:tcPr>
            <w:tcW w:w="1540" w:type="dxa"/>
            <w:vAlign w:val="bottom"/>
          </w:tcPr>
          <w:p>
            <w:pPr>
              <w:jc w:val="right"/>
              <w:ind w:right="79"/>
              <w:spacing w:after="0"/>
              <w:rPr>
                <w:sz w:val="20"/>
                <w:szCs w:val="20"/>
                <w:color w:val="auto"/>
              </w:rPr>
            </w:pPr>
            <w:r>
              <w:rPr>
                <w:rFonts w:ascii="Arial" w:cs="Arial" w:eastAsia="Arial" w:hAnsi="Arial"/>
                <w:sz w:val="16"/>
                <w:szCs w:val="16"/>
                <w:color w:val="auto"/>
              </w:rPr>
              <w:t>1.7 %</w:t>
            </w:r>
          </w:p>
        </w:tc>
        <w:tc>
          <w:tcPr>
            <w:tcW w:w="160" w:type="dxa"/>
            <w:vAlign w:val="bottom"/>
          </w:tcPr>
          <w:p>
            <w:pPr>
              <w:spacing w:after="0"/>
              <w:rPr>
                <w:sz w:val="20"/>
                <w:szCs w:val="20"/>
                <w:color w:val="auto"/>
              </w:rPr>
            </w:pPr>
          </w:p>
        </w:tc>
        <w:tc>
          <w:tcPr>
            <w:tcW w:w="1180" w:type="dxa"/>
            <w:vAlign w:val="bottom"/>
          </w:tcPr>
          <w:p>
            <w:pPr>
              <w:jc w:val="right"/>
              <w:ind w:right="179"/>
              <w:spacing w:after="0"/>
              <w:rPr>
                <w:sz w:val="20"/>
                <w:szCs w:val="20"/>
                <w:color w:val="auto"/>
              </w:rPr>
            </w:pPr>
            <w:r>
              <w:rPr>
                <w:rFonts w:ascii="Arial" w:cs="Arial" w:eastAsia="Arial" w:hAnsi="Arial"/>
                <w:sz w:val="16"/>
                <w:szCs w:val="16"/>
                <w:color w:val="auto"/>
              </w:rPr>
              <w:t>34,987</w:t>
            </w:r>
          </w:p>
        </w:tc>
        <w:tc>
          <w:tcPr>
            <w:tcW w:w="1140" w:type="dxa"/>
            <w:vAlign w:val="bottom"/>
          </w:tcPr>
          <w:p>
            <w:pPr>
              <w:ind w:left="420"/>
              <w:spacing w:after="0"/>
              <w:rPr>
                <w:sz w:val="20"/>
                <w:szCs w:val="20"/>
                <w:color w:val="auto"/>
              </w:rPr>
            </w:pPr>
            <w:r>
              <w:rPr>
                <w:rFonts w:ascii="Arial" w:cs="Arial" w:eastAsia="Arial" w:hAnsi="Arial"/>
                <w:sz w:val="16"/>
                <w:szCs w:val="16"/>
                <w:color w:val="auto"/>
              </w:rPr>
              <w:t>NMF</w:t>
            </w:r>
          </w:p>
        </w:tc>
      </w:tr>
      <w:tr>
        <w:trPr>
          <w:trHeight w:val="246"/>
        </w:trPr>
        <w:tc>
          <w:tcPr>
            <w:tcW w:w="3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(benefit) for taxes</w:t>
            </w: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13,141</w:t>
            </w:r>
          </w:p>
        </w:tc>
        <w:tc>
          <w:tcPr>
            <w:tcW w:w="14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(34,865)</w:t>
            </w:r>
          </w:p>
        </w:tc>
        <w:tc>
          <w:tcPr>
            <w:tcW w:w="15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(6.0)%</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48,006</w:t>
            </w:r>
          </w:p>
        </w:tc>
        <w:tc>
          <w:tcPr>
            <w:tcW w:w="114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NMF</w:t>
            </w:r>
          </w:p>
        </w:tc>
      </w:tr>
      <w:tr>
        <w:trPr>
          <w:trHeight w:val="280"/>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31,953</w:t>
            </w:r>
          </w:p>
        </w:tc>
        <w:tc>
          <w:tcPr>
            <w:tcW w:w="14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44,972</w:t>
            </w: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7.7 %</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(13,019)</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(28.9)%</w:t>
            </w:r>
          </w:p>
        </w:tc>
      </w:tr>
      <w:tr>
        <w:trPr>
          <w:trHeight w:val="237"/>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1.54</w:t>
            </w:r>
          </w:p>
        </w:tc>
        <w:tc>
          <w:tcPr>
            <w:tcW w:w="1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(0.41)</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(26.6)%</w:t>
            </w: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color w:val="auto"/>
              </w:rPr>
              <w:t>Diluted average shares outstanding</w:t>
            </w: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28,170</w:t>
            </w:r>
          </w:p>
        </w:tc>
        <w:tc>
          <w:tcPr>
            <w:tcW w:w="14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29,207</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
        </w:trPr>
        <w:tc>
          <w:tcPr>
            <w:tcW w:w="3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4" w:lineRule="exact"/>
        <w:rPr>
          <w:sz w:val="20"/>
          <w:szCs w:val="20"/>
          <w:color w:val="auto"/>
        </w:rPr>
      </w:pPr>
    </w:p>
    <w:p>
      <w:pPr>
        <w:ind w:left="260" w:hanging="238"/>
        <w:spacing w:after="0"/>
        <w:tabs>
          <w:tab w:leader="none" w:pos="2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Unit deliveries and ASP, net of discounts,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Year Ended</w:t>
            </w: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r>
      <w:tr>
        <w:trPr>
          <w:trHeight w:val="198"/>
        </w:trPr>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31,</w:t>
            </w: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Product</w:t>
            </w:r>
          </w:p>
        </w:tc>
        <w:tc>
          <w:tcPr>
            <w:tcW w:w="300" w:type="dxa"/>
            <w:vAlign w:val="bottom"/>
          </w:tcPr>
          <w:p>
            <w:pPr>
              <w:spacing w:after="0"/>
              <w:rPr>
                <w:sz w:val="17"/>
                <w:szCs w:val="17"/>
                <w:color w:val="auto"/>
              </w:rPr>
            </w:pPr>
          </w:p>
        </w:tc>
        <w:tc>
          <w:tcPr>
            <w:tcW w:w="1320" w:type="dxa"/>
            <w:vAlign w:val="bottom"/>
          </w:tcPr>
          <w:p>
            <w:pPr>
              <w:jc w:val="right"/>
              <w:ind w:right="359"/>
              <w:spacing w:after="0"/>
              <w:rPr>
                <w:sz w:val="20"/>
                <w:szCs w:val="20"/>
                <w:color w:val="auto"/>
              </w:rPr>
            </w:pPr>
            <w:r>
              <w:rPr>
                <w:rFonts w:ascii="Arial" w:cs="Arial" w:eastAsia="Arial" w:hAnsi="Arial"/>
                <w:sz w:val="16"/>
                <w:szCs w:val="16"/>
                <w:b w:val="1"/>
                <w:bCs w:val="1"/>
                <w:color w:val="auto"/>
              </w:rPr>
              <w:t>August 25,</w:t>
            </w: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Product</w:t>
            </w:r>
          </w:p>
        </w:tc>
        <w:tc>
          <w:tcPr>
            <w:tcW w:w="380" w:type="dxa"/>
            <w:vAlign w:val="bottom"/>
          </w:tcPr>
          <w:p>
            <w:pPr>
              <w:spacing w:after="0"/>
              <w:rPr>
                <w:sz w:val="17"/>
                <w:szCs w:val="17"/>
                <w:color w:val="auto"/>
              </w:rPr>
            </w:pPr>
          </w:p>
        </w:tc>
        <w:tc>
          <w:tcPr>
            <w:tcW w:w="1380" w:type="dxa"/>
            <w:vAlign w:val="bottom"/>
          </w:tcPr>
          <w:p>
            <w:pPr>
              <w:jc w:val="right"/>
              <w:ind w:right="439"/>
              <w:spacing w:after="0"/>
              <w:rPr>
                <w:sz w:val="20"/>
                <w:szCs w:val="20"/>
                <w:color w:val="auto"/>
              </w:rPr>
            </w:pPr>
            <w:r>
              <w:rPr>
                <w:rFonts w:ascii="Arial" w:cs="Arial" w:eastAsia="Arial" w:hAnsi="Arial"/>
                <w:sz w:val="16"/>
                <w:szCs w:val="16"/>
                <w:b w:val="1"/>
                <w:bCs w:val="1"/>
                <w:color w:val="auto"/>
              </w:rPr>
              <w:t>Increase</w:t>
            </w:r>
          </w:p>
        </w:tc>
        <w:tc>
          <w:tcPr>
            <w:tcW w:w="1500" w:type="dxa"/>
            <w:vAlign w:val="bottom"/>
          </w:tcPr>
          <w:p>
            <w:pPr>
              <w:jc w:val="right"/>
              <w:ind w:right="619"/>
              <w:spacing w:after="0"/>
              <w:rPr>
                <w:sz w:val="20"/>
                <w:szCs w:val="20"/>
                <w:color w:val="auto"/>
              </w:rPr>
            </w:pPr>
            <w:r>
              <w:rPr>
                <w:rFonts w:ascii="Arial" w:cs="Arial" w:eastAsia="Arial" w:hAnsi="Arial"/>
                <w:sz w:val="16"/>
                <w:szCs w:val="16"/>
                <w:b w:val="1"/>
                <w:bCs w:val="1"/>
                <w:color w:val="auto"/>
              </w:rPr>
              <w:t>%</w:t>
            </w:r>
          </w:p>
        </w:tc>
      </w:tr>
      <w:tr>
        <w:trPr>
          <w:trHeight w:val="234"/>
        </w:trPr>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units)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2013</w:t>
            </w:r>
          </w:p>
        </w:tc>
        <w:tc>
          <w:tcPr>
            <w:tcW w:w="120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00" w:type="dxa"/>
            <w:vAlign w:val="bottom"/>
            <w:tcBorders>
              <w:bottom w:val="single" w:sz="8" w:color="auto"/>
            </w:tcBorders>
          </w:tcPr>
          <w:p>
            <w:pPr>
              <w:jc w:val="right"/>
              <w:ind w:right="239"/>
              <w:spacing w:after="0" w:line="234" w:lineRule="exact"/>
              <w:rPr>
                <w:sz w:val="20"/>
                <w:szCs w:val="20"/>
                <w:color w:val="auto"/>
              </w:rPr>
            </w:pPr>
            <w:r>
              <w:rPr>
                <w:rFonts w:ascii="Arial" w:cs="Arial" w:eastAsia="Arial" w:hAnsi="Arial"/>
                <w:sz w:val="16"/>
                <w:szCs w:val="16"/>
                <w:b w:val="1"/>
                <w:bCs w:val="1"/>
                <w:color w:val="auto"/>
              </w:rPr>
              <w:t>Mix %</w:t>
            </w:r>
            <w:r>
              <w:rPr>
                <w:rFonts w:ascii="Arial" w:cs="Arial" w:eastAsia="Arial" w:hAnsi="Arial"/>
                <w:sz w:val="21"/>
                <w:szCs w:val="21"/>
                <w:b w:val="1"/>
                <w:bCs w:val="1"/>
                <w:color w:val="auto"/>
                <w:vertAlign w:val="superscript"/>
              </w:rPr>
              <w:t>(1)</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(Decrease)</w:t>
            </w: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64"/>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Motorhomes:</w:t>
            </w: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33"/>
        </w:trPr>
        <w:tc>
          <w:tcPr>
            <w:tcW w:w="2660" w:type="dxa"/>
            <w:vAlign w:val="bottom"/>
          </w:tcPr>
          <w:p>
            <w:pPr>
              <w:ind w:left="180"/>
              <w:spacing w:after="0"/>
              <w:rPr>
                <w:sz w:val="20"/>
                <w:szCs w:val="20"/>
                <w:color w:val="auto"/>
              </w:rPr>
            </w:pPr>
            <w:r>
              <w:rPr>
                <w:rFonts w:ascii="Arial" w:cs="Arial" w:eastAsia="Arial" w:hAnsi="Arial"/>
                <w:sz w:val="16"/>
                <w:szCs w:val="16"/>
                <w:color w:val="auto"/>
              </w:rPr>
              <w:t>Class A gas</w:t>
            </w:r>
          </w:p>
        </w:tc>
        <w:tc>
          <w:tcPr>
            <w:tcW w:w="16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2,446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35.9%</w:t>
            </w:r>
          </w:p>
        </w:tc>
        <w:tc>
          <w:tcPr>
            <w:tcW w:w="30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1,648</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35.5%</w:t>
            </w:r>
          </w:p>
        </w:tc>
        <w:tc>
          <w:tcPr>
            <w:tcW w:w="38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798</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48.4 %</w:t>
            </w:r>
          </w:p>
        </w:tc>
      </w:tr>
      <w:tr>
        <w:trPr>
          <w:trHeight w:val="246"/>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A diesel</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1,315</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19.3%</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931</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20.1%</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384</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41.2 %</w:t>
            </w:r>
          </w:p>
        </w:tc>
      </w:tr>
      <w:tr>
        <w:trPr>
          <w:trHeight w:val="233"/>
        </w:trPr>
        <w:tc>
          <w:tcPr>
            <w:tcW w:w="2660" w:type="dxa"/>
            <w:vAlign w:val="bottom"/>
          </w:tcPr>
          <w:p>
            <w:pPr>
              <w:ind w:left="180"/>
              <w:spacing w:after="0"/>
              <w:rPr>
                <w:sz w:val="20"/>
                <w:szCs w:val="20"/>
                <w:color w:val="auto"/>
              </w:rPr>
            </w:pPr>
            <w:r>
              <w:rPr>
                <w:rFonts w:ascii="Arial" w:cs="Arial" w:eastAsia="Arial" w:hAnsi="Arial"/>
                <w:sz w:val="16"/>
                <w:szCs w:val="16"/>
                <w:color w:val="auto"/>
              </w:rPr>
              <w:t>Total Class A</w:t>
            </w:r>
          </w:p>
        </w:tc>
        <w:tc>
          <w:tcPr>
            <w:tcW w:w="16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3,761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55.1%</w:t>
            </w:r>
          </w:p>
        </w:tc>
        <w:tc>
          <w:tcPr>
            <w:tcW w:w="30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2,579</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55.6%</w:t>
            </w:r>
          </w:p>
        </w:tc>
        <w:tc>
          <w:tcPr>
            <w:tcW w:w="38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1,182</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45.8 %</w:t>
            </w:r>
          </w:p>
        </w:tc>
      </w:tr>
      <w:tr>
        <w:trPr>
          <w:trHeight w:val="253"/>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Class B</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372</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c>
          <w:tcPr>
            <w:tcW w:w="3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319</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w:t>
            </w:r>
          </w:p>
        </w:tc>
        <w:tc>
          <w:tcPr>
            <w:tcW w:w="38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53</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16.6 %</w:t>
            </w:r>
          </w:p>
        </w:tc>
      </w:tr>
      <w:tr>
        <w:trPr>
          <w:trHeight w:val="237"/>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Class C</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2,688</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39.4%</w:t>
            </w: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1,744</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37.6%</w:t>
            </w:r>
          </w:p>
        </w:tc>
        <w:tc>
          <w:tcPr>
            <w:tcW w:w="3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944</w:t>
            </w: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54.1 %</w:t>
            </w:r>
          </w:p>
        </w:tc>
      </w:tr>
      <w:tr>
        <w:trPr>
          <w:trHeight w:val="24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motorhome deliveries</w:t>
            </w: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6,821</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4,642</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100.0%</w:t>
            </w:r>
          </w:p>
        </w:tc>
        <w:tc>
          <w:tcPr>
            <w:tcW w:w="3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2,179</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46.9 %</w:t>
            </w:r>
          </w:p>
        </w:tc>
      </w:tr>
      <w:tr>
        <w:trPr>
          <w:trHeight w:val="20"/>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6"/>
        </w:trPr>
        <w:tc>
          <w:tcPr>
            <w:tcW w:w="2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 (in thousands)</w:t>
            </w:r>
            <w:r>
              <w:rPr>
                <w:rFonts w:ascii="Arial" w:cs="Arial" w:eastAsia="Arial" w:hAnsi="Arial"/>
                <w:sz w:val="21"/>
                <w:szCs w:val="21"/>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w:t>
            </w: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105</w:t>
            </w: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w:t>
            </w:r>
          </w:p>
        </w:tc>
        <w:tc>
          <w:tcPr>
            <w:tcW w:w="15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(0.9)%</w:t>
            </w:r>
          </w:p>
        </w:tc>
      </w:tr>
      <w:tr>
        <w:trPr>
          <w:trHeight w:val="162"/>
        </w:trPr>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270"/>
        </w:trPr>
        <w:tc>
          <w:tcPr>
            <w:tcW w:w="26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Towables:</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33"/>
        </w:trPr>
        <w:tc>
          <w:tcPr>
            <w:tcW w:w="2660" w:type="dxa"/>
            <w:vAlign w:val="bottom"/>
          </w:tcPr>
          <w:p>
            <w:pPr>
              <w:ind w:left="18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2,038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80.4%</w:t>
            </w:r>
          </w:p>
        </w:tc>
        <w:tc>
          <w:tcPr>
            <w:tcW w:w="300" w:type="dxa"/>
            <w:vAlign w:val="bottom"/>
          </w:tcPr>
          <w:p>
            <w:pPr>
              <w:spacing w:after="0"/>
              <w:rPr>
                <w:sz w:val="20"/>
                <w:szCs w:val="20"/>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575</w:t>
            </w: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58.7%</w:t>
            </w:r>
          </w:p>
        </w:tc>
        <w:tc>
          <w:tcPr>
            <w:tcW w:w="380" w:type="dxa"/>
            <w:vAlign w:val="bottom"/>
          </w:tcPr>
          <w:p>
            <w:pPr>
              <w:spacing w:after="0"/>
              <w:rPr>
                <w:sz w:val="20"/>
                <w:szCs w:val="20"/>
                <w:color w:val="auto"/>
              </w:rPr>
            </w:pPr>
          </w:p>
        </w:tc>
        <w:tc>
          <w:tcPr>
            <w:tcW w:w="1380" w:type="dxa"/>
            <w:vAlign w:val="bottom"/>
          </w:tcPr>
          <w:p>
            <w:pPr>
              <w:jc w:val="right"/>
              <w:ind w:right="399"/>
              <w:spacing w:after="0"/>
              <w:rPr>
                <w:sz w:val="20"/>
                <w:szCs w:val="20"/>
                <w:color w:val="auto"/>
              </w:rPr>
            </w:pPr>
            <w:r>
              <w:rPr>
                <w:rFonts w:ascii="Arial" w:cs="Arial" w:eastAsia="Arial" w:hAnsi="Arial"/>
                <w:sz w:val="16"/>
                <w:szCs w:val="16"/>
                <w:color w:val="auto"/>
              </w:rPr>
              <w:t>666</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115.8 %</w:t>
            </w:r>
          </w:p>
        </w:tc>
      </w:tr>
      <w:tr>
        <w:trPr>
          <w:trHeight w:val="246"/>
        </w:trPr>
        <w:tc>
          <w:tcPr>
            <w:tcW w:w="26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497</w:t>
            </w:r>
          </w:p>
        </w:tc>
        <w:tc>
          <w:tcPr>
            <w:tcW w:w="12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19.6%</w:t>
            </w:r>
          </w:p>
        </w:tc>
        <w:tc>
          <w:tcPr>
            <w:tcW w:w="3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194</w:t>
            </w:r>
          </w:p>
        </w:tc>
        <w:tc>
          <w:tcPr>
            <w:tcW w:w="12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c>
          <w:tcPr>
            <w:tcW w:w="3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(469)</w:t>
            </w:r>
          </w:p>
        </w:tc>
        <w:tc>
          <w:tcPr>
            <w:tcW w:w="15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(241.8)%</w:t>
            </w:r>
          </w:p>
        </w:tc>
      </w:tr>
      <w:tr>
        <w:trPr>
          <w:trHeight w:val="280"/>
        </w:trPr>
        <w:tc>
          <w:tcPr>
            <w:tcW w:w="26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towable deliveries</w:t>
            </w: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2,535</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100.0%</w:t>
            </w: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769</w:t>
            </w:r>
          </w:p>
        </w:tc>
        <w:tc>
          <w:tcPr>
            <w:tcW w:w="12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100.0%</w:t>
            </w:r>
          </w:p>
        </w:tc>
        <w:tc>
          <w:tcPr>
            <w:tcW w:w="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197</w:t>
            </w:r>
          </w:p>
        </w:tc>
        <w:tc>
          <w:tcPr>
            <w:tcW w:w="1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25.6 %</w:t>
            </w:r>
          </w:p>
        </w:tc>
      </w:tr>
      <w:tr>
        <w:trPr>
          <w:trHeight w:val="146"/>
        </w:trPr>
        <w:tc>
          <w:tcPr>
            <w:tcW w:w="2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r>
      <w:tr>
        <w:trPr>
          <w:trHeight w:val="324"/>
        </w:trPr>
        <w:tc>
          <w:tcPr>
            <w:tcW w:w="2660" w:type="dxa"/>
            <w:vAlign w:val="bottom"/>
          </w:tcPr>
          <w:p>
            <w:pPr>
              <w:ind w:left="180"/>
              <w:spacing w:after="0"/>
              <w:rPr>
                <w:sz w:val="20"/>
                <w:szCs w:val="20"/>
                <w:color w:val="auto"/>
              </w:rPr>
            </w:pPr>
            <w:r>
              <w:rPr>
                <w:rFonts w:ascii="Arial" w:cs="Arial" w:eastAsia="Arial" w:hAnsi="Arial"/>
                <w:sz w:val="16"/>
                <w:szCs w:val="16"/>
                <w:color w:val="auto"/>
              </w:rPr>
              <w:t>ASP (in thousands)</w:t>
            </w:r>
            <w:r>
              <w:rPr>
                <w:rFonts w:ascii="Arial" w:cs="Arial" w:eastAsia="Arial" w:hAnsi="Arial"/>
                <w:sz w:val="21"/>
                <w:szCs w:val="2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21</w:t>
            </w:r>
          </w:p>
        </w:tc>
        <w:tc>
          <w:tcPr>
            <w:tcW w:w="1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24</w:t>
            </w:r>
          </w:p>
        </w:tc>
        <w:tc>
          <w:tcPr>
            <w:tcW w:w="1200" w:type="dxa"/>
            <w:vAlign w:val="bottom"/>
          </w:tcPr>
          <w:p>
            <w:pPr>
              <w:spacing w:after="0"/>
              <w:rPr>
                <w:sz w:val="24"/>
                <w:szCs w:val="24"/>
                <w:color w:val="auto"/>
              </w:rPr>
            </w:pPr>
          </w:p>
        </w:tc>
        <w:tc>
          <w:tcPr>
            <w:tcW w:w="3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59"/>
              <w:spacing w:after="0"/>
              <w:rPr>
                <w:sz w:val="20"/>
                <w:szCs w:val="20"/>
                <w:color w:val="auto"/>
              </w:rPr>
            </w:pPr>
            <w:r>
              <w:rPr>
                <w:rFonts w:ascii="Arial" w:cs="Arial" w:eastAsia="Arial" w:hAnsi="Arial"/>
                <w:sz w:val="16"/>
                <w:szCs w:val="16"/>
                <w:color w:val="auto"/>
              </w:rPr>
              <w:t>(3)</w:t>
            </w:r>
          </w:p>
        </w:tc>
        <w:tc>
          <w:tcPr>
            <w:tcW w:w="1500" w:type="dxa"/>
            <w:vAlign w:val="bottom"/>
          </w:tcPr>
          <w:p>
            <w:pPr>
              <w:jc w:val="right"/>
              <w:ind w:right="199"/>
              <w:spacing w:after="0"/>
              <w:rPr>
                <w:sz w:val="20"/>
                <w:szCs w:val="20"/>
                <w:color w:val="auto"/>
              </w:rPr>
            </w:pPr>
            <w:r>
              <w:rPr>
                <w:rFonts w:ascii="Arial" w:cs="Arial" w:eastAsia="Arial" w:hAnsi="Arial"/>
                <w:sz w:val="16"/>
                <w:szCs w:val="16"/>
                <w:color w:val="auto"/>
              </w:rPr>
              <w:t>(10.5)%</w:t>
            </w:r>
          </w:p>
        </w:tc>
      </w:tr>
    </w:tbl>
    <w:p>
      <w:pPr>
        <w:ind w:left="260" w:hanging="238"/>
        <w:spacing w:after="0" w:line="205" w:lineRule="auto"/>
        <w:tabs>
          <w:tab w:leader="none" w:pos="2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Percentages and dollars may not add due to rounding differences.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41"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4"/>
        </w:trPr>
        <w:tc>
          <w:tcPr>
            <w:tcW w:w="300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447"/>
        </w:trPr>
        <w:tc>
          <w:tcPr>
            <w:tcW w:w="3000" w:type="dxa"/>
            <w:vAlign w:val="bottom"/>
            <w:gridSpan w:val="2"/>
          </w:tcPr>
          <w:p>
            <w:pPr>
              <w:spacing w:after="0"/>
              <w:rPr>
                <w:sz w:val="20"/>
                <w:szCs w:val="20"/>
                <w:color w:val="auto"/>
              </w:rPr>
            </w:pPr>
            <w:r>
              <w:rPr>
                <w:rFonts w:ascii="Arial" w:cs="Arial" w:eastAsia="Arial" w:hAnsi="Arial"/>
                <w:sz w:val="16"/>
                <w:szCs w:val="16"/>
                <w:color w:val="auto"/>
              </w:rPr>
              <w:t>Net revenues consisted of the following:</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1"/>
        </w:trPr>
        <w:tc>
          <w:tcPr>
            <w:tcW w:w="12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Year Ended</w:t>
            </w: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98"/>
        </w:trPr>
        <w:tc>
          <w:tcPr>
            <w:tcW w:w="1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Increase</w:t>
            </w:r>
          </w:p>
        </w:tc>
        <w:tc>
          <w:tcPr>
            <w:tcW w:w="1240" w:type="dxa"/>
            <w:vAlign w:val="bottom"/>
          </w:tcPr>
          <w:p>
            <w:pPr>
              <w:jc w:val="right"/>
              <w:ind w:right="519"/>
              <w:spacing w:after="0"/>
              <w:rPr>
                <w:sz w:val="20"/>
                <w:szCs w:val="20"/>
                <w:color w:val="auto"/>
              </w:rPr>
            </w:pPr>
            <w:r>
              <w:rPr>
                <w:rFonts w:ascii="Arial" w:cs="Arial" w:eastAsia="Arial" w:hAnsi="Arial"/>
                <w:sz w:val="16"/>
                <w:szCs w:val="16"/>
                <w:b w:val="1"/>
                <w:bCs w:val="1"/>
                <w:color w:val="auto"/>
              </w:rPr>
              <w:t>%</w:t>
            </w:r>
          </w:p>
        </w:tc>
      </w:tr>
      <w:tr>
        <w:trPr>
          <w:trHeight w:val="228"/>
        </w:trPr>
        <w:tc>
          <w:tcPr>
            <w:tcW w:w="30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August 31, 2013</w:t>
            </w:r>
          </w:p>
        </w:tc>
        <w:tc>
          <w:tcPr>
            <w:tcW w:w="5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2"/>
          </w:tcPr>
          <w:p>
            <w:pPr>
              <w:jc w:val="right"/>
              <w:ind w:right="579"/>
              <w:spacing w:after="0"/>
              <w:rPr>
                <w:sz w:val="20"/>
                <w:szCs w:val="20"/>
                <w:color w:val="auto"/>
              </w:rPr>
            </w:pPr>
            <w:r>
              <w:rPr>
                <w:rFonts w:ascii="Arial" w:cs="Arial" w:eastAsia="Arial" w:hAnsi="Arial"/>
                <w:sz w:val="16"/>
                <w:szCs w:val="16"/>
                <w:b w:val="1"/>
                <w:bCs w:val="1"/>
                <w:color w:val="auto"/>
              </w:rPr>
              <w:t>August 25, 2012</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(Decrease)</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Motorhomes </w:t>
            </w:r>
            <w:r>
              <w:rPr>
                <w:rFonts w:ascii="Arial" w:cs="Arial" w:eastAsia="Arial" w:hAnsi="Arial"/>
                <w:sz w:val="21"/>
                <w:szCs w:val="21"/>
                <w:color w:val="auto"/>
                <w:vertAlign w:val="superscript"/>
              </w:rPr>
              <w:t>(1)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704,472</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87.7%</w:t>
            </w:r>
          </w:p>
        </w:tc>
        <w:tc>
          <w:tcPr>
            <w:tcW w:w="5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483,532</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83.1%</w:t>
            </w:r>
          </w:p>
        </w:tc>
        <w:tc>
          <w:tcPr>
            <w:tcW w:w="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220,940</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45.7 %</w:t>
            </w:r>
          </w:p>
        </w:tc>
      </w:tr>
      <w:tr>
        <w:trPr>
          <w:trHeight w:val="270"/>
        </w:trPr>
        <w:tc>
          <w:tcPr>
            <w:tcW w:w="3000" w:type="dxa"/>
            <w:vAlign w:val="bottom"/>
            <w:gridSpan w:val="2"/>
          </w:tcPr>
          <w:p>
            <w:pPr>
              <w:ind w:left="40"/>
              <w:spacing w:after="0"/>
              <w:rPr>
                <w:sz w:val="20"/>
                <w:szCs w:val="20"/>
                <w:color w:val="auto"/>
              </w:rPr>
            </w:pPr>
            <w:r>
              <w:rPr>
                <w:rFonts w:ascii="Arial" w:cs="Arial" w:eastAsia="Arial" w:hAnsi="Arial"/>
                <w:sz w:val="16"/>
                <w:szCs w:val="16"/>
                <w:color w:val="auto"/>
              </w:rPr>
              <w:t xml:space="preserve">Towables </w:t>
            </w:r>
            <w:r>
              <w:rPr>
                <w:rFonts w:ascii="Arial" w:cs="Arial" w:eastAsia="Arial" w:hAnsi="Arial"/>
                <w:sz w:val="21"/>
                <w:szCs w:val="21"/>
                <w:color w:val="auto"/>
                <w:vertAlign w:val="superscript"/>
              </w:rPr>
              <w:t>(2)</w:t>
            </w:r>
          </w:p>
        </w:tc>
        <w:tc>
          <w:tcPr>
            <w:tcW w:w="360" w:type="dxa"/>
            <w:vAlign w:val="bottom"/>
          </w:tcPr>
          <w:p>
            <w:pPr>
              <w:spacing w:after="0"/>
              <w:rPr>
                <w:sz w:val="23"/>
                <w:szCs w:val="23"/>
                <w:color w:val="auto"/>
              </w:rPr>
            </w:pPr>
          </w:p>
        </w:tc>
        <w:tc>
          <w:tcPr>
            <w:tcW w:w="1180" w:type="dxa"/>
            <w:vAlign w:val="bottom"/>
          </w:tcPr>
          <w:p>
            <w:pPr>
              <w:jc w:val="right"/>
              <w:ind w:right="259"/>
              <w:spacing w:after="0"/>
              <w:rPr>
                <w:sz w:val="20"/>
                <w:szCs w:val="20"/>
                <w:color w:val="auto"/>
              </w:rPr>
            </w:pPr>
            <w:r>
              <w:rPr>
                <w:rFonts w:ascii="Arial" w:cs="Arial" w:eastAsia="Arial" w:hAnsi="Arial"/>
                <w:sz w:val="16"/>
                <w:szCs w:val="16"/>
                <w:color w:val="auto"/>
              </w:rPr>
              <w:t>54,683</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6.8%</w:t>
            </w:r>
          </w:p>
        </w:tc>
        <w:tc>
          <w:tcPr>
            <w:tcW w:w="540" w:type="dxa"/>
            <w:vAlign w:val="bottom"/>
          </w:tcPr>
          <w:p>
            <w:pPr>
              <w:spacing w:after="0"/>
              <w:rPr>
                <w:sz w:val="23"/>
                <w:szCs w:val="23"/>
                <w:color w:val="auto"/>
              </w:rPr>
            </w:pPr>
          </w:p>
        </w:tc>
        <w:tc>
          <w:tcPr>
            <w:tcW w:w="1500" w:type="dxa"/>
            <w:vAlign w:val="bottom"/>
          </w:tcPr>
          <w:p>
            <w:pPr>
              <w:jc w:val="right"/>
              <w:ind w:right="559"/>
              <w:spacing w:after="0"/>
              <w:rPr>
                <w:sz w:val="20"/>
                <w:szCs w:val="20"/>
                <w:color w:val="auto"/>
              </w:rPr>
            </w:pPr>
            <w:r>
              <w:rPr>
                <w:rFonts w:ascii="Arial" w:cs="Arial" w:eastAsia="Arial" w:hAnsi="Arial"/>
                <w:sz w:val="16"/>
                <w:szCs w:val="16"/>
                <w:color w:val="auto"/>
              </w:rPr>
              <w:t>56,784</w:t>
            </w: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9.8%</w:t>
            </w:r>
          </w:p>
        </w:tc>
        <w:tc>
          <w:tcPr>
            <w:tcW w:w="400" w:type="dxa"/>
            <w:vAlign w:val="bottom"/>
          </w:tcPr>
          <w:p>
            <w:pPr>
              <w:spacing w:after="0"/>
              <w:rPr>
                <w:sz w:val="23"/>
                <w:szCs w:val="23"/>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color w:val="auto"/>
              </w:rPr>
              <w:t>(2,101)</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(3.7)%</w:t>
            </w: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parts and services</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14,108</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54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12,661</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1,447</w:t>
            </w:r>
          </w:p>
        </w:tc>
        <w:tc>
          <w:tcPr>
            <w:tcW w:w="12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11.4 %</w:t>
            </w:r>
          </w:p>
        </w:tc>
      </w:tr>
      <w:tr>
        <w:trPr>
          <w:trHeight w:val="264"/>
        </w:trPr>
        <w:tc>
          <w:tcPr>
            <w:tcW w:w="30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 manufactured products</w:t>
            </w:r>
          </w:p>
        </w:tc>
        <w:tc>
          <w:tcPr>
            <w:tcW w:w="3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29,902</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w:t>
            </w:r>
          </w:p>
        </w:tc>
        <w:tc>
          <w:tcPr>
            <w:tcW w:w="5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28,702</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1,200</w:t>
            </w: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4.2 %</w:t>
            </w:r>
          </w:p>
        </w:tc>
      </w:tr>
      <w:tr>
        <w:trPr>
          <w:trHeight w:val="267"/>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803,165</w:t>
            </w:r>
          </w:p>
        </w:tc>
        <w:tc>
          <w:tcPr>
            <w:tcW w:w="11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5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color w:val="auto"/>
              </w:rPr>
              <w:t>581,679</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221,486</w:t>
            </w:r>
          </w:p>
        </w:tc>
        <w:tc>
          <w:tcPr>
            <w:tcW w:w="12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8890</wp:posOffset>
            </wp:positionV>
            <wp:extent cx="53511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1145" cy="8890"/>
                    </a:xfrm>
                    <a:prstGeom prst="rect">
                      <a:avLst/>
                    </a:prstGeom>
                    <a:noFill/>
                  </pic:spPr>
                </pic:pic>
              </a:graphicData>
            </a:graphic>
          </wp:anchor>
        </w:drawing>
      </w:r>
    </w:p>
    <w:p>
      <w:pPr>
        <w:ind w:left="260" w:hanging="238"/>
        <w:spacing w:after="0" w:line="224" w:lineRule="auto"/>
        <w:tabs>
          <w:tab w:leader="none" w:pos="2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motorhome units, parts and service</w:t>
      </w:r>
    </w:p>
    <w:p>
      <w:pPr>
        <w:ind w:left="260" w:hanging="238"/>
        <w:spacing w:after="0" w:line="199" w:lineRule="auto"/>
        <w:tabs>
          <w:tab w:leader="none" w:pos="26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Includes towable units and parts.</w:t>
      </w:r>
    </w:p>
    <w:p>
      <w:pPr>
        <w:spacing w:after="0" w:line="177"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increase in motorhome net revenues of $222.4 million or 44.8% was primarily attributed to a 46.9% increase in unit deliveries driven by higher dealer and retail consumer demand when compared to Fiscal 2012. ASP decreased 0.9% in Fiscal 2013.</w:t>
      </w:r>
    </w:p>
    <w:p>
      <w:pPr>
        <w:spacing w:after="0" w:line="169" w:lineRule="exact"/>
        <w:rPr>
          <w:sz w:val="20"/>
          <w:szCs w:val="20"/>
          <w:color w:val="auto"/>
        </w:rPr>
      </w:pPr>
    </w:p>
    <w:p>
      <w:pPr>
        <w:ind w:right="460"/>
        <w:spacing w:after="0" w:line="260" w:lineRule="auto"/>
        <w:rPr>
          <w:sz w:val="20"/>
          <w:szCs w:val="20"/>
          <w:color w:val="auto"/>
        </w:rPr>
      </w:pPr>
      <w:r>
        <w:rPr>
          <w:rFonts w:ascii="Arial" w:cs="Arial" w:eastAsia="Arial" w:hAnsi="Arial"/>
          <w:sz w:val="16"/>
          <w:szCs w:val="16"/>
          <w:color w:val="auto"/>
        </w:rPr>
        <w:t>Towables revenues were $54.7 million in Fiscal 2013 compared to revenues of $56.8 million in Fiscal 2012. Although towable unit deliveries increased by 8.4%, the growth was more than offset by an ASP decline of 10.5%.</w:t>
      </w:r>
    </w:p>
    <w:p>
      <w:pPr>
        <w:spacing w:after="0" w:line="169"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Cost of goods sold was $718.5 million, or 89.5% of net revenues for Fiscal 2013 compared to $538.0 million, or 92.5% of net revenues for Fiscal 2012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to 83.7% this year from 85.3% mainly due to decreased material costs and increased operating efficiencies.</w:t>
      </w:r>
    </w:p>
    <w:p>
      <w:pPr>
        <w:ind w:left="340" w:right="500" w:hanging="332"/>
        <w:spacing w:after="0" w:line="246"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to 5.7% of net revenues compared to 7.1%. The difference was due primarily to increased revenues in Fiscal 2013.</w:t>
      </w: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7.5% to 10.4% of net revenues.</w:t>
      </w:r>
    </w:p>
    <w:p>
      <w:pPr>
        <w:spacing w:after="0" w:line="167"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Selling expenses decreased to 2.3% from 2.9% of net revenues in Fiscal 2013 and Fiscal 2012, respectively. However, selling expenses increased $1.5 million, or 8.8%, in Fiscal 2013. The expense increase was primarily due to increased wage-related expenses of $680,000 and advertising expenses of $440,000.</w:t>
      </w:r>
    </w:p>
    <w:p>
      <w:pPr>
        <w:spacing w:after="0" w:line="14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General and administrative expenses were 2.7% and 3.0% of net revenues in Fiscal 2013 and Fiscal 2012, respectively. General and administrative expenses increased $4.6 million, or 26.8%, in Fiscal 2013. This increase was due primarily to an increase of $3.7 million in wage-related expenses. We also recorded approximately $550,000 additional amortization on our Towables intangible assets in Fiscal 2013 due to a decrease in the estimated useful lives.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quarter of Fiscal 2013 we realized a loss of $28,000 on the sale of our Hampton, Iowa property. See Note 5.</w:t>
      </w:r>
    </w:p>
    <w:p>
      <w:pPr>
        <w:spacing w:after="0" w:line="16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Non-operating income increased $115,000 or 19.8%, in Fiscal 2013. This difference is primarily due to decreased line of credit expenses which was partially offset by lower investment income. We also received proceeds from COLI policies in both Fiscal 2013 and Fiscal 2012. See Note 12.</w:t>
      </w:r>
    </w:p>
    <w:p>
      <w:pPr>
        <w:spacing w:after="0" w:line="182" w:lineRule="exact"/>
        <w:rPr>
          <w:sz w:val="20"/>
          <w:szCs w:val="20"/>
          <w:color w:val="auto"/>
        </w:rPr>
      </w:pPr>
    </w:p>
    <w:p>
      <w:pPr>
        <w:ind w:right="260"/>
        <w:spacing w:after="0" w:line="288" w:lineRule="auto"/>
        <w:rPr>
          <w:sz w:val="20"/>
          <w:szCs w:val="20"/>
          <w:color w:val="auto"/>
        </w:rPr>
      </w:pPr>
      <w:r>
        <w:rPr>
          <w:rFonts w:ascii="Arial" w:cs="Arial" w:eastAsia="Arial" w:hAnsi="Arial"/>
          <w:sz w:val="16"/>
          <w:szCs w:val="16"/>
          <w:color w:val="auto"/>
        </w:rPr>
        <w:t>The overall effective income tax rate for FIscal 2013 was an expense of 29.1% compared to a benefit of (345.0)% in Fiscal 2012. For further discussion of income taxes (which includes a reconciliation of the US statutory income tax rate to our effective tax rate), see Note 11. The following table breaks down the two aforementioned tax rates: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4"/>
        </w:trPr>
        <w:tc>
          <w:tcPr>
            <w:tcW w:w="48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2"/>
          </w:tcPr>
          <w:p>
            <w:pPr>
              <w:jc w:val="right"/>
              <w:ind w:right="819"/>
              <w:spacing w:after="0"/>
              <w:rPr>
                <w:sz w:val="20"/>
                <w:szCs w:val="20"/>
                <w:color w:val="auto"/>
              </w:rPr>
            </w:pPr>
            <w:r>
              <w:rPr>
                <w:rFonts w:ascii="Arial" w:cs="Arial" w:eastAsia="Arial" w:hAnsi="Arial"/>
                <w:sz w:val="16"/>
                <w:szCs w:val="16"/>
                <w:b w:val="1"/>
                <w:bCs w:val="1"/>
                <w:color w:val="auto"/>
              </w:rPr>
              <w:t>August 31, 2013</w:t>
            </w:r>
          </w:p>
        </w:tc>
        <w:tc>
          <w:tcPr>
            <w:tcW w:w="6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4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80" w:type="dxa"/>
            <w:vAlign w:val="bottom"/>
          </w:tcPr>
          <w:p>
            <w:pPr>
              <w:jc w:val="right"/>
              <w:ind w:right="339"/>
              <w:spacing w:after="0"/>
              <w:rPr>
                <w:sz w:val="20"/>
                <w:szCs w:val="20"/>
                <w:color w:val="auto"/>
              </w:rPr>
            </w:pPr>
            <w:r>
              <w:rPr>
                <w:rFonts w:ascii="Arial" w:cs="Arial" w:eastAsia="Arial" w:hAnsi="Arial"/>
                <w:sz w:val="16"/>
                <w:szCs w:val="16"/>
                <w:b w:val="1"/>
                <w:bCs w:val="1"/>
                <w:color w:val="auto"/>
              </w:rPr>
              <w:t>Effective</w:t>
            </w: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540" w:type="dxa"/>
            <w:vAlign w:val="bottom"/>
          </w:tcPr>
          <w:p>
            <w:pPr>
              <w:jc w:val="right"/>
              <w:ind w:right="419"/>
              <w:spacing w:after="0"/>
              <w:rPr>
                <w:sz w:val="20"/>
                <w:szCs w:val="20"/>
                <w:color w:val="auto"/>
              </w:rPr>
            </w:pPr>
            <w:r>
              <w:rPr>
                <w:rFonts w:ascii="Arial" w:cs="Arial" w:eastAsia="Arial" w:hAnsi="Arial"/>
                <w:sz w:val="16"/>
                <w:szCs w:val="16"/>
                <w:b w:val="1"/>
                <w:bCs w:val="1"/>
                <w:color w:val="auto"/>
              </w:rPr>
              <w:t>Effective</w:t>
            </w:r>
          </w:p>
        </w:tc>
      </w:tr>
      <w:tr>
        <w:trPr>
          <w:trHeight w:val="228"/>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Amount</w:t>
            </w:r>
          </w:p>
        </w:tc>
        <w:tc>
          <w:tcPr>
            <w:tcW w:w="14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Rate</w:t>
            </w: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5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Rate</w:t>
            </w:r>
          </w:p>
        </w:tc>
      </w:tr>
      <w:tr>
        <w:trPr>
          <w:trHeight w:val="270"/>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expense on current operations</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13,551</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30.0 %</w:t>
            </w:r>
          </w:p>
        </w:tc>
        <w:tc>
          <w:tcPr>
            <w:tcW w:w="6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2,914</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28.8 %</w:t>
            </w:r>
          </w:p>
        </w:tc>
      </w:tr>
      <w:tr>
        <w:trPr>
          <w:trHeight w:val="260"/>
        </w:trPr>
        <w:tc>
          <w:tcPr>
            <w:tcW w:w="4880" w:type="dxa"/>
            <w:vAlign w:val="bottom"/>
          </w:tcPr>
          <w:p>
            <w:pPr>
              <w:ind w:left="40"/>
              <w:spacing w:after="0"/>
              <w:rPr>
                <w:sz w:val="20"/>
                <w:szCs w:val="20"/>
                <w:color w:val="auto"/>
              </w:rPr>
            </w:pPr>
            <w:r>
              <w:rPr>
                <w:rFonts w:ascii="Arial" w:cs="Arial" w:eastAsia="Arial" w:hAnsi="Arial"/>
                <w:sz w:val="16"/>
                <w:szCs w:val="16"/>
                <w:color w:val="auto"/>
              </w:rPr>
              <w:t>Valuation allowance</w:t>
            </w:r>
          </w:p>
        </w:tc>
        <w:tc>
          <w:tcPr>
            <w:tcW w:w="300" w:type="dxa"/>
            <w:vAlign w:val="bottom"/>
          </w:tcPr>
          <w:p>
            <w:pPr>
              <w:spacing w:after="0"/>
              <w:rPr>
                <w:sz w:val="22"/>
                <w:szCs w:val="22"/>
                <w:color w:val="auto"/>
              </w:rPr>
            </w:pPr>
          </w:p>
        </w:tc>
        <w:tc>
          <w:tcPr>
            <w:tcW w:w="1340" w:type="dxa"/>
            <w:vAlign w:val="bottom"/>
          </w:tcPr>
          <w:p>
            <w:pPr>
              <w:jc w:val="right"/>
              <w:ind w:right="339"/>
              <w:spacing w:after="0"/>
              <w:rPr>
                <w:sz w:val="20"/>
                <w:szCs w:val="20"/>
                <w:color w:val="auto"/>
              </w:rPr>
            </w:pPr>
            <w:r>
              <w:rPr>
                <w:rFonts w:ascii="Arial" w:cs="Arial" w:eastAsia="Arial" w:hAnsi="Arial"/>
                <w:sz w:val="16"/>
                <w:szCs w:val="16"/>
                <w:color w:val="auto"/>
              </w:rPr>
              <w:t>73</w:t>
            </w:r>
          </w:p>
        </w:tc>
        <w:tc>
          <w:tcPr>
            <w:tcW w:w="1480" w:type="dxa"/>
            <w:vAlign w:val="bottom"/>
          </w:tcPr>
          <w:p>
            <w:pPr>
              <w:jc w:val="right"/>
              <w:ind w:right="139"/>
              <w:spacing w:after="0"/>
              <w:rPr>
                <w:sz w:val="20"/>
                <w:szCs w:val="20"/>
                <w:color w:val="auto"/>
              </w:rPr>
            </w:pPr>
            <w:r>
              <w:rPr>
                <w:rFonts w:ascii="Arial" w:cs="Arial" w:eastAsia="Arial" w:hAnsi="Arial"/>
                <w:sz w:val="16"/>
                <w:szCs w:val="16"/>
                <w:color w:val="auto"/>
              </w:rPr>
              <w:t>0.2 %</w:t>
            </w:r>
          </w:p>
        </w:tc>
        <w:tc>
          <w:tcPr>
            <w:tcW w:w="640" w:type="dxa"/>
            <w:vAlign w:val="bottom"/>
          </w:tcPr>
          <w:p>
            <w:pPr>
              <w:spacing w:after="0"/>
              <w:rPr>
                <w:sz w:val="22"/>
                <w:szCs w:val="22"/>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color w:val="auto"/>
              </w:rPr>
              <w:t>(37,681)</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(372.8)%</w:t>
            </w:r>
          </w:p>
        </w:tc>
      </w:tr>
      <w:tr>
        <w:trPr>
          <w:trHeight w:val="280"/>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(483)</w:t>
            </w:r>
          </w:p>
        </w:tc>
        <w:tc>
          <w:tcPr>
            <w:tcW w:w="14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w:t>
            </w:r>
          </w:p>
        </w:tc>
        <w:tc>
          <w:tcPr>
            <w:tcW w:w="6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(159)</w:t>
            </w:r>
          </w:p>
        </w:tc>
        <w:tc>
          <w:tcPr>
            <w:tcW w:w="15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(1.6)%</w:t>
            </w:r>
          </w:p>
        </w:tc>
      </w:tr>
      <w:tr>
        <w:trPr>
          <w:trHeight w:val="264"/>
        </w:trPr>
        <w:tc>
          <w:tcPr>
            <w:tcW w:w="48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Amended tax returns</w:t>
            </w:r>
          </w:p>
        </w:tc>
        <w:tc>
          <w:tcPr>
            <w:tcW w:w="3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w:t>
            </w:r>
          </w:p>
        </w:tc>
        <w:tc>
          <w:tcPr>
            <w:tcW w:w="6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61</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0.6 %</w:t>
            </w:r>
          </w:p>
        </w:tc>
      </w:tr>
      <w:tr>
        <w:trPr>
          <w:trHeight w:val="26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provision (benefit) for taxes</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13,141</w:t>
            </w:r>
          </w:p>
        </w:tc>
        <w:tc>
          <w:tcPr>
            <w:tcW w:w="14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29.1 %</w:t>
            </w:r>
          </w:p>
        </w:tc>
        <w:tc>
          <w:tcPr>
            <w:tcW w:w="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(34,865)</w:t>
            </w:r>
          </w:p>
        </w:tc>
        <w:tc>
          <w:tcPr>
            <w:tcW w:w="15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(345.0)%</w:t>
            </w:r>
          </w:p>
        </w:tc>
      </w:tr>
      <w:tr>
        <w:trPr>
          <w:trHeight w:val="20"/>
        </w:trPr>
        <w:tc>
          <w:tcPr>
            <w:tcW w:w="4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right="80" w:hanging="332"/>
        <w:spacing w:after="0" w:line="264" w:lineRule="auto"/>
        <w:tabs>
          <w:tab w:leader="none" w:pos="34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Tax expense on current operations: </w:t>
      </w:r>
      <w:r>
        <w:rPr>
          <w:rFonts w:ascii="Arial" w:cs="Arial" w:eastAsia="Arial" w:hAnsi="Arial"/>
          <w:sz w:val="16"/>
          <w:szCs w:val="16"/>
          <w:color w:val="auto"/>
        </w:rPr>
        <w:t>The primary reason for the increase in the overall effective tax expense rate on current operations in Fiscal 2013 was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higher pretax income from operations compared to Fiscal 2012. Significant permanent deductions include domestic production activities deduction, income tax credits and tax-free income from COLI and student loan-related tax exempt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ind w:left="340" w:hanging="332"/>
        <w:spacing w:after="0" w:line="258"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Valuation allowance: </w:t>
      </w:r>
      <w:r>
        <w:rPr>
          <w:rFonts w:ascii="Arial" w:cs="Arial" w:eastAsia="Arial" w:hAnsi="Arial"/>
          <w:sz w:val="16"/>
          <w:szCs w:val="16"/>
          <w:color w:val="auto"/>
        </w:rPr>
        <w:t>During Fiscal 2013, adjustments to the realizable value of certain deferred tax assets were recorded. This resulted in a non-cash tax</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$73,000 through the increase of our valuation allowance. At the end of the fourth quarter of Fiscal 2012, we re-established almost all remaining deferred tax assets due to the fact that we were in a three-year historical cumulative income position as opposed to a three-year historical loss position and that we had a positive future outlook. This resulted in a non-cash tax benefit of $37.7 million through the reduction of our valuation allowance.</w:t>
      </w:r>
    </w:p>
    <w:p>
      <w:pPr>
        <w:spacing w:after="0" w:line="154" w:lineRule="exact"/>
        <w:rPr>
          <w:rFonts w:ascii="Arial" w:cs="Arial" w:eastAsia="Arial" w:hAnsi="Arial"/>
          <w:sz w:val="16"/>
          <w:szCs w:val="16"/>
          <w:i w:val="1"/>
          <w:iCs w:val="1"/>
          <w:color w:val="auto"/>
        </w:rPr>
      </w:pPr>
    </w:p>
    <w:p>
      <w:pPr>
        <w:ind w:left="340" w:right="200" w:hanging="332"/>
        <w:spacing w:after="0" w:line="281"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Uncertain tax positions settlements and adjustments: </w:t>
      </w:r>
      <w:r>
        <w:rPr>
          <w:rFonts w:ascii="Arial" w:cs="Arial" w:eastAsia="Arial" w:hAnsi="Arial"/>
          <w:sz w:val="16"/>
          <w:szCs w:val="16"/>
          <w:color w:val="auto"/>
        </w:rPr>
        <w:t>During Fiscal 2013, benefits of $483,000 were recorded as a result of adjustments to uncertain tax</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During Fiscal 2012, benefits of $159,000 were recorded as a result of adjustments to uncertain tax positions.</w:t>
      </w:r>
    </w:p>
    <w:p>
      <w:pPr>
        <w:spacing w:after="0" w:line="152" w:lineRule="exact"/>
        <w:rPr>
          <w:sz w:val="20"/>
          <w:szCs w:val="20"/>
          <w:color w:val="auto"/>
        </w:rPr>
      </w:pPr>
    </w:p>
    <w:p>
      <w:pPr>
        <w:jc w:val="both"/>
        <w:ind w:right="240"/>
        <w:spacing w:after="0" w:line="253" w:lineRule="auto"/>
        <w:rPr>
          <w:sz w:val="20"/>
          <w:szCs w:val="20"/>
          <w:color w:val="auto"/>
        </w:rPr>
      </w:pPr>
      <w:r>
        <w:rPr>
          <w:rFonts w:ascii="Arial" w:cs="Arial" w:eastAsia="Arial" w:hAnsi="Arial"/>
          <w:sz w:val="16"/>
          <w:szCs w:val="16"/>
          <w:color w:val="auto"/>
        </w:rPr>
        <w:t>Net income and diluted income per share were $32.0 million and $1.13 per share, respectively, for Fiscal 2013. In Fiscal 2012, net income was $45.0 million and diluted income was $1.54 per share. Net income and diluted income per share were higher in Fiscal 2012 compared to Fiscal 2013 despite a significant increase in net revenue and pre-tax income due primarily to the tax benefit realized in Fiscal 2012.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87"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auto"/>
        </w:rPr>
        <w:t>Cash and cash equivalents decreased $6.5 million during Fiscal 2014 and totaled $57.8 million as of August 30, 2014. The significant liquidity events that occurred during Fiscal 2014 were:</w:t>
      </w:r>
    </w:p>
    <w:p>
      <w:pPr>
        <w:spacing w:after="0" w:line="14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Generated net income of $45.1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Increases of receivables of $38.2 million and payables of $10.9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Stock repurchases of $26.3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Capital expenditures of $10.5 million</w:t>
      </w:r>
    </w:p>
    <w:p>
      <w:pPr>
        <w:spacing w:after="0" w:line="194"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auto"/>
        </w:rPr>
        <w:t>On October 31, 2012 we entered into the Credit Agreement with GECC. On May 28, 2014 we amended this Credit Agreement ("the Amended Credit Agreement") which now provides up to $50.0 million revolving credit facility based on our eligible inventory and expires on May 29, 2019. See Note 7 to the financial statements.</w:t>
      </w:r>
    </w:p>
    <w:p>
      <w:pPr>
        <w:spacing w:after="0" w:line="17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49"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 property, leasehold interest, cash and cash equivalents, letter-of-credit rights, most real property and fixtures and certain other business assets.</w:t>
      </w:r>
    </w:p>
    <w:p>
      <w:pPr>
        <w:spacing w:after="0" w:line="176"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w:t>
      </w:r>
    </w:p>
    <w:p>
      <w:pPr>
        <w:spacing w:after="0" w:line="1"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report, we are in compliance with all terms of the Credit Agreement, and no borrowings have been made thereunder.</w:t>
      </w:r>
    </w:p>
    <w:p>
      <w:pPr>
        <w:spacing w:after="0" w:line="194"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filed a Registration Statement on Form S-3, which was declared effective by the SEC on May 9, 2013. Subject to market conditions, we have the ability to offer and sell up to $35.0 million of our common stock in one or more offerings pursuant to the Registration Statement. The Registration Statement will be available for use for three years from its effective date. We currently have no plans to offer and sell the common stock registered under the Registration Statement; however, it does provide another potential source of liquidity in addition to the alternatives already in place.</w:t>
      </w:r>
    </w:p>
    <w:p>
      <w:pPr>
        <w:spacing w:after="0" w:line="230" w:lineRule="exact"/>
        <w:rPr>
          <w:sz w:val="20"/>
          <w:szCs w:val="20"/>
          <w:color w:val="auto"/>
        </w:rPr>
      </w:pPr>
    </w:p>
    <w:p>
      <w:pPr>
        <w:ind w:right="80"/>
        <w:spacing w:after="0" w:line="191" w:lineRule="exact"/>
        <w:rPr>
          <w:sz w:val="20"/>
          <w:szCs w:val="20"/>
          <w:color w:val="auto"/>
        </w:rPr>
      </w:pPr>
      <w:r>
        <w:rPr>
          <w:rFonts w:ascii="Arial" w:cs="Arial" w:eastAsia="Arial" w:hAnsi="Arial"/>
          <w:sz w:val="16"/>
          <w:szCs w:val="16"/>
          <w:color w:val="auto"/>
        </w:rPr>
        <w:t>Working capital at August 30, 2014 and August 31, 2013 was $172.0 million and $153.5 million, respectively, an increase of $18.5 million. We currently expect cash on hand, funds generated from operations and the availability under a credit facility to be sufficient to cover both short-term and long-term operating requirements. We anticipate capital expenditures in Fiscal 2015 of $15</w:t>
      </w:r>
      <w:r>
        <w:rPr>
          <w:rFonts w:ascii="MS PGothic" w:cs="MS PGothic" w:eastAsia="MS PGothic" w:hAnsi="MS PGothic"/>
          <w:sz w:val="16"/>
          <w:szCs w:val="16"/>
          <w:color w:val="auto"/>
        </w:rPr>
        <w:t>‑</w:t>
      </w:r>
      <w:r>
        <w:rPr>
          <w:rFonts w:ascii="Arial" w:cs="Arial" w:eastAsia="Arial" w:hAnsi="Arial"/>
          <w:sz w:val="16"/>
          <w:szCs w:val="16"/>
          <w:color w:val="auto"/>
        </w:rPr>
        <w:t>$20 million, primarily for IT upgrades and for manufacturing equipment and facilities.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00"/>
          </w:cols>
          <w:pgMar w:left="240" w:top="141" w:right="25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On October 15, 2014, the Board of DIrectors approved the reinstatement of a quarterly cash dividend of $.09 per share of common stock, payable on November 26, 2014 to shareholders of record at the close of business on November 12, 2014. We expect this cash outflow to be approximately $2.5 million for each quarter that this dividend is paid.</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Cash provided by operating activities was $23.2 million for the fiscal year ended August 30, 2014 compared to $10.2 million for the fiscal year ended</w:t>
      </w:r>
    </w:p>
    <w:p>
      <w:pPr>
        <w:spacing w:after="0" w:line="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August 31, 2013, and $115,000 for the fiscal year ended August 25, 2012. The combination of net income of $45.1 million in Fiscal 2014 and changes in non-cash charges (e.g., depreciation, LIFO, stock-based compensation, deferred income taxes) provided $50.6 million of operating cash compared to $39.0 million in Fiscal 2013 and $15.9 million in Fiscal 2012. In Fiscal 2014, Fiscal 2013, and Fiscal 2012, changes in assets and liabilities (primarily an increase in receivables in Fiscal 2014 and inventory increases in Fiscal 2013 and Fiscal 2012) used $27.4 million, $28.8 million, and $15.8 million, respectively, of operating cash.</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Cash used in investing activities of $5.4 million in Fiscal 2014 was due primarily to capital spending of $10.5 million and was partially offset by proceeds on the sale of property of $2.4 million and ARS investments of $2.4 million. In Fiscal 2013, cash provided by investing activities of $4.1 million was primarily due to proceeds of ARS redemptions of $7.3 million and was partially offset by capital spending of $4.4 million. During Fiscal 2012, cash used in investing activities of $118,000 was primarily due to capital spending of $2.2 million and was offset by proceeds of $1.7 million from COLI policies and ARS redemptions of $1.1 million.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8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Cash used in financing activities was $24.3 million, $12.7 million and $6.6 million for the fiscal years ended August 30, 2014, August 31, 2013, and August 25, 2012, respectively, and was primarily for repurchases of our stock each year.</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principal contractual obligations and commercial commitments as of August 30, 2014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5"/>
          </w:tcPr>
          <w:p>
            <w:pPr>
              <w:jc w:val="right"/>
              <w:ind w:right="659"/>
              <w:spacing w:after="0"/>
              <w:rPr>
                <w:sz w:val="20"/>
                <w:szCs w:val="20"/>
                <w:color w:val="auto"/>
              </w:rPr>
            </w:pPr>
            <w:r>
              <w:rPr>
                <w:rFonts w:ascii="Arial" w:cs="Arial" w:eastAsia="Arial" w:hAnsi="Arial"/>
                <w:sz w:val="16"/>
                <w:szCs w:val="16"/>
                <w:b w:val="1"/>
                <w:bCs w:val="1"/>
                <w:color w:val="auto"/>
              </w:rPr>
              <w:t>Payments Due By Period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98"/>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ind w:right="21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More than</w:t>
            </w:r>
          </w:p>
        </w:tc>
      </w:tr>
      <w:tr>
        <w:trPr>
          <w:trHeight w:val="22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2016-2017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2018-2019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5 Years</w:t>
            </w: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Postretirement health care obligations </w:t>
            </w:r>
            <w:r>
              <w:rPr>
                <w:rFonts w:ascii="Arial" w:cs="Arial" w:eastAsia="Arial" w:hAnsi="Arial"/>
                <w:sz w:val="21"/>
                <w:szCs w:val="21"/>
                <w:color w:val="auto"/>
                <w:vertAlign w:val="superscript"/>
              </w:rPr>
              <w:t>(1)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36,244</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28,440</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 xml:space="preserve">Deferred compensation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21,227</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2,687</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4,764</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4,458</w:t>
            </w:r>
          </w:p>
        </w:tc>
        <w:tc>
          <w:tcPr>
            <w:tcW w:w="20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9,318</w:t>
            </w: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Executive share option obligations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5,629</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2,839</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2,004</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510</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 xml:space="preserve">Supplemental executive retirement plan benefit obligations </w:t>
            </w:r>
            <w:r>
              <w:rPr>
                <w:rFonts w:ascii="Arial" w:cs="Arial" w:eastAsia="Arial" w:hAnsi="Arial"/>
                <w:sz w:val="21"/>
                <w:szCs w:val="21"/>
                <w:color w:val="auto"/>
                <w:vertAlign w:val="superscript"/>
              </w:rPr>
              <w:t>(1)</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2,974</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559</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598</w:t>
            </w:r>
          </w:p>
        </w:tc>
        <w:tc>
          <w:tcPr>
            <w:tcW w:w="20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1,347</w:t>
            </w: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(2)</w:t>
            </w: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1,234</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3"/>
        </w:trPr>
        <w:tc>
          <w:tcPr>
            <w:tcW w:w="5520" w:type="dxa"/>
            <w:vAlign w:val="bottom"/>
          </w:tcPr>
          <w:p>
            <w:pPr>
              <w:ind w:left="40"/>
              <w:spacing w:after="0"/>
              <w:rPr>
                <w:sz w:val="20"/>
                <w:szCs w:val="20"/>
                <w:color w:val="auto"/>
              </w:rPr>
            </w:pPr>
            <w:r>
              <w:rPr>
                <w:rFonts w:ascii="Arial" w:cs="Arial" w:eastAsia="Arial" w:hAnsi="Arial"/>
                <w:sz w:val="16"/>
                <w:szCs w:val="16"/>
                <w:color w:val="auto"/>
              </w:rPr>
              <w:t>Contracted services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80</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5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Unrecognized tax benefits </w:t>
            </w:r>
            <w:r>
              <w:rPr>
                <w:rFonts w:ascii="Arial" w:cs="Arial" w:eastAsia="Arial" w:hAnsi="Arial"/>
                <w:sz w:val="21"/>
                <w:szCs w:val="21"/>
                <w:color w:val="auto"/>
                <w:vertAlign w:val="superscript"/>
              </w:rPr>
              <w:t>(3)</w:t>
            </w: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3,024</w:t>
            </w: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4"/>
        </w:trPr>
        <w:tc>
          <w:tcPr>
            <w:tcW w:w="5520" w:type="dxa"/>
            <w:vAlign w:val="bottom"/>
          </w:tcPr>
          <w:p>
            <w:pPr>
              <w:ind w:left="40"/>
              <w:spacing w:after="0"/>
              <w:rPr>
                <w:sz w:val="20"/>
                <w:szCs w:val="20"/>
                <w:color w:val="auto"/>
              </w:rPr>
            </w:pPr>
            <w:r>
              <w:rPr>
                <w:rFonts w:ascii="Arial" w:cs="Arial" w:eastAsia="Arial" w:hAnsi="Arial"/>
                <w:sz w:val="16"/>
                <w:szCs w:val="16"/>
                <w:color w:val="auto"/>
              </w:rPr>
              <w:t>Total contractual cash obligations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70,473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39,615</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5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5"/>
          </w:tcPr>
          <w:p>
            <w:pPr>
              <w:ind w:left="860"/>
              <w:spacing w:after="0"/>
              <w:rPr>
                <w:sz w:val="20"/>
                <w:szCs w:val="20"/>
                <w:color w:val="auto"/>
              </w:rPr>
            </w:pPr>
            <w:r>
              <w:rPr>
                <w:rFonts w:ascii="Arial" w:cs="Arial" w:eastAsia="Arial" w:hAnsi="Arial"/>
                <w:sz w:val="16"/>
                <w:szCs w:val="16"/>
                <w:b w:val="1"/>
                <w:bCs w:val="1"/>
                <w:color w:val="auto"/>
              </w:rPr>
              <w:t>Expiration By Period</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r>
      <w:tr>
        <w:trPr>
          <w:trHeight w:val="198"/>
        </w:trPr>
        <w:tc>
          <w:tcPr>
            <w:tcW w:w="5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Arial" w:cs="Arial" w:eastAsia="Arial" w:hAnsi="Arial"/>
                <w:sz w:val="16"/>
                <w:szCs w:val="16"/>
                <w:b w:val="1"/>
                <w:bCs w:val="1"/>
                <w:color w:val="auto"/>
              </w:rPr>
              <w:t>Fiscal</w:t>
            </w:r>
          </w:p>
        </w:tc>
        <w:tc>
          <w:tcPr>
            <w:tcW w:w="200" w:type="dxa"/>
            <w:vAlign w:val="bottom"/>
          </w:tcPr>
          <w:p>
            <w:pPr>
              <w:spacing w:after="0"/>
              <w:rPr>
                <w:sz w:val="17"/>
                <w:szCs w:val="17"/>
                <w:color w:val="auto"/>
              </w:rPr>
            </w:pPr>
          </w:p>
        </w:tc>
        <w:tc>
          <w:tcPr>
            <w:tcW w:w="104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More than</w:t>
            </w:r>
          </w:p>
        </w:tc>
      </w:tr>
      <w:tr>
        <w:trPr>
          <w:trHeight w:val="228"/>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Fiscal 2015</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2016-2017</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2018-2019</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5 Years</w:t>
            </w: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Contingent repurchase obligations </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363,831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28,458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335,373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6"/>
                <w:szCs w:val="16"/>
                <w:color w:val="auto"/>
              </w:rPr>
              <w:t>—</w:t>
            </w:r>
          </w:p>
        </w:tc>
      </w:tr>
      <w:tr>
        <w:trPr>
          <w:trHeight w:val="243"/>
        </w:trPr>
        <w:tc>
          <w:tcPr>
            <w:tcW w:w="5520" w:type="dxa"/>
            <w:vAlign w:val="bottom"/>
          </w:tcPr>
          <w:p>
            <w:pPr>
              <w:ind w:left="40"/>
              <w:spacing w:after="0"/>
              <w:rPr>
                <w:sz w:val="20"/>
                <w:szCs w:val="20"/>
                <w:color w:val="auto"/>
              </w:rPr>
            </w:pPr>
            <w:r>
              <w:rPr>
                <w:rFonts w:ascii="Arial" w:cs="Arial" w:eastAsia="Arial" w:hAnsi="Arial"/>
                <w:sz w:val="16"/>
                <w:szCs w:val="16"/>
                <w:color w:val="auto"/>
              </w:rPr>
              <w:t xml:space="preserve">Operating lease repurchase obligations </w:t>
            </w:r>
            <w:r>
              <w:rPr>
                <w:rFonts w:ascii="Arial" w:cs="Arial" w:eastAsia="Arial" w:hAnsi="Arial"/>
                <w:sz w:val="21"/>
                <w:szCs w:val="21"/>
                <w:color w:val="auto"/>
                <w:vertAlign w:val="superscript"/>
              </w:rPr>
              <w:t>(4)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16,050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16,050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ind w:left="7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ind w:left="760"/>
              <w:spacing w:after="0"/>
              <w:rPr>
                <w:sz w:val="20"/>
                <w:szCs w:val="20"/>
                <w:color w:val="auto"/>
              </w:rPr>
            </w:pPr>
            <w:r>
              <w:rPr>
                <w:rFonts w:ascii="Arial" w:cs="Arial" w:eastAsia="Arial" w:hAnsi="Arial"/>
                <w:sz w:val="16"/>
                <w:szCs w:val="16"/>
                <w:color w:val="auto"/>
              </w:rPr>
              <w:t>—</w:t>
            </w:r>
          </w:p>
        </w:tc>
      </w:tr>
    </w:tbl>
    <w:p>
      <w:pPr>
        <w:ind w:left="240" w:hanging="232"/>
        <w:spacing w:after="0" w:line="187" w:lineRule="auto"/>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See Note 9.</w:t>
      </w:r>
    </w:p>
    <w:p>
      <w:pPr>
        <w:ind w:left="240" w:hanging="232"/>
        <w:spacing w:after="0" w:line="193" w:lineRule="auto"/>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See Note 10.</w:t>
      </w:r>
    </w:p>
    <w:p>
      <w:pPr>
        <w:ind w:left="240" w:hanging="232"/>
        <w:spacing w:after="0" w:line="181" w:lineRule="auto"/>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We are not able to reasonably estimate in which future periods these amounts will ultimately be settled.</w:t>
      </w:r>
    </w:p>
    <w:p>
      <w:pPr>
        <w:ind w:left="240" w:hanging="232"/>
        <w:spacing w:after="0" w:line="205" w:lineRule="auto"/>
        <w:tabs>
          <w:tab w:leader="none" w:pos="24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See Note 4.</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18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significant accounting policies are discussed in Note 1.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 of Directors.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These conditions are generally met when title passes, which is when RVs are shipped to dealers in accordance with shipping terms, which are primarily FOB shipping point. Products are not sold on consignment except for the rental program described in the next paragraph, dealers do not have the right to return products and dealers are typically responsible for interest costs to floor plan lenders.</w:t>
      </w:r>
    </w:p>
    <w:p>
      <w:pPr>
        <w:spacing w:after="0" w:line="14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Fiscal 2014 we began to sell RVs to a rental company. These units are subject to our obligation to repurchase at the end of the rental term. These transactions are accounted for as operating leases. At the time of sale, the proceeds are recorded as deferred revenue in other current liabilities. The difference between the proceeds and the repurchase amount is recognized in net revenues over the term which the rental company holds the vehicle, using a straight-line method. The cost of the vehicles is recorded in net investment in operating leases and the difference between the cost of the vehicle and the estimated resale value is depreciated in net revenue over the term of the lease. Net proceeds or losses from the sale of the vehicle at resale, if any, are recognized in net revenue at the time of sale.</w:t>
      </w:r>
    </w:p>
    <w:p>
      <w:pPr>
        <w:spacing w:after="0" w:line="15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Revenues of our OEM components and RV related parts are recorded as the products are shipped from our location. The title of ownership transfers on these products as they leave our location due to the freight terms of FOB shipping point.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Promotions and Incentives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Repurchase Commitments</w:t>
      </w:r>
    </w:p>
    <w:p>
      <w:pPr>
        <w:spacing w:after="0" w:line="2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It is customary practice for manufacturers in the RV industry to enter into repurchase agreements with financing institutions that provide financing to their dealers, upon their request.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in the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These key assumptions are affected by a number of factors, such as macro-market conditions, current retail demand for our product, age of product in dealer inventory, physical condition of the product, location of the dealer, and the financing source. To the extent that dealers are increasing or decreasing their inventories, our overall exposure under repurchase agreements is likewise impacted. The percentage of dealer inventory we estimate we will repurchase (which has ranged in the past five years from 4 to 8% on a weighted average basis) and the associated estimated loss (which has ranged in the past five years from 7 to 12% on a weighted average basis) is based on historical information, current trends and an analysis of dealer inventory aging for all dealers with inventory subject to this obligation. In periods where there is increasing retail demand for our product at our dealerships, the lower end of our estimated range of assumptions will be more appropriate and in periods of decreasing retail demand, the opposite will be true.</w:t>
      </w:r>
    </w:p>
    <w:p>
      <w:pPr>
        <w:spacing w:after="0" w:line="37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While there can be no assurance that dealer and economic conditions will not adversely change, we currently do not believe there is a reasonable likelihood that there will be a material change in the future estimates or assumptions we use to calculate our loss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00"/>
          </w:cols>
          <w:pgMar w:left="240" w:top="141" w:right="2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reserve for repurchase commitments. A hypothetical change of a 10% increase or decrease in our significant repurchase commitment assumptions as of August 30, 2014 would have affected net income by approximately $274,000.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Warranty</w:t>
      </w:r>
    </w:p>
    <w:p>
      <w:pPr>
        <w:spacing w:after="0" w:line="21"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We provide, with the purchase of any new motorhome, a comprehensive 12-month/15,000-mile warranty on Class A, B and C motorhomes and a 3-year/36,000-mile warranty on Class A and C sidewalls and floors. We provide a comprehensive 12-month warranty on all towable products. Estimated costs related to product warranty are accrued at the time of sale and are based upon past warranty claims and unit sales history and are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Further discussion of our warranty costs and associated accruals is included in Note 8.</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While there can be no assurance that warranty expense will not adversely change, we currently do not believe there is a reasonable likelihood that there will be a material change in the future estimates or assumptions we use to calculate our warranty reserve. A hypothetical change of a 10% increase or decrease in our significant warranty commitment assumptions as of August 30, 2014 would have affected net income by approximately $644,000.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Unrecognized Tax Benefits</w:t>
      </w:r>
    </w:p>
    <w:p>
      <w:pPr>
        <w:spacing w:after="0" w:line="2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80" w:lineRule="exact"/>
        <w:rPr>
          <w:sz w:val="20"/>
          <w:szCs w:val="20"/>
          <w:color w:val="auto"/>
        </w:rPr>
      </w:pPr>
    </w:p>
    <w:p>
      <w:pPr>
        <w:jc w:val="both"/>
        <w:ind w:right="180"/>
        <w:spacing w:after="0" w:line="253" w:lineRule="auto"/>
        <w:rPr>
          <w:sz w:val="20"/>
          <w:szCs w:val="20"/>
          <w:color w:val="auto"/>
        </w:rPr>
      </w:pPr>
      <w:r>
        <w:rPr>
          <w:rFonts w:ascii="Arial" w:cs="Arial" w:eastAsia="Arial" w:hAnsi="Arial"/>
          <w:sz w:val="16"/>
          <w:szCs w:val="16"/>
          <w:color w:val="auto"/>
        </w:rPr>
        <w:t>Our liability for unrecognized tax benefits contains uncertainties because we are required to make assumptions and apply judgment to estimate the exposure associated with our various filing positions. Our effective tax rate is also affected by changes in tax laws, the level of our earnings or losses and the results of tax audits.</w:t>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Taxes</w:t>
      </w:r>
    </w:p>
    <w:p>
      <w:pPr>
        <w:spacing w:after="0" w:line="21"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In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We are required to assess whether valuation allowances should be established against their deferred tax assets based on the consideration of all available evidence, using a "more likely than not" standard. In making such assessments, significant weight is to be given to evidence that can be objectively verified. A company's current or previous losses are given more weight than its future outlook. We have evaluated the sustainability of our deferred tax assets on our balance sheet which includes the assessment of cumulative income or losses over recent prior periods. During the year, it was determined that the deferred tax assets associated with the Net Operating Loss Carry Forwards would be able to be utilized prior to expiration. As a result of this analysis, in accordance with ASC 740 guidelines, the Company decided to remove the valuation allowance associated with these deferred tax assets. In addition, the Company had approximately $1.4 million of tax credits that expired during the year. As such, the deferred tax asset associated with these credits was written off. This also eliminated the need for the valuation allowance associated with this deferred tax asset. As a result of these two occurrences, the Company does not have any valuation allowance recorded as of August 30, 2014.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4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Postretirement Benefits, Obligations and Costs</w:t>
      </w:r>
    </w:p>
    <w:p>
      <w:pPr>
        <w:spacing w:after="0" w:line="2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Assumed health care cost trend rates do not have a significant effect on the amounts reported for retiree health care benefits due to the fact that we have established maximum amounts ("dollar caps") on the amount we will pay for postretirement health care benefits per retiree on an annual basis. However, a significant increase or decrease in interest rates could have a significant impact on our operating results. Further discussion of our postretirement benefit plan and related assumptions is included in Note 9</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Inventory Valuation</w:t>
      </w:r>
    </w:p>
    <w:p>
      <w:pPr>
        <w:spacing w:after="0" w:line="2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Our inventory loss reserve represents anticipated physical work-in-process inventory losses (e.g. scrap, production loss or over-usage) that have occurred since the last physical inventory date. Physical inventory counts of work-in-process are taken on an annual basis to ensure the inventory reported in our consolidated financial statements is properly stated. During the interim period between physical inventory counts, we reserve for anticipated physical inventory losses based upon materials consumed. Our inventory loss reserve contains uncertainties because the calculation requires management to make assumptions and to apply judgment regarding a number of factors, including historical results and current inventory loss trends.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w:t>
      </w:r>
    </w:p>
    <w:p>
      <w:pPr>
        <w:spacing w:after="0" w:line="21"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See Note 1 for a summary of new accounting pronouncements which summary is incorporated by reference herein.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7A. </w:t>
      </w:r>
      <w:r>
        <w:rPr>
          <w:rFonts w:ascii="Arial" w:cs="Arial" w:eastAsia="Arial" w:hAnsi="Arial"/>
          <w:sz w:val="16"/>
          <w:szCs w:val="16"/>
          <w:color w:val="auto"/>
        </w:rPr>
        <w:t>Quantitative and Qualitative Disclosures About Market Risk</w:t>
      </w:r>
    </w:p>
    <w:p>
      <w:pPr>
        <w:spacing w:after="0" w:line="214"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assets we maintain to fund deferred compensation have market risk, but we maintain a corresponding liability for these assets. The market risk is therefore borne by the participants in the deferred compensation program.</w:t>
      </w:r>
    </w:p>
    <w:p>
      <w:pPr>
        <w:spacing w:after="0" w:line="16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We could incur financial market risk in the form of interest rate risk. Risk can be quantified by measuring the financial impact of a near-term adverse increase in short-term interest rates. At August 30, 2014, we had a $50.0 million credit facility with GECC. The interest rates applicable to this agreement are based on LIBOR plus 2.0%. We currently have no borrowings under this credit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900" w:type="dxa"/>
            <w:vAlign w:val="bottom"/>
          </w:tcPr>
          <w:p>
            <w:pPr>
              <w:spacing w:after="0"/>
              <w:rPr>
                <w:sz w:val="20"/>
                <w:szCs w:val="20"/>
                <w:color w:val="auto"/>
              </w:rPr>
            </w:pPr>
            <w:r>
              <w:rPr>
                <w:rFonts w:ascii="Arial" w:cs="Arial" w:eastAsia="Arial" w:hAnsi="Arial"/>
                <w:sz w:val="16"/>
                <w:szCs w:val="16"/>
                <w:b w:val="1"/>
                <w:bCs w:val="1"/>
                <w:color w:val="auto"/>
              </w:rPr>
              <w:t xml:space="preserve">Item 8. </w:t>
            </w:r>
            <w:r>
              <w:rPr>
                <w:rFonts w:ascii="Arial" w:cs="Arial" w:eastAsia="Arial" w:hAnsi="Arial"/>
                <w:sz w:val="16"/>
                <w:szCs w:val="16"/>
                <w:color w:val="auto"/>
              </w:rPr>
              <w:t>Financial Statements and Supplementary Data</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17"/>
        </w:trPr>
        <w:tc>
          <w:tcPr>
            <w:tcW w:w="10900" w:type="dxa"/>
            <w:vAlign w:val="bottom"/>
          </w:tcPr>
          <w:p>
            <w:pPr>
              <w:ind w:left="40"/>
              <w:spacing w:after="0"/>
              <w:rPr>
                <w:sz w:val="20"/>
                <w:szCs w:val="20"/>
                <w:color w:val="auto"/>
              </w:rPr>
            </w:pPr>
            <w:r>
              <w:rPr>
                <w:rFonts w:ascii="Arial" w:cs="Arial" w:eastAsia="Arial" w:hAnsi="Arial"/>
                <w:sz w:val="16"/>
                <w:szCs w:val="16"/>
                <w:b w:val="1"/>
                <w:bCs w:val="1"/>
                <w:color w:val="auto"/>
              </w:rPr>
              <w:t>Index to Financial Statements</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96"/>
              </w:rPr>
              <w:t>Page</w:t>
            </w:r>
          </w:p>
        </w:tc>
      </w:tr>
      <w:tr>
        <w:trPr>
          <w:trHeight w:val="20"/>
        </w:trPr>
        <w:tc>
          <w:tcPr>
            <w:tcW w:w="109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41"/>
        </w:trPr>
        <w:tc>
          <w:tcPr>
            <w:tcW w:w="10900" w:type="dxa"/>
            <w:vAlign w:val="bottom"/>
          </w:tcPr>
          <w:p>
            <w:pPr>
              <w:ind w:left="40"/>
              <w:spacing w:after="0"/>
              <w:rPr>
                <w:rFonts w:ascii="Arial" w:cs="Arial" w:eastAsia="Arial" w:hAnsi="Arial"/>
                <w:sz w:val="16"/>
                <w:szCs w:val="16"/>
                <w:color w:val="0000FF"/>
              </w:rPr>
            </w:pPr>
            <w:hyperlink w:anchor="page27">
              <w:r>
                <w:rPr>
                  <w:rFonts w:ascii="Arial" w:cs="Arial" w:eastAsia="Arial" w:hAnsi="Arial"/>
                  <w:sz w:val="16"/>
                  <w:szCs w:val="16"/>
                  <w:color w:val="0000FF"/>
                </w:rPr>
                <w:t>Management's Report on Internal Control Over Financial Reporting</w:t>
              </w:r>
            </w:hyperlink>
          </w:p>
        </w:tc>
        <w:tc>
          <w:tcPr>
            <w:tcW w:w="500" w:type="dxa"/>
            <w:vAlign w:val="bottom"/>
            <w:gridSpan w:val="2"/>
          </w:tcPr>
          <w:p>
            <w:pPr>
              <w:jc w:val="right"/>
              <w:spacing w:after="0"/>
              <w:rPr>
                <w:rFonts w:ascii="Arial" w:cs="Arial" w:eastAsia="Arial" w:hAnsi="Arial"/>
                <w:sz w:val="16"/>
                <w:szCs w:val="16"/>
                <w:color w:val="0000FF"/>
              </w:rPr>
            </w:pPr>
            <w:hyperlink w:anchor="page27">
              <w:r>
                <w:rPr>
                  <w:rFonts w:ascii="Arial" w:cs="Arial" w:eastAsia="Arial" w:hAnsi="Arial"/>
                  <w:sz w:val="16"/>
                  <w:szCs w:val="16"/>
                  <w:color w:val="0000FF"/>
                </w:rPr>
                <w:t>25</w:t>
              </w:r>
            </w:hyperlink>
          </w:p>
        </w:tc>
      </w:tr>
      <w:tr>
        <w:trPr>
          <w:trHeight w:val="243"/>
        </w:trPr>
        <w:tc>
          <w:tcPr>
            <w:tcW w:w="10900" w:type="dxa"/>
            <w:vAlign w:val="bottom"/>
          </w:tcPr>
          <w:p>
            <w:pPr>
              <w:ind w:left="40"/>
              <w:spacing w:after="0"/>
              <w:rPr>
                <w:rFonts w:ascii="Arial" w:cs="Arial" w:eastAsia="Arial" w:hAnsi="Arial"/>
                <w:sz w:val="16"/>
                <w:szCs w:val="16"/>
                <w:color w:val="0000FF"/>
              </w:rPr>
            </w:pPr>
            <w:hyperlink w:anchor="page28">
              <w:r>
                <w:rPr>
                  <w:rFonts w:ascii="Arial" w:cs="Arial" w:eastAsia="Arial" w:hAnsi="Arial"/>
                  <w:sz w:val="16"/>
                  <w:szCs w:val="16"/>
                  <w:color w:val="0000FF"/>
                </w:rPr>
                <w:t>Reports of Independent Registered Public Accounting Firm</w:t>
              </w:r>
            </w:hyperlink>
          </w:p>
        </w:tc>
        <w:tc>
          <w:tcPr>
            <w:tcW w:w="500" w:type="dxa"/>
            <w:vAlign w:val="bottom"/>
            <w:gridSpan w:val="2"/>
          </w:tcPr>
          <w:p>
            <w:pPr>
              <w:jc w:val="right"/>
              <w:spacing w:after="0"/>
              <w:rPr>
                <w:rFonts w:ascii="Arial" w:cs="Arial" w:eastAsia="Arial" w:hAnsi="Arial"/>
                <w:sz w:val="16"/>
                <w:szCs w:val="16"/>
                <w:color w:val="0000FF"/>
              </w:rPr>
            </w:pPr>
            <w:hyperlink w:anchor="page28">
              <w:r>
                <w:rPr>
                  <w:rFonts w:ascii="Arial" w:cs="Arial" w:eastAsia="Arial" w:hAnsi="Arial"/>
                  <w:sz w:val="16"/>
                  <w:szCs w:val="16"/>
                  <w:color w:val="0000FF"/>
                </w:rPr>
                <w:t>26</w:t>
              </w:r>
            </w:hyperlink>
          </w:p>
        </w:tc>
      </w:tr>
      <w:tr>
        <w:trPr>
          <w:trHeight w:val="243"/>
        </w:trPr>
        <w:tc>
          <w:tcPr>
            <w:tcW w:w="10900" w:type="dxa"/>
            <w:vAlign w:val="bottom"/>
          </w:tcPr>
          <w:p>
            <w:pPr>
              <w:ind w:left="40"/>
              <w:spacing w:after="0"/>
              <w:rPr>
                <w:sz w:val="20"/>
                <w:szCs w:val="20"/>
                <w:color w:val="auto"/>
              </w:rPr>
            </w:pPr>
            <w:r>
              <w:rPr>
                <w:rFonts w:ascii="Arial" w:cs="Arial" w:eastAsia="Arial" w:hAnsi="Arial"/>
                <w:sz w:val="16"/>
                <w:szCs w:val="16"/>
                <w:color w:val="0000FF"/>
              </w:rPr>
              <w:t>Consolidated Statements of Income and Comprehensive Income for the Years Ended August 30, 2014, August 31, 2013, and August 25, 2012</w:t>
            </w:r>
          </w:p>
        </w:tc>
        <w:tc>
          <w:tcPr>
            <w:tcW w:w="500" w:type="dxa"/>
            <w:vAlign w:val="bottom"/>
            <w:gridSpan w:val="2"/>
          </w:tcPr>
          <w:p>
            <w:pPr>
              <w:jc w:val="right"/>
              <w:spacing w:after="0"/>
              <w:rPr>
                <w:rFonts w:ascii="Arial" w:cs="Arial" w:eastAsia="Arial" w:hAnsi="Arial"/>
                <w:sz w:val="16"/>
                <w:szCs w:val="16"/>
                <w:color w:val="0000FF"/>
              </w:rPr>
            </w:pPr>
            <w:hyperlink w:anchor="page30">
              <w:r>
                <w:rPr>
                  <w:rFonts w:ascii="Arial" w:cs="Arial" w:eastAsia="Arial" w:hAnsi="Arial"/>
                  <w:sz w:val="16"/>
                  <w:szCs w:val="16"/>
                  <w:color w:val="0000FF"/>
                </w:rPr>
                <w:t>28</w:t>
              </w:r>
            </w:hyperlink>
          </w:p>
        </w:tc>
      </w:tr>
      <w:tr>
        <w:trPr>
          <w:trHeight w:val="243"/>
        </w:trPr>
        <w:tc>
          <w:tcPr>
            <w:tcW w:w="10900" w:type="dxa"/>
            <w:vAlign w:val="bottom"/>
          </w:tcPr>
          <w:p>
            <w:pPr>
              <w:ind w:left="40"/>
              <w:spacing w:after="0"/>
              <w:rPr>
                <w:rFonts w:ascii="Arial" w:cs="Arial" w:eastAsia="Arial" w:hAnsi="Arial"/>
                <w:sz w:val="16"/>
                <w:szCs w:val="16"/>
                <w:color w:val="0000FF"/>
              </w:rPr>
            </w:pPr>
            <w:hyperlink w:anchor="page31">
              <w:r>
                <w:rPr>
                  <w:rFonts w:ascii="Arial" w:cs="Arial" w:eastAsia="Arial" w:hAnsi="Arial"/>
                  <w:sz w:val="16"/>
                  <w:szCs w:val="16"/>
                  <w:color w:val="0000FF"/>
                </w:rPr>
                <w:t xml:space="preserve">Consolidated Balance Sheets as of </w:t>
              </w:r>
            </w:hyperlink>
            <w:r>
              <w:rPr>
                <w:rFonts w:ascii="Arial" w:cs="Arial" w:eastAsia="Arial" w:hAnsi="Arial"/>
                <w:sz w:val="16"/>
                <w:szCs w:val="16"/>
                <w:color w:val="0000FF"/>
              </w:rPr>
              <w:t>August 30, 2014 and August 31, 2013</w:t>
            </w:r>
          </w:p>
        </w:tc>
        <w:tc>
          <w:tcPr>
            <w:tcW w:w="500" w:type="dxa"/>
            <w:vAlign w:val="bottom"/>
            <w:gridSpan w:val="2"/>
          </w:tcPr>
          <w:p>
            <w:pPr>
              <w:jc w:val="right"/>
              <w:spacing w:after="0"/>
              <w:rPr>
                <w:rFonts w:ascii="Arial" w:cs="Arial" w:eastAsia="Arial" w:hAnsi="Arial"/>
                <w:sz w:val="16"/>
                <w:szCs w:val="16"/>
                <w:color w:val="0000FF"/>
              </w:rPr>
            </w:pPr>
            <w:hyperlink w:anchor="page31">
              <w:r>
                <w:rPr>
                  <w:rFonts w:ascii="Arial" w:cs="Arial" w:eastAsia="Arial" w:hAnsi="Arial"/>
                  <w:sz w:val="16"/>
                  <w:szCs w:val="16"/>
                  <w:color w:val="0000FF"/>
                </w:rPr>
                <w:t>29</w:t>
              </w:r>
            </w:hyperlink>
          </w:p>
        </w:tc>
      </w:tr>
      <w:tr>
        <w:trPr>
          <w:trHeight w:val="243"/>
        </w:trPr>
        <w:tc>
          <w:tcPr>
            <w:tcW w:w="10900" w:type="dxa"/>
            <w:vAlign w:val="bottom"/>
          </w:tcPr>
          <w:p>
            <w:pPr>
              <w:ind w:left="40"/>
              <w:spacing w:after="0"/>
              <w:rPr>
                <w:rFonts w:ascii="Arial" w:cs="Arial" w:eastAsia="Arial" w:hAnsi="Arial"/>
                <w:sz w:val="16"/>
                <w:szCs w:val="16"/>
                <w:color w:val="0000FF"/>
              </w:rPr>
            </w:pPr>
            <w:hyperlink w:anchor="page32">
              <w:r>
                <w:rPr>
                  <w:rFonts w:ascii="Arial" w:cs="Arial" w:eastAsia="Arial" w:hAnsi="Arial"/>
                  <w:sz w:val="16"/>
                  <w:szCs w:val="16"/>
                  <w:color w:val="0000FF"/>
                </w:rPr>
                <w:t xml:space="preserve">Consolidated Statements of Changes in Stockholders' Equity for the Years Ended </w:t>
              </w:r>
            </w:hyperlink>
            <w:r>
              <w:rPr>
                <w:rFonts w:ascii="Arial" w:cs="Arial" w:eastAsia="Arial" w:hAnsi="Arial"/>
                <w:sz w:val="16"/>
                <w:szCs w:val="16"/>
                <w:color w:val="0000FF"/>
              </w:rPr>
              <w:t>August 30, 2014, August 31, 2013, and August 25, 2012</w:t>
            </w:r>
          </w:p>
        </w:tc>
        <w:tc>
          <w:tcPr>
            <w:tcW w:w="500" w:type="dxa"/>
            <w:vAlign w:val="bottom"/>
            <w:gridSpan w:val="2"/>
          </w:tcPr>
          <w:p>
            <w:pPr>
              <w:jc w:val="right"/>
              <w:spacing w:after="0"/>
              <w:rPr>
                <w:rFonts w:ascii="Arial" w:cs="Arial" w:eastAsia="Arial" w:hAnsi="Arial"/>
                <w:sz w:val="16"/>
                <w:szCs w:val="16"/>
                <w:color w:val="0000FF"/>
              </w:rPr>
            </w:pPr>
            <w:hyperlink w:anchor="page32">
              <w:r>
                <w:rPr>
                  <w:rFonts w:ascii="Arial" w:cs="Arial" w:eastAsia="Arial" w:hAnsi="Arial"/>
                  <w:sz w:val="16"/>
                  <w:szCs w:val="16"/>
                  <w:color w:val="0000FF"/>
                </w:rPr>
                <w:t>30</w:t>
              </w:r>
            </w:hyperlink>
          </w:p>
        </w:tc>
      </w:tr>
      <w:tr>
        <w:trPr>
          <w:trHeight w:val="243"/>
        </w:trPr>
        <w:tc>
          <w:tcPr>
            <w:tcW w:w="10900" w:type="dxa"/>
            <w:vAlign w:val="bottom"/>
          </w:tcPr>
          <w:p>
            <w:pPr>
              <w:ind w:left="40"/>
              <w:spacing w:after="0"/>
              <w:rPr>
                <w:rFonts w:ascii="Arial" w:cs="Arial" w:eastAsia="Arial" w:hAnsi="Arial"/>
                <w:sz w:val="16"/>
                <w:szCs w:val="16"/>
                <w:color w:val="0000FF"/>
              </w:rPr>
            </w:pPr>
            <w:hyperlink w:anchor="page33">
              <w:r>
                <w:rPr>
                  <w:rFonts w:ascii="Arial" w:cs="Arial" w:eastAsia="Arial" w:hAnsi="Arial"/>
                  <w:sz w:val="16"/>
                  <w:szCs w:val="16"/>
                  <w:color w:val="0000FF"/>
                </w:rPr>
                <w:t xml:space="preserve">Consolidated Statements of Cash Flows for the Years Ended </w:t>
              </w:r>
            </w:hyperlink>
            <w:r>
              <w:rPr>
                <w:rFonts w:ascii="Arial" w:cs="Arial" w:eastAsia="Arial" w:hAnsi="Arial"/>
                <w:sz w:val="16"/>
                <w:szCs w:val="16"/>
                <w:color w:val="0000FF"/>
              </w:rPr>
              <w:t>August 30, 2014, August 31, 2013, and August 25, 2012</w:t>
            </w:r>
          </w:p>
        </w:tc>
        <w:tc>
          <w:tcPr>
            <w:tcW w:w="500" w:type="dxa"/>
            <w:vAlign w:val="bottom"/>
            <w:gridSpan w:val="2"/>
          </w:tcPr>
          <w:p>
            <w:pPr>
              <w:jc w:val="right"/>
              <w:spacing w:after="0"/>
              <w:rPr>
                <w:rFonts w:ascii="Arial" w:cs="Arial" w:eastAsia="Arial" w:hAnsi="Arial"/>
                <w:sz w:val="16"/>
                <w:szCs w:val="16"/>
                <w:color w:val="0000FF"/>
              </w:rPr>
            </w:pPr>
            <w:hyperlink w:anchor="page33">
              <w:r>
                <w:rPr>
                  <w:rFonts w:ascii="Arial" w:cs="Arial" w:eastAsia="Arial" w:hAnsi="Arial"/>
                  <w:sz w:val="16"/>
                  <w:szCs w:val="16"/>
                  <w:color w:val="0000FF"/>
                </w:rPr>
                <w:t>31</w:t>
              </w:r>
            </w:hyperlink>
          </w:p>
        </w:tc>
      </w:tr>
      <w:tr>
        <w:trPr>
          <w:trHeight w:val="243"/>
        </w:trPr>
        <w:tc>
          <w:tcPr>
            <w:tcW w:w="10900" w:type="dxa"/>
            <w:vAlign w:val="bottom"/>
          </w:tcPr>
          <w:p>
            <w:pPr>
              <w:ind w:left="40"/>
              <w:spacing w:after="0"/>
              <w:rPr>
                <w:rFonts w:ascii="Arial" w:cs="Arial" w:eastAsia="Arial" w:hAnsi="Arial"/>
                <w:sz w:val="16"/>
                <w:szCs w:val="16"/>
                <w:color w:val="0000FF"/>
              </w:rPr>
            </w:pPr>
            <w:hyperlink w:anchor="page34">
              <w:r>
                <w:rPr>
                  <w:rFonts w:ascii="Arial" w:cs="Arial" w:eastAsia="Arial" w:hAnsi="Arial"/>
                  <w:sz w:val="16"/>
                  <w:szCs w:val="16"/>
                  <w:color w:val="0000FF"/>
                </w:rPr>
                <w:t>Notes to Consolidated Financial Statements</w:t>
              </w:r>
            </w:hyperlink>
          </w:p>
        </w:tc>
        <w:tc>
          <w:tcPr>
            <w:tcW w:w="500" w:type="dxa"/>
            <w:vAlign w:val="bottom"/>
            <w:gridSpan w:val="2"/>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32</w:t>
              </w:r>
            </w:hyperlink>
          </w:p>
        </w:tc>
      </w:tr>
      <w:tr>
        <w:trPr>
          <w:trHeight w:val="621"/>
        </w:trPr>
        <w:tc>
          <w:tcPr>
            <w:tcW w:w="10900" w:type="dxa"/>
            <w:vAlign w:val="bottom"/>
          </w:tcPr>
          <w:p>
            <w:pPr>
              <w:ind w:left="5620"/>
              <w:spacing w:after="0"/>
              <w:rPr>
                <w:sz w:val="20"/>
                <w:szCs w:val="20"/>
                <w:color w:val="auto"/>
              </w:rPr>
            </w:pPr>
            <w:r>
              <w:rPr>
                <w:rFonts w:ascii="Arial" w:cs="Arial" w:eastAsia="Arial" w:hAnsi="Arial"/>
                <w:sz w:val="16"/>
                <w:szCs w:val="16"/>
                <w:color w:val="auto"/>
              </w:rPr>
              <w:t>24</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the management of Winnebago Industries, Inc. (the "Company") are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internal control over financial reporting is supported by written policies and procedures that:</w:t>
      </w:r>
    </w:p>
    <w:p>
      <w:pPr>
        <w:spacing w:after="0" w:line="167"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Company's assets;</w:t>
      </w:r>
    </w:p>
    <w:p>
      <w:pPr>
        <w:spacing w:after="0" w:line="167" w:lineRule="exact"/>
        <w:rPr>
          <w:rFonts w:ascii="Arial" w:cs="Arial" w:eastAsia="Arial" w:hAnsi="Arial"/>
          <w:sz w:val="16"/>
          <w:szCs w:val="16"/>
          <w:color w:val="auto"/>
        </w:rPr>
      </w:pPr>
    </w:p>
    <w:p>
      <w:pPr>
        <w:ind w:left="340" w:right="440" w:hanging="332"/>
        <w:spacing w:after="0" w:line="253"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w:t>
      </w:r>
    </w:p>
    <w:p>
      <w:pPr>
        <w:spacing w:after="0" w:line="147" w:lineRule="exact"/>
        <w:rPr>
          <w:rFonts w:ascii="Arial" w:cs="Arial" w:eastAsia="Arial" w:hAnsi="Arial"/>
          <w:sz w:val="16"/>
          <w:szCs w:val="16"/>
          <w:color w:val="auto"/>
        </w:rPr>
      </w:pPr>
    </w:p>
    <w:p>
      <w:pPr>
        <w:ind w:left="340" w:right="140" w:hanging="332"/>
        <w:spacing w:after="0" w:line="260"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42"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4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7"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 xml:space="preserve">In connection with the preparation of the Company's annual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30, 2014.</w:t>
      </w:r>
    </w:p>
    <w:p>
      <w:pPr>
        <w:spacing w:after="0" w:line="16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financial statements included in this Annual Report on Form 10-K, has issued a report included herein, which expressed an unqualified opinion on the Company's internal control over financial reporting.</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8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Randy J. Potts</w:t>
            </w:r>
          </w:p>
        </w:tc>
        <w:tc>
          <w:tcPr>
            <w:tcW w:w="1500" w:type="dxa"/>
            <w:vAlign w:val="bottom"/>
          </w:tcPr>
          <w:p>
            <w:pPr>
              <w:spacing w:after="0"/>
              <w:rPr>
                <w:sz w:val="19"/>
                <w:szCs w:val="19"/>
                <w:color w:val="auto"/>
              </w:rPr>
            </w:pPr>
          </w:p>
        </w:tc>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Sarah N. Nielsen</w:t>
            </w:r>
          </w:p>
        </w:tc>
      </w:tr>
      <w:tr>
        <w:trPr>
          <w:trHeight w:val="237"/>
        </w:trPr>
        <w:tc>
          <w:tcPr>
            <w:tcW w:w="4880" w:type="dxa"/>
            <w:vAlign w:val="bottom"/>
          </w:tcPr>
          <w:p>
            <w:pPr>
              <w:spacing w:after="0"/>
              <w:rPr>
                <w:sz w:val="20"/>
                <w:szCs w:val="20"/>
                <w:color w:val="auto"/>
              </w:rPr>
            </w:pPr>
            <w:r>
              <w:rPr>
                <w:rFonts w:ascii="Arial" w:cs="Arial" w:eastAsia="Arial" w:hAnsi="Arial"/>
                <w:sz w:val="16"/>
                <w:szCs w:val="16"/>
                <w:color w:val="auto"/>
              </w:rPr>
              <w:t>Randy J. Potts</w:t>
            </w:r>
          </w:p>
        </w:tc>
        <w:tc>
          <w:tcPr>
            <w:tcW w:w="15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Sarah N. Nielsen</w:t>
            </w:r>
          </w:p>
        </w:tc>
      </w:tr>
      <w:tr>
        <w:trPr>
          <w:trHeight w:val="243"/>
        </w:trPr>
        <w:tc>
          <w:tcPr>
            <w:tcW w:w="4880" w:type="dxa"/>
            <w:vAlign w:val="bottom"/>
          </w:tcPr>
          <w:p>
            <w:pPr>
              <w:ind w:left="40"/>
              <w:spacing w:after="0"/>
              <w:rPr>
                <w:sz w:val="20"/>
                <w:szCs w:val="20"/>
                <w:color w:val="auto"/>
              </w:rPr>
            </w:pPr>
            <w:r>
              <w:rPr>
                <w:rFonts w:ascii="Arial" w:cs="Arial" w:eastAsia="Arial" w:hAnsi="Arial"/>
                <w:sz w:val="16"/>
                <w:szCs w:val="16"/>
                <w:color w:val="auto"/>
              </w:rPr>
              <w:t>Chief Executive Officer, President</w:t>
            </w:r>
          </w:p>
        </w:tc>
        <w:tc>
          <w:tcPr>
            <w:tcW w:w="150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r>
        <w:trPr>
          <w:trHeight w:val="270"/>
        </w:trPr>
        <w:tc>
          <w:tcPr>
            <w:tcW w:w="4880" w:type="dxa"/>
            <w:vAlign w:val="bottom"/>
          </w:tcPr>
          <w:p>
            <w:pPr>
              <w:ind w:left="40"/>
              <w:spacing w:after="0"/>
              <w:rPr>
                <w:sz w:val="20"/>
                <w:szCs w:val="20"/>
                <w:color w:val="auto"/>
              </w:rPr>
            </w:pPr>
            <w:r>
              <w:rPr>
                <w:rFonts w:ascii="Arial" w:cs="Arial" w:eastAsia="Arial" w:hAnsi="Arial"/>
                <w:sz w:val="16"/>
                <w:szCs w:val="16"/>
                <w:color w:val="auto"/>
              </w:rPr>
              <w:t>and Chairman of the Board</w:t>
            </w:r>
          </w:p>
        </w:tc>
        <w:tc>
          <w:tcPr>
            <w:tcW w:w="1500" w:type="dxa"/>
            <w:vAlign w:val="bottom"/>
          </w:tcPr>
          <w:p>
            <w:pPr>
              <w:spacing w:after="0"/>
              <w:rPr>
                <w:sz w:val="23"/>
                <w:szCs w:val="23"/>
                <w:color w:val="auto"/>
              </w:rPr>
            </w:pPr>
          </w:p>
        </w:tc>
        <w:tc>
          <w:tcPr>
            <w:tcW w:w="5040" w:type="dxa"/>
            <w:vAlign w:val="bottom"/>
          </w:tcPr>
          <w:p>
            <w:pPr>
              <w:spacing w:after="0"/>
              <w:rPr>
                <w:sz w:val="23"/>
                <w:szCs w:val="23"/>
                <w:color w:val="auto"/>
              </w:rPr>
            </w:pPr>
          </w:p>
        </w:tc>
      </w:tr>
      <w:tr>
        <w:trPr>
          <w:trHeight w:val="567"/>
        </w:trPr>
        <w:tc>
          <w:tcPr>
            <w:tcW w:w="4880" w:type="dxa"/>
            <w:vAlign w:val="bottom"/>
          </w:tcPr>
          <w:p>
            <w:pPr>
              <w:ind w:left="40"/>
              <w:spacing w:after="0"/>
              <w:rPr>
                <w:sz w:val="20"/>
                <w:szCs w:val="20"/>
                <w:color w:val="auto"/>
              </w:rPr>
            </w:pPr>
            <w:r>
              <w:rPr>
                <w:rFonts w:ascii="Arial" w:cs="Arial" w:eastAsia="Arial" w:hAnsi="Arial"/>
                <w:sz w:val="16"/>
                <w:szCs w:val="16"/>
                <w:color w:val="auto"/>
              </w:rPr>
              <w:t>October 28, 2014</w:t>
            </w:r>
          </w:p>
        </w:tc>
        <w:tc>
          <w:tcPr>
            <w:tcW w:w="1500" w:type="dxa"/>
            <w:vAlign w:val="bottom"/>
          </w:tcPr>
          <w:p>
            <w:pPr>
              <w:spacing w:after="0"/>
              <w:rPr>
                <w:sz w:val="24"/>
                <w:szCs w:val="24"/>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October 28, 2014</w:t>
            </w:r>
          </w:p>
        </w:tc>
      </w:tr>
      <w:tr>
        <w:trPr>
          <w:trHeight w:val="648"/>
        </w:trPr>
        <w:tc>
          <w:tcPr>
            <w:tcW w:w="4880" w:type="dxa"/>
            <w:vAlign w:val="bottom"/>
          </w:tcPr>
          <w:p>
            <w:pPr>
              <w:spacing w:after="0"/>
              <w:rPr>
                <w:sz w:val="24"/>
                <w:szCs w:val="24"/>
                <w:color w:val="auto"/>
              </w:rPr>
            </w:pPr>
          </w:p>
        </w:tc>
        <w:tc>
          <w:tcPr>
            <w:tcW w:w="1500" w:type="dxa"/>
            <w:vAlign w:val="bottom"/>
          </w:tcPr>
          <w:p>
            <w:pPr>
              <w:jc w:val="right"/>
              <w:ind w:right="499"/>
              <w:spacing w:after="0"/>
              <w:rPr>
                <w:sz w:val="20"/>
                <w:szCs w:val="20"/>
                <w:color w:val="auto"/>
              </w:rPr>
            </w:pPr>
            <w:r>
              <w:rPr>
                <w:rFonts w:ascii="Arial" w:cs="Arial" w:eastAsia="Arial" w:hAnsi="Arial"/>
                <w:sz w:val="16"/>
                <w:szCs w:val="16"/>
                <w:color w:val="auto"/>
              </w:rPr>
              <w:t>25</w:t>
            </w:r>
          </w:p>
        </w:tc>
        <w:tc>
          <w:tcPr>
            <w:tcW w:w="504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 xml:space="preserve">We have audited the internal control over financial reporting of Winnebago Industries, Inc. and subsidiaries (the "Company") as of August 30, 2014, based on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6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62"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30, 2014, based on the criteria established in </w:t>
      </w:r>
      <w:r>
        <w:rPr>
          <w:rFonts w:ascii="Arial" w:cs="Arial" w:eastAsia="Arial" w:hAnsi="Arial"/>
          <w:sz w:val="16"/>
          <w:szCs w:val="16"/>
          <w:i w:val="1"/>
          <w:iCs w:val="1"/>
          <w:color w:val="auto"/>
        </w:rPr>
        <w:t>Internal Control - Integrated Framework (1992)</w:t>
      </w:r>
      <w:r>
        <w:rPr>
          <w:rFonts w:ascii="Arial" w:cs="Arial" w:eastAsia="Arial" w:hAnsi="Arial"/>
          <w:sz w:val="16"/>
          <w:szCs w:val="16"/>
          <w:color w:val="auto"/>
        </w:rPr>
        <w:t xml:space="preserve"> issued by the Committee of Sponsoring Organizations of the Treadway Commission.</w:t>
      </w:r>
    </w:p>
    <w:p>
      <w:pPr>
        <w:spacing w:after="0" w:line="15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August 30, 2014 of the Company and our report dated October 28, 2014 expressed an unqualified opinion on those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audited the accompanying consolidated balance sheets of Winnebago Industries, Inc. and subsidiaries (the "Company") as of August 30, 2014 and August 31, 2013, and the related consolidated statements of income and comprehensive income, changes in stockholders' equity, and cash flows for each of the three years in the period ended August 30, 2014. These financial statements are the responsibility of the Company's management. Our responsibility is to express an opinion on the financial statements based on our audits.</w:t>
      </w:r>
    </w:p>
    <w:p>
      <w:pPr>
        <w:spacing w:after="0" w:line="16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3"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Winnebago Industries, Inc. and subsidiaries at August 30, 2014 and August 31, 2013, and the results of their operations and their cash flows for each of the three years in the period ended August 30, 2014, in conformity with accounting principles generally accepted in the United States of America.</w:t>
      </w:r>
    </w:p>
    <w:p>
      <w:pPr>
        <w:spacing w:after="0" w:line="161" w:lineRule="exact"/>
        <w:rPr>
          <w:sz w:val="20"/>
          <w:szCs w:val="20"/>
          <w:color w:val="auto"/>
        </w:rPr>
      </w:pPr>
    </w:p>
    <w:p>
      <w:pPr>
        <w:jc w:val="both"/>
        <w:ind w:right="100"/>
        <w:spacing w:after="0" w:line="251"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August 30, 2014, based on the criteria established in </w:t>
      </w:r>
      <w:r>
        <w:rPr>
          <w:rFonts w:ascii="Arial" w:cs="Arial" w:eastAsia="Arial" w:hAnsi="Arial"/>
          <w:sz w:val="16"/>
          <w:szCs w:val="16"/>
          <w:i w:val="1"/>
          <w:iCs w:val="1"/>
          <w:color w:val="auto"/>
        </w:rPr>
        <w:t>Internal Control-Integrated Framework (1992)</w:t>
      </w:r>
      <w:r>
        <w:rPr>
          <w:rFonts w:ascii="Arial" w:cs="Arial" w:eastAsia="Arial" w:hAnsi="Arial"/>
          <w:sz w:val="16"/>
          <w:szCs w:val="16"/>
          <w:color w:val="auto"/>
        </w:rPr>
        <w:t xml:space="preserve"> issued by the Committee of Sponsoring Organizations of the Treadway Commission and our report dated October 28, 2014 expressed an unqualified opinion on the Company's internal control over financial reporting.</w:t>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October 28, 2014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280"/>
          </w:cols>
          <w:pgMar w:left="240" w:top="141" w:right="37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 and Comprehensive Income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22"/>
                <w:szCs w:val="22"/>
                <w:color w:val="auto"/>
              </w:rPr>
            </w:pPr>
          </w:p>
        </w:tc>
        <w:tc>
          <w:tcPr>
            <w:tcW w:w="190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22"/>
                <w:szCs w:val="22"/>
                <w:color w:val="auto"/>
              </w:rPr>
            </w:pPr>
          </w:p>
        </w:tc>
        <w:tc>
          <w:tcPr>
            <w:tcW w:w="18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August 31, 2013</w:t>
            </w:r>
          </w:p>
        </w:tc>
        <w:tc>
          <w:tcPr>
            <w:tcW w:w="260" w:type="dxa"/>
            <w:vAlign w:val="bottom"/>
          </w:tcPr>
          <w:p>
            <w:pPr>
              <w:spacing w:after="0"/>
              <w:rPr>
                <w:sz w:val="22"/>
                <w:szCs w:val="22"/>
                <w:color w:val="auto"/>
              </w:rPr>
            </w:pPr>
          </w:p>
        </w:tc>
        <w:tc>
          <w:tcPr>
            <w:tcW w:w="178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50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945,163</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803,165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581,679</w:t>
            </w: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841,166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718,534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537,999</w:t>
            </w:r>
          </w:p>
        </w:tc>
      </w:tr>
      <w:tr>
        <w:trPr>
          <w:trHeight w:val="25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103,997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84,631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43,680</w:t>
            </w:r>
          </w:p>
        </w:tc>
      </w:tr>
      <w:tr>
        <w:trPr>
          <w:trHeight w:val="284"/>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0"/>
        </w:trPr>
        <w:tc>
          <w:tcPr>
            <w:tcW w:w="5080" w:type="dxa"/>
            <w:vAlign w:val="bottom"/>
          </w:tcPr>
          <w:p>
            <w:pPr>
              <w:ind w:left="300"/>
              <w:spacing w:after="0"/>
              <w:rPr>
                <w:sz w:val="20"/>
                <w:szCs w:val="20"/>
                <w:color w:val="auto"/>
              </w:rPr>
            </w:pPr>
            <w:r>
              <w:rPr>
                <w:rFonts w:ascii="Arial" w:cs="Arial" w:eastAsia="Arial" w:hAnsi="Arial"/>
                <w:sz w:val="16"/>
                <w:szCs w:val="16"/>
                <w:color w:val="auto"/>
              </w:rPr>
              <w:t>Selling</w:t>
            </w: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18,293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18,318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16,837</w:t>
            </w:r>
          </w:p>
        </w:tc>
      </w:tr>
      <w:tr>
        <w:trPr>
          <w:trHeight w:val="280"/>
        </w:trPr>
        <w:tc>
          <w:tcPr>
            <w:tcW w:w="5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22,424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21,887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17,267</w:t>
            </w:r>
          </w:p>
        </w:tc>
      </w:tr>
      <w:tr>
        <w:trPr>
          <w:trHeight w:val="264"/>
        </w:trPr>
        <w:tc>
          <w:tcPr>
            <w:tcW w:w="5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(Gain) loss on sale of real estate</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(629)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50</w:t>
            </w:r>
          </w:p>
        </w:tc>
      </w:tr>
      <w:tr>
        <w:trPr>
          <w:trHeight w:val="250"/>
        </w:trPr>
        <w:tc>
          <w:tcPr>
            <w:tcW w:w="5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40,088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40,233</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34,154</w:t>
            </w:r>
          </w:p>
        </w:tc>
      </w:tr>
      <w:tr>
        <w:trPr>
          <w:trHeight w:val="284"/>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63,909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44,398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9,526</w:t>
            </w:r>
          </w:p>
        </w:tc>
      </w:tr>
      <w:tr>
        <w:trPr>
          <w:trHeight w:val="284"/>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64"/>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768</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581</w:t>
            </w:r>
          </w:p>
        </w:tc>
      </w:tr>
      <w:tr>
        <w:trPr>
          <w:trHeight w:val="247"/>
        </w:trPr>
        <w:tc>
          <w:tcPr>
            <w:tcW w:w="50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64,677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45,094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10,107</w:t>
            </w:r>
          </w:p>
        </w:tc>
      </w:tr>
      <w:tr>
        <w:trPr>
          <w:trHeight w:val="293"/>
        </w:trPr>
        <w:tc>
          <w:tcPr>
            <w:tcW w:w="5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64"/>
        </w:trPr>
        <w:tc>
          <w:tcPr>
            <w:tcW w:w="5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(benefit) for taxes</w:t>
            </w: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19,624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13,141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(34,865)</w:t>
            </w:r>
          </w:p>
        </w:tc>
      </w:tr>
      <w:tr>
        <w:trPr>
          <w:trHeight w:val="24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45,053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31,953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44,972</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67"/>
        </w:trPr>
        <w:tc>
          <w:tcPr>
            <w:tcW w:w="5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per common share:</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94"/>
        </w:trPr>
        <w:tc>
          <w:tcPr>
            <w:tcW w:w="508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1.14</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1.54</w:t>
            </w:r>
          </w:p>
        </w:tc>
      </w:tr>
      <w:tr>
        <w:trPr>
          <w:trHeight w:val="224"/>
        </w:trPr>
        <w:tc>
          <w:tcPr>
            <w:tcW w:w="50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1.54</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67"/>
        </w:trPr>
        <w:tc>
          <w:tcPr>
            <w:tcW w:w="5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60"/>
        </w:trPr>
        <w:tc>
          <w:tcPr>
            <w:tcW w:w="5080" w:type="dxa"/>
            <w:vAlign w:val="bottom"/>
          </w:tcPr>
          <w:p>
            <w:pPr>
              <w:ind w:left="3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2"/>
                <w:szCs w:val="22"/>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27,430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28,075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29,145</w:t>
            </w:r>
          </w:p>
        </w:tc>
      </w:tr>
      <w:tr>
        <w:trPr>
          <w:trHeight w:val="280"/>
        </w:trPr>
        <w:tc>
          <w:tcPr>
            <w:tcW w:w="5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27,545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29,207</w:t>
            </w:r>
          </w:p>
        </w:tc>
      </w:tr>
      <w:tr>
        <w:trPr>
          <w:trHeight w:val="284"/>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70"/>
        </w:trPr>
        <w:tc>
          <w:tcPr>
            <w:tcW w:w="5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45,053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31,953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44,972</w:t>
            </w:r>
          </w:p>
        </w:tc>
      </w:tr>
      <w:tr>
        <w:trPr>
          <w:trHeight w:val="260"/>
        </w:trPr>
        <w:tc>
          <w:tcPr>
            <w:tcW w:w="50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Pr>
          <w:p>
            <w:pPr>
              <w:spacing w:after="0"/>
              <w:rPr>
                <w:sz w:val="22"/>
                <w:szCs w:val="22"/>
                <w:color w:val="auto"/>
              </w:rPr>
            </w:pPr>
          </w:p>
        </w:tc>
      </w:tr>
      <w:tr>
        <w:trPr>
          <w:trHeight w:val="228"/>
        </w:trPr>
        <w:tc>
          <w:tcPr>
            <w:tcW w:w="5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prior service credit</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4"/>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$2,068, $1,944, and $1,791)</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(3,582)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(3,226)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(2,801)</w:t>
            </w:r>
          </w:p>
        </w:tc>
      </w:tr>
      <w:tr>
        <w:trPr>
          <w:trHeight w:val="218"/>
        </w:trPr>
        <w:tc>
          <w:tcPr>
            <w:tcW w:w="5080" w:type="dxa"/>
            <w:vAlign w:val="bottom"/>
          </w:tcPr>
          <w:p>
            <w:pPr>
              <w:ind w:left="28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4"/>
        </w:trPr>
        <w:tc>
          <w:tcPr>
            <w:tcW w:w="5080" w:type="dxa"/>
            <w:vAlign w:val="bottom"/>
          </w:tcPr>
          <w:p>
            <w:pPr>
              <w:ind w:left="360"/>
              <w:spacing w:after="0"/>
              <w:rPr>
                <w:sz w:val="20"/>
                <w:szCs w:val="20"/>
                <w:color w:val="auto"/>
              </w:rPr>
            </w:pPr>
            <w:r>
              <w:rPr>
                <w:rFonts w:ascii="Arial" w:cs="Arial" w:eastAsia="Arial" w:hAnsi="Arial"/>
                <w:sz w:val="16"/>
                <w:szCs w:val="16"/>
                <w:color w:val="auto"/>
              </w:rPr>
              <w:t>(net of tax of $337, $361, and $387)</w:t>
            </w:r>
          </w:p>
        </w:tc>
        <w:tc>
          <w:tcPr>
            <w:tcW w:w="260" w:type="dxa"/>
            <w:vAlign w:val="bottom"/>
          </w:tcPr>
          <w:p>
            <w:pPr>
              <w:spacing w:after="0"/>
              <w:rPr>
                <w:sz w:val="17"/>
                <w:szCs w:val="17"/>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1,264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644</w:t>
            </w:r>
          </w:p>
        </w:tc>
      </w:tr>
      <w:tr>
        <w:trPr>
          <w:trHeight w:val="228"/>
        </w:trPr>
        <w:tc>
          <w:tcPr>
            <w:tcW w:w="5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decrease in actuarial loss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14"/>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$1,348, $2,177, and $3,894)</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(3,630)</w:t>
            </w:r>
          </w:p>
        </w:tc>
      </w:tr>
      <w:tr>
        <w:trPr>
          <w:trHeight w:val="218"/>
        </w:trPr>
        <w:tc>
          <w:tcPr>
            <w:tcW w:w="5080" w:type="dxa"/>
            <w:vAlign w:val="bottom"/>
          </w:tcPr>
          <w:p>
            <w:pPr>
              <w:ind w:left="280"/>
              <w:spacing w:after="0"/>
              <w:rPr>
                <w:sz w:val="20"/>
                <w:szCs w:val="20"/>
                <w:color w:val="auto"/>
              </w:rPr>
            </w:pPr>
            <w:r>
              <w:rPr>
                <w:rFonts w:ascii="Arial" w:cs="Arial" w:eastAsia="Arial" w:hAnsi="Arial"/>
                <w:sz w:val="16"/>
                <w:szCs w:val="16"/>
                <w:color w:val="auto"/>
              </w:rPr>
              <w:t>Plan amendment</w:t>
            </w: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04"/>
        </w:trPr>
        <w:tc>
          <w:tcPr>
            <w:tcW w:w="5080" w:type="dxa"/>
            <w:vAlign w:val="bottom"/>
          </w:tcPr>
          <w:p>
            <w:pPr>
              <w:ind w:left="360"/>
              <w:spacing w:after="0"/>
              <w:rPr>
                <w:sz w:val="20"/>
                <w:szCs w:val="20"/>
                <w:color w:val="auto"/>
              </w:rPr>
            </w:pPr>
            <w:r>
              <w:rPr>
                <w:rFonts w:ascii="Arial" w:cs="Arial" w:eastAsia="Arial" w:hAnsi="Arial"/>
                <w:sz w:val="16"/>
                <w:szCs w:val="16"/>
                <w:color w:val="auto"/>
              </w:rPr>
              <w:t>(net of tax of $1,364, $1,613, and $1,729)</w:t>
            </w:r>
          </w:p>
        </w:tc>
        <w:tc>
          <w:tcPr>
            <w:tcW w:w="260" w:type="dxa"/>
            <w:vAlign w:val="bottom"/>
          </w:tcPr>
          <w:p>
            <w:pPr>
              <w:spacing w:after="0"/>
              <w:rPr>
                <w:sz w:val="17"/>
                <w:szCs w:val="17"/>
                <w:color w:val="auto"/>
              </w:rPr>
            </w:pPr>
          </w:p>
        </w:tc>
        <w:tc>
          <w:tcPr>
            <w:tcW w:w="1780" w:type="dxa"/>
            <w:vAlign w:val="bottom"/>
          </w:tcPr>
          <w:p>
            <w:pPr>
              <w:jc w:val="right"/>
              <w:ind w:right="339"/>
              <w:spacing w:after="0"/>
              <w:rPr>
                <w:sz w:val="20"/>
                <w:szCs w:val="20"/>
                <w:color w:val="auto"/>
              </w:rPr>
            </w:pPr>
            <w:r>
              <w:rPr>
                <w:rFonts w:ascii="Arial" w:cs="Arial" w:eastAsia="Arial" w:hAnsi="Arial"/>
                <w:sz w:val="16"/>
                <w:szCs w:val="16"/>
                <w:color w:val="auto"/>
              </w:rPr>
              <w:t>2,216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right"/>
              <w:ind w:right="359"/>
              <w:spacing w:after="0"/>
              <w:rPr>
                <w:sz w:val="20"/>
                <w:szCs w:val="20"/>
                <w:color w:val="auto"/>
              </w:rPr>
            </w:pPr>
            <w:r>
              <w:rPr>
                <w:rFonts w:ascii="Arial" w:cs="Arial" w:eastAsia="Arial" w:hAnsi="Arial"/>
                <w:sz w:val="16"/>
                <w:szCs w:val="16"/>
                <w:color w:val="auto"/>
              </w:rPr>
              <w:t>2,869</w:t>
            </w:r>
          </w:p>
        </w:tc>
      </w:tr>
      <w:tr>
        <w:trPr>
          <w:trHeight w:val="228"/>
        </w:trPr>
        <w:tc>
          <w:tcPr>
            <w:tcW w:w="50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appreciation (depreciation) of investments</w:t>
            </w: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08"/>
        </w:trPr>
        <w:tc>
          <w:tcPr>
            <w:tcW w:w="5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of tax of $91, $125, and $189)</w:t>
            </w: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151</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(314)</w:t>
            </w:r>
          </w:p>
        </w:tc>
      </w:tr>
      <w:tr>
        <w:trPr>
          <w:trHeight w:val="250"/>
        </w:trPr>
        <w:tc>
          <w:tcPr>
            <w:tcW w:w="5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other comprehensive (loss) income</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(2,657)</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4,535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(3,232)</w:t>
            </w:r>
          </w:p>
        </w:tc>
      </w:tr>
      <w:tr>
        <w:trPr>
          <w:trHeight w:val="24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42,396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36,488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41,740</w:t>
            </w: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41"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260" w:type="dxa"/>
            <w:vAlign w:val="bottom"/>
          </w:tcPr>
          <w:p>
            <w:pPr>
              <w:spacing w:after="0"/>
              <w:rPr>
                <w:sz w:val="19"/>
                <w:szCs w:val="19"/>
                <w:color w:val="auto"/>
              </w:rPr>
            </w:pPr>
          </w:p>
        </w:tc>
        <w:tc>
          <w:tcPr>
            <w:tcW w:w="186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19"/>
                <w:szCs w:val="19"/>
                <w:color w:val="auto"/>
              </w:rPr>
            </w:pPr>
          </w:p>
        </w:tc>
        <w:tc>
          <w:tcPr>
            <w:tcW w:w="17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2013</w:t>
            </w:r>
          </w:p>
        </w:tc>
      </w:tr>
      <w:tr>
        <w:trPr>
          <w:trHeight w:val="270"/>
        </w:trPr>
        <w:tc>
          <w:tcPr>
            <w:tcW w:w="72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760" w:type="dxa"/>
            <w:vAlign w:val="bottom"/>
            <w:tcBorders>
              <w:top w:val="single" w:sz="8" w:color="auto"/>
            </w:tcBorders>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57,804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64,277</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Receivables, less allowance for doubtful accounts ($127 and $152, respectively)</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69,699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29,145</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112,848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112,541</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Investment in operating leases</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15,978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5,718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8,277</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Income taxes receivable</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1,868</w:t>
            </w:r>
          </w:p>
        </w:tc>
      </w:tr>
      <w:tr>
        <w:trPr>
          <w:trHeight w:val="273"/>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9,641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7,742</w:t>
            </w:r>
          </w:p>
        </w:tc>
      </w:tr>
      <w:tr>
        <w:trPr>
          <w:trHeight w:val="250"/>
        </w:trPr>
        <w:tc>
          <w:tcPr>
            <w:tcW w:w="728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271,693</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223,850</w:t>
            </w:r>
          </w:p>
        </w:tc>
      </w:tr>
      <w:tr>
        <w:trPr>
          <w:trHeight w:val="257"/>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25,135</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20,266</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260" w:type="dxa"/>
            <w:vAlign w:val="bottom"/>
          </w:tcPr>
          <w:p>
            <w:pPr>
              <w:spacing w:after="0"/>
              <w:rPr>
                <w:sz w:val="22"/>
                <w:szCs w:val="22"/>
                <w:color w:val="auto"/>
              </w:rPr>
            </w:pPr>
          </w:p>
        </w:tc>
        <w:tc>
          <w:tcPr>
            <w:tcW w:w="186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2,108</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25,126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25,051</w:t>
            </w: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24,029</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25,649</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1,228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1,228</w:t>
            </w:r>
          </w:p>
        </w:tc>
      </w:tr>
      <w:tr>
        <w:trPr>
          <w:trHeight w:val="264"/>
        </w:trPr>
        <w:tc>
          <w:tcPr>
            <w:tcW w:w="72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11,091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10,993</w:t>
            </w:r>
          </w:p>
        </w:tc>
      </w:tr>
      <w:tr>
        <w:trPr>
          <w:trHeight w:val="240"/>
        </w:trPr>
        <w:tc>
          <w:tcPr>
            <w:tcW w:w="72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358,302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309,145</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7"/>
        </w:trPr>
        <w:tc>
          <w:tcPr>
            <w:tcW w:w="7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72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33,111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28,142</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2,927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Accrued expenses: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20,763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22,101</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Operating lease repurchase obligations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16,050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Product warranties</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9,501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8,443</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Self-insurance</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4,941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4,531</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Accrued loss on repurchases</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2,212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1,287</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Promotional</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3,205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1,910</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7,009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3,940</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99,719</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70,354</w:t>
            </w:r>
          </w:p>
        </w:tc>
      </w:tr>
      <w:tr>
        <w:trPr>
          <w:trHeight w:val="254"/>
        </w:trPr>
        <w:tc>
          <w:tcPr>
            <w:tcW w:w="7280" w:type="dxa"/>
            <w:vAlign w:val="bottom"/>
          </w:tcPr>
          <w:p>
            <w:pPr>
              <w:ind w:left="40"/>
              <w:spacing w:after="0"/>
              <w:rPr>
                <w:sz w:val="20"/>
                <w:szCs w:val="20"/>
                <w:color w:val="auto"/>
              </w:rPr>
            </w:pPr>
            <w:r>
              <w:rPr>
                <w:rFonts w:ascii="Arial" w:cs="Arial" w:eastAsia="Arial" w:hAnsi="Arial"/>
                <w:sz w:val="16"/>
                <w:szCs w:val="16"/>
                <w:color w:val="auto"/>
              </w:rPr>
              <w:t>Total long-term liabilities:</w:t>
            </w:r>
          </w:p>
        </w:tc>
        <w:tc>
          <w:tcPr>
            <w:tcW w:w="2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3,024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3,988</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Postretirement health care and deferred compensations benefits</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62,811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64,074</w:t>
            </w:r>
          </w:p>
        </w:tc>
      </w:tr>
      <w:tr>
        <w:trPr>
          <w:trHeight w:val="257"/>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long-term liabilities</w:t>
            </w:r>
          </w:p>
        </w:tc>
        <w:tc>
          <w:tcPr>
            <w:tcW w:w="26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65,835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68,062</w:t>
            </w:r>
          </w:p>
        </w:tc>
      </w:tr>
      <w:tr>
        <w:trPr>
          <w:trHeight w:val="240"/>
        </w:trPr>
        <w:tc>
          <w:tcPr>
            <w:tcW w:w="7280" w:type="dxa"/>
            <w:vAlign w:val="bottom"/>
          </w:tcPr>
          <w:p>
            <w:pPr>
              <w:ind w:left="40"/>
              <w:spacing w:after="0"/>
              <w:rPr>
                <w:sz w:val="20"/>
                <w:szCs w:val="20"/>
                <w:color w:val="auto"/>
              </w:rPr>
            </w:pPr>
            <w:r>
              <w:rPr>
                <w:rFonts w:ascii="Arial" w:cs="Arial" w:eastAsia="Arial" w:hAnsi="Arial"/>
                <w:sz w:val="16"/>
                <w:szCs w:val="16"/>
                <w:color w:val="auto"/>
              </w:rPr>
              <w:t>Contingent liabilities and commitments</w:t>
            </w: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8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18"/>
        </w:trPr>
        <w:tc>
          <w:tcPr>
            <w:tcW w:w="7280" w:type="dxa"/>
            <w:vAlign w:val="bottom"/>
          </w:tcPr>
          <w:p>
            <w:pPr>
              <w:ind w:left="280"/>
              <w:spacing w:after="0"/>
              <w:rPr>
                <w:sz w:val="20"/>
                <w:szCs w:val="20"/>
                <w:color w:val="auto"/>
              </w:rPr>
            </w:pPr>
            <w:r>
              <w:rPr>
                <w:rFonts w:ascii="Arial" w:cs="Arial" w:eastAsia="Arial" w:hAnsi="Arial"/>
                <w:sz w:val="16"/>
                <w:szCs w:val="16"/>
                <w:color w:val="auto"/>
              </w:rPr>
              <w:t>Capital stock common, par value $0.50;</w:t>
            </w:r>
          </w:p>
        </w:tc>
        <w:tc>
          <w:tcPr>
            <w:tcW w:w="2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04"/>
        </w:trPr>
        <w:tc>
          <w:tcPr>
            <w:tcW w:w="7280" w:type="dxa"/>
            <w:vAlign w:val="bottom"/>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260" w:type="dxa"/>
            <w:vAlign w:val="bottom"/>
          </w:tcPr>
          <w:p>
            <w:pPr>
              <w:spacing w:after="0"/>
              <w:rPr>
                <w:sz w:val="17"/>
                <w:szCs w:val="17"/>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25,888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31,672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29,334</w:t>
            </w:r>
          </w:p>
        </w:tc>
      </w:tr>
      <w:tr>
        <w:trPr>
          <w:trHeight w:val="260"/>
        </w:trPr>
        <w:tc>
          <w:tcPr>
            <w:tcW w:w="7280" w:type="dxa"/>
            <w:vAlign w:val="bottom"/>
          </w:tcPr>
          <w:p>
            <w:pPr>
              <w:ind w:left="28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554,496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509,443</w:t>
            </w:r>
          </w:p>
        </w:tc>
      </w:tr>
      <w:tr>
        <w:trPr>
          <w:trHeight w:val="280"/>
        </w:trPr>
        <w:tc>
          <w:tcPr>
            <w:tcW w:w="72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(1,808)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849</w:t>
            </w:r>
          </w:p>
        </w:tc>
      </w:tr>
      <w:tr>
        <w:trPr>
          <w:trHeight w:val="264"/>
        </w:trPr>
        <w:tc>
          <w:tcPr>
            <w:tcW w:w="72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Treasury stock, at cost (24,727 and 23,917 shares, respectively)</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(417,500)</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(394,785)</w:t>
            </w:r>
          </w:p>
        </w:tc>
      </w:tr>
      <w:tr>
        <w:trPr>
          <w:trHeight w:val="250"/>
        </w:trPr>
        <w:tc>
          <w:tcPr>
            <w:tcW w:w="72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192,748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170,729</w:t>
            </w:r>
          </w:p>
        </w:tc>
      </w:tr>
      <w:tr>
        <w:trPr>
          <w:trHeight w:val="240"/>
        </w:trPr>
        <w:tc>
          <w:tcPr>
            <w:tcW w:w="728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358,302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309,145</w:t>
            </w:r>
          </w:p>
        </w:tc>
      </w:tr>
      <w:tr>
        <w:trPr>
          <w:trHeight w:val="20"/>
        </w:trPr>
        <w:tc>
          <w:tcPr>
            <w:tcW w:w="7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41"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08"/>
              <w:spacing w:after="0"/>
              <w:rPr>
                <w:sz w:val="20"/>
                <w:szCs w:val="20"/>
                <w:color w:val="auto"/>
              </w:rPr>
            </w:pPr>
            <w:r>
              <w:rPr>
                <w:rFonts w:ascii="Arial" w:cs="Arial" w:eastAsia="Arial" w:hAnsi="Arial"/>
                <w:sz w:val="14"/>
                <w:szCs w:val="14"/>
                <w:b w:val="1"/>
                <w:bCs w:val="1"/>
                <w:color w:val="auto"/>
              </w:rPr>
              <w:t>Accum-</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08"/>
              <w:spacing w:after="0"/>
              <w:rPr>
                <w:sz w:val="20"/>
                <w:szCs w:val="20"/>
                <w:color w:val="auto"/>
              </w:rPr>
            </w:pPr>
            <w:r>
              <w:rPr>
                <w:rFonts w:ascii="Arial" w:cs="Arial" w:eastAsia="Arial" w:hAnsi="Arial"/>
                <w:sz w:val="14"/>
                <w:szCs w:val="14"/>
                <w:b w:val="1"/>
                <w:bCs w:val="1"/>
                <w:color w:val="auto"/>
              </w:rPr>
              <w:t>ulated</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7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Common Shares</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08"/>
              <w:spacing w:after="0"/>
              <w:rPr>
                <w:sz w:val="20"/>
                <w:szCs w:val="20"/>
                <w:color w:val="auto"/>
              </w:rPr>
            </w:pPr>
            <w:r>
              <w:rPr>
                <w:rFonts w:ascii="Arial" w:cs="Arial" w:eastAsia="Arial" w:hAnsi="Arial"/>
                <w:sz w:val="14"/>
                <w:szCs w:val="14"/>
                <w:b w:val="1"/>
                <w:bCs w:val="1"/>
                <w:color w:val="auto"/>
              </w:rPr>
              <w:t>Other</w:t>
            </w:r>
          </w:p>
        </w:tc>
        <w:tc>
          <w:tcPr>
            <w:tcW w:w="2020" w:type="dxa"/>
            <w:vAlign w:val="bottom"/>
            <w:gridSpan w:val="3"/>
            <w:vMerge w:val="restart"/>
          </w:tcPr>
          <w:p>
            <w:pPr>
              <w:jc w:val="right"/>
              <w:ind w:right="40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7"/>
        </w:trPr>
        <w:tc>
          <w:tcPr>
            <w:tcW w:w="3540" w:type="dxa"/>
            <w:vAlign w:val="bottom"/>
          </w:tcPr>
          <w:p>
            <w:pPr>
              <w:spacing w:after="0"/>
              <w:rPr>
                <w:sz w:val="14"/>
                <w:szCs w:val="14"/>
                <w:color w:val="auto"/>
              </w:rPr>
            </w:pPr>
          </w:p>
        </w:tc>
        <w:tc>
          <w:tcPr>
            <w:tcW w:w="1780" w:type="dxa"/>
            <w:vAlign w:val="bottom"/>
            <w:tcBorders>
              <w:bottom w:val="single" w:sz="8" w:color="auto"/>
            </w:tcBorders>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8"/>
              <w:spacing w:after="0"/>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ind w:right="108"/>
              <w:spacing w:after="0"/>
              <w:rPr>
                <w:sz w:val="20"/>
                <w:szCs w:val="20"/>
                <w:color w:val="auto"/>
              </w:rPr>
            </w:pPr>
            <w:r>
              <w:rPr>
                <w:rFonts w:ascii="Arial" w:cs="Arial" w:eastAsia="Arial" w:hAnsi="Arial"/>
                <w:sz w:val="14"/>
                <w:szCs w:val="14"/>
                <w:b w:val="1"/>
                <w:bCs w:val="1"/>
                <w:color w:val="auto"/>
              </w:rPr>
              <w:t>Compre-</w:t>
            </w:r>
          </w:p>
        </w:tc>
        <w:tc>
          <w:tcPr>
            <w:tcW w:w="2020" w:type="dxa"/>
            <w:vAlign w:val="bottom"/>
            <w:tcBorders>
              <w:bottom w:val="single" w:sz="8" w:color="auto"/>
            </w:tcBorders>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ind w:right="8"/>
              <w:spacing w:after="0" w:line="143" w:lineRule="exact"/>
              <w:rPr>
                <w:sz w:val="20"/>
                <w:szCs w:val="20"/>
                <w:color w:val="auto"/>
              </w:rPr>
            </w:pPr>
            <w:r>
              <w:rPr>
                <w:rFonts w:ascii="Arial" w:cs="Arial" w:eastAsia="Arial" w:hAnsi="Arial"/>
                <w:sz w:val="14"/>
                <w:szCs w:val="14"/>
                <w:b w:val="1"/>
                <w:bCs w:val="1"/>
                <w:color w:val="auto"/>
              </w:rPr>
              <w:t>Capital</w:t>
            </w:r>
          </w:p>
        </w:tc>
        <w:tc>
          <w:tcPr>
            <w:tcW w:w="220" w:type="dxa"/>
            <w:vAlign w:val="bottom"/>
          </w:tcPr>
          <w:p>
            <w:pPr>
              <w:spacing w:after="0"/>
              <w:rPr>
                <w:sz w:val="12"/>
                <w:szCs w:val="12"/>
                <w:color w:val="auto"/>
              </w:rPr>
            </w:pPr>
          </w:p>
        </w:tc>
        <w:tc>
          <w:tcPr>
            <w:tcW w:w="800" w:type="dxa"/>
            <w:vAlign w:val="bottom"/>
          </w:tcPr>
          <w:p>
            <w:pPr>
              <w:jc w:val="right"/>
              <w:ind w:right="68"/>
              <w:spacing w:after="0" w:line="143" w:lineRule="exact"/>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2"/>
                <w:szCs w:val="12"/>
                <w:color w:val="auto"/>
              </w:rPr>
            </w:pPr>
          </w:p>
        </w:tc>
        <w:tc>
          <w:tcPr>
            <w:tcW w:w="880" w:type="dxa"/>
            <w:vAlign w:val="bottom"/>
          </w:tcPr>
          <w:p>
            <w:pPr>
              <w:jc w:val="center"/>
              <w:ind w:right="108"/>
              <w:spacing w:after="0" w:line="143" w:lineRule="exact"/>
              <w:rPr>
                <w:sz w:val="20"/>
                <w:szCs w:val="20"/>
                <w:color w:val="auto"/>
              </w:rPr>
            </w:pPr>
            <w:r>
              <w:rPr>
                <w:rFonts w:ascii="Arial" w:cs="Arial" w:eastAsia="Arial" w:hAnsi="Arial"/>
                <w:sz w:val="14"/>
                <w:szCs w:val="14"/>
                <w:b w:val="1"/>
                <w:bCs w:val="1"/>
                <w:color w:val="auto"/>
              </w:rPr>
              <w:t>hensive</w:t>
            </w: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8"/>
              <w:spacing w:after="0" w:line="143" w:lineRule="exact"/>
              <w:rPr>
                <w:sz w:val="20"/>
                <w:szCs w:val="20"/>
                <w:color w:val="auto"/>
              </w:rPr>
            </w:pPr>
            <w:r>
              <w:rPr>
                <w:rFonts w:ascii="Arial" w:cs="Arial" w:eastAsia="Arial" w:hAnsi="Arial"/>
                <w:sz w:val="14"/>
                <w:szCs w:val="14"/>
                <w:b w:val="1"/>
                <w:bCs w:val="1"/>
                <w:color w:val="auto"/>
              </w:rPr>
              <w:t>holders'</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(APIC)</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Earnings</w:t>
            </w: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Income</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Number</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27, 2011</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30,131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432,518</w:t>
            </w:r>
          </w:p>
        </w:tc>
        <w:tc>
          <w:tcPr>
            <w:tcW w:w="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(454)</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(22,641)</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(379,353)</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108,730</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2,011</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27</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449</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(6,604)</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Prior service cost and actuarial loss, net of $5,298 tax</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(5,787)</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(5,787)</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Plan amendment, net of $1,729 tax</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2,869</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194"/>
        </w:trPr>
        <w:tc>
          <w:tcPr>
            <w:tcW w:w="3540" w:type="dxa"/>
            <w:vAlign w:val="bottom"/>
          </w:tcPr>
          <w:p>
            <w:pPr>
              <w:ind w:left="40"/>
              <w:spacing w:after="0"/>
              <w:rPr>
                <w:sz w:val="20"/>
                <w:szCs w:val="20"/>
                <w:color w:val="auto"/>
              </w:rPr>
            </w:pPr>
            <w:r>
              <w:rPr>
                <w:rFonts w:ascii="Arial" w:cs="Arial" w:eastAsia="Arial" w:hAnsi="Arial"/>
                <w:sz w:val="14"/>
                <w:szCs w:val="14"/>
                <w:color w:val="auto"/>
              </w:rPr>
              <w:t>Unrealized depreciation of investments, net of $189</w:t>
            </w: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40"/>
              <w:spacing w:after="0"/>
              <w:rPr>
                <w:sz w:val="20"/>
                <w:szCs w:val="20"/>
                <w:color w:val="auto"/>
              </w:rPr>
            </w:pPr>
            <w:r>
              <w:rPr>
                <w:rFonts w:ascii="Arial" w:cs="Arial" w:eastAsia="Arial" w:hAnsi="Arial"/>
                <w:sz w:val="14"/>
                <w:szCs w:val="14"/>
                <w:color w:val="auto"/>
              </w:rPr>
              <w:t>tax</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(314)</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44,972</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44,972</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Balance, August 25, 2012</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28,496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477,490</w:t>
            </w:r>
          </w:p>
        </w:tc>
        <w:tc>
          <w:tcPr>
            <w:tcW w:w="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(3,686)</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(383,497)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144,691</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 option exercises</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86</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 of restricted stock</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(729)</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Vesting of directors' stock units</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158</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1,314</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1,511</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(882)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(12,718)</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(12,718)</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$594 tax</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1,650</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Plan amendment, net of $1,613 tax</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2,676</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2,676</w:t>
            </w:r>
          </w:p>
        </w:tc>
        <w:tc>
          <w:tcPr>
            <w:tcW w:w="0" w:type="dxa"/>
            <w:vAlign w:val="bottom"/>
          </w:tcPr>
          <w:p>
            <w:pPr>
              <w:spacing w:after="0"/>
              <w:rPr>
                <w:sz w:val="1"/>
                <w:szCs w:val="1"/>
                <w:color w:val="auto"/>
              </w:rPr>
            </w:pPr>
          </w:p>
        </w:tc>
      </w:tr>
      <w:tr>
        <w:trPr>
          <w:trHeight w:val="20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$125</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tax</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209</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31,953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31,953</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August 31, 2013</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29,334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509,443</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849</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(394,785)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170,729</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Stock option exercises</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771</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78</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1,286</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2,057</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Creation/(utilization) of APIC pool due to stock award</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441</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Issuance of restricted stock</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137</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2,279</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1,500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net of forfeitures</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1,905</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Payments for the purchase of common stock</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(1,028)</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(26,340)</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(26,340)</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Prior service cost and actuarial loss, net of $3,079 tax</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(5,024)</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210"/>
        </w:trPr>
        <w:tc>
          <w:tcPr>
            <w:tcW w:w="3540" w:type="dxa"/>
            <w:vAlign w:val="bottom"/>
          </w:tcPr>
          <w:p>
            <w:pPr>
              <w:ind w:left="40"/>
              <w:spacing w:after="0"/>
              <w:rPr>
                <w:sz w:val="20"/>
                <w:szCs w:val="20"/>
                <w:color w:val="auto"/>
              </w:rPr>
            </w:pPr>
            <w:r>
              <w:rPr>
                <w:rFonts w:ascii="Arial" w:cs="Arial" w:eastAsia="Arial" w:hAnsi="Arial"/>
                <w:sz w:val="14"/>
                <w:szCs w:val="14"/>
                <w:color w:val="auto"/>
              </w:rPr>
              <w:t>Plan amendment, net of $1,364 tax</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80" w:type="dxa"/>
            <w:vAlign w:val="bottom"/>
          </w:tcPr>
          <w:p>
            <w:pPr>
              <w:jc w:val="right"/>
              <w:ind w:right="148"/>
              <w:spacing w:after="0"/>
              <w:rPr>
                <w:sz w:val="20"/>
                <w:szCs w:val="20"/>
                <w:color w:val="auto"/>
              </w:rPr>
            </w:pPr>
            <w:r>
              <w:rPr>
                <w:rFonts w:ascii="Arial" w:cs="Arial" w:eastAsia="Arial" w:hAnsi="Arial"/>
                <w:sz w:val="14"/>
                <w:szCs w:val="14"/>
                <w:color w:val="auto"/>
              </w:rPr>
              <w:t>2,216</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2,216</w:t>
            </w:r>
          </w:p>
        </w:tc>
        <w:tc>
          <w:tcPr>
            <w:tcW w:w="0" w:type="dxa"/>
            <w:vAlign w:val="bottom"/>
          </w:tcPr>
          <w:p>
            <w:pPr>
              <w:spacing w:after="0"/>
              <w:rPr>
                <w:sz w:val="1"/>
                <w:szCs w:val="1"/>
                <w:color w:val="auto"/>
              </w:rPr>
            </w:pPr>
          </w:p>
        </w:tc>
      </w:tr>
      <w:tr>
        <w:trPr>
          <w:trHeight w:val="222"/>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appreciation of investments, net of $91 tax</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151</w:t>
            </w:r>
          </w:p>
        </w:tc>
        <w:tc>
          <w:tcPr>
            <w:tcW w:w="9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45,053</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45,053</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August 30, 2014</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51,776</w:t>
            </w: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31,672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554,496</w:t>
            </w:r>
          </w:p>
        </w:tc>
        <w:tc>
          <w:tcPr>
            <w:tcW w:w="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(1,808)</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(24,727)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(417,500)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192,748</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9"/>
              </w:rPr>
              <w:t>Year Ended</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64"/>
        </w:trPr>
        <w:tc>
          <w:tcPr>
            <w:tcW w:w="63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6"/>
                <w:szCs w:val="16"/>
                <w:b w:val="1"/>
                <w:bCs w:val="1"/>
                <w:color w:val="auto"/>
              </w:rPr>
              <w:t>August 30, 2014</w:t>
            </w:r>
          </w:p>
        </w:tc>
        <w:tc>
          <w:tcPr>
            <w:tcW w:w="140" w:type="dxa"/>
            <w:vAlign w:val="bottom"/>
          </w:tcPr>
          <w:p>
            <w:pPr>
              <w:spacing w:after="0"/>
              <w:rPr>
                <w:sz w:val="22"/>
                <w:szCs w:val="22"/>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August 31, 2013</w:t>
            </w:r>
          </w:p>
        </w:tc>
        <w:tc>
          <w:tcPr>
            <w:tcW w:w="140" w:type="dxa"/>
            <w:vAlign w:val="bottom"/>
          </w:tcPr>
          <w:p>
            <w:pPr>
              <w:spacing w:after="0"/>
              <w:rPr>
                <w:sz w:val="22"/>
                <w:szCs w:val="22"/>
                <w:color w:val="auto"/>
              </w:rPr>
            </w:pPr>
          </w:p>
        </w:tc>
        <w:tc>
          <w:tcPr>
            <w:tcW w:w="1460" w:type="dxa"/>
            <w:vAlign w:val="bottom"/>
          </w:tcPr>
          <w:p>
            <w:pPr>
              <w:jc w:val="right"/>
              <w:ind w:right="99"/>
              <w:spacing w:after="0"/>
              <w:rPr>
                <w:sz w:val="20"/>
                <w:szCs w:val="20"/>
                <w:color w:val="auto"/>
              </w:rPr>
            </w:pPr>
            <w:r>
              <w:rPr>
                <w:rFonts w:ascii="Arial" w:cs="Arial" w:eastAsia="Arial" w:hAnsi="Arial"/>
                <w:sz w:val="16"/>
                <w:szCs w:val="16"/>
                <w:b w:val="1"/>
                <w:bCs w:val="1"/>
                <w:color w:val="auto"/>
              </w:rPr>
              <w:t>August 25, 2012</w:t>
            </w:r>
          </w:p>
        </w:tc>
      </w:tr>
      <w:tr>
        <w:trPr>
          <w:trHeight w:val="270"/>
        </w:trPr>
        <w:tc>
          <w:tcPr>
            <w:tcW w:w="63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45,053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31,953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44,972</w:t>
            </w:r>
          </w:p>
        </w:tc>
      </w:tr>
      <w:tr>
        <w:trPr>
          <w:trHeight w:val="28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3,997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4,764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4,872</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LIFO expense (income)</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1,456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(613)</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Asset impairment</w:t>
            </w:r>
          </w:p>
        </w:tc>
        <w:tc>
          <w:tcPr>
            <w:tcW w:w="160" w:type="dxa"/>
            <w:vAlign w:val="bottom"/>
          </w:tcPr>
          <w:p>
            <w:pPr>
              <w:spacing w:after="0"/>
              <w:rPr>
                <w:sz w:val="22"/>
                <w:szCs w:val="22"/>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50</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3,009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1,918</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Deferred income taxes including valuation allowance</w:t>
            </w:r>
          </w:p>
        </w:tc>
        <w:tc>
          <w:tcPr>
            <w:tcW w:w="16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1,790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(34,749)</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570</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(Benefit) provision for doubtful accounts</w:t>
            </w:r>
          </w:p>
        </w:tc>
        <w:tc>
          <w:tcPr>
            <w:tcW w:w="16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125</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(Gain) loss on disposal of property</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28</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Gain on life insurance</w:t>
            </w:r>
          </w:p>
        </w:tc>
        <w:tc>
          <w:tcPr>
            <w:tcW w:w="16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(726)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(529)</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Loss on sale of investments</w:t>
            </w:r>
          </w:p>
        </w:tc>
        <w:tc>
          <w:tcPr>
            <w:tcW w:w="16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Increase in cash surrender value of life insurance policies</w:t>
            </w:r>
          </w:p>
        </w:tc>
        <w:tc>
          <w:tcPr>
            <w:tcW w:w="16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(805)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(732)</w:t>
            </w:r>
          </w:p>
        </w:tc>
      </w:tr>
      <w:tr>
        <w:trPr>
          <w:trHeight w:val="28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assets and liabilities: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Inventories</w:t>
            </w:r>
          </w:p>
        </w:tc>
        <w:tc>
          <w:tcPr>
            <w:tcW w:w="16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(24,267)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(17,316)</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Receivables, prepaid and other assets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(38,233)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(8,908)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(2,085)</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Investment in operating leases, net of repurchase obligations</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5,625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Accounts payable and accrued expenses</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10,919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8,939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7,627</w:t>
            </w:r>
          </w:p>
        </w:tc>
      </w:tr>
      <w:tr>
        <w:trPr>
          <w:trHeight w:val="273"/>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(4,322)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(4,030)</w:t>
            </w:r>
          </w:p>
        </w:tc>
      </w:tr>
      <w:tr>
        <w:trPr>
          <w:trHeight w:val="250"/>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23,236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10,238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w:t>
            </w:r>
          </w:p>
        </w:tc>
      </w:tr>
      <w:tr>
        <w:trPr>
          <w:trHeight w:val="284"/>
        </w:trPr>
        <w:tc>
          <w:tcPr>
            <w:tcW w:w="6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0"/>
        </w:trPr>
        <w:tc>
          <w:tcPr>
            <w:tcW w:w="63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the sale of investments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2,350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7,300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1,050</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Proceeds from life insurance</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1,737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1,652</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(10,476)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(4,422)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(2,213)</w:t>
            </w: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Proceeds from the sale of property</w:t>
            </w:r>
          </w:p>
        </w:tc>
        <w:tc>
          <w:tcPr>
            <w:tcW w:w="160" w:type="dxa"/>
            <w:vAlign w:val="bottom"/>
          </w:tcPr>
          <w:p>
            <w:pPr>
              <w:spacing w:after="0"/>
              <w:rPr>
                <w:sz w:val="22"/>
                <w:szCs w:val="22"/>
                <w:color w:val="auto"/>
              </w:rPr>
            </w:pP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2,423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734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17</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COLI borrowings</w:t>
            </w:r>
          </w:p>
        </w:tc>
        <w:tc>
          <w:tcPr>
            <w:tcW w:w="16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822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(624)</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(5,368)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4,067</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(118)</w:t>
            </w:r>
          </w:p>
        </w:tc>
      </w:tr>
      <w:tr>
        <w:trPr>
          <w:trHeight w:val="284"/>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6380" w:type="dxa"/>
            <w:vAlign w:val="bottom"/>
          </w:tcPr>
          <w:p>
            <w:pPr>
              <w:ind w:left="180"/>
              <w:spacing w:after="0"/>
              <w:rPr>
                <w:sz w:val="20"/>
                <w:szCs w:val="20"/>
                <w:color w:val="auto"/>
              </w:rPr>
            </w:pPr>
            <w:r>
              <w:rPr>
                <w:rFonts w:ascii="Arial" w:cs="Arial" w:eastAsia="Arial" w:hAnsi="Arial"/>
                <w:sz w:val="16"/>
                <w:szCs w:val="16"/>
                <w:color w:val="auto"/>
              </w:rPr>
              <w:t>Payments for purchases of common stock</w:t>
            </w:r>
          </w:p>
        </w:tc>
        <w:tc>
          <w:tcPr>
            <w:tcW w:w="160" w:type="dxa"/>
            <w:vAlign w:val="bottom"/>
          </w:tcPr>
          <w:p>
            <w:pPr>
              <w:spacing w:after="0"/>
              <w:rPr>
                <w:sz w:val="22"/>
                <w:szCs w:val="22"/>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color w:val="auto"/>
              </w:rPr>
              <w:t>(26,340)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(12,718)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(6,604)</w:t>
            </w:r>
          </w:p>
        </w:tc>
      </w:tr>
      <w:tr>
        <w:trPr>
          <w:trHeight w:val="280"/>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63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w:t>
            </w:r>
          </w:p>
        </w:tc>
      </w:tr>
      <w:tr>
        <w:trPr>
          <w:trHeight w:val="25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(24,341)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(12,711)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(6,621)</w:t>
            </w:r>
          </w:p>
        </w:tc>
      </w:tr>
      <w:tr>
        <w:trPr>
          <w:trHeight w:val="284"/>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(6,473)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(6,624)</w:t>
            </w:r>
          </w:p>
        </w:tc>
      </w:tr>
      <w:tr>
        <w:trPr>
          <w:trHeight w:val="264"/>
        </w:trPr>
        <w:tc>
          <w:tcPr>
            <w:tcW w:w="6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64,277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62,683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69,307</w:t>
            </w:r>
          </w:p>
        </w:tc>
      </w:tr>
      <w:tr>
        <w:trPr>
          <w:trHeight w:val="24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year</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57,804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64,277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62,683</w:t>
            </w:r>
          </w:p>
        </w:tc>
      </w:tr>
      <w:tr>
        <w:trPr>
          <w:trHeight w:val="20"/>
        </w:trPr>
        <w:tc>
          <w:tcPr>
            <w:tcW w:w="6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7"/>
        </w:trPr>
        <w:tc>
          <w:tcPr>
            <w:tcW w:w="6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6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 cash flow disclosure:</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51"/>
        </w:trPr>
        <w:tc>
          <w:tcPr>
            <w:tcW w:w="6380" w:type="dxa"/>
            <w:vAlign w:val="bottom"/>
          </w:tcPr>
          <w:p>
            <w:pPr>
              <w:ind w:left="180"/>
              <w:spacing w:after="0"/>
              <w:rPr>
                <w:sz w:val="20"/>
                <w:szCs w:val="20"/>
                <w:color w:val="auto"/>
              </w:rPr>
            </w:pPr>
            <w:r>
              <w:rPr>
                <w:rFonts w:ascii="Arial" w:cs="Arial" w:eastAsia="Arial" w:hAnsi="Arial"/>
                <w:sz w:val="16"/>
                <w:szCs w:val="16"/>
                <w:color w:val="auto"/>
              </w:rPr>
              <w:t>Income taxes paid (refunded), net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14,061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39"/>
              <w:spacing w:after="0"/>
              <w:rPr>
                <w:sz w:val="20"/>
                <w:szCs w:val="20"/>
                <w:color w:val="auto"/>
              </w:rPr>
            </w:pPr>
            <w:r>
              <w:rPr>
                <w:rFonts w:ascii="Arial" w:cs="Arial" w:eastAsia="Arial" w:hAnsi="Arial"/>
                <w:sz w:val="16"/>
                <w:szCs w:val="16"/>
                <w:color w:val="auto"/>
              </w:rPr>
              <w:t>11,500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79"/>
              <w:spacing w:after="0"/>
              <w:rPr>
                <w:sz w:val="20"/>
                <w:szCs w:val="20"/>
                <w:color w:val="auto"/>
              </w:rPr>
            </w:pPr>
            <w:r>
              <w:rPr>
                <w:rFonts w:ascii="Arial" w:cs="Arial" w:eastAsia="Arial" w:hAnsi="Arial"/>
                <w:sz w:val="16"/>
                <w:szCs w:val="16"/>
                <w:color w:val="auto"/>
              </w:rPr>
              <w:t>(134)</w:t>
            </w:r>
          </w:p>
        </w:tc>
      </w:tr>
    </w:tbl>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141"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41" w:right="2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Summary of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Nature of Operations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Winnebago Industries, Inc., founded in 1958 and headquartered in Forest City, Iowa, is one of the leading manufacturers of RVs which we sell through independent dealers, primarily throughout the United States and Canada. Other products manufactured by us consist primarily of original equipment manufacturing parts, including extruded aluminum and other component products for other manufacturers, commercial vehicles and commercial transit buses.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25"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The consolidated financial statements for Fiscal 2014 include the parent company and our wholly-owned subsidiary, Winnebago of Indiana, LLC. All material intercompany balances and transactions with our subsidiary have been eliminated.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follow a 52-/53-week fiscal year, ending the last Saturday in August. Fiscal 2014 and Fiscal 2012 were 52-week fiscal periods. Fiscal 2013 was a 53-week fiscal year; the first quarter ending December 1, 2012 was a 14-week quarter.</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5"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25"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Cash and cash equivalents consist primarily of highly liquid investments with an original maturity of three months or less. The carrying amount approximates fair value due to the short maturity of the investments.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Disclosures of Financial Instruments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All financial instruments are carried at amounts believed to approximate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 and Hedging Activities</w:t>
      </w:r>
    </w:p>
    <w:p>
      <w:pPr>
        <w:spacing w:after="0" w:line="2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All contracts that contain provisions meeting the definition of a derivative also meet the requirements of, and have been designated as, normal purchases or sales. Our policy is to not enter into contracts with terms that cannot be designated as normal purchases or sales.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Doubtful Accounts</w:t>
      </w:r>
    </w:p>
    <w:p>
      <w:pPr>
        <w:spacing w:after="0" w:line="2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5" w:lineRule="exact"/>
        <w:rPr>
          <w:sz w:val="20"/>
          <w:szCs w:val="20"/>
          <w:color w:val="auto"/>
        </w:rPr>
      </w:pPr>
    </w:p>
    <w:p>
      <w:pPr>
        <w:ind w:right="740"/>
        <w:spacing w:after="0" w:line="260" w:lineRule="auto"/>
        <w:rPr>
          <w:sz w:val="20"/>
          <w:szCs w:val="20"/>
          <w:color w:val="auto"/>
        </w:rPr>
      </w:pPr>
      <w:r>
        <w:rPr>
          <w:rFonts w:ascii="Arial" w:cs="Arial" w:eastAsia="Arial" w:hAnsi="Arial"/>
          <w:sz w:val="16"/>
          <w:szCs w:val="16"/>
          <w:color w:val="auto"/>
        </w:rPr>
        <w:t>Substantially, all inventories are stated at the lower of cost or market, determined on the LIFO basis. Manufacturing cost includes materials, labor and manufacturing overhead. Unallocated overhead and abnormal costs are expensed as incurred.</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25" w:lineRule="exact"/>
        <w:rPr>
          <w:sz w:val="20"/>
          <w:szCs w:val="20"/>
          <w:color w:val="auto"/>
        </w:rPr>
      </w:pPr>
    </w:p>
    <w:p>
      <w:pPr>
        <w:ind w:right="780"/>
        <w:spacing w:after="0" w:line="192" w:lineRule="exact"/>
        <w:rPr>
          <w:sz w:val="20"/>
          <w:szCs w:val="20"/>
          <w:color w:val="auto"/>
        </w:rPr>
      </w:pPr>
      <w:r>
        <w:rPr>
          <w:rFonts w:ascii="Arial" w:cs="Arial" w:eastAsia="Arial" w:hAnsi="Arial"/>
          <w:sz w:val="16"/>
          <w:szCs w:val="16"/>
          <w:color w:val="auto"/>
        </w:rPr>
        <w:t>Depreciation of property and equipment is computed using the straight</w:t>
      </w:r>
      <w:r>
        <w:rPr>
          <w:rFonts w:ascii="MS PGothic" w:cs="MS PGothic" w:eastAsia="MS PGothic" w:hAnsi="MS PGothic"/>
          <w:sz w:val="16"/>
          <w:szCs w:val="16"/>
          <w:color w:val="auto"/>
        </w:rPr>
        <w:t>‑</w:t>
      </w:r>
      <w:r>
        <w:rPr>
          <w:rFonts w:ascii="Arial" w:cs="Arial" w:eastAsia="Arial" w:hAnsi="Arial"/>
          <w:sz w:val="16"/>
          <w:szCs w:val="16"/>
          <w:color w:val="auto"/>
        </w:rPr>
        <w:t>line method on the cost of the assets, less allowance for salvage value where appropriate, at rates based upon their estimated service lives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Asset Class</w:t>
            </w:r>
          </w:p>
        </w:tc>
        <w:tc>
          <w:tcPr>
            <w:tcW w:w="53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Asset Life</w:t>
            </w: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Buildings</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10-30 years</w:t>
            </w:r>
          </w:p>
        </w:tc>
      </w:tr>
      <w:tr>
        <w:trPr>
          <w:trHeight w:val="233"/>
        </w:trPr>
        <w:tc>
          <w:tcPr>
            <w:tcW w:w="6060" w:type="dxa"/>
            <w:vAlign w:val="bottom"/>
          </w:tcPr>
          <w:p>
            <w:pPr>
              <w:ind w:left="40"/>
              <w:spacing w:after="0"/>
              <w:rPr>
                <w:sz w:val="20"/>
                <w:szCs w:val="20"/>
                <w:color w:val="auto"/>
              </w:rPr>
            </w:pPr>
            <w:r>
              <w:rPr>
                <w:rFonts w:ascii="Arial" w:cs="Arial" w:eastAsia="Arial" w:hAnsi="Arial"/>
                <w:sz w:val="16"/>
                <w:szCs w:val="16"/>
                <w:color w:val="auto"/>
              </w:rPr>
              <w:t>Machinery and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3-15 years</w:t>
            </w:r>
          </w:p>
        </w:tc>
      </w:tr>
      <w:tr>
        <w:trPr>
          <w:trHeight w:val="25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Software</w:t>
            </w:r>
          </w:p>
        </w:tc>
        <w:tc>
          <w:tcPr>
            <w:tcW w:w="53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 years</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Transportation equipment</w:t>
            </w:r>
          </w:p>
        </w:tc>
        <w:tc>
          <w:tcPr>
            <w:tcW w:w="5360" w:type="dxa"/>
            <w:vAlign w:val="bottom"/>
          </w:tcPr>
          <w:p>
            <w:pPr>
              <w:jc w:val="right"/>
              <w:ind w:right="199"/>
              <w:spacing w:after="0"/>
              <w:rPr>
                <w:sz w:val="20"/>
                <w:szCs w:val="20"/>
                <w:color w:val="auto"/>
              </w:rPr>
            </w:pPr>
            <w:r>
              <w:rPr>
                <w:rFonts w:ascii="Arial" w:cs="Arial" w:eastAsia="Arial" w:hAnsi="Arial"/>
                <w:sz w:val="16"/>
                <w:szCs w:val="16"/>
                <w:color w:val="auto"/>
              </w:rPr>
              <w:t>4-6 years</w:t>
            </w:r>
          </w:p>
        </w:tc>
      </w:tr>
    </w:tbl>
    <w:p>
      <w:pPr>
        <w:spacing w:after="0" w:line="18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 xml:space="preserve">We review our long-lived depreciable assets for impairment annually or whenever events or changes in circumstances indicate that the carrying value of an asset may not be recoverable from future cash flows. If the carrying value of a long-lived asset is impaired, an impairment charge is recorded for the amount by which the carrying value of the long-lived asset exceeds its fair value. We assess the potential impairment of long-lived assets in accordance with ASC 360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We also reviewed all other long-lived depreciable assets for impairment, noting no impairment.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Amortizable Intangible Assets</w:t>
      </w:r>
    </w:p>
    <w:p>
      <w:pPr>
        <w:spacing w:after="0" w:line="25"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Goodwill represents costs in excess of the fair value of net tangible and identifiable net intangible assets acquired in a business combination. Goodwill assets are reviewed for impairment by applying a fair-value based test on an annual basis, or more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800"/>
        <w:spacing w:after="0" w:line="260" w:lineRule="auto"/>
        <w:rPr>
          <w:sz w:val="20"/>
          <w:szCs w:val="20"/>
          <w:color w:val="auto"/>
        </w:rPr>
      </w:pPr>
      <w:r>
        <w:rPr>
          <w:rFonts w:ascii="Arial" w:cs="Arial" w:eastAsia="Arial" w:hAnsi="Arial"/>
          <w:sz w:val="16"/>
          <w:szCs w:val="16"/>
          <w:color w:val="auto"/>
        </w:rPr>
        <w:t>frequently if circumstances indicate a potential impairment. Amortizable intangible assets consisted of dealer network, trademarks and non-compete agreements and are fully amortized.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Self-Insurance</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Generally, we self-insure for a portion of product liability claims and workers' compensation. Under these plans, liabilities are recognized for claims incurred, including those incurred but not reported. We determined the liability for product liability and workers' compensation claims with the assistance of a third party administrator and actuary using various state statutes and historical claims experience. We have a $35 million insurance policy that includes an SIR for product liability of $2.5 million per occurrence and $6.0 million in aggregate per policy year. In the event that the annual aggregate of the SIR is exhausted by payment of claims and defense expenses, an SIR of $1.0 million, excluding defense expenses, is applicable to each claim covered under this policy. We maintain excess liability insurance with outside insurance carriers to minimize our risks related to catastrophic claims in excess of our self-insured positions for product liability and personal injury matters. Any material change in the aforementioned factors could have an adverse impact on our operating results. Our product liability and workers' compensation accrual is included within accrued self-insurance on our balance sheet.</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preparing our financial statements, we are required to estimate our income taxes in each of the jurisdictions in which we operate. This process involves estimating our current tax exposure together with assessing temporary differences resulting from differing treatment of items for tax and accounting purposes. These temporary differences result in deferred tax assets and liabilities, which are included within our balance sheet. We then assess the likelihood that our deferred tax assets will be realized based on future taxable income and, to the extent we believe that recovery is not likely, we establish a valuation allowance. To the extent we establish a valuation allowance or change this allowance in a period, we include an expense or a benefit within the tax provision in our Statements of Income.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Our accounting policy regarding litigation expense is to accrue for probable exposure including estimated defense costs if we are able to estimate the financial impact.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Generally, revenues for our RVs are recorded when the following conditions are met:</w:t>
      </w:r>
    </w:p>
    <w:p>
      <w:pPr>
        <w:spacing w:after="0" w:line="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order for a product has been received from a dealer</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written or verbal approval for payment has been received from the dealer's floorplan financing institution (if applicable)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 independent transportation company has accepted responsibility for the product as agent for the dealer; and</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product is removed from the Company's property for delivery to the dealer.</w:t>
      </w:r>
    </w:p>
    <w:p>
      <w:pPr>
        <w:spacing w:after="0" w:line="194"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These conditions are generally met when title passes, which is when RVs are shipped to dealers in accordance with shipping terms, which are primarily FOB shipping point. Products are not sold on consignment except for the rental program described below, dealers do not have the right to return products and dealers are typically responsible for interest costs to floor plan lenders.</w:t>
      </w:r>
    </w:p>
    <w:p>
      <w:pPr>
        <w:spacing w:after="0" w:line="147"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Fiscal 2014 we began to sell RVs to a rental company. These units are subject to our obligation to repurchase at the end of the lease term. These transactions are accounted for as operating leases. At the time of sale, the proceeds are recorded as deferred revenue in other current liabilities. The difference between the proceeds and the repurchase amount is recognized in net revenues over the term which the rental company holds the vehicle, using a straight-line method. The cost of the vehicles is recorded in net investment in operating leases and the difference between the cost of the vehicle and the estimated resale value is depreciated in net revenue over the term of the lease. Net proceeds or losses from the sale of the vehicle at resale, if any, are recognized in net revenue at the time of sale.</w:t>
      </w:r>
    </w:p>
    <w:p>
      <w:pPr>
        <w:spacing w:after="0" w:line="15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Revenues of our OEM components and RV related parts are recorded as the products are shipped from our location. The title of ownership transfers on these products as they leave our location due to the freight terms of FOB shipping point.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Delivery Revenues and Expenses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Delivery revenues for products delivered are included within net sales, while delivery expenses are included within cost of goods sold.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Risk</w:t>
      </w:r>
    </w:p>
    <w:p>
      <w:pPr>
        <w:spacing w:after="0" w:line="3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One of our dealer organizations accounted for 19.7%, 26.5%, and 25.5% of our consolidated net revenue in Fiscal 2014, 2013 and 2012, respectively. In Fiscal 2014 this dealer sold our products in 72 of their dealership locations across 28 US states. A second dealer organization accounted for 12.5% and 12.3% of our net revenue for Fiscal 2014 and Fiscal 2013, respectively. In Fiscal 2014 this dealer sold products in 11 of their dealership locations across 4 US states. The loss of either or both of these dealer organizations could have a significant adverse effect on our business. In addition, deterioration in the liquidity or creditworthiness of either or both of these dealers could negatively impact our sales and could trigger repurchase obligations under our repurchase agreements.</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Promotions and Incentives</w:t>
      </w:r>
    </w:p>
    <w:p>
      <w:pPr>
        <w:spacing w:after="0" w:line="2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accrue for sales promotions and incentive expenses, which are recognized as a reduction to revenues, at the time of sale to the dealer or when the sales incentive is offered to the dealer or retail customer. Examples of sales promotions and incentive</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00"/>
          </w:cols>
          <w:pgMar w:left="240" w:top="141"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programs include dealer and consumer rebates, volume discounts, retail financing programs and dealer sales associate incentives. Sales promotion and incentive expenses are estimated based upon then current program parameters, such as unit or retail volume and historical rates. Actual results may differ from these estimates if market conditions dictate the need to enhance or reduce sales promotion and incentive programs or if the retail customer usage rate varies from historical trends. Historically, sales promotion and incentive accruals have been within our expectations and differences have not been material.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It is customary practice for manufacturers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of the dealer invoice. In certain instances, we also repurchase inventory from our dealers due to state law or regulatory requirements that govern voluntary or involuntary relationship terminations.</w:t>
      </w:r>
    </w:p>
    <w:p>
      <w:pPr>
        <w:spacing w:after="0" w:line="17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Based on these repurchase agreements, we establish an associated loss reserve which is disclosed separately as "Accrued loss of repurchases" in the consolidated balance sheets. Repurchased sales are not recorded as a revenue transaction, but the net difference between the original repurchase price and the resale price are recorded against the loss reserve, which is a deduction from gross revenue. Our loss reserve for repurchase commitments contains uncertainties because the calculation requires management to make assumptions and apply judgment regarding a number of factors. See Note 10.</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Reporting Segment</w:t>
      </w:r>
    </w:p>
    <w:p>
      <w:pPr>
        <w:spacing w:after="0" w:line="25" w:lineRule="exact"/>
        <w:rPr>
          <w:sz w:val="20"/>
          <w:szCs w:val="20"/>
          <w:color w:val="auto"/>
        </w:rPr>
      </w:pPr>
    </w:p>
    <w:p>
      <w:pPr>
        <w:ind w:right="640"/>
        <w:spacing w:after="0" w:line="260" w:lineRule="auto"/>
        <w:rPr>
          <w:sz w:val="20"/>
          <w:szCs w:val="20"/>
          <w:color w:val="auto"/>
        </w:rPr>
      </w:pPr>
      <w:r>
        <w:rPr>
          <w:rFonts w:ascii="Arial" w:cs="Arial" w:eastAsia="Arial" w:hAnsi="Arial"/>
          <w:sz w:val="16"/>
          <w:szCs w:val="16"/>
          <w:color w:val="auto"/>
        </w:rPr>
        <w:t>We have one reportable segment, the RV market. We design, develop, manufacture and market motorized and towable recreation products along with supporting products and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Research and development expenditures are included within cost of goods sold and are expensed as incurred. A portion of these expenditures qualify for state and federal tax benefits. Development activities generally relate to creating new products and improving or creating variations of existing products to meet new applications. During Fiscal 2014, 2013 and 2012, we spent approximately $4.3 million, $3.8 million and $3.4 million, respectively, on research and development activities.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25"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Advertising costs, which consist primarily of literature and trade shows, were $5.1 million, $4.7 million, and $4.3 million in Fiscal 2014, 2013 and 2012, respectively. Advertising costs are included in selling expense and are expensed as incurred with the exception of trade shows which are expensed in the period in which the show occurs.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Common Share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Basic income per common share is computed by dividing net income by the weighted average common shares outstanding during the period.</w:t>
      </w:r>
    </w:p>
    <w:p>
      <w:pPr>
        <w:spacing w:after="0" w:line="16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awards and options (see Note 15).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5"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We evaluated events occurring between the end of our most recent fiscal year and the date the financial statements were issued. There were no material subsequent events, except those described in Note 13 and Note 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 xml:space="preserve">In July 2013, the FASB updated ASU 2013-11, </w:t>
      </w:r>
      <w:r>
        <w:rPr>
          <w:rFonts w:ascii="Arial" w:cs="Arial" w:eastAsia="Arial" w:hAnsi="Arial"/>
          <w:sz w:val="16"/>
          <w:szCs w:val="16"/>
          <w:i w:val="1"/>
          <w:iCs w:val="1"/>
          <w:color w:val="auto"/>
        </w:rPr>
        <w:t>Income Taxes (Topic 740)</w:t>
      </w:r>
      <w:r>
        <w:rPr>
          <w:rFonts w:ascii="Arial" w:cs="Arial" w:eastAsia="Arial" w:hAnsi="Arial"/>
          <w:sz w:val="16"/>
          <w:szCs w:val="16"/>
          <w:color w:val="auto"/>
        </w:rPr>
        <w:t>, which requires entities to present unrecognized tax benefits as a liability and not combine it with deferred tax assets to the extent a net operating loss carryforward, a similar tax loss, or a tax credit carryforward is not available at the reporting date. ASU 2011-13 will become effective for fiscal years beginning after December 15, 2013 (our Fiscal 2015). We are currently evaluating the impact on our consolidated financial statements.</w:t>
      </w:r>
    </w:p>
    <w:p>
      <w:pPr>
        <w:spacing w:after="0" w:line="160" w:lineRule="exact"/>
        <w:rPr>
          <w:sz w:val="20"/>
          <w:szCs w:val="20"/>
          <w:color w:val="auto"/>
        </w:rPr>
      </w:pPr>
    </w:p>
    <w:p>
      <w:pPr>
        <w:jc w:val="both"/>
        <w:ind w:right="260"/>
        <w:spacing w:after="0" w:line="264"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specifies how and when to recognize revenue as well as providing informative, relevant disclosures. ASU 2014-09 will become effective for fiscal years beginning after December 15, 2016 (our Fiscal 2018). We are currently evaluating the impact on our consolidated financial statements.</w:t>
      </w:r>
    </w:p>
    <w:p>
      <w:pPr>
        <w:spacing w:after="0" w:line="149"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color w:val="auto"/>
        </w:rPr>
        <w:t xml:space="preserve">In June 2014, the FASB issued ASU 2014-12,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(Topic 718), which provides guidance on the accounting for reporting entities that grant their employees share-based payments in which the terms of the award stipulate that a performance target that affects vesting could be achieved after the requisite service period. ASU 2012-12 will become effective for years ending after December 15, 2015 (our Fiscal 2016). We are currently evaluating the impact on our consolidated financial statements.</w:t>
      </w:r>
    </w:p>
    <w:p>
      <w:pPr>
        <w:spacing w:after="0" w:line="154"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 xml:space="preserve">In August 2014, the FASB issued ASU 2014-15, </w:t>
      </w:r>
      <w:r>
        <w:rPr>
          <w:rFonts w:ascii="Arial" w:cs="Arial" w:eastAsia="Arial" w:hAnsi="Arial"/>
          <w:sz w:val="16"/>
          <w:szCs w:val="16"/>
          <w:i w:val="1"/>
          <w:iCs w:val="1"/>
          <w:color w:val="auto"/>
        </w:rPr>
        <w:t>Going Concern</w:t>
      </w:r>
      <w:r>
        <w:rPr>
          <w:rFonts w:ascii="Arial" w:cs="Arial" w:eastAsia="Arial" w:hAnsi="Arial"/>
          <w:sz w:val="16"/>
          <w:szCs w:val="16"/>
          <w:color w:val="auto"/>
        </w:rPr>
        <w:t xml:space="preserve"> (Subtopic 205-40), which provides guidance on management's responsibility in evaluating whether there is substantial doubt about a company's ability to continue as a going concern and related</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41" w:right="25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footnote disclosures. ASU 2012-15 will become effective for years ending after December 15, 2016 (our Fiscal 2017). We are currently evaluating the impact on our consolidated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Investments and Fair Value Measurements</w:t>
      </w:r>
    </w:p>
    <w:p>
      <w:pPr>
        <w:spacing w:after="0" w:line="268"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1 - </w:t>
      </w:r>
      <w:r>
        <w:rPr>
          <w:rFonts w:ascii="Arial" w:cs="Arial" w:eastAsia="Arial" w:hAnsi="Arial"/>
          <w:sz w:val="16"/>
          <w:szCs w:val="16"/>
          <w:color w:val="auto"/>
        </w:rPr>
        <w:t>Unadjusted quoted prices that are available in active markets for the identical assets or liabilities at the measurement date.</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 </w:t>
      </w:r>
      <w:r>
        <w:rPr>
          <w:rFonts w:ascii="Arial" w:cs="Arial" w:eastAsia="Arial" w:hAnsi="Arial"/>
          <w:sz w:val="16"/>
          <w:szCs w:val="16"/>
          <w:color w:val="auto"/>
        </w:rPr>
        <w:t>Other observable inputs available at the measurement date, other than quoted prices included in Level 1, either directly or indirectly, including:</w:t>
      </w:r>
    </w:p>
    <w:p>
      <w:pPr>
        <w:spacing w:after="0" w:line="2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i w:val="1"/>
          <w:iCs w:val="1"/>
          <w:color w:val="auto"/>
        </w:rPr>
      </w:pPr>
      <w:r>
        <w:rPr>
          <w:rFonts w:ascii="Arial" w:cs="Arial" w:eastAsia="Arial" w:hAnsi="Arial"/>
          <w:sz w:val="16"/>
          <w:szCs w:val="16"/>
          <w:color w:val="auto"/>
        </w:rPr>
        <w:t>Quoted prices for similar assets or liabilities in active markets;</w:t>
      </w:r>
    </w:p>
    <w:p>
      <w:pPr>
        <w:spacing w:after="0" w:line="5" w:lineRule="exact"/>
        <w:rPr>
          <w:rFonts w:ascii="Arial" w:cs="Arial" w:eastAsia="Arial" w:hAnsi="Arial"/>
          <w:sz w:val="16"/>
          <w:szCs w:val="16"/>
          <w:i w:val="1"/>
          <w:iCs w:val="1"/>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Quoted prices for identical or similar assets in nonactive markets;</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Inputs other than quoted prices that are observable for the asset or liability; and</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Inputs that are derived principally from or corroborated by other observable market data.</w:t>
      </w:r>
    </w:p>
    <w:p>
      <w:pPr>
        <w:spacing w:after="0" w:line="7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auto"/>
        </w:rPr>
        <w:t xml:space="preserve">Level 3 - </w:t>
      </w:r>
      <w:r>
        <w:rPr>
          <w:rFonts w:ascii="Arial" w:cs="Arial" w:eastAsia="Arial" w:hAnsi="Arial"/>
          <w:sz w:val="16"/>
          <w:szCs w:val="16"/>
          <w:color w:val="auto"/>
        </w:rPr>
        <w:t>Unobservable inputs that cannot be corroborated by observable market data and reflect the use of significant management judgment. These values</w:t>
      </w:r>
      <w:r>
        <w:rPr>
          <w:rFonts w:ascii="Arial" w:cs="Arial" w:eastAsia="Arial" w:hAnsi="Arial"/>
          <w:sz w:val="16"/>
          <w:szCs w:val="16"/>
          <w:i w:val="1"/>
          <w:iCs w:val="1"/>
          <w:color w:val="auto"/>
        </w:rPr>
        <w:t xml:space="preserve"> </w:t>
      </w:r>
      <w:r>
        <w:rPr>
          <w:rFonts w:ascii="Arial" w:cs="Arial" w:eastAsia="Arial" w:hAnsi="Arial"/>
          <w:sz w:val="16"/>
          <w:szCs w:val="16"/>
          <w:color w:val="auto"/>
        </w:rPr>
        <w:t>are generally determined using pricing models for which the assumptions utilize management’s estimates of market participant assumptions.</w:t>
      </w:r>
    </w:p>
    <w:p>
      <w:pPr>
        <w:spacing w:after="0" w:line="109" w:lineRule="exact"/>
        <w:rPr>
          <w:sz w:val="20"/>
          <w:szCs w:val="20"/>
          <w:color w:val="auto"/>
        </w:rPr>
      </w:pPr>
    </w:p>
    <w:p>
      <w:pPr>
        <w:spacing w:after="0" w:line="253" w:lineRule="auto"/>
        <w:rPr>
          <w:sz w:val="20"/>
          <w:szCs w:val="20"/>
          <w:color w:val="auto"/>
        </w:rPr>
      </w:pPr>
      <w:r>
        <w:rPr>
          <w:rFonts w:ascii="Arial" w:cs="Arial" w:eastAsia="Arial" w:hAnsi="Arial"/>
          <w:sz w:val="16"/>
          <w:szCs w:val="16"/>
          <w:i w:val="1"/>
          <w:iCs w:val="1"/>
          <w:color w:val="auto"/>
        </w:rPr>
        <w:t xml:space="preserve">Assets and Liabilities that are Measured at Fair Value on a Recurring Basis. </w:t>
      </w:r>
      <w:r>
        <w:rPr>
          <w:rFonts w:ascii="Arial" w:cs="Arial" w:eastAsia="Arial" w:hAnsi="Arial"/>
          <w:sz w:val="16"/>
          <w:szCs w:val="16"/>
          <w:color w:val="auto"/>
        </w:rPr>
        <w:t>We account for fair value measurements in accordance with ASC 820,</w:t>
      </w:r>
      <w:r>
        <w:rPr>
          <w:rFonts w:ascii="Arial" w:cs="Arial" w:eastAsia="Arial" w:hAnsi="Arial"/>
          <w:sz w:val="16"/>
          <w:szCs w:val="16"/>
          <w:i w:val="1"/>
          <w:iCs w:val="1"/>
          <w:color w:val="auto"/>
        </w:rPr>
        <w:t xml:space="preserve"> Fair Value Measurements and Disclosures, </w:t>
      </w:r>
      <w:r>
        <w:rPr>
          <w:rFonts w:ascii="Arial" w:cs="Arial" w:eastAsia="Arial" w:hAnsi="Arial"/>
          <w:sz w:val="16"/>
          <w:szCs w:val="16"/>
          <w:color w:val="auto"/>
        </w:rPr>
        <w:t>which defines fair value, establishes a framework for measurement and expands disclosure about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89"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The following tables set forth by level within the fair value hierarchy our financial assets that were accounted for at fair value on a recurring basis at August 30, 2014 and August 31, 2013 according to the valuation techniques we used to determine their fair values: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0" w:type="dxa"/>
            <w:vAlign w:val="bottom"/>
            <w:gridSpan w:val="6"/>
          </w:tcPr>
          <w:p>
            <w:pPr>
              <w:jc w:val="center"/>
              <w:ind w:right="179"/>
              <w:spacing w:after="0"/>
              <w:rPr>
                <w:sz w:val="20"/>
                <w:szCs w:val="20"/>
                <w:color w:val="auto"/>
              </w:rPr>
            </w:pPr>
            <w:r>
              <w:rPr>
                <w:rFonts w:ascii="Arial" w:cs="Arial" w:eastAsia="Arial" w:hAnsi="Arial"/>
                <w:sz w:val="16"/>
                <w:szCs w:val="16"/>
                <w:b w:val="1"/>
                <w:bCs w:val="1"/>
                <w:color w:val="auto"/>
              </w:rPr>
              <w:t>Fair Value Measurements</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80" w:type="dxa"/>
            <w:vAlign w:val="bottom"/>
          </w:tcPr>
          <w:p>
            <w:pPr>
              <w:spacing w:after="0"/>
              <w:rPr>
                <w:sz w:val="19"/>
                <w:szCs w:val="19"/>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7"/>
          </w:tcPr>
          <w:p>
            <w:pPr>
              <w:jc w:val="center"/>
              <w:ind w:left="819"/>
              <w:spacing w:after="0"/>
              <w:rPr>
                <w:sz w:val="20"/>
                <w:szCs w:val="20"/>
                <w:color w:val="auto"/>
              </w:rPr>
            </w:pPr>
            <w:r>
              <w:rPr>
                <w:rFonts w:ascii="Arial" w:cs="Arial" w:eastAsia="Arial" w:hAnsi="Arial"/>
                <w:sz w:val="16"/>
                <w:szCs w:val="16"/>
                <w:b w:val="1"/>
                <w:bCs w:val="1"/>
                <w:color w:val="auto"/>
              </w:rPr>
              <w:t>Using Inputs Considered As</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30, 2014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8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6,423</w:t>
            </w:r>
          </w:p>
        </w:tc>
        <w:tc>
          <w:tcPr>
            <w:tcW w:w="1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0" w:type="dxa"/>
            <w:vAlign w:val="bottom"/>
            <w:gridSpan w:val="6"/>
          </w:tcPr>
          <w:p>
            <w:pPr>
              <w:jc w:val="center"/>
              <w:ind w:right="179"/>
              <w:spacing w:after="0"/>
              <w:rPr>
                <w:sz w:val="20"/>
                <w:szCs w:val="20"/>
                <w:color w:val="auto"/>
              </w:rPr>
            </w:pPr>
            <w:r>
              <w:rPr>
                <w:rFonts w:ascii="Arial" w:cs="Arial" w:eastAsia="Arial" w:hAnsi="Arial"/>
                <w:sz w:val="16"/>
                <w:szCs w:val="16"/>
                <w:b w:val="1"/>
                <w:bCs w:val="1"/>
                <w:color w:val="auto"/>
              </w:rPr>
              <w:t>Fair Value Measurements</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780" w:type="dxa"/>
            <w:vAlign w:val="bottom"/>
          </w:tcPr>
          <w:p>
            <w:pPr>
              <w:spacing w:after="0"/>
              <w:rPr>
                <w:sz w:val="19"/>
                <w:szCs w:val="19"/>
                <w:color w:val="auto"/>
              </w:rPr>
            </w:pPr>
          </w:p>
        </w:tc>
        <w:tc>
          <w:tcPr>
            <w:tcW w:w="18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Fair Value at August</w:t>
            </w:r>
          </w:p>
        </w:tc>
        <w:tc>
          <w:tcPr>
            <w:tcW w:w="30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gridSpan w:val="7"/>
          </w:tcPr>
          <w:p>
            <w:pPr>
              <w:jc w:val="center"/>
              <w:ind w:left="819"/>
              <w:spacing w:after="0"/>
              <w:rPr>
                <w:sz w:val="20"/>
                <w:szCs w:val="20"/>
                <w:color w:val="auto"/>
              </w:rPr>
            </w:pPr>
            <w:r>
              <w:rPr>
                <w:rFonts w:ascii="Arial" w:cs="Arial" w:eastAsia="Arial" w:hAnsi="Arial"/>
                <w:sz w:val="16"/>
                <w:szCs w:val="16"/>
                <w:b w:val="1"/>
                <w:bCs w:val="1"/>
                <w:color w:val="auto"/>
              </w:rPr>
              <w:t>Using Inputs Considered As</w:t>
            </w: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47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7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center"/>
              <w:ind w:right="259"/>
              <w:spacing w:after="0"/>
              <w:rPr>
                <w:sz w:val="20"/>
                <w:szCs w:val="20"/>
                <w:color w:val="auto"/>
              </w:rPr>
            </w:pPr>
            <w:r>
              <w:rPr>
                <w:rFonts w:ascii="Arial" w:cs="Arial" w:eastAsia="Arial" w:hAnsi="Arial"/>
                <w:sz w:val="16"/>
                <w:szCs w:val="16"/>
                <w:b w:val="1"/>
                <w:bCs w:val="1"/>
                <w:color w:val="auto"/>
                <w:w w:val="99"/>
              </w:rPr>
              <w:t>31, 2013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31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Level 2</w:t>
            </w:r>
          </w:p>
        </w:tc>
        <w:tc>
          <w:tcPr>
            <w:tcW w:w="360" w:type="dxa"/>
            <w:vAlign w:val="bottom"/>
          </w:tcPr>
          <w:p>
            <w:pPr>
              <w:spacing w:after="0"/>
              <w:rPr>
                <w:sz w:val="19"/>
                <w:szCs w:val="19"/>
                <w:color w:val="auto"/>
              </w:rPr>
            </w:pPr>
          </w:p>
        </w:tc>
        <w:tc>
          <w:tcPr>
            <w:tcW w:w="1160" w:type="dxa"/>
            <w:vAlign w:val="bottom"/>
          </w:tcPr>
          <w:p>
            <w:pPr>
              <w:jc w:val="right"/>
              <w:ind w:right="39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70"/>
        </w:trPr>
        <w:tc>
          <w:tcPr>
            <w:tcW w:w="47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Long-term investments:</w:t>
            </w:r>
          </w:p>
        </w:tc>
        <w:tc>
          <w:tcPr>
            <w:tcW w:w="340" w:type="dxa"/>
            <w:vAlign w:val="bottom"/>
            <w:tcBorders>
              <w:top w:val="single" w:sz="8" w:color="auto"/>
            </w:tcBorders>
            <w:shd w:val="clear" w:color="auto" w:fill="CCEEFF"/>
          </w:tcPr>
          <w:p>
            <w:pPr>
              <w:spacing w:after="0"/>
              <w:rPr>
                <w:sz w:val="23"/>
                <w:szCs w:val="23"/>
                <w:color w:val="auto"/>
              </w:rPr>
            </w:pPr>
          </w:p>
        </w:tc>
        <w:tc>
          <w:tcPr>
            <w:tcW w:w="14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780" w:type="dxa"/>
            <w:vAlign w:val="bottom"/>
          </w:tcPr>
          <w:p>
            <w:pPr>
              <w:ind w:left="120"/>
              <w:spacing w:after="0"/>
              <w:rPr>
                <w:sz w:val="20"/>
                <w:szCs w:val="20"/>
                <w:color w:val="auto"/>
              </w:rPr>
            </w:pPr>
            <w:r>
              <w:rPr>
                <w:rFonts w:ascii="Arial" w:cs="Arial" w:eastAsia="Arial" w:hAnsi="Arial"/>
                <w:sz w:val="16"/>
                <w:szCs w:val="16"/>
                <w:color w:val="auto"/>
              </w:rPr>
              <w:t>Student loan ARS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2,108</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80"/>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Assets that fund deferred compensation:</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780" w:type="dxa"/>
            <w:vAlign w:val="bottom"/>
          </w:tcPr>
          <w:p>
            <w:pPr>
              <w:ind w:left="120"/>
              <w:spacing w:after="0"/>
              <w:rPr>
                <w:sz w:val="20"/>
                <w:szCs w:val="20"/>
                <w:color w:val="auto"/>
              </w:rPr>
            </w:pPr>
            <w:r>
              <w:rPr>
                <w:rFonts w:ascii="Arial" w:cs="Arial" w:eastAsia="Arial" w:hAnsi="Arial"/>
                <w:sz w:val="16"/>
                <w:szCs w:val="16"/>
                <w:color w:val="auto"/>
              </w:rPr>
              <w:t>Domestic equity funds</w:t>
            </w:r>
          </w:p>
        </w:tc>
        <w:tc>
          <w:tcPr>
            <w:tcW w:w="340" w:type="dxa"/>
            <w:vAlign w:val="bottom"/>
          </w:tcPr>
          <w:p>
            <w:pPr>
              <w:spacing w:after="0"/>
              <w:rPr>
                <w:sz w:val="22"/>
                <w:szCs w:val="22"/>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gridSpan w:val="2"/>
          </w:tcPr>
          <w:p>
            <w:pPr>
              <w:ind w:left="9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47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International equity funds</w:t>
            </w: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7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Fixed income funds</w:t>
            </w: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10,264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5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jc w:val="right"/>
              <w:ind w:right="6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 on a recurring basis in the table above that used significant unobservable inputs (Level 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2140" w:type="dxa"/>
            <w:vAlign w:val="bottom"/>
            <w:gridSpan w:val="2"/>
          </w:tcPr>
          <w:p>
            <w:pPr>
              <w:ind w:left="220"/>
              <w:spacing w:after="0"/>
              <w:rPr>
                <w:sz w:val="20"/>
                <w:szCs w:val="20"/>
                <w:color w:val="auto"/>
              </w:rPr>
            </w:pPr>
            <w:r>
              <w:rPr>
                <w:rFonts w:ascii="Arial" w:cs="Arial" w:eastAsia="Arial" w:hAnsi="Arial"/>
                <w:sz w:val="16"/>
                <w:szCs w:val="16"/>
                <w:b w:val="1"/>
                <w:bCs w:val="1"/>
                <w:color w:val="auto"/>
              </w:rPr>
              <w:t>August 30, 2014</w:t>
            </w:r>
          </w:p>
        </w:tc>
        <w:tc>
          <w:tcPr>
            <w:tcW w:w="360" w:type="dxa"/>
            <w:vAlign w:val="bottom"/>
          </w:tcPr>
          <w:p>
            <w:pPr>
              <w:spacing w:after="0"/>
              <w:rPr>
                <w:sz w:val="19"/>
                <w:szCs w:val="19"/>
                <w:color w:val="auto"/>
              </w:rPr>
            </w:pPr>
          </w:p>
        </w:tc>
        <w:tc>
          <w:tcPr>
            <w:tcW w:w="2040" w:type="dxa"/>
            <w:vAlign w:val="bottom"/>
          </w:tcPr>
          <w:p>
            <w:pPr>
              <w:jc w:val="right"/>
              <w:ind w:right="49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6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0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2,108</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9,074</w:t>
            </w:r>
          </w:p>
        </w:tc>
      </w:tr>
      <w:tr>
        <w:trPr>
          <w:trHeight w:val="260"/>
        </w:trPr>
        <w:tc>
          <w:tcPr>
            <w:tcW w:w="6540" w:type="dxa"/>
            <w:vAlign w:val="bottom"/>
          </w:tcPr>
          <w:p>
            <w:pPr>
              <w:ind w:left="40"/>
              <w:spacing w:after="0"/>
              <w:rPr>
                <w:sz w:val="20"/>
                <w:szCs w:val="20"/>
                <w:color w:val="auto"/>
              </w:rPr>
            </w:pPr>
            <w:r>
              <w:rPr>
                <w:rFonts w:ascii="Arial" w:cs="Arial" w:eastAsia="Arial" w:hAnsi="Arial"/>
                <w:sz w:val="16"/>
                <w:szCs w:val="16"/>
                <w:color w:val="auto"/>
              </w:rPr>
              <w:t>Net realized loss included in non-operating income</w:t>
            </w:r>
          </w:p>
        </w:tc>
        <w:tc>
          <w:tcPr>
            <w:tcW w:w="340" w:type="dxa"/>
            <w:vAlign w:val="bottom"/>
          </w:tcPr>
          <w:p>
            <w:pPr>
              <w:spacing w:after="0"/>
              <w:rPr>
                <w:sz w:val="22"/>
                <w:szCs w:val="22"/>
                <w:color w:val="auto"/>
              </w:rPr>
            </w:pPr>
          </w:p>
        </w:tc>
        <w:tc>
          <w:tcPr>
            <w:tcW w:w="21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(45)</w:t>
            </w:r>
          </w:p>
        </w:tc>
      </w:tr>
      <w:tr>
        <w:trPr>
          <w:trHeight w:val="280"/>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included in other comprehensive income</w:t>
            </w:r>
          </w:p>
        </w:tc>
        <w:tc>
          <w:tcPr>
            <w:tcW w:w="34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379</w:t>
            </w:r>
          </w:p>
        </w:tc>
      </w:tr>
      <w:tr>
        <w:trPr>
          <w:trHeight w:val="264"/>
        </w:trPr>
        <w:tc>
          <w:tcPr>
            <w:tcW w:w="65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Sales</w:t>
            </w:r>
          </w:p>
        </w:tc>
        <w:tc>
          <w:tcPr>
            <w:tcW w:w="3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(2,350)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(7,300)</w:t>
            </w:r>
          </w:p>
        </w:tc>
      </w:tr>
      <w:tr>
        <w:trPr>
          <w:trHeight w:val="240"/>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the end of year</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21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2,108</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51"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 xml:space="preserve">Long-term investments. </w:t>
      </w:r>
      <w:r>
        <w:rPr>
          <w:rFonts w:ascii="Arial" w:cs="Arial" w:eastAsia="Arial" w:hAnsi="Arial"/>
          <w:sz w:val="16"/>
          <w:szCs w:val="16"/>
          <w:color w:val="auto"/>
        </w:rPr>
        <w:t>At August 31, 2013, we held $2.4 million (par value) of tax-exempt ARS, which were variable-rate debt securities and had a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Our long-term ARS investments were classified as Level 3, as quoted prices were unavailable and there was insufficient observable ARS market information available to determine the fair value of these investments. During the first quarter of Fiscal 2014, our remaining ARS holding of $2.4 million was called at par for a full redemption.</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Assets that fund deferred compensation</w:t>
      </w:r>
      <w:r>
        <w:rPr>
          <w:rFonts w:ascii="Arial" w:cs="Arial" w:eastAsia="Arial" w:hAnsi="Arial"/>
          <w:sz w:val="16"/>
          <w:szCs w:val="16"/>
          <w:color w:val="auto"/>
        </w:rPr>
        <w:t>. Our assets that fund deferred compensation are marketable equity securities measured at fair value using quoted</w:t>
      </w:r>
      <w:r>
        <w:rPr>
          <w:rFonts w:ascii="Arial" w:cs="Arial" w:eastAsia="Arial" w:hAnsi="Arial"/>
          <w:sz w:val="16"/>
          <w:szCs w:val="16"/>
          <w:i w:val="1"/>
          <w:iCs w:val="1"/>
          <w:color w:val="auto"/>
        </w:rPr>
        <w:t xml:space="preserve"> </w:t>
      </w:r>
      <w:r>
        <w:rPr>
          <w:rFonts w:ascii="Arial" w:cs="Arial" w:eastAsia="Arial" w:hAnsi="Arial"/>
          <w:sz w:val="16"/>
          <w:szCs w:val="16"/>
          <w:color w:val="auto"/>
        </w:rPr>
        <w:t>market prices and primarily consist of equity-based mutual funds. They are classified as Level 1 as they are traded in an active market for which closing stock prices are readily available. These securities fund the Executive Share Option Plan (see Note 9), a deferred compensation program. The Executive Plan assets related to those options that will expire within a year are included in prepaid expenses and other assets in the accompanying balance sheets. The remaining assets are included in other assets.</w:t>
      </w:r>
    </w:p>
    <w:p>
      <w:pPr>
        <w:spacing w:after="0" w:line="157"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i w:val="1"/>
          <w:iCs w:val="1"/>
          <w:color w:val="auto"/>
        </w:rPr>
        <w:t xml:space="preserve">Assets and Liabilities that are measured at Fair Value on a Nonrecurring Basis. </w:t>
      </w:r>
      <w:r>
        <w:rPr>
          <w:rFonts w:ascii="Arial" w:cs="Arial" w:eastAsia="Arial" w:hAnsi="Arial"/>
          <w:sz w:val="16"/>
          <w:szCs w:val="16"/>
          <w:color w:val="auto"/>
        </w:rPr>
        <w:t>Our non-financial assets, which include goodwill and property and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340" w:type="dxa"/>
            <w:vAlign w:val="bottom"/>
          </w:tcPr>
          <w:p>
            <w:pPr>
              <w:spacing w:after="0"/>
              <w:rPr>
                <w:sz w:val="20"/>
                <w:szCs w:val="20"/>
                <w:color w:val="auto"/>
              </w:rPr>
            </w:pPr>
            <w:r>
              <w:rPr>
                <w:rFonts w:ascii="Arial" w:cs="Arial" w:eastAsia="Arial" w:hAnsi="Arial"/>
                <w:sz w:val="16"/>
                <w:szCs w:val="16"/>
                <w:b w:val="1"/>
                <w:bCs w:val="1"/>
                <w:color w:val="auto"/>
              </w:rPr>
              <w:t>Note 3: Inventories</w:t>
            </w:r>
          </w:p>
        </w:tc>
        <w:tc>
          <w:tcPr>
            <w:tcW w:w="3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51"/>
        </w:trPr>
        <w:tc>
          <w:tcPr>
            <w:tcW w:w="6340" w:type="dxa"/>
            <w:vAlign w:val="bottom"/>
          </w:tcPr>
          <w:p>
            <w:pPr>
              <w:spacing w:after="0"/>
              <w:rPr>
                <w:sz w:val="20"/>
                <w:szCs w:val="20"/>
                <w:color w:val="auto"/>
              </w:rPr>
            </w:pPr>
            <w:r>
              <w:rPr>
                <w:rFonts w:ascii="Arial" w:cs="Arial" w:eastAsia="Arial" w:hAnsi="Arial"/>
                <w:sz w:val="16"/>
                <w:szCs w:val="16"/>
                <w:color w:val="auto"/>
              </w:rPr>
              <w:t>Inventories consist of the following:</w:t>
            </w:r>
          </w:p>
        </w:tc>
        <w:tc>
          <w:tcPr>
            <w:tcW w:w="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391"/>
        </w:trPr>
        <w:tc>
          <w:tcPr>
            <w:tcW w:w="63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24"/>
                <w:szCs w:val="24"/>
                <w:color w:val="auto"/>
              </w:rPr>
            </w:pPr>
          </w:p>
        </w:tc>
        <w:tc>
          <w:tcPr>
            <w:tcW w:w="222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30, 2014</w:t>
            </w:r>
          </w:p>
        </w:tc>
        <w:tc>
          <w:tcPr>
            <w:tcW w:w="360" w:type="dxa"/>
            <w:vAlign w:val="bottom"/>
          </w:tcPr>
          <w:p>
            <w:pPr>
              <w:spacing w:after="0"/>
              <w:rPr>
                <w:sz w:val="24"/>
                <w:szCs w:val="24"/>
                <w:color w:val="auto"/>
              </w:rPr>
            </w:pPr>
          </w:p>
        </w:tc>
        <w:tc>
          <w:tcPr>
            <w:tcW w:w="212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63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28,029</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212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43,927</w:t>
            </w:r>
          </w:p>
        </w:tc>
      </w:tr>
      <w:tr>
        <w:trPr>
          <w:trHeight w:val="260"/>
        </w:trPr>
        <w:tc>
          <w:tcPr>
            <w:tcW w:w="6340" w:type="dxa"/>
            <w:vAlign w:val="bottom"/>
          </w:tcPr>
          <w:p>
            <w:pPr>
              <w:ind w:left="40"/>
              <w:spacing w:after="0"/>
              <w:rPr>
                <w:sz w:val="20"/>
                <w:szCs w:val="20"/>
                <w:color w:val="auto"/>
              </w:rPr>
            </w:pPr>
            <w:r>
              <w:rPr>
                <w:rFonts w:ascii="Arial" w:cs="Arial" w:eastAsia="Arial" w:hAnsi="Arial"/>
                <w:sz w:val="16"/>
                <w:szCs w:val="16"/>
                <w:color w:val="auto"/>
              </w:rPr>
              <w:t>Work-in-process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49,919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120" w:type="dxa"/>
            <w:vAlign w:val="bottom"/>
          </w:tcPr>
          <w:p>
            <w:pPr>
              <w:jc w:val="right"/>
              <w:ind w:right="459"/>
              <w:spacing w:after="0"/>
              <w:rPr>
                <w:sz w:val="20"/>
                <w:szCs w:val="20"/>
                <w:color w:val="auto"/>
              </w:rPr>
            </w:pPr>
            <w:r>
              <w:rPr>
                <w:rFonts w:ascii="Arial" w:cs="Arial" w:eastAsia="Arial" w:hAnsi="Arial"/>
                <w:sz w:val="16"/>
                <w:szCs w:val="16"/>
                <w:color w:val="auto"/>
              </w:rPr>
              <w:t>46,257</w:t>
            </w:r>
          </w:p>
        </w:tc>
      </w:tr>
      <w:tr>
        <w:trPr>
          <w:trHeight w:val="273"/>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66,200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52,201</w:t>
            </w:r>
          </w:p>
        </w:tc>
      </w:tr>
      <w:tr>
        <w:trPr>
          <w:trHeight w:val="247"/>
        </w:trPr>
        <w:tc>
          <w:tcPr>
            <w:tcW w:w="6340" w:type="dxa"/>
            <w:vAlign w:val="bottom"/>
          </w:tcPr>
          <w:p>
            <w:pPr>
              <w:ind w:left="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144,148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120" w:type="dxa"/>
            <w:vAlign w:val="bottom"/>
          </w:tcPr>
          <w:p>
            <w:pPr>
              <w:jc w:val="right"/>
              <w:ind w:right="459"/>
              <w:spacing w:after="0"/>
              <w:rPr>
                <w:sz w:val="20"/>
                <w:szCs w:val="20"/>
                <w:color w:val="auto"/>
              </w:rPr>
            </w:pPr>
            <w:r>
              <w:rPr>
                <w:rFonts w:ascii="Arial" w:cs="Arial" w:eastAsia="Arial" w:hAnsi="Arial"/>
                <w:sz w:val="16"/>
                <w:szCs w:val="16"/>
                <w:color w:val="auto"/>
              </w:rPr>
              <w:t>142,385</w:t>
            </w:r>
          </w:p>
        </w:tc>
      </w:tr>
      <w:tr>
        <w:trPr>
          <w:trHeight w:val="273"/>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(31,300)</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(29,844)</w:t>
            </w:r>
          </w:p>
        </w:tc>
      </w:tr>
      <w:tr>
        <w:trPr>
          <w:trHeight w:val="240"/>
        </w:trPr>
        <w:tc>
          <w:tcPr>
            <w:tcW w:w="6340" w:type="dxa"/>
            <w:vAlign w:val="bottom"/>
          </w:tcPr>
          <w:p>
            <w:pPr>
              <w:ind w:left="4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112,848</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112,541</w:t>
            </w:r>
          </w:p>
        </w:tc>
      </w:tr>
      <w:tr>
        <w:trPr>
          <w:trHeight w:val="20"/>
        </w:trPr>
        <w:tc>
          <w:tcPr>
            <w:tcW w:w="6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$144.1 million inventory at August 30, 2014, $137.7 million is valued on a LIFO basis and the Towables inventory of $6.4 million is valued on a FIFO basis. Of the $142.4 million inventory at August 31, 2013, $136.1 million is valued on a LIFO basis and the Towables inventory of $6.3 million is valued on a FIFO basis.</w:t>
      </w:r>
    </w:p>
    <w:p>
      <w:pPr>
        <w:spacing w:after="0" w:line="174"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During Fiscal 2014 we recorded an increase to LIFO reserves of $1.5 million, based on increases in inflation. During Fiscal 2013 we recorded a decrease to LIFO reserves of $1.2 million, based on deflation partially offset by an increase in inventories.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Net Investment in Operating Leases and Operating Lease Repurchase Obligation</w:t>
      </w:r>
    </w:p>
    <w:p>
      <w:pPr>
        <w:spacing w:after="0" w:line="187"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During the third quarter of Fiscal 2014 we delivered 520 RV rental units to Apollo, a US RV rental company. Under the terms of a sales agreement with Apollo, all units were paid for upon delivery. To secure an order of this magnitude, we contractually agreed to repurchase up to 343 of the units at specified prices after one season of rental use (by no later than December 31, 2014) provided certain conditions are met. As a result, the units subject to repurchase are accounted for as operating leases and are recorded in the balance sheet as net investment in operating leases of $16.0 million at August 30, 2014. The original cost of these units is being depreciated down to the estimated net realizable value of the rental units during the time frame that the units are in rental use. Also, we recorded in the balance sheet operating lease repurchase obligations of $16.1 million at August 30, 2014 which represents our estimated repurchase obligation per the terms of the sales agreement.</w:t>
      </w:r>
    </w:p>
    <w:p>
      <w:pPr>
        <w:spacing w:after="0" w:line="182" w:lineRule="exact"/>
        <w:rPr>
          <w:sz w:val="20"/>
          <w:szCs w:val="20"/>
          <w:color w:val="auto"/>
        </w:rPr>
      </w:pPr>
    </w:p>
    <w:p>
      <w:pPr>
        <w:ind w:right="500"/>
        <w:spacing w:after="0" w:line="260" w:lineRule="auto"/>
        <w:rPr>
          <w:sz w:val="20"/>
          <w:szCs w:val="20"/>
          <w:color w:val="auto"/>
        </w:rPr>
      </w:pPr>
      <w:r>
        <w:rPr>
          <w:rFonts w:ascii="Arial" w:cs="Arial" w:eastAsia="Arial" w:hAnsi="Arial"/>
          <w:sz w:val="16"/>
          <w:szCs w:val="16"/>
          <w:color w:val="auto"/>
        </w:rPr>
        <w:t>Estimated net lease revenue is being recorded ratably over the rental period that Apollo holds the units based upon the difference between the proceeds received and the estimated repurchase obligation less the estimated depreciation expense of the unit.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When we sell the repurchased units we will record a gain or loss for the difference, if any, between the estimated residual value of the unit and the actual resale value as a component of net lease revenue. We recorded $626,000 of net lease revenue during Fiscal 2014.</w:t>
      </w:r>
    </w:p>
    <w:p>
      <w:pPr>
        <w:spacing w:after="0" w:line="169" w:lineRule="exact"/>
        <w:rPr>
          <w:sz w:val="20"/>
          <w:szCs w:val="20"/>
          <w:color w:val="auto"/>
        </w:rPr>
      </w:pPr>
    </w:p>
    <w:p>
      <w:pPr>
        <w:jc w:val="both"/>
        <w:ind w:right="80"/>
        <w:spacing w:after="0" w:line="253" w:lineRule="auto"/>
        <w:rPr>
          <w:sz w:val="20"/>
          <w:szCs w:val="20"/>
          <w:color w:val="auto"/>
        </w:rPr>
      </w:pPr>
      <w:r>
        <w:rPr>
          <w:rFonts w:ascii="Arial" w:cs="Arial" w:eastAsia="Arial" w:hAnsi="Arial"/>
          <w:sz w:val="16"/>
          <w:szCs w:val="16"/>
          <w:color w:val="auto"/>
        </w:rPr>
        <w:t>We anticipate repurchasing most of the units subject to repurchase during the first quarter of Fiscal 2015 and for any units subject to repurchase which are not returned we will remove the remaining net investment in lease and repurchase obligation balance for such units and record a net gain or loss for the difference between these two balances.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Property, Plant and Equipment and Assets Held for Sale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3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380" w:type="dxa"/>
            <w:vAlign w:val="bottom"/>
          </w:tcPr>
          <w:p>
            <w:pPr>
              <w:spacing w:after="0"/>
              <w:rPr>
                <w:sz w:val="19"/>
                <w:szCs w:val="19"/>
                <w:color w:val="auto"/>
              </w:rPr>
            </w:pPr>
          </w:p>
        </w:tc>
        <w:tc>
          <w:tcPr>
            <w:tcW w:w="2200" w:type="dxa"/>
            <w:vAlign w:val="bottom"/>
            <w:gridSpan w:val="2"/>
          </w:tcPr>
          <w:p>
            <w:pPr>
              <w:ind w:left="240"/>
              <w:spacing w:after="0"/>
              <w:rPr>
                <w:sz w:val="20"/>
                <w:szCs w:val="20"/>
                <w:color w:val="auto"/>
              </w:rPr>
            </w:pPr>
            <w:r>
              <w:rPr>
                <w:rFonts w:ascii="Arial" w:cs="Arial" w:eastAsia="Arial" w:hAnsi="Arial"/>
                <w:sz w:val="16"/>
                <w:szCs w:val="16"/>
                <w:b w:val="1"/>
                <w:bCs w:val="1"/>
                <w:color w:val="auto"/>
              </w:rPr>
              <w:t>August 30, 2014</w:t>
            </w:r>
          </w:p>
        </w:tc>
        <w:tc>
          <w:tcPr>
            <w:tcW w:w="380" w:type="dxa"/>
            <w:vAlign w:val="bottom"/>
          </w:tcPr>
          <w:p>
            <w:pPr>
              <w:spacing w:after="0"/>
              <w:rPr>
                <w:sz w:val="19"/>
                <w:szCs w:val="19"/>
                <w:color w:val="auto"/>
              </w:rPr>
            </w:pPr>
          </w:p>
        </w:tc>
        <w:tc>
          <w:tcPr>
            <w:tcW w:w="2100" w:type="dxa"/>
            <w:vAlign w:val="bottom"/>
          </w:tcPr>
          <w:p>
            <w:pPr>
              <w:jc w:val="right"/>
              <w:ind w:right="539"/>
              <w:spacing w:after="0"/>
              <w:rPr>
                <w:sz w:val="20"/>
                <w:szCs w:val="20"/>
                <w:color w:val="auto"/>
              </w:rPr>
            </w:pPr>
            <w:r>
              <w:rPr>
                <w:rFonts w:ascii="Arial" w:cs="Arial" w:eastAsia="Arial" w:hAnsi="Arial"/>
                <w:sz w:val="16"/>
                <w:szCs w:val="16"/>
                <w:b w:val="1"/>
                <w:bCs w:val="1"/>
                <w:color w:val="auto"/>
              </w:rPr>
              <w:t>August 31, 2013</w:t>
            </w:r>
          </w:p>
        </w:tc>
      </w:tr>
      <w:tr>
        <w:trPr>
          <w:trHeight w:val="270"/>
        </w:trPr>
        <w:tc>
          <w:tcPr>
            <w:tcW w:w="6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738</w:t>
            </w: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757</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Buildings and building improvements</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47,273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50,297</w:t>
            </w:r>
          </w:p>
        </w:tc>
      </w:tr>
      <w:tr>
        <w:trPr>
          <w:trHeight w:val="280"/>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90,101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88,280</w:t>
            </w:r>
          </w:p>
        </w:tc>
      </w:tr>
      <w:tr>
        <w:trPr>
          <w:trHeight w:val="260"/>
        </w:trPr>
        <w:tc>
          <w:tcPr>
            <w:tcW w:w="6360" w:type="dxa"/>
            <w:vAlign w:val="bottom"/>
          </w:tcPr>
          <w:p>
            <w:pPr>
              <w:ind w:left="40"/>
              <w:spacing w:after="0"/>
              <w:rPr>
                <w:sz w:val="20"/>
                <w:szCs w:val="20"/>
                <w:color w:val="auto"/>
              </w:rPr>
            </w:pPr>
            <w:r>
              <w:rPr>
                <w:rFonts w:ascii="Arial" w:cs="Arial" w:eastAsia="Arial" w:hAnsi="Arial"/>
                <w:sz w:val="16"/>
                <w:szCs w:val="16"/>
                <w:color w:val="auto"/>
              </w:rPr>
              <w:t>Software</w:t>
            </w: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4,356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2,944</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9,098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9,044</w:t>
            </w:r>
          </w:p>
        </w:tc>
      </w:tr>
      <w:tr>
        <w:trPr>
          <w:trHeight w:val="247"/>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151,566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100" w:type="dxa"/>
            <w:vAlign w:val="bottom"/>
          </w:tcPr>
          <w:p>
            <w:pPr>
              <w:jc w:val="right"/>
              <w:ind w:right="459"/>
              <w:spacing w:after="0"/>
              <w:rPr>
                <w:sz w:val="20"/>
                <w:szCs w:val="20"/>
                <w:color w:val="auto"/>
              </w:rPr>
            </w:pPr>
            <w:r>
              <w:rPr>
                <w:rFonts w:ascii="Arial" w:cs="Arial" w:eastAsia="Arial" w:hAnsi="Arial"/>
                <w:sz w:val="16"/>
                <w:szCs w:val="16"/>
                <w:color w:val="auto"/>
              </w:rPr>
              <w:t>151,322</w:t>
            </w:r>
          </w:p>
        </w:tc>
      </w:tr>
      <w:tr>
        <w:trPr>
          <w:trHeight w:val="27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(126,431)</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(131,056)</w:t>
            </w:r>
          </w:p>
        </w:tc>
      </w:tr>
      <w:tr>
        <w:trPr>
          <w:trHeight w:val="240"/>
        </w:trPr>
        <w:tc>
          <w:tcPr>
            <w:tcW w:w="6360" w:type="dxa"/>
            <w:vAlign w:val="bottom"/>
          </w:tcPr>
          <w:p>
            <w:pPr>
              <w:ind w:left="40"/>
              <w:spacing w:after="0"/>
              <w:rPr>
                <w:sz w:val="20"/>
                <w:szCs w:val="20"/>
                <w:color w:val="auto"/>
              </w:rPr>
            </w:pPr>
            <w:r>
              <w:rPr>
                <w:rFonts w:ascii="Arial" w:cs="Arial" w:eastAsia="Arial" w:hAnsi="Arial"/>
                <w:sz w:val="16"/>
                <w:szCs w:val="16"/>
                <w:color w:val="auto"/>
              </w:rPr>
              <w:t>Total property, plant and equipment, net</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25,135</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20,266</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60"/>
        <w:spacing w:after="0" w:line="260" w:lineRule="auto"/>
        <w:rPr>
          <w:sz w:val="20"/>
          <w:szCs w:val="20"/>
          <w:color w:val="auto"/>
        </w:rPr>
      </w:pPr>
      <w:r>
        <w:rPr>
          <w:rFonts w:ascii="Arial" w:cs="Arial" w:eastAsia="Arial" w:hAnsi="Arial"/>
          <w:sz w:val="16"/>
          <w:szCs w:val="16"/>
          <w:color w:val="auto"/>
        </w:rPr>
        <w:t>In the second quarter of Fiscal 2014, a lessee exercised an option to purchase warehouse facilities that they had leased from us since 1980. Net proceeds from the sale were $2.3 million, resulting in a gain of $629,000.</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Held for Sale</w:t>
      </w:r>
    </w:p>
    <w:p>
      <w:pPr>
        <w:spacing w:after="0" w:line="2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recorded an impairment of $855,000 for the Hampton facility in the fourth quarter of Fiscal 2009 when the decision to close the facility was made. Additional impairment of $605,000 was recorded during the third quarter of Fiscal 2011 as a result of deteriorating real estate market conditions and and an additional impairment of $50,000 was recorded during the fourth quarter of Fiscal 2012 based upon the sale of the asset that occurred shortly after Fiscal 2012. On August 30, 2012 (our Fiscal 2013), the facility was sold in an arm's-length transaction to New South Central Properties, LLC. The sale generated $550,000 in gross proceeds, selling costs of $28,000 and a loss of $28,000.</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At August 31, 2013 and August 30, 2014, we had no assets held for sale.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Goodwill and Amortizable Intangible Assets</w:t>
      </w:r>
    </w:p>
    <w:p>
      <w:pPr>
        <w:spacing w:after="0" w:line="214"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Goodwill and intangible assets are the result of the acquisition of SunnyBrook during Fiscal 2011. Goodwill of $1.2 million is not subject to amortization for financial statement purposes, but is amortizable for tax return purposes. Goodwill assets are reviewed for impairment by applying a fair-value based test on an annual basis, or more frequently if circumstances indicate a potential impairment.</w:t>
      </w:r>
    </w:p>
    <w:p>
      <w:pPr>
        <w:spacing w:after="0" w:line="17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Amortizable intangible assets of $770,000 consisted of dealer network, trademarks and non-compete agreements and were fully amortized in Fiscal 2013 after identifying a decrease in the estimated useful lives. Amortization expense was $0, $640,000 and $79,000 for Fiscal 2014, Fiscal 2013, and Fiscal 2012,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Credit Facilities</w:t>
      </w:r>
    </w:p>
    <w:p>
      <w:pPr>
        <w:spacing w:after="0" w:line="18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On October 31, 2012, we entered into a Credit Agreement with GECC. The Credit Agreement provides for an initial $35.0 million revolving credit facility, based on our eligible inventory and was to expire on October 31, 2015 before the amendment described below. There is no termination fee associated with the agreement.</w:t>
      </w:r>
    </w:p>
    <w:p>
      <w:pPr>
        <w:spacing w:after="0" w:line="14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Credit Agreement contains no financial covenant restrictions for borrowings where we have excess borrowing availability under the facility of greater than $5.0 million. The Credit Agreement requires us to comply with a fixed charge ratio if excess borrowing availability under the facility is less than $5.0 million. In addition the Credit Agreement also includes a framework to expand the size of the facility up to $50.0 million, based on mutually agreeable terms at the time of the expansion. The initial unused line fee associated with the Credit Agreement is 0.5% per annum and has the ability to be lowered based upon facility usage.</w:t>
      </w:r>
    </w:p>
    <w:p>
      <w:pPr>
        <w:spacing w:after="0" w:line="149"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The Credit Agreement contains typical affirmative representations and covenants for a credit agreement of this size and nature. Additionally, the Credit Agreement contains negative covenants limiting our ability, among other things, to incur debt, grant liens, make acquisitions, make certain investments, pay certain dividends and distributions, engage in mergers, consolidations or acquisitions and sell certain assets. Obligations under the Credit Agreement are secured by a security interest in all of our accounts and other receivables, chattel paper, documents, deposit accounts, instruments, equipment, inventory, investment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property, leasehold interest, cash and cash equivalents, letter-of-credit rights, most real property and fixtures and certain other business assets.</w:t>
      </w:r>
    </w:p>
    <w:p>
      <w:pPr>
        <w:spacing w:after="0" w:line="194"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On May 28, 2014, we amended this Credit Agreement (the "Amended Credit Agreement"). The Amended Credit Agreement extends the term of the credit facility from October 31, 2015 to May 28, 2019. In addition, interest on loans made under the Amended Credit Facility will be based on LIBOR plus a margin of 2.0%. The amendment also revised and added definitions of several terms including an expanded Restricted Payment Basket that now permits up to $15.0 million purchases of company stock or cash dividends to be excluded from the Fixed Charge ratio. In addition, the definition of Eligible Accounts was expanded to permit certain receivables to be included in the Borrowing Base. The Amended Credit Agreement also permits us to engage in certain sale lease buyback transactions in the ordinary course of business subject to certain restrictions and increases our ability to incur capital lease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As of the date of this report, we are in compliance with all terms of the Credit Agreement, and no borrowings have been made thereunder.</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provide our motorhome customers a comprehensive 12-month/15,000-mile warranty on our Class A, B, and C motorhomes, and a 3-year/36,000-mile structural warranty on Class A and C sidewalls and floors. We provide a comprehensive 12-month warranty on all towable products. From time to time, we voluntarily incur costs for certain warranty-type expenses occurring after the normal warranty period to help protect the reputation of our products and the goodwill of our customers.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product warranty liability during Fiscal 2014, Fiscal 2013, and Fiscal 2012 are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August 30, 2014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August 31, 2013</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August 25, 2012</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8,443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6,990</w:t>
            </w:r>
          </w:p>
        </w:tc>
        <w:tc>
          <w:tcPr>
            <w:tcW w:w="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7,335</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Provision</w:t>
            </w:r>
          </w:p>
        </w:tc>
        <w:tc>
          <w:tcPr>
            <w:tcW w:w="360" w:type="dxa"/>
            <w:vAlign w:val="bottom"/>
          </w:tcPr>
          <w:p>
            <w:pPr>
              <w:spacing w:after="0"/>
              <w:rPr>
                <w:sz w:val="22"/>
                <w:szCs w:val="22"/>
                <w:color w:val="auto"/>
              </w:rPr>
            </w:pPr>
          </w:p>
        </w:tc>
        <w:tc>
          <w:tcPr>
            <w:tcW w:w="1680" w:type="dxa"/>
            <w:vAlign w:val="bottom"/>
          </w:tcPr>
          <w:p>
            <w:pPr>
              <w:jc w:val="right"/>
              <w:ind w:right="459"/>
              <w:spacing w:after="0"/>
              <w:rPr>
                <w:sz w:val="20"/>
                <w:szCs w:val="20"/>
                <w:color w:val="auto"/>
              </w:rPr>
            </w:pPr>
            <w:r>
              <w:rPr>
                <w:rFonts w:ascii="Arial" w:cs="Arial" w:eastAsia="Arial" w:hAnsi="Arial"/>
                <w:sz w:val="16"/>
                <w:szCs w:val="16"/>
                <w:color w:val="auto"/>
              </w:rPr>
              <w:t>10,947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9,075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5,756</w:t>
            </w:r>
          </w:p>
        </w:tc>
        <w:tc>
          <w:tcPr>
            <w:tcW w:w="0" w:type="dxa"/>
            <w:vAlign w:val="bottom"/>
          </w:tcPr>
          <w:p>
            <w:pPr>
              <w:spacing w:after="0"/>
              <w:rPr>
                <w:sz w:val="1"/>
                <w:szCs w:val="1"/>
                <w:color w:val="auto"/>
              </w:rPr>
            </w:pPr>
          </w:p>
        </w:tc>
      </w:tr>
      <w:tr>
        <w:trPr>
          <w:trHeight w:val="273"/>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6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(9,889)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(7,622)</w:t>
            </w:r>
          </w:p>
        </w:tc>
        <w:tc>
          <w:tcPr>
            <w:tcW w:w="40" w:type="dxa"/>
            <w:vAlign w:val="bottom"/>
            <w:tcBorders>
              <w:bottom w:val="single" w:sz="8" w:color="auto"/>
            </w:tcBorders>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(6,101)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459"/>
              <w:spacing w:after="0"/>
              <w:rPr>
                <w:sz w:val="20"/>
                <w:szCs w:val="20"/>
                <w:color w:val="auto"/>
              </w:rPr>
            </w:pPr>
            <w:r>
              <w:rPr>
                <w:rFonts w:ascii="Arial" w:cs="Arial" w:eastAsia="Arial" w:hAnsi="Arial"/>
                <w:sz w:val="16"/>
                <w:szCs w:val="16"/>
                <w:color w:val="auto"/>
              </w:rPr>
              <w:t>9,501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8,443</w:t>
            </w:r>
          </w:p>
        </w:tc>
        <w:tc>
          <w:tcPr>
            <w:tcW w:w="40" w:type="dxa"/>
            <w:vAlign w:val="bottom"/>
          </w:tcPr>
          <w:p>
            <w:pPr>
              <w:spacing w:after="0"/>
              <w:rPr>
                <w:sz w:val="20"/>
                <w:szCs w:val="20"/>
                <w:color w:val="auto"/>
              </w:rPr>
            </w:pPr>
          </w:p>
        </w:tc>
        <w:tc>
          <w:tcPr>
            <w:tcW w:w="3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6,990</w:t>
            </w: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6"/>
                <w:szCs w:val="16"/>
                <w:b w:val="1"/>
                <w:bCs w:val="1"/>
                <w:color w:val="auto"/>
              </w:rPr>
              <w:t>Note 9: Employee and Retiree Benefits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320" w:type="dxa"/>
            <w:vAlign w:val="bottom"/>
            <w:gridSpan w:val="4"/>
          </w:tcPr>
          <w:p>
            <w:pPr>
              <w:spacing w:after="0"/>
              <w:rPr>
                <w:sz w:val="20"/>
                <w:szCs w:val="20"/>
                <w:color w:val="auto"/>
              </w:rPr>
            </w:pPr>
            <w:r>
              <w:rPr>
                <w:rFonts w:ascii="Arial" w:cs="Arial" w:eastAsia="Arial" w:hAnsi="Arial"/>
                <w:sz w:val="16"/>
                <w:szCs w:val="16"/>
                <w:color w:val="auto"/>
              </w:rPr>
              <w:t>Postretirement health care and deferred compensation benefits are as follows:</w:t>
            </w:r>
          </w:p>
        </w:tc>
        <w:tc>
          <w:tcPr>
            <w:tcW w:w="2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30, 2014</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2013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 cost</w:t>
            </w: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c>
          <w:tcPr>
            <w:tcW w:w="40" w:type="dxa"/>
            <w:vAlign w:val="bottom"/>
            <w:shd w:val="clear" w:color="auto" w:fill="CCEEFF"/>
          </w:tcPr>
          <w:p>
            <w:pPr>
              <w:spacing w:after="0"/>
              <w:rPr>
                <w:sz w:val="22"/>
                <w:szCs w:val="22"/>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Non-qualified deferred compensation</w:t>
            </w: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21,014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22,366</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share option plan liability</w:t>
            </w:r>
          </w:p>
        </w:tc>
        <w:tc>
          <w:tcPr>
            <w:tcW w:w="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5,628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6,959</w:t>
            </w:r>
          </w:p>
        </w:tc>
        <w:tc>
          <w:tcPr>
            <w:tcW w:w="0" w:type="dxa"/>
            <w:vAlign w:val="bottom"/>
          </w:tcPr>
          <w:p>
            <w:pPr>
              <w:spacing w:after="0"/>
              <w:rPr>
                <w:sz w:val="1"/>
                <w:szCs w:val="1"/>
                <w:color w:val="auto"/>
              </w:rPr>
            </w:pP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SERP benefit liability</w:t>
            </w:r>
          </w:p>
        </w:tc>
        <w:tc>
          <w:tcPr>
            <w:tcW w:w="3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2,974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2,876</w:t>
            </w:r>
          </w:p>
        </w:tc>
        <w:tc>
          <w:tcPr>
            <w:tcW w:w="0" w:type="dxa"/>
            <w:vAlign w:val="bottom"/>
          </w:tcPr>
          <w:p>
            <w:pPr>
              <w:spacing w:after="0"/>
              <w:rPr>
                <w:sz w:val="1"/>
                <w:szCs w:val="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Executive deferred compensation</w:t>
            </w:r>
          </w:p>
        </w:tc>
        <w:tc>
          <w:tcPr>
            <w:tcW w:w="36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213</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Officer stock-based compensation</w:t>
            </w:r>
          </w:p>
        </w:tc>
        <w:tc>
          <w:tcPr>
            <w:tcW w:w="360" w:type="dxa"/>
            <w:vAlign w:val="bottom"/>
            <w:tcBorders>
              <w:bottom w:val="single" w:sz="8" w:color="CCEEFF"/>
            </w:tcBorders>
          </w:tcPr>
          <w:p>
            <w:pPr>
              <w:spacing w:after="0"/>
              <w:rPr>
                <w:sz w:val="22"/>
                <w:szCs w:val="22"/>
                <w:color w:val="auto"/>
              </w:rPr>
            </w:pPr>
          </w:p>
        </w:tc>
        <w:tc>
          <w:tcPr>
            <w:tcW w:w="16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627</w:t>
            </w: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postretirement health care and deferred compensation benefits</w:t>
            </w:r>
          </w:p>
        </w:tc>
        <w:tc>
          <w:tcPr>
            <w:tcW w:w="3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67,386</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69,093</w:t>
            </w: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r>
              <w:rPr>
                <w:rFonts w:ascii="Arial" w:cs="Arial" w:eastAsia="Arial" w:hAnsi="Arial"/>
                <w:sz w:val="21"/>
                <w:szCs w:val="21"/>
                <w:color w:val="auto"/>
                <w:vertAlign w:val="superscript"/>
              </w:rPr>
              <w:t>(1)</w:t>
            </w:r>
          </w:p>
        </w:tc>
        <w:tc>
          <w:tcPr>
            <w:tcW w:w="360" w:type="dxa"/>
            <w:vAlign w:val="bottom"/>
            <w:tcBorders>
              <w:bottom w:val="single" w:sz="8" w:color="CCEEFF"/>
            </w:tcBorders>
          </w:tcPr>
          <w:p>
            <w:pPr>
              <w:spacing w:after="0"/>
              <w:rPr>
                <w:sz w:val="23"/>
                <w:szCs w:val="23"/>
                <w:color w:val="auto"/>
              </w:rPr>
            </w:pPr>
          </w:p>
        </w:tc>
        <w:tc>
          <w:tcPr>
            <w:tcW w:w="16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(4,575)</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(5,019)</w:t>
            </w:r>
          </w:p>
        </w:tc>
        <w:tc>
          <w:tcPr>
            <w:tcW w:w="0" w:type="dxa"/>
            <w:vAlign w:val="bottom"/>
          </w:tcPr>
          <w:p>
            <w:pPr>
              <w:spacing w:after="0"/>
              <w:rPr>
                <w:sz w:val="1"/>
                <w:szCs w:val="1"/>
                <w:color w:val="auto"/>
              </w:rPr>
            </w:pPr>
          </w:p>
        </w:tc>
      </w:tr>
      <w:tr>
        <w:trPr>
          <w:trHeight w:val="237"/>
        </w:trPr>
        <w:tc>
          <w:tcPr>
            <w:tcW w:w="5520" w:type="dxa"/>
            <w:vAlign w:val="bottom"/>
            <w:gridSpan w:val="2"/>
            <w:shd w:val="clear" w:color="auto" w:fill="CCEEFF"/>
          </w:tcPr>
          <w:p>
            <w:pPr>
              <w:ind w:left="40"/>
              <w:spacing w:after="0" w:line="237" w:lineRule="exact"/>
              <w:rPr>
                <w:sz w:val="20"/>
                <w:szCs w:val="20"/>
                <w:color w:val="auto"/>
              </w:rPr>
            </w:pPr>
            <w:r>
              <w:rPr>
                <w:rFonts w:ascii="Arial" w:cs="Arial" w:eastAsia="Arial" w:hAnsi="Arial"/>
                <w:sz w:val="16"/>
                <w:szCs w:val="16"/>
                <w:color w:val="auto"/>
              </w:rPr>
              <w:t>Long-term postretirement health care and deferred compensation benefits</w:t>
            </w:r>
            <w:r>
              <w:rPr>
                <w:rFonts w:ascii="Arial" w:cs="Arial" w:eastAsia="Arial" w:hAnsi="Arial"/>
                <w:sz w:val="21"/>
                <w:szCs w:val="21"/>
                <w:color w:val="auto"/>
                <w:vertAlign w:val="superscript"/>
              </w:rPr>
              <w:t>(2)</w:t>
            </w:r>
          </w:p>
        </w:tc>
        <w:tc>
          <w:tcPr>
            <w:tcW w:w="1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62,811</w:t>
            </w:r>
          </w:p>
        </w:tc>
        <w:tc>
          <w:tcPr>
            <w:tcW w:w="4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64,074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current liabilities in the Consolidated Balance Sheets</w:t>
      </w:r>
    </w:p>
    <w:p>
      <w:pPr>
        <w:ind w:left="180" w:hanging="172"/>
        <w:spacing w:after="0" w:line="199" w:lineRule="auto"/>
        <w:tabs>
          <w:tab w:leader="none" w:pos="18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Included in long-term liabilities in the Consolidated Balance Sheets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We use a September 1 measurement date for this plan and our postretirement health care plan currently is not funded. In Fiscal 2005, we established dollar caps on the amount that we will pay for postretirement health care benefits per retiree on an annual basis so that we were not exposed to continued medical inflation. Retirees are required to pay a monthly premium in excess of the employer dollar caps for medical coverage based on years of service and age at retirement. In January 2012, January 2013, and January 2014 the employer established dollar caps were reduced by 10% in each year through plan amendments. Our liability for postretirement health care was reduced by $4.3 million and $3.6 million as of August 31, 2013 and August 30, 2014, respectively, as presented in the table below.</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41"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Based on actuarial evaluations, the discount rate used in determining the accumulated postretirement benefit obligation was 3.9% at August 30, 2014 and 4.6% at August 31, 2013. In Fiscal 2014, the decrease in the discount rate resulted in an increase to the benefit obligation of $3.4 million, presented as an actuarial loss in the following table. Assumed health care cost trend rates do not have a significant effect in determining the accumulated postretirement benefit obligation due to employer caps established.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20" w:type="dxa"/>
            <w:vAlign w:val="bottom"/>
          </w:tcPr>
          <w:p>
            <w:pPr>
              <w:spacing w:after="0"/>
              <w:rPr>
                <w:sz w:val="20"/>
                <w:szCs w:val="20"/>
                <w:color w:val="auto"/>
              </w:rPr>
            </w:pPr>
            <w:r>
              <w:rPr>
                <w:rFonts w:ascii="Arial" w:cs="Arial" w:eastAsia="Arial" w:hAnsi="Arial"/>
                <w:sz w:val="16"/>
                <w:szCs w:val="16"/>
                <w:color w:val="auto"/>
              </w:rPr>
              <w:t>Changes in our postretirement health care liability are as follows:</w:t>
            </w:r>
          </w:p>
        </w:tc>
        <w:tc>
          <w:tcPr>
            <w:tcW w:w="2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91"/>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4"/>
                <w:szCs w:val="24"/>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24"/>
                <w:szCs w:val="24"/>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7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45,132</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22"/>
                <w:szCs w:val="22"/>
                <w:color w:val="auto"/>
              </w:rPr>
            </w:pPr>
          </w:p>
        </w:tc>
        <w:tc>
          <w:tcPr>
            <w:tcW w:w="1760" w:type="dxa"/>
            <w:vAlign w:val="bottom"/>
          </w:tcPr>
          <w:p>
            <w:pPr>
              <w:jc w:val="right"/>
              <w:ind w:right="359"/>
              <w:spacing w:after="0"/>
              <w:rPr>
                <w:sz w:val="20"/>
                <w:szCs w:val="20"/>
                <w:color w:val="auto"/>
              </w:rPr>
            </w:pPr>
            <w:r>
              <w:rPr>
                <w:rFonts w:ascii="Arial" w:cs="Arial" w:eastAsia="Arial" w:hAnsi="Arial"/>
                <w:sz w:val="16"/>
                <w:szCs w:val="16"/>
                <w:color w:val="auto"/>
              </w:rPr>
              <w:t>1,540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1,508</w:t>
            </w: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574</w:t>
            </w:r>
          </w:p>
        </w:tc>
      </w:tr>
      <w:tr>
        <w:trPr>
          <w:trHeight w:val="260"/>
        </w:trPr>
        <w:tc>
          <w:tcPr>
            <w:tcW w:w="7320" w:type="dxa"/>
            <w:vAlign w:val="bottom"/>
          </w:tcPr>
          <w:p>
            <w:pPr>
              <w:ind w:left="40"/>
              <w:spacing w:after="0"/>
              <w:rPr>
                <w:sz w:val="20"/>
                <w:szCs w:val="20"/>
                <w:color w:val="auto"/>
              </w:rPr>
            </w:pPr>
            <w:r>
              <w:rPr>
                <w:rFonts w:ascii="Arial" w:cs="Arial" w:eastAsia="Arial" w:hAnsi="Arial"/>
                <w:sz w:val="16"/>
                <w:szCs w:val="16"/>
                <w:color w:val="auto"/>
              </w:rPr>
              <w:t>Net benefits paid</w:t>
            </w:r>
          </w:p>
        </w:tc>
        <w:tc>
          <w:tcPr>
            <w:tcW w:w="240" w:type="dxa"/>
            <w:vAlign w:val="bottom"/>
          </w:tcPr>
          <w:p>
            <w:pPr>
              <w:spacing w:after="0"/>
              <w:rPr>
                <w:sz w:val="22"/>
                <w:szCs w:val="22"/>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color w:val="auto"/>
              </w:rPr>
              <w:t>(1,035)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(1,109)</w:t>
            </w:r>
          </w:p>
        </w:tc>
      </w:tr>
      <w:tr>
        <w:trPr>
          <w:trHeight w:val="280"/>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Actuarial loss (gain)</w:t>
            </w:r>
          </w:p>
        </w:tc>
        <w:tc>
          <w:tcPr>
            <w:tcW w:w="24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3,368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(5,572)</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Plan amendment</w:t>
            </w: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(3,580)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(4,289)</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36,930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36,244</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for the past three fiscal years consisted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2"/>
                <w:szCs w:val="22"/>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22"/>
                <w:szCs w:val="22"/>
                <w:color w:val="auto"/>
              </w:rPr>
            </w:pPr>
          </w:p>
        </w:tc>
        <w:tc>
          <w:tcPr>
            <w:tcW w:w="18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31, 2013</w:t>
            </w:r>
          </w:p>
        </w:tc>
        <w:tc>
          <w:tcPr>
            <w:tcW w:w="260" w:type="dxa"/>
            <w:vAlign w:val="bottom"/>
          </w:tcPr>
          <w:p>
            <w:pPr>
              <w:spacing w:after="0"/>
              <w:rPr>
                <w:sz w:val="22"/>
                <w:szCs w:val="22"/>
                <w:color w:val="auto"/>
              </w:rPr>
            </w:pPr>
          </w:p>
        </w:tc>
        <w:tc>
          <w:tcPr>
            <w:tcW w:w="176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51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1,540</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1,508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1,849</w:t>
            </w:r>
          </w:p>
        </w:tc>
      </w:tr>
      <w:tr>
        <w:trPr>
          <w:trHeight w:val="260"/>
        </w:trPr>
        <w:tc>
          <w:tcPr>
            <w:tcW w:w="5160" w:type="dxa"/>
            <w:vAlign w:val="bottom"/>
          </w:tcPr>
          <w:p>
            <w:pPr>
              <w:ind w:left="40"/>
              <w:spacing w:after="0"/>
              <w:rPr>
                <w:sz w:val="20"/>
                <w:szCs w:val="20"/>
                <w:color w:val="auto"/>
              </w:rPr>
            </w:pPr>
            <w:r>
              <w:rPr>
                <w:rFonts w:ascii="Arial" w:cs="Arial" w:eastAsia="Arial" w:hAnsi="Arial"/>
                <w:sz w:val="16"/>
                <w:szCs w:val="16"/>
                <w:color w:val="auto"/>
              </w:rPr>
              <w:t>Service cost</w:t>
            </w:r>
          </w:p>
        </w:tc>
        <w:tc>
          <w:tcPr>
            <w:tcW w:w="260" w:type="dxa"/>
            <w:vAlign w:val="bottom"/>
          </w:tcPr>
          <w:p>
            <w:pPr>
              <w:spacing w:after="0"/>
              <w:rPr>
                <w:sz w:val="22"/>
                <w:szCs w:val="22"/>
                <w:color w:val="auto"/>
              </w:rPr>
            </w:pPr>
          </w:p>
        </w:tc>
        <w:tc>
          <w:tcPr>
            <w:tcW w:w="1760" w:type="dxa"/>
            <w:vAlign w:val="bottom"/>
          </w:tcPr>
          <w:p>
            <w:pPr>
              <w:jc w:val="right"/>
              <w:ind w:right="459"/>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459"/>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60" w:type="dxa"/>
            <w:vAlign w:val="bottom"/>
          </w:tcPr>
          <w:p>
            <w:pPr>
              <w:jc w:val="right"/>
              <w:ind w:right="459"/>
              <w:spacing w:after="0"/>
              <w:rPr>
                <w:sz w:val="20"/>
                <w:szCs w:val="20"/>
                <w:color w:val="auto"/>
              </w:rPr>
            </w:pPr>
            <w:r>
              <w:rPr>
                <w:rFonts w:ascii="Arial" w:cs="Arial" w:eastAsia="Arial" w:hAnsi="Arial"/>
                <w:sz w:val="16"/>
                <w:szCs w:val="16"/>
                <w:color w:val="auto"/>
              </w:rPr>
              <w:t>539</w:t>
            </w: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(5,650)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(5,170)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(4,592)</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net actuarial loss</w:t>
            </w: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1,603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1,029</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(2,640)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(1,175)</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For accounting purposes, we recognized net periodic postretirement income as presented in the table above, due to the amortization of prior service benefit associated with the establishment of caps on the employer portion of benefits in Fiscal 2005 and the 10% cap reductions in Fiscal 2014, Fiscal 2013 and Fiscal 2012.</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19"/>
                <w:szCs w:val="19"/>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7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Prior service credit</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(14,857)</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(16,926)</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actuarial loss</w:t>
            </w: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17,190</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14,899</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2,333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(2,027)</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estimated amounts that will be will be amortized from accumulated other comprehensive income to net periodic benefit cost in Fiscal 2015 include a prior service credit of $5.2 million and an actuarial net loss of $1.3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Expected future benefit payments for postretirement health care for the next ten years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8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9"/>
                <w:szCs w:val="19"/>
                <w:color w:val="auto"/>
              </w:rPr>
            </w:pPr>
          </w:p>
        </w:tc>
        <w:tc>
          <w:tcPr>
            <w:tcW w:w="1400" w:type="dxa"/>
            <w:vAlign w:val="bottom"/>
          </w:tcPr>
          <w:p>
            <w:pPr>
              <w:jc w:val="right"/>
              <w:ind w:right="479"/>
              <w:spacing w:after="0"/>
              <w:rPr>
                <w:sz w:val="20"/>
                <w:szCs w:val="20"/>
                <w:color w:val="auto"/>
              </w:rPr>
            </w:pPr>
            <w:r>
              <w:rPr>
                <w:rFonts w:ascii="Arial" w:cs="Arial" w:eastAsia="Arial" w:hAnsi="Arial"/>
                <w:sz w:val="16"/>
                <w:szCs w:val="16"/>
                <w:b w:val="1"/>
                <w:bCs w:val="1"/>
                <w:color w:val="auto"/>
              </w:rPr>
              <w:t>Amount</w:t>
            </w:r>
          </w:p>
        </w:tc>
      </w:tr>
      <w:tr>
        <w:trPr>
          <w:trHeight w:val="257"/>
        </w:trPr>
        <w:tc>
          <w:tcPr>
            <w:tcW w:w="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89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6"/>
                <w:szCs w:val="16"/>
                <w:color w:val="auto"/>
              </w:rPr>
              <w:t>2015</w:t>
            </w:r>
          </w:p>
        </w:tc>
        <w:tc>
          <w:tcPr>
            <w:tcW w:w="1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1,164</w:t>
            </w:r>
          </w:p>
        </w:tc>
      </w:tr>
      <w:tr>
        <w:trPr>
          <w:trHeight w:val="260"/>
        </w:trPr>
        <w:tc>
          <w:tcPr>
            <w:tcW w:w="660" w:type="dxa"/>
            <w:vAlign w:val="bottom"/>
          </w:tcPr>
          <w:p>
            <w:pPr>
              <w:spacing w:after="0"/>
              <w:rPr>
                <w:sz w:val="22"/>
                <w:szCs w:val="22"/>
                <w:color w:val="auto"/>
              </w:rPr>
            </w:pPr>
          </w:p>
        </w:tc>
        <w:tc>
          <w:tcPr>
            <w:tcW w:w="8900" w:type="dxa"/>
            <w:vAlign w:val="bottom"/>
          </w:tcPr>
          <w:p>
            <w:pPr>
              <w:ind w:left="240"/>
              <w:spacing w:after="0"/>
              <w:rPr>
                <w:sz w:val="20"/>
                <w:szCs w:val="20"/>
                <w:color w:val="auto"/>
              </w:rPr>
            </w:pPr>
            <w:r>
              <w:rPr>
                <w:rFonts w:ascii="Arial" w:cs="Arial" w:eastAsia="Arial" w:hAnsi="Arial"/>
                <w:sz w:val="16"/>
                <w:szCs w:val="16"/>
                <w:color w:val="auto"/>
              </w:rPr>
              <w:t>2016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1,306</w:t>
            </w:r>
          </w:p>
        </w:tc>
      </w:tr>
      <w:tr>
        <w:trPr>
          <w:trHeight w:val="280"/>
        </w:trPr>
        <w:tc>
          <w:tcPr>
            <w:tcW w:w="660" w:type="dxa"/>
            <w:vAlign w:val="bottom"/>
            <w:shd w:val="clear" w:color="auto" w:fill="CCEEFF"/>
          </w:tcPr>
          <w:p>
            <w:pPr>
              <w:spacing w:after="0"/>
              <w:rPr>
                <w:sz w:val="24"/>
                <w:szCs w:val="24"/>
                <w:color w:val="auto"/>
              </w:rPr>
            </w:pPr>
          </w:p>
        </w:tc>
        <w:tc>
          <w:tcPr>
            <w:tcW w:w="8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1,447</w:t>
            </w:r>
          </w:p>
        </w:tc>
      </w:tr>
      <w:tr>
        <w:trPr>
          <w:trHeight w:val="260"/>
        </w:trPr>
        <w:tc>
          <w:tcPr>
            <w:tcW w:w="660" w:type="dxa"/>
            <w:vAlign w:val="bottom"/>
          </w:tcPr>
          <w:p>
            <w:pPr>
              <w:spacing w:after="0"/>
              <w:rPr>
                <w:sz w:val="22"/>
                <w:szCs w:val="22"/>
                <w:color w:val="auto"/>
              </w:rPr>
            </w:pPr>
          </w:p>
        </w:tc>
        <w:tc>
          <w:tcPr>
            <w:tcW w:w="8900" w:type="dxa"/>
            <w:vAlign w:val="bottom"/>
          </w:tcPr>
          <w:p>
            <w:pPr>
              <w:ind w:left="240"/>
              <w:spacing w:after="0"/>
              <w:rPr>
                <w:sz w:val="20"/>
                <w:szCs w:val="20"/>
                <w:color w:val="auto"/>
              </w:rPr>
            </w:pPr>
            <w:r>
              <w:rPr>
                <w:rFonts w:ascii="Arial" w:cs="Arial" w:eastAsia="Arial" w:hAnsi="Arial"/>
                <w:sz w:val="16"/>
                <w:szCs w:val="16"/>
                <w:color w:val="auto"/>
              </w:rPr>
              <w:t>2018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1,587</w:t>
            </w:r>
          </w:p>
        </w:tc>
      </w:tr>
      <w:tr>
        <w:trPr>
          <w:trHeight w:val="280"/>
        </w:trPr>
        <w:tc>
          <w:tcPr>
            <w:tcW w:w="660" w:type="dxa"/>
            <w:vAlign w:val="bottom"/>
            <w:shd w:val="clear" w:color="auto" w:fill="CCEEFF"/>
          </w:tcPr>
          <w:p>
            <w:pPr>
              <w:spacing w:after="0"/>
              <w:rPr>
                <w:sz w:val="24"/>
                <w:szCs w:val="24"/>
                <w:color w:val="auto"/>
              </w:rPr>
            </w:pPr>
          </w:p>
        </w:tc>
        <w:tc>
          <w:tcPr>
            <w:tcW w:w="8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2019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1,723</w:t>
            </w:r>
          </w:p>
        </w:tc>
      </w:tr>
      <w:tr>
        <w:trPr>
          <w:trHeight w:val="264"/>
        </w:trPr>
        <w:tc>
          <w:tcPr>
            <w:tcW w:w="660" w:type="dxa"/>
            <w:vAlign w:val="bottom"/>
            <w:tcBorders>
              <w:bottom w:val="single" w:sz="8" w:color="CCEEFF"/>
            </w:tcBorders>
          </w:tcPr>
          <w:p>
            <w:pPr>
              <w:spacing w:after="0"/>
              <w:rPr>
                <w:sz w:val="22"/>
                <w:szCs w:val="22"/>
                <w:color w:val="auto"/>
              </w:rPr>
            </w:pPr>
          </w:p>
        </w:tc>
        <w:tc>
          <w:tcPr>
            <w:tcW w:w="89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2020-2024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10,336</w:t>
            </w:r>
          </w:p>
        </w:tc>
      </w:tr>
      <w:tr>
        <w:trPr>
          <w:trHeight w:val="240"/>
        </w:trPr>
        <w:tc>
          <w:tcPr>
            <w:tcW w:w="660" w:type="dxa"/>
            <w:vAlign w:val="bottom"/>
            <w:tcBorders>
              <w:bottom w:val="single" w:sz="8" w:color="CCEEFF"/>
            </w:tcBorders>
            <w:shd w:val="clear" w:color="auto" w:fill="CCEEFF"/>
          </w:tcPr>
          <w:p>
            <w:pPr>
              <w:spacing w:after="0"/>
              <w:rPr>
                <w:sz w:val="20"/>
                <w:szCs w:val="20"/>
                <w:color w:val="auto"/>
              </w:rPr>
            </w:pPr>
          </w:p>
        </w:tc>
        <w:tc>
          <w:tcPr>
            <w:tcW w:w="9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17,563</w:t>
            </w:r>
          </w:p>
        </w:tc>
      </w:tr>
      <w:tr>
        <w:trPr>
          <w:trHeight w:val="20"/>
        </w:trPr>
        <w:tc>
          <w:tcPr>
            <w:tcW w:w="66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expected future benefit payments have been estimated based on the same assumptions used to measure our benefit obligation as of August 30, 2014 and include benefits attached to estimated current employees' future services.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Compensation Benefits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Deferred Compensation Program (1981)</w:t>
      </w:r>
    </w:p>
    <w:p>
      <w:pPr>
        <w:spacing w:after="0" w:line="2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to defer a portion of their compensation until their retirement. The plan has been closed to any additional deferrals since January 2001. The retirement</w:t>
      </w:r>
    </w:p>
    <w:p>
      <w:pPr>
        <w:sectPr>
          <w:pgSz w:w="11900" w:h="16838" w:orient="portrait"/>
          <w:cols w:equalWidth="0" w:num="1">
            <w:col w:w="11420"/>
          </w:cols>
          <w:pgMar w:left="240" w:top="141" w:right="2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41" w:right="239" w:bottom="1440" w:gutter="0" w:footer="0" w:header="0"/>
          <w:type w:val="continuous"/>
        </w:sectPr>
      </w:pPr>
    </w:p>
    <w:bookmarkStart w:id="42" w:name="page43"/>
    <w:bookmarkEnd w:id="4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benefit to be provided is based upon the amount of compensation deferred and the age of the individual at the time of the contracted deferral. An individual generally vests at age 55 and 5 years of participation under the plan. For deferrals prior to December 1992, vesting occurs at the later of age 55 and 5 years of service from first deferral or 20 years of service. Deferred compensation expense was $1.4 million, $1.5 million and $1.6 million in Fiscal 2014, 2013 and 2012, respectively. Total deferred compensation liabilities were $21.0 million and $22.4 million at August 30, 2014 and August 31, 2013,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Supplemental Executive Retirement Plan (SERP)</w:t>
      </w:r>
    </w:p>
    <w:p>
      <w:pPr>
        <w:spacing w:after="0" w:line="2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primary purpose of this plan was to provide our officers and managers with supplemental retirement income for a period of 15 years after retirement. We have not offered this plan on a continuing basis to members of management since 1998. The plan was funded with individual whole life insurance policies (Split Dollar Program) owned by the named insured officer or manager. We initially paid the life insurance premiums on the life of the individual and the individual would receive life insurance and supplemental cash payment during the 15 years following retirement. In October 2008, the plan was amended as a result of changes in the tax and accounting regulations and rising administrative costs. Under the redesigned SERP, the underlying life insurance policies previously owned by the insured individual became COLI by a release of all interests by the participant and assignment to us as a prerequisite to participation in the SERP and transition from the Split Dollar Program. Total SERP liabilities were $3.0 million and $2.9 million at August 30, 2014 and August 31, 2013, respectively. This program remains closed to new employee participation.</w:t>
      </w:r>
    </w:p>
    <w:p>
      <w:pPr>
        <w:spacing w:after="0" w:line="18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To assist in funding the deferred compensation and SERP liabilities, we have invested in COLI policies. The cash surrender value of these policies is presented as investment in life insurance in the accompanying balance sheets and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3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860" w:type="dxa"/>
            <w:vAlign w:val="bottom"/>
            <w:gridSpan w:val="2"/>
          </w:tcPr>
          <w:p>
            <w:pPr>
              <w:ind w:left="140"/>
              <w:spacing w:after="0"/>
              <w:rPr>
                <w:sz w:val="20"/>
                <w:szCs w:val="20"/>
                <w:color w:val="auto"/>
              </w:rPr>
            </w:pPr>
            <w:r>
              <w:rPr>
                <w:rFonts w:ascii="Arial" w:cs="Arial" w:eastAsia="Arial" w:hAnsi="Arial"/>
                <w:sz w:val="16"/>
                <w:szCs w:val="16"/>
                <w:b w:val="1"/>
                <w:bCs w:val="1"/>
                <w:color w:val="auto"/>
              </w:rPr>
              <w:t>August 30, 2014</w:t>
            </w:r>
          </w:p>
        </w:tc>
        <w:tc>
          <w:tcPr>
            <w:tcW w:w="260" w:type="dxa"/>
            <w:vAlign w:val="bottom"/>
          </w:tcPr>
          <w:p>
            <w:pPr>
              <w:spacing w:after="0"/>
              <w:rPr>
                <w:sz w:val="19"/>
                <w:szCs w:val="19"/>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2013</w:t>
            </w:r>
          </w:p>
        </w:tc>
      </w:tr>
      <w:tr>
        <w:trPr>
          <w:trHeight w:val="257"/>
        </w:trPr>
        <w:tc>
          <w:tcPr>
            <w:tcW w:w="7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Cash value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55,982</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55,484</w:t>
            </w:r>
          </w:p>
        </w:tc>
      </w:tr>
      <w:tr>
        <w:trPr>
          <w:trHeight w:val="26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(30,856)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(30,433)</w:t>
            </w:r>
          </w:p>
        </w:tc>
      </w:tr>
      <w:tr>
        <w:trPr>
          <w:trHeight w:val="24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 life insurance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25,126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25,051</w:t>
            </w:r>
          </w:p>
        </w:tc>
      </w:tr>
      <w:tr>
        <w:trPr>
          <w:trHeight w:val="20"/>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Non-Qualified Share Option Program (2001)</w:t>
      </w:r>
    </w:p>
    <w:p>
      <w:pPr>
        <w:spacing w:after="0" w:line="25"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Non-Qualified Share Option Program permitted participants in the Executive Share Option Plan (the "Executive Plan") to choose to defer a portion of their salary or other eligible compensation in the form of options to purchase selected securities, primarily equity-based mutual funds. These assets are treated as trading securities and are recorded at fair value. The Executive Plan has been closed to any additional deferrals since January 2005. The Executive Plan assets related to those options that will expire within a year are included in prepaid expenses and other assets in the accompanying balance sheets. The remaining assets are included in other assets. Total assets on August 30, 2014 and August 31, 2013 were $6.4 million and $8.2 million, respectively, and the liabilities were $5.6 million and $7.0 million, respectively. The difference between the asset and liability balances represents the additional 25% we contributed at the time of the initial deferrals to aid in potential additional earnings to the participant. This contribution is required to be paid back to us when the option is exercised. A participant may exercise his or her options per the plan document, but there is a requirement that after these dollars have been invested for 15 years the participant is required to exercise such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Executive Deferred Compensation Plan (2007)</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December 2006, we adopted the Winnebago Industries, Inc. Executive Deferred Compensation Plan (the "Executive Deferred Compensation Plan"). Under the Executive Deferred Compensation Plan, corporate officers and certain key employees may annually choose to defer up to 50% of their salary and up to 100% of their cash incentive awards. The assets are presented as other assets and the liabilities are presented as postretirement health care and deferred compensation benefits in the accompanying balance sheets. Such assets on August 30, 2014 and August 31, 2013 were $211,000 and $105,000, respectively, and liabilities were $213,000 and $105,000,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Profit Sharing Plan</w:t>
      </w:r>
    </w:p>
    <w:p>
      <w:pPr>
        <w:spacing w:after="0" w:line="25"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quarterly discretionary matching cash contributions as approved by our Board of Directors. Contributions to the plan for Fiscal 2014, 2013 and 2012 were $1.1 million, $865,000 and $676,000,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or dealer invoice less periodic reductions based on the time since the date of the original invoice. Our contingent liability on these repurchase agreements was approximately $363.8 million and $232.9 million at August 30, 2014 and August 31, 2013,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Incremental repurchase exposure beyond existing repurchase agreements, related to dealer inventory in states that we have had historical experience of repurchasing inventory, totaled $6.8 million and $8.0 million at August 30, 2014 and August 31, 2013, respectively.</w:t>
      </w:r>
    </w:p>
    <w:p>
      <w:pPr>
        <w:spacing w:after="0" w:line="149"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Our risk of loss related to these repurchase commitments is significantly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we established an associated loss reserve. Our accrued losses on repurchases were $2.2 million as of August 30, 2014 and $1.3 million as of August 31, 2013.</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20"/>
                <w:szCs w:val="20"/>
                <w:color w:val="auto"/>
              </w:rPr>
            </w:pPr>
            <w:r>
              <w:rPr>
                <w:rFonts w:ascii="Arial" w:cs="Arial" w:eastAsia="Arial" w:hAnsi="Arial"/>
                <w:sz w:val="16"/>
                <w:szCs w:val="16"/>
                <w:color w:val="auto"/>
              </w:rPr>
              <w:t>A summary of the activity for the fiscal years stated for repurchased units is as follows:</w:t>
            </w:r>
          </w:p>
        </w:tc>
        <w:tc>
          <w:tcPr>
            <w:tcW w:w="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1"/>
        </w:trPr>
        <w:tc>
          <w:tcPr>
            <w:tcW w:w="6580" w:type="dxa"/>
            <w:vAlign w:val="bottom"/>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56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2014</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2013</w:t>
            </w:r>
          </w:p>
        </w:tc>
        <w:tc>
          <w:tcPr>
            <w:tcW w:w="200" w:type="dxa"/>
            <w:vAlign w:val="bottom"/>
          </w:tcPr>
          <w:p>
            <w:pPr>
              <w:spacing w:after="0"/>
              <w:rPr>
                <w:sz w:val="24"/>
                <w:szCs w:val="24"/>
                <w:color w:val="auto"/>
              </w:rPr>
            </w:pPr>
          </w:p>
        </w:tc>
        <w:tc>
          <w:tcPr>
            <w:tcW w:w="1220" w:type="dxa"/>
            <w:vAlign w:val="bottom"/>
          </w:tcPr>
          <w:p>
            <w:pPr>
              <w:jc w:val="right"/>
              <w:ind w:right="199"/>
              <w:spacing w:after="0"/>
              <w:rPr>
                <w:sz w:val="20"/>
                <w:szCs w:val="20"/>
                <w:color w:val="auto"/>
              </w:rPr>
            </w:pPr>
            <w:r>
              <w:rPr>
                <w:rFonts w:ascii="Arial" w:cs="Arial" w:eastAsia="Arial" w:hAnsi="Arial"/>
                <w:sz w:val="16"/>
                <w:szCs w:val="16"/>
                <w:b w:val="1"/>
                <w:bCs w:val="1"/>
                <w:color w:val="auto"/>
              </w:rPr>
              <w:t>Fiscal 2012</w:t>
            </w:r>
          </w:p>
        </w:tc>
      </w:tr>
      <w:tr>
        <w:trPr>
          <w:trHeight w:val="270"/>
        </w:trPr>
        <w:tc>
          <w:tcPr>
            <w:tcW w:w="65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5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0"/>
        </w:trPr>
        <w:tc>
          <w:tcPr>
            <w:tcW w:w="6580" w:type="dxa"/>
            <w:vAlign w:val="bottom"/>
          </w:tcPr>
          <w:p>
            <w:pPr>
              <w:ind w:left="280"/>
              <w:spacing w:after="0"/>
              <w:rPr>
                <w:sz w:val="20"/>
                <w:szCs w:val="20"/>
                <w:color w:val="auto"/>
              </w:rPr>
            </w:pPr>
            <w:r>
              <w:rPr>
                <w:rFonts w:ascii="Arial" w:cs="Arial" w:eastAsia="Arial" w:hAnsi="Arial"/>
                <w:sz w:val="16"/>
                <w:szCs w:val="16"/>
                <w:color w:val="auto"/>
              </w:rPr>
              <w:t>Units</w:t>
            </w:r>
          </w:p>
        </w:tc>
        <w:tc>
          <w:tcPr>
            <w:tcW w:w="5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18</w:t>
            </w:r>
          </w:p>
        </w:tc>
      </w:tr>
      <w:tr>
        <w:trPr>
          <w:trHeight w:val="280"/>
        </w:trPr>
        <w:tc>
          <w:tcPr>
            <w:tcW w:w="6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Dollars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1,264</w:t>
            </w:r>
          </w:p>
        </w:tc>
      </w:tr>
      <w:tr>
        <w:trPr>
          <w:trHeight w:val="260"/>
        </w:trPr>
        <w:tc>
          <w:tcPr>
            <w:tcW w:w="6580" w:type="dxa"/>
            <w:vAlign w:val="bottom"/>
          </w:tcPr>
          <w:p>
            <w:pPr>
              <w:ind w:left="40"/>
              <w:spacing w:after="0"/>
              <w:rPr>
                <w:sz w:val="20"/>
                <w:szCs w:val="20"/>
                <w:color w:val="auto"/>
              </w:rPr>
            </w:pPr>
            <w:r>
              <w:rPr>
                <w:rFonts w:ascii="Arial" w:cs="Arial" w:eastAsia="Arial" w:hAnsi="Arial"/>
                <w:sz w:val="16"/>
                <w:szCs w:val="16"/>
                <w:color w:val="auto"/>
              </w:rPr>
              <w:t>Inventory resold:</w:t>
            </w:r>
          </w:p>
        </w:tc>
        <w:tc>
          <w:tcPr>
            <w:tcW w:w="5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80"/>
        </w:trPr>
        <w:tc>
          <w:tcPr>
            <w:tcW w:w="6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Units</w:t>
            </w:r>
          </w:p>
        </w:tc>
        <w:tc>
          <w:tcPr>
            <w:tcW w:w="5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r>
      <w:tr>
        <w:trPr>
          <w:trHeight w:val="260"/>
        </w:trPr>
        <w:tc>
          <w:tcPr>
            <w:tcW w:w="6580" w:type="dxa"/>
            <w:vAlign w:val="bottom"/>
          </w:tcPr>
          <w:p>
            <w:pPr>
              <w:ind w:left="280"/>
              <w:spacing w:after="0"/>
              <w:rPr>
                <w:sz w:val="20"/>
                <w:szCs w:val="20"/>
                <w:color w:val="auto"/>
              </w:rPr>
            </w:pPr>
            <w:r>
              <w:rPr>
                <w:rFonts w:ascii="Arial" w:cs="Arial" w:eastAsia="Arial" w:hAnsi="Arial"/>
                <w:sz w:val="16"/>
                <w:szCs w:val="16"/>
                <w:color w:val="auto"/>
              </w:rPr>
              <w:t>Cash collected</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353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1,113</w:t>
            </w:r>
          </w:p>
        </w:tc>
      </w:tr>
      <w:tr>
        <w:trPr>
          <w:trHeight w:val="280"/>
        </w:trPr>
        <w:tc>
          <w:tcPr>
            <w:tcW w:w="65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Loss recognized</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w:t>
            </w:r>
          </w:p>
        </w:tc>
      </w:tr>
      <w:tr>
        <w:trPr>
          <w:trHeight w:val="251"/>
        </w:trPr>
        <w:tc>
          <w:tcPr>
            <w:tcW w:w="6580" w:type="dxa"/>
            <w:vAlign w:val="bottom"/>
          </w:tcPr>
          <w:p>
            <w:pPr>
              <w:ind w:left="40"/>
              <w:spacing w:after="0"/>
              <w:rPr>
                <w:sz w:val="20"/>
                <w:szCs w:val="20"/>
                <w:color w:val="auto"/>
              </w:rPr>
            </w:pPr>
            <w:r>
              <w:rPr>
                <w:rFonts w:ascii="Arial" w:cs="Arial" w:eastAsia="Arial" w:hAnsi="Arial"/>
                <w:sz w:val="16"/>
                <w:szCs w:val="16"/>
                <w:color w:val="auto"/>
              </w:rPr>
              <w:t>Units in ending inventory</w:t>
            </w:r>
          </w:p>
        </w:tc>
        <w:tc>
          <w:tcPr>
            <w:tcW w:w="56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We are involved in various legal proceedings which are ordinary and routine litigation incidental to our business, some of which are covered in whole or in part by insurance. We believe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39"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We have operating leases for certain land, buildings and equipment. Lease expense was $1.1 million for Fiscal 2014, $949,000 for Fiscal 2013 and $864,000 for Fiscal 2012. Minimum future lease commitments under noncancelable lease agreements in excess of one year as of August 30, 2014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3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8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Amount</w:t>
            </w:r>
          </w:p>
        </w:tc>
      </w:tr>
      <w:tr>
        <w:trPr>
          <w:trHeight w:val="257"/>
        </w:trPr>
        <w:tc>
          <w:tcPr>
            <w:tcW w:w="1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8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742</w:t>
            </w:r>
          </w:p>
        </w:tc>
      </w:tr>
      <w:tr>
        <w:trPr>
          <w:trHeight w:val="260"/>
        </w:trPr>
        <w:tc>
          <w:tcPr>
            <w:tcW w:w="1320" w:type="dxa"/>
            <w:vAlign w:val="bottom"/>
          </w:tcPr>
          <w:p>
            <w:pPr>
              <w:spacing w:after="0"/>
              <w:rPr>
                <w:sz w:val="22"/>
                <w:szCs w:val="22"/>
                <w:color w:val="auto"/>
              </w:rPr>
            </w:pPr>
          </w:p>
        </w:tc>
        <w:tc>
          <w:tcPr>
            <w:tcW w:w="8680" w:type="dxa"/>
            <w:vAlign w:val="bottom"/>
          </w:tcPr>
          <w:p>
            <w:pPr>
              <w:ind w:left="18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295</w:t>
            </w:r>
          </w:p>
        </w:tc>
      </w:tr>
      <w:tr>
        <w:trPr>
          <w:trHeight w:val="280"/>
        </w:trPr>
        <w:tc>
          <w:tcPr>
            <w:tcW w:w="1320" w:type="dxa"/>
            <w:vAlign w:val="bottom"/>
            <w:shd w:val="clear" w:color="auto" w:fill="CCEEFF"/>
          </w:tcPr>
          <w:p>
            <w:pPr>
              <w:spacing w:after="0"/>
              <w:rPr>
                <w:sz w:val="24"/>
                <w:szCs w:val="24"/>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r>
      <w:tr>
        <w:trPr>
          <w:trHeight w:val="260"/>
        </w:trPr>
        <w:tc>
          <w:tcPr>
            <w:tcW w:w="1320" w:type="dxa"/>
            <w:vAlign w:val="bottom"/>
          </w:tcPr>
          <w:p>
            <w:pPr>
              <w:spacing w:after="0"/>
              <w:rPr>
                <w:sz w:val="22"/>
                <w:szCs w:val="22"/>
                <w:color w:val="auto"/>
              </w:rPr>
            </w:pPr>
          </w:p>
        </w:tc>
        <w:tc>
          <w:tcPr>
            <w:tcW w:w="8680" w:type="dxa"/>
            <w:vAlign w:val="bottom"/>
          </w:tcPr>
          <w:p>
            <w:pPr>
              <w:ind w:left="18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273"/>
        </w:trPr>
        <w:tc>
          <w:tcPr>
            <w:tcW w:w="1320" w:type="dxa"/>
            <w:vAlign w:val="bottom"/>
            <w:shd w:val="clear" w:color="auto" w:fill="CCEEFF"/>
          </w:tcPr>
          <w:p>
            <w:pPr>
              <w:spacing w:after="0"/>
              <w:rPr>
                <w:sz w:val="23"/>
                <w:szCs w:val="23"/>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r>
      <w:tr>
        <w:trPr>
          <w:trHeight w:val="240"/>
        </w:trPr>
        <w:tc>
          <w:tcPr>
            <w:tcW w:w="1320" w:type="dxa"/>
            <w:vAlign w:val="bottom"/>
          </w:tcPr>
          <w:p>
            <w:pPr>
              <w:spacing w:after="0"/>
              <w:rPr>
                <w:sz w:val="20"/>
                <w:szCs w:val="20"/>
                <w:color w:val="auto"/>
              </w:rPr>
            </w:pPr>
          </w:p>
        </w:tc>
        <w:tc>
          <w:tcPr>
            <w:tcW w:w="878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1,234</w:t>
            </w:r>
          </w:p>
        </w:tc>
      </w:tr>
      <w:tr>
        <w:trPr>
          <w:trHeight w:val="20"/>
        </w:trPr>
        <w:tc>
          <w:tcPr>
            <w:tcW w:w="13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Income Taxes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the provision (benefit) for income taxes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ind w:left="360"/>
              <w:spacing w:after="0"/>
              <w:rPr>
                <w:sz w:val="20"/>
                <w:szCs w:val="20"/>
                <w:color w:val="auto"/>
              </w:rPr>
            </w:pPr>
            <w:r>
              <w:rPr>
                <w:rFonts w:ascii="Arial" w:cs="Arial" w:eastAsia="Arial" w:hAnsi="Arial"/>
                <w:sz w:val="16"/>
                <w:szCs w:val="16"/>
                <w:b w:val="1"/>
                <w:bCs w:val="1"/>
                <w:color w:val="auto"/>
              </w:rPr>
              <w:t>Year Ended</w:t>
            </w:r>
          </w:p>
        </w:tc>
        <w:tc>
          <w:tcPr>
            <w:tcW w:w="2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r>
      <w:tr>
        <w:trPr>
          <w:trHeight w:val="264"/>
        </w:trPr>
        <w:tc>
          <w:tcPr>
            <w:tcW w:w="544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6"/>
                <w:szCs w:val="16"/>
                <w:b w:val="1"/>
                <w:bCs w:val="1"/>
                <w:color w:val="auto"/>
              </w:rPr>
              <w:t>August 30, 2014</w:t>
            </w:r>
          </w:p>
        </w:tc>
        <w:tc>
          <w:tcPr>
            <w:tcW w:w="240" w:type="dxa"/>
            <w:vAlign w:val="bottom"/>
          </w:tcPr>
          <w:p>
            <w:pPr>
              <w:spacing w:after="0"/>
              <w:rPr>
                <w:sz w:val="22"/>
                <w:szCs w:val="22"/>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31, 2013</w:t>
            </w:r>
          </w:p>
        </w:tc>
        <w:tc>
          <w:tcPr>
            <w:tcW w:w="240" w:type="dxa"/>
            <w:vAlign w:val="bottom"/>
          </w:tcPr>
          <w:p>
            <w:pPr>
              <w:spacing w:after="0"/>
              <w:rPr>
                <w:sz w:val="22"/>
                <w:szCs w:val="22"/>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 2012</w:t>
            </w:r>
          </w:p>
        </w:tc>
      </w:tr>
      <w:tr>
        <w:trPr>
          <w:trHeight w:val="270"/>
        </w:trPr>
        <w:tc>
          <w:tcPr>
            <w:tcW w:w="54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00" w:type="dxa"/>
            <w:vAlign w:val="bottom"/>
            <w:tcBorders>
              <w:top w:val="single" w:sz="8" w:color="auto"/>
            </w:tcBorders>
            <w:shd w:val="clear" w:color="auto" w:fill="CCEEFF"/>
          </w:tcPr>
          <w:p>
            <w:pPr>
              <w:spacing w:after="0"/>
              <w:rPr>
                <w:sz w:val="23"/>
                <w:szCs w:val="23"/>
                <w:color w:val="auto"/>
              </w:rPr>
            </w:pPr>
          </w:p>
        </w:tc>
        <w:tc>
          <w:tcPr>
            <w:tcW w:w="16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720" w:type="dxa"/>
            <w:vAlign w:val="bottom"/>
            <w:tcBorders>
              <w:top w:val="single" w:sz="8" w:color="auto"/>
            </w:tcBorders>
            <w:shd w:val="clear" w:color="auto" w:fill="CCEEFF"/>
          </w:tcPr>
          <w:p>
            <w:pPr>
              <w:spacing w:after="0"/>
              <w:rPr>
                <w:sz w:val="23"/>
                <w:szCs w:val="23"/>
                <w:color w:val="auto"/>
              </w:rPr>
            </w:pPr>
          </w:p>
        </w:tc>
      </w:tr>
      <w:tr>
        <w:trPr>
          <w:trHeight w:val="260"/>
        </w:trPr>
        <w:tc>
          <w:tcPr>
            <w:tcW w:w="544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17,923</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10,958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468</w:t>
            </w:r>
          </w:p>
        </w:tc>
      </w:tr>
      <w:tr>
        <w:trPr>
          <w:trHeight w:val="273"/>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(584)</w:t>
            </w:r>
          </w:p>
        </w:tc>
      </w:tr>
      <w:tr>
        <w:trPr>
          <w:trHeight w:val="250"/>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current tax provision (benefit)</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17,753</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10,278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(116)</w:t>
            </w: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w:t>
            </w:r>
          </w:p>
        </w:tc>
        <w:tc>
          <w:tcPr>
            <w:tcW w:w="2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0"/>
        </w:trPr>
        <w:tc>
          <w:tcPr>
            <w:tcW w:w="5440" w:type="dxa"/>
            <w:vAlign w:val="bottom"/>
          </w:tcPr>
          <w:p>
            <w:pPr>
              <w:ind w:left="180"/>
              <w:spacing w:after="0"/>
              <w:rPr>
                <w:sz w:val="20"/>
                <w:szCs w:val="20"/>
                <w:color w:val="auto"/>
              </w:rPr>
            </w:pPr>
            <w:r>
              <w:rPr>
                <w:rFonts w:ascii="Arial" w:cs="Arial" w:eastAsia="Arial" w:hAnsi="Arial"/>
                <w:sz w:val="16"/>
                <w:szCs w:val="16"/>
                <w:color w:val="auto"/>
              </w:rPr>
              <w:t>Federal</w:t>
            </w:r>
          </w:p>
        </w:tc>
        <w:tc>
          <w:tcPr>
            <w:tcW w:w="200" w:type="dxa"/>
            <w:vAlign w:val="bottom"/>
          </w:tcPr>
          <w:p>
            <w:pPr>
              <w:spacing w:after="0"/>
              <w:rPr>
                <w:sz w:val="22"/>
                <w:szCs w:val="22"/>
                <w:color w:val="auto"/>
              </w:rPr>
            </w:pPr>
          </w:p>
        </w:tc>
        <w:tc>
          <w:tcPr>
            <w:tcW w:w="1640" w:type="dxa"/>
            <w:vAlign w:val="bottom"/>
          </w:tcPr>
          <w:p>
            <w:pPr>
              <w:jc w:val="right"/>
              <w:ind w:right="239"/>
              <w:spacing w:after="0"/>
              <w:rPr>
                <w:sz w:val="20"/>
                <w:szCs w:val="20"/>
                <w:color w:val="auto"/>
              </w:rPr>
            </w:pPr>
            <w:r>
              <w:rPr>
                <w:rFonts w:ascii="Arial" w:cs="Arial" w:eastAsia="Arial" w:hAnsi="Arial"/>
                <w:sz w:val="16"/>
                <w:szCs w:val="16"/>
                <w:color w:val="auto"/>
              </w:rPr>
              <w:t>1,415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1,666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(33,218)</w:t>
            </w:r>
          </w:p>
        </w:tc>
      </w:tr>
      <w:tr>
        <w:trPr>
          <w:trHeight w:val="273"/>
        </w:trPr>
        <w:tc>
          <w:tcPr>
            <w:tcW w:w="5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2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1,197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(1,531)</w:t>
            </w:r>
          </w:p>
        </w:tc>
      </w:tr>
      <w:tr>
        <w:trPr>
          <w:trHeight w:val="250"/>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deferred tax provision (benefit)</w:t>
            </w:r>
          </w:p>
        </w:tc>
        <w:tc>
          <w:tcPr>
            <w:tcW w:w="2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1,871</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2,863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(34,749)</w:t>
            </w:r>
          </w:p>
        </w:tc>
      </w:tr>
      <w:tr>
        <w:trPr>
          <w:trHeight w:val="24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tax provision (benefit)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19,624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13,141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(34,865)</w:t>
            </w:r>
          </w:p>
        </w:tc>
      </w:tr>
      <w:tr>
        <w:trPr>
          <w:trHeight w:val="20"/>
        </w:trPr>
        <w:tc>
          <w:tcPr>
            <w:tcW w:w="5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41" w:right="2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Tax Provision (Benefit)</w:t>
      </w:r>
    </w:p>
    <w:p>
      <w:pPr>
        <w:spacing w:after="0" w:line="25"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amount of current federal tax provision noted in the table above for Fiscal 2014, 2013 and 2012 represents primarily the estimated federal tax payable for those fiscal years in addition to the tax effect of tax planning initiatives recorded during the year.</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The state benefit recorded in Fiscal 2014, 2013 and 2012 is primarily a result of tax planning initiatives recorded during those years.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Provision (Benefit)</w:t>
      </w:r>
    </w:p>
    <w:p>
      <w:pPr>
        <w:spacing w:after="0" w:line="25"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deferred federal and state expense recorded during Fiscal 2014 and 2013 is primarily a result of the utilization of deferred tax assets during the year. The deferred federal and state tax benefit recorded during Fiscal 2012 is associated with the reduction in valuation allowance on deferred tax assets. For Fiscal 2014, Fiscal 2013 and Fiscal 2012, we have determined that $33.7 million, $33.4 million and $39.0 million, respectively, of our deferred tax assets were sustainable.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US statutory income tax rate to our effective tax rate: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b w:val="1"/>
                <w:bCs w:val="1"/>
                <w:color w:val="auto"/>
              </w:rPr>
              <w:t>Year Ended</w:t>
            </w:r>
          </w:p>
        </w:tc>
        <w:tc>
          <w:tcPr>
            <w:tcW w:w="2040" w:type="dxa"/>
            <w:vAlign w:val="bottom"/>
            <w:tcBorders>
              <w:bottom w:val="single" w:sz="8" w:color="auto"/>
            </w:tcBorders>
          </w:tcPr>
          <w:p>
            <w:pPr>
              <w:spacing w:after="0"/>
              <w:rPr>
                <w:sz w:val="19"/>
                <w:szCs w:val="19"/>
                <w:color w:val="auto"/>
              </w:rPr>
            </w:pPr>
          </w:p>
        </w:tc>
      </w:tr>
      <w:tr>
        <w:trPr>
          <w:trHeight w:val="264"/>
        </w:trPr>
        <w:tc>
          <w:tcPr>
            <w:tcW w:w="5200" w:type="dxa"/>
            <w:vAlign w:val="bottom"/>
          </w:tcPr>
          <w:p>
            <w:pPr>
              <w:ind w:left="40"/>
              <w:spacing w:after="0"/>
              <w:rPr>
                <w:sz w:val="20"/>
                <w:szCs w:val="20"/>
                <w:color w:val="auto"/>
              </w:rPr>
            </w:pPr>
            <w:r>
              <w:rPr>
                <w:rFonts w:ascii="Arial" w:cs="Arial" w:eastAsia="Arial" w:hAnsi="Arial"/>
                <w:sz w:val="16"/>
                <w:szCs w:val="16"/>
                <w:b w:val="1"/>
                <w:bCs w:val="1"/>
                <w:color w:val="auto"/>
              </w:rPr>
              <w:t>(A percentage)</w:t>
            </w:r>
          </w:p>
        </w:tc>
        <w:tc>
          <w:tcPr>
            <w:tcW w:w="2080" w:type="dxa"/>
            <w:vAlign w:val="bottom"/>
            <w:gridSpan w:val="2"/>
          </w:tcPr>
          <w:p>
            <w:pPr>
              <w:ind w:left="280"/>
              <w:spacing w:after="0"/>
              <w:rPr>
                <w:sz w:val="20"/>
                <w:szCs w:val="20"/>
                <w:color w:val="auto"/>
              </w:rPr>
            </w:pPr>
            <w:r>
              <w:rPr>
                <w:rFonts w:ascii="Arial" w:cs="Arial" w:eastAsia="Arial" w:hAnsi="Arial"/>
                <w:sz w:val="16"/>
                <w:szCs w:val="16"/>
                <w:b w:val="1"/>
                <w:bCs w:val="1"/>
                <w:color w:val="auto"/>
              </w:rPr>
              <w:t>August 30, 2014</w:t>
            </w:r>
          </w:p>
        </w:tc>
        <w:tc>
          <w:tcPr>
            <w:tcW w:w="2100" w:type="dxa"/>
            <w:vAlign w:val="bottom"/>
            <w:gridSpan w:val="2"/>
          </w:tcPr>
          <w:p>
            <w:pPr>
              <w:ind w:left="380"/>
              <w:spacing w:after="0"/>
              <w:rPr>
                <w:sz w:val="20"/>
                <w:szCs w:val="20"/>
                <w:color w:val="auto"/>
              </w:rPr>
            </w:pPr>
            <w:r>
              <w:rPr>
                <w:rFonts w:ascii="Arial" w:cs="Arial" w:eastAsia="Arial" w:hAnsi="Arial"/>
                <w:sz w:val="16"/>
                <w:szCs w:val="16"/>
                <w:b w:val="1"/>
                <w:bCs w:val="1"/>
                <w:color w:val="auto"/>
              </w:rPr>
              <w:t>August 31, 2013</w:t>
            </w:r>
          </w:p>
        </w:tc>
        <w:tc>
          <w:tcPr>
            <w:tcW w:w="20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25, 2012</w:t>
            </w:r>
          </w:p>
        </w:tc>
      </w:tr>
      <w:tr>
        <w:trPr>
          <w:trHeight w:val="270"/>
        </w:trPr>
        <w:tc>
          <w:tcPr>
            <w:tcW w:w="5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US federal statutory rate</w:t>
            </w:r>
          </w:p>
        </w:tc>
        <w:tc>
          <w:tcPr>
            <w:tcW w:w="19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35.0 %</w:t>
            </w:r>
          </w:p>
        </w:tc>
        <w:tc>
          <w:tcPr>
            <w:tcW w:w="100" w:type="dxa"/>
            <w:vAlign w:val="bottom"/>
            <w:tcBorders>
              <w:top w:val="single" w:sz="8" w:color="CCEEFF"/>
            </w:tcBorders>
            <w:shd w:val="clear" w:color="auto" w:fill="CCEEFF"/>
          </w:tcPr>
          <w:p>
            <w:pPr>
              <w:spacing w:after="0"/>
              <w:rPr>
                <w:sz w:val="23"/>
                <w:szCs w:val="23"/>
                <w:color w:val="auto"/>
              </w:rPr>
            </w:pPr>
          </w:p>
        </w:tc>
        <w:tc>
          <w:tcPr>
            <w:tcW w:w="20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35.0 %</w:t>
            </w:r>
          </w:p>
        </w:tc>
        <w:tc>
          <w:tcPr>
            <w:tcW w:w="100" w:type="dxa"/>
            <w:vAlign w:val="bottom"/>
            <w:tcBorders>
              <w:top w:val="single" w:sz="8" w:color="CCEEFF"/>
            </w:tcBorders>
            <w:shd w:val="clear" w:color="auto" w:fill="CCEEFF"/>
          </w:tcPr>
          <w:p>
            <w:pPr>
              <w:spacing w:after="0"/>
              <w:rPr>
                <w:sz w:val="23"/>
                <w:szCs w:val="23"/>
                <w:color w:val="auto"/>
              </w:rPr>
            </w:pPr>
          </w:p>
        </w:tc>
        <w:tc>
          <w:tcPr>
            <w:tcW w:w="204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34.0 %</w:t>
            </w:r>
          </w:p>
        </w:tc>
      </w:tr>
      <w:tr>
        <w:trPr>
          <w:trHeight w:val="260"/>
        </w:trPr>
        <w:tc>
          <w:tcPr>
            <w:tcW w:w="520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22"/>
                <w:szCs w:val="22"/>
                <w:color w:val="auto"/>
              </w:rPr>
            </w:pPr>
          </w:p>
        </w:tc>
        <w:tc>
          <w:tcPr>
            <w:tcW w:w="2000" w:type="dxa"/>
            <w:vAlign w:val="bottom"/>
          </w:tcPr>
          <w:p>
            <w:pPr>
              <w:jc w:val="right"/>
              <w:ind w:right="219"/>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22"/>
                <w:szCs w:val="22"/>
                <w:color w:val="auto"/>
              </w:rPr>
            </w:pPr>
          </w:p>
        </w:tc>
        <w:tc>
          <w:tcPr>
            <w:tcW w:w="2040" w:type="dxa"/>
            <w:vAlign w:val="bottom"/>
          </w:tcPr>
          <w:p>
            <w:pPr>
              <w:jc w:val="right"/>
              <w:ind w:right="319"/>
              <w:spacing w:after="0"/>
              <w:rPr>
                <w:sz w:val="20"/>
                <w:szCs w:val="20"/>
                <w:color w:val="auto"/>
              </w:rPr>
            </w:pPr>
            <w:r>
              <w:rPr>
                <w:rFonts w:ascii="Arial" w:cs="Arial" w:eastAsia="Arial" w:hAnsi="Arial"/>
                <w:sz w:val="16"/>
                <w:szCs w:val="16"/>
                <w:color w:val="auto"/>
              </w:rPr>
              <w:t>2.5 %</w:t>
            </w:r>
          </w:p>
        </w:tc>
      </w:tr>
      <w:tr>
        <w:trPr>
          <w:trHeight w:val="280"/>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Tax-free and dividend income</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(9.7)%</w:t>
            </w:r>
          </w:p>
        </w:tc>
      </w:tr>
      <w:tr>
        <w:trPr>
          <w:trHeight w:val="260"/>
        </w:trPr>
        <w:tc>
          <w:tcPr>
            <w:tcW w:w="5200" w:type="dxa"/>
            <w:vAlign w:val="bottom"/>
          </w:tcPr>
          <w:p>
            <w:pPr>
              <w:ind w:left="40"/>
              <w:spacing w:after="0"/>
              <w:rPr>
                <w:sz w:val="20"/>
                <w:szCs w:val="20"/>
                <w:color w:val="auto"/>
              </w:rPr>
            </w:pPr>
            <w:r>
              <w:rPr>
                <w:rFonts w:ascii="Arial" w:cs="Arial" w:eastAsia="Arial" w:hAnsi="Arial"/>
                <w:sz w:val="16"/>
                <w:szCs w:val="16"/>
                <w:color w:val="auto"/>
              </w:rPr>
              <w:t>Income tax credits</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22"/>
                <w:szCs w:val="22"/>
                <w:color w:val="auto"/>
              </w:rPr>
            </w:pP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(1.7)%</w:t>
            </w:r>
          </w:p>
        </w:tc>
      </w:tr>
      <w:tr>
        <w:trPr>
          <w:trHeight w:val="280"/>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Domestic production activities deduction</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w:t>
            </w:r>
          </w:p>
        </w:tc>
      </w:tr>
      <w:tr>
        <w:trPr>
          <w:trHeight w:val="260"/>
        </w:trPr>
        <w:tc>
          <w:tcPr>
            <w:tcW w:w="5200" w:type="dxa"/>
            <w:vAlign w:val="bottom"/>
          </w:tcPr>
          <w:p>
            <w:pPr>
              <w:ind w:left="40"/>
              <w:spacing w:after="0"/>
              <w:rPr>
                <w:sz w:val="20"/>
                <w:szCs w:val="20"/>
                <w:color w:val="auto"/>
              </w:rPr>
            </w:pPr>
            <w:r>
              <w:rPr>
                <w:rFonts w:ascii="Arial" w:cs="Arial" w:eastAsia="Arial" w:hAnsi="Arial"/>
                <w:sz w:val="16"/>
                <w:szCs w:val="16"/>
                <w:color w:val="auto"/>
              </w:rPr>
              <w:t>Other permanent items</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22"/>
                <w:szCs w:val="22"/>
                <w:color w:val="auto"/>
              </w:rPr>
            </w:pP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2040" w:type="dxa"/>
            <w:vAlign w:val="bottom"/>
          </w:tcPr>
          <w:p>
            <w:pPr>
              <w:jc w:val="right"/>
              <w:ind w:right="319"/>
              <w:spacing w:after="0"/>
              <w:rPr>
                <w:sz w:val="20"/>
                <w:szCs w:val="20"/>
                <w:color w:val="auto"/>
              </w:rPr>
            </w:pPr>
            <w:r>
              <w:rPr>
                <w:rFonts w:ascii="Arial" w:cs="Arial" w:eastAsia="Arial" w:hAnsi="Arial"/>
                <w:sz w:val="16"/>
                <w:szCs w:val="16"/>
                <w:color w:val="auto"/>
              </w:rPr>
              <w:t>4.8 %</w:t>
            </w:r>
          </w:p>
        </w:tc>
      </w:tr>
      <w:tr>
        <w:trPr>
          <w:trHeight w:val="280"/>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Valuation allowance</w:t>
            </w:r>
          </w:p>
        </w:tc>
        <w:tc>
          <w:tcPr>
            <w:tcW w:w="1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4"/>
                <w:szCs w:val="24"/>
                <w:color w:val="auto"/>
              </w:rPr>
            </w:pPr>
          </w:p>
        </w:tc>
        <w:tc>
          <w:tcPr>
            <w:tcW w:w="20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0.2 %</w:t>
            </w:r>
          </w:p>
        </w:tc>
        <w:tc>
          <w:tcPr>
            <w:tcW w:w="100" w:type="dxa"/>
            <w:vAlign w:val="bottom"/>
            <w:shd w:val="clear" w:color="auto" w:fill="CCEEFF"/>
          </w:tcPr>
          <w:p>
            <w:pPr>
              <w:spacing w:after="0"/>
              <w:rPr>
                <w:sz w:val="24"/>
                <w:szCs w:val="24"/>
                <w:color w:val="auto"/>
              </w:rPr>
            </w:pPr>
          </w:p>
        </w:tc>
        <w:tc>
          <w:tcPr>
            <w:tcW w:w="20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(372.8)%</w:t>
            </w:r>
          </w:p>
        </w:tc>
      </w:tr>
      <w:tr>
        <w:trPr>
          <w:trHeight w:val="260"/>
        </w:trPr>
        <w:tc>
          <w:tcPr>
            <w:tcW w:w="5200" w:type="dxa"/>
            <w:vAlign w:val="bottom"/>
          </w:tcPr>
          <w:p>
            <w:pPr>
              <w:ind w:left="40"/>
              <w:spacing w:after="0"/>
              <w:rPr>
                <w:sz w:val="20"/>
                <w:szCs w:val="20"/>
                <w:color w:val="auto"/>
              </w:rPr>
            </w:pPr>
            <w:r>
              <w:rPr>
                <w:rFonts w:ascii="Arial" w:cs="Arial" w:eastAsia="Arial" w:hAnsi="Arial"/>
                <w:sz w:val="16"/>
                <w:szCs w:val="16"/>
                <w:color w:val="auto"/>
              </w:rPr>
              <w:t>Uncertain tax positions settlements and adjustments</w:t>
            </w:r>
          </w:p>
        </w:tc>
        <w:tc>
          <w:tcPr>
            <w:tcW w:w="1980" w:type="dxa"/>
            <w:vAlign w:val="bottom"/>
          </w:tcPr>
          <w:p>
            <w:pPr>
              <w:jc w:val="right"/>
              <w:ind w:right="19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000" w:type="dxa"/>
            <w:vAlign w:val="bottom"/>
          </w:tcPr>
          <w:p>
            <w:pPr>
              <w:jc w:val="right"/>
              <w:ind w:right="19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040" w:type="dxa"/>
            <w:vAlign w:val="bottom"/>
          </w:tcPr>
          <w:p>
            <w:pPr>
              <w:jc w:val="right"/>
              <w:ind w:right="299"/>
              <w:spacing w:after="0"/>
              <w:rPr>
                <w:sz w:val="20"/>
                <w:szCs w:val="20"/>
                <w:color w:val="auto"/>
              </w:rPr>
            </w:pPr>
            <w:r>
              <w:rPr>
                <w:rFonts w:ascii="Arial" w:cs="Arial" w:eastAsia="Arial" w:hAnsi="Arial"/>
                <w:sz w:val="16"/>
                <w:szCs w:val="16"/>
                <w:color w:val="auto"/>
              </w:rPr>
              <w:t>(1.6)%</w:t>
            </w:r>
          </w:p>
        </w:tc>
      </w:tr>
      <w:tr>
        <w:trPr>
          <w:trHeight w:val="273"/>
        </w:trPr>
        <w:tc>
          <w:tcPr>
            <w:tcW w:w="5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state returns</w:t>
            </w:r>
          </w:p>
        </w:tc>
        <w:tc>
          <w:tcPr>
            <w:tcW w:w="2080" w:type="dxa"/>
            <w:vAlign w:val="bottom"/>
            <w:gridSpan w:val="2"/>
            <w:shd w:val="clear" w:color="auto" w:fill="CCEEFF"/>
          </w:tcPr>
          <w:p>
            <w:pPr>
              <w:ind w:left="1340"/>
              <w:spacing w:after="0"/>
              <w:rPr>
                <w:sz w:val="20"/>
                <w:szCs w:val="20"/>
                <w:color w:val="auto"/>
              </w:rPr>
            </w:pPr>
            <w:r>
              <w:rPr>
                <w:rFonts w:ascii="Arial" w:cs="Arial" w:eastAsia="Arial" w:hAnsi="Arial"/>
                <w:sz w:val="16"/>
                <w:szCs w:val="16"/>
                <w:color w:val="auto"/>
              </w:rPr>
              <w:t>— %</w:t>
            </w:r>
          </w:p>
        </w:tc>
        <w:tc>
          <w:tcPr>
            <w:tcW w:w="21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 %</w:t>
            </w:r>
          </w:p>
        </w:tc>
        <w:tc>
          <w:tcPr>
            <w:tcW w:w="204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0.6 %</w:t>
            </w:r>
          </w:p>
        </w:tc>
      </w:tr>
      <w:tr>
        <w:trPr>
          <w:trHeight w:val="240"/>
        </w:trPr>
        <w:tc>
          <w:tcPr>
            <w:tcW w:w="5200" w:type="dxa"/>
            <w:vAlign w:val="bottom"/>
          </w:tcPr>
          <w:p>
            <w:pPr>
              <w:ind w:left="40"/>
              <w:spacing w:after="0"/>
              <w:rPr>
                <w:sz w:val="20"/>
                <w:szCs w:val="20"/>
                <w:color w:val="auto"/>
              </w:rPr>
            </w:pPr>
            <w:r>
              <w:rPr>
                <w:rFonts w:ascii="Arial" w:cs="Arial" w:eastAsia="Arial" w:hAnsi="Arial"/>
                <w:sz w:val="16"/>
                <w:szCs w:val="16"/>
                <w:color w:val="auto"/>
              </w:rPr>
              <w:t>Effective tax provision (benefit) rate</w:t>
            </w:r>
          </w:p>
        </w:tc>
        <w:tc>
          <w:tcPr>
            <w:tcW w:w="19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30.3 %</w:t>
            </w:r>
          </w:p>
        </w:tc>
        <w:tc>
          <w:tcPr>
            <w:tcW w:w="100" w:type="dxa"/>
            <w:vAlign w:val="bottom"/>
          </w:tcPr>
          <w:p>
            <w:pPr>
              <w:spacing w:after="0"/>
              <w:rPr>
                <w:sz w:val="20"/>
                <w:szCs w:val="20"/>
                <w:color w:val="auto"/>
              </w:rPr>
            </w:pPr>
          </w:p>
        </w:tc>
        <w:tc>
          <w:tcPr>
            <w:tcW w:w="20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29.1 %</w:t>
            </w:r>
          </w:p>
        </w:tc>
        <w:tc>
          <w:tcPr>
            <w:tcW w:w="100" w:type="dxa"/>
            <w:vAlign w:val="bottom"/>
          </w:tcPr>
          <w:p>
            <w:pPr>
              <w:spacing w:after="0"/>
              <w:rPr>
                <w:sz w:val="20"/>
                <w:szCs w:val="20"/>
                <w:color w:val="auto"/>
              </w:rPr>
            </w:pPr>
          </w:p>
        </w:tc>
        <w:tc>
          <w:tcPr>
            <w:tcW w:w="20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(345.0)%</w:t>
            </w:r>
          </w:p>
        </w:tc>
      </w:tr>
      <w:tr>
        <w:trPr>
          <w:trHeight w:val="20"/>
        </w:trPr>
        <w:tc>
          <w:tcPr>
            <w:tcW w:w="5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During the year, deferred tax assets associated with tax credits were written off as they expired during the year. These assets had a full valuation allowance associated with them. As such, when the deferred tax assets were written off, the valuation allowance associated with the deferred tax assets were also removed. This activity resulted in not having any rate impact, as the 2.2% deferred tax expense associated with the deferred tax asset write off was offset by the 2.2% deferred tax benefit recorded with the reduction of the valuation allowance.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20" w:type="dxa"/>
            <w:vAlign w:val="bottom"/>
          </w:tcPr>
          <w:p>
            <w:pPr>
              <w:spacing w:after="0"/>
              <w:rPr>
                <w:sz w:val="20"/>
                <w:szCs w:val="20"/>
                <w:color w:val="auto"/>
              </w:rPr>
            </w:pPr>
            <w:r>
              <w:rPr>
                <w:rFonts w:ascii="Arial" w:cs="Arial" w:eastAsia="Arial" w:hAnsi="Arial"/>
                <w:sz w:val="16"/>
                <w:szCs w:val="16"/>
                <w:color w:val="auto"/>
              </w:rPr>
              <w:t>Significant items comprising our net deferred tax assets are as follows:</w:t>
            </w: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391"/>
        </w:trPr>
        <w:tc>
          <w:tcPr>
            <w:tcW w:w="7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30, 2014</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August 31, 2013</w:t>
            </w:r>
          </w:p>
        </w:tc>
      </w:tr>
      <w:tr>
        <w:trPr>
          <w:trHeight w:val="250"/>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Total</w:t>
            </w:r>
          </w:p>
        </w:tc>
      </w:t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Warranty reserves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3,620</w:t>
            </w:r>
          </w:p>
        </w:tc>
        <w:tc>
          <w:tcPr>
            <w:tcW w:w="5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3,191</w:t>
            </w:r>
          </w:p>
        </w:tc>
      </w:tr>
      <w:tr>
        <w:trPr>
          <w:trHeight w:val="280"/>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Self-insurance reserve</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1,882</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1,704</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Accrued vacation</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1,805</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1,810</w:t>
            </w:r>
          </w:p>
        </w:tc>
      </w:tr>
      <w:tr>
        <w:trPr>
          <w:trHeight w:val="280"/>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Inventory</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(1,682)</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(1,078)</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Deferred compensation</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1,199</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1,118</w:t>
            </w:r>
          </w:p>
        </w:tc>
      </w:tr>
      <w:tr>
        <w:trPr>
          <w:trHeight w:val="273"/>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2,817</w:t>
            </w:r>
          </w:p>
        </w:tc>
        <w:tc>
          <w:tcPr>
            <w:tcW w:w="3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997</w:t>
            </w:r>
          </w:p>
        </w:tc>
      </w:tr>
      <w:tr>
        <w:trPr>
          <w:trHeight w:val="250"/>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current</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9,641</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7,742</w:t>
            </w:r>
          </w:p>
        </w:tc>
      </w:tr>
      <w:tr>
        <w:trPr>
          <w:trHeight w:val="27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Postretirement health care benefits</w:t>
            </w:r>
          </w:p>
        </w:tc>
        <w:tc>
          <w:tcPr>
            <w:tcW w:w="260" w:type="dxa"/>
            <w:vAlign w:val="bottom"/>
          </w:tcPr>
          <w:p>
            <w:pPr>
              <w:spacing w:after="0"/>
              <w:rPr>
                <w:sz w:val="22"/>
                <w:szCs w:val="22"/>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13,634</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13,186</w:t>
            </w:r>
          </w:p>
        </w:tc>
      </w:tr>
      <w:tr>
        <w:trPr>
          <w:trHeight w:val="280"/>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compensation</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9,565</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10,678</w:t>
            </w:r>
          </w:p>
        </w:tc>
      </w:tr>
      <w:tr>
        <w:trPr>
          <w:trHeight w:val="233"/>
        </w:trPr>
        <w:tc>
          <w:tcPr>
            <w:tcW w:w="7120" w:type="dxa"/>
            <w:vAlign w:val="bottom"/>
          </w:tcPr>
          <w:p>
            <w:pPr>
              <w:ind w:left="180"/>
              <w:spacing w:after="0"/>
              <w:rPr>
                <w:sz w:val="20"/>
                <w:szCs w:val="20"/>
                <w:color w:val="auto"/>
              </w:rPr>
            </w:pPr>
            <w:r>
              <w:rPr>
                <w:rFonts w:ascii="Arial" w:cs="Arial" w:eastAsia="Arial" w:hAnsi="Arial"/>
                <w:sz w:val="16"/>
                <w:szCs w:val="16"/>
                <w:color w:val="auto"/>
              </w:rPr>
              <w:t>Tax credits &amp; NOL carryforwards</w:t>
            </w:r>
          </w:p>
        </w:tc>
        <w:tc>
          <w:tcPr>
            <w:tcW w:w="260" w:type="dxa"/>
            <w:vAlign w:val="bottom"/>
          </w:tcPr>
          <w:p>
            <w:pPr>
              <w:spacing w:after="0"/>
              <w:rPr>
                <w:sz w:val="20"/>
                <w:szCs w:val="20"/>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color w:val="auto"/>
              </w:rPr>
              <w:t>261</w:t>
            </w:r>
          </w:p>
        </w:tc>
        <w:tc>
          <w:tcPr>
            <w:tcW w:w="300" w:type="dxa"/>
            <w:vAlign w:val="bottom"/>
          </w:tcPr>
          <w:p>
            <w:pPr>
              <w:jc w:val="right"/>
              <w:ind w:right="68"/>
              <w:spacing w:after="0"/>
              <w:rPr>
                <w:sz w:val="20"/>
                <w:szCs w:val="20"/>
                <w:color w:val="auto"/>
              </w:rPr>
            </w:pPr>
            <w:r>
              <w:rPr>
                <w:rFonts w:ascii="Arial" w:cs="Arial" w:eastAsia="Arial" w:hAnsi="Arial"/>
                <w:sz w:val="11"/>
                <w:szCs w:val="11"/>
                <w:color w:val="auto"/>
              </w:rPr>
              <w:t>(1)</w:t>
            </w:r>
          </w:p>
        </w:tc>
        <w:tc>
          <w:tcPr>
            <w:tcW w:w="260" w:type="dxa"/>
            <w:vAlign w:val="bottom"/>
          </w:tcPr>
          <w:p>
            <w:pPr>
              <w:spacing w:after="0"/>
              <w:rPr>
                <w:sz w:val="20"/>
                <w:szCs w:val="20"/>
                <w:color w:val="auto"/>
              </w:rPr>
            </w:pPr>
          </w:p>
        </w:tc>
        <w:tc>
          <w:tcPr>
            <w:tcW w:w="1740" w:type="dxa"/>
            <w:vAlign w:val="bottom"/>
          </w:tcPr>
          <w:p>
            <w:pPr>
              <w:jc w:val="right"/>
              <w:ind w:right="359"/>
              <w:spacing w:after="0"/>
              <w:rPr>
                <w:sz w:val="20"/>
                <w:szCs w:val="20"/>
                <w:color w:val="auto"/>
              </w:rPr>
            </w:pPr>
            <w:r>
              <w:rPr>
                <w:rFonts w:ascii="Arial" w:cs="Arial" w:eastAsia="Arial" w:hAnsi="Arial"/>
                <w:sz w:val="16"/>
                <w:szCs w:val="16"/>
                <w:color w:val="auto"/>
              </w:rPr>
              <w:t>2,070</w:t>
            </w:r>
          </w:p>
        </w:tc>
      </w:tr>
      <w:tr>
        <w:trPr>
          <w:trHeight w:val="280"/>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Unrecognized tax benefit</w:t>
            </w: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895</w:t>
            </w:r>
          </w:p>
        </w:tc>
        <w:tc>
          <w:tcPr>
            <w:tcW w:w="3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1,206</w:t>
            </w:r>
          </w:p>
        </w:tc>
      </w:tr>
      <w:tr>
        <w:trPr>
          <w:trHeight w:val="260"/>
        </w:trPr>
        <w:tc>
          <w:tcPr>
            <w:tcW w:w="712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(992)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color w:val="auto"/>
              </w:rPr>
              <w:t>(917)</w:t>
            </w:r>
          </w:p>
        </w:tc>
      </w:tr>
      <w:tr>
        <w:trPr>
          <w:trHeight w:val="273"/>
        </w:trPr>
        <w:tc>
          <w:tcPr>
            <w:tcW w:w="7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666</w:t>
            </w:r>
          </w:p>
        </w:tc>
        <w:tc>
          <w:tcPr>
            <w:tcW w:w="3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1,068</w:t>
            </w:r>
          </w:p>
        </w:tc>
      </w:tr>
      <w:tr>
        <w:trPr>
          <w:trHeight w:val="250"/>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noncurrent</w:t>
            </w: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24,029</w:t>
            </w:r>
          </w:p>
        </w:tc>
        <w:tc>
          <w:tcPr>
            <w:tcW w:w="3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27,291</w:t>
            </w:r>
          </w:p>
        </w:tc>
      </w:tr>
      <w:tr>
        <w:trPr>
          <w:trHeight w:val="257"/>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gross deferred tax assets</w:t>
            </w:r>
          </w:p>
        </w:tc>
        <w:tc>
          <w:tcPr>
            <w:tcW w:w="2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33,670</w:t>
            </w:r>
          </w:p>
        </w:tc>
        <w:tc>
          <w:tcPr>
            <w:tcW w:w="3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35,033</w:t>
            </w:r>
          </w:p>
        </w:tc>
      </w:tr>
      <w:tr>
        <w:trPr>
          <w:trHeight w:val="264"/>
        </w:trPr>
        <w:tc>
          <w:tcPr>
            <w:tcW w:w="7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Valuation allowance</w:t>
            </w: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(1,642)</w:t>
            </w:r>
          </w:p>
        </w:tc>
      </w:tr>
      <w:tr>
        <w:trPr>
          <w:trHeight w:val="240"/>
        </w:trPr>
        <w:tc>
          <w:tcPr>
            <w:tcW w:w="7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deferred tax assets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33,670</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33,391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260" w:hanging="252"/>
        <w:spacing w:after="0"/>
        <w:tabs>
          <w:tab w:leader="none" w:pos="260"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At August 30, 2014, NOL carryforwards included $261,000 of state NOLs that will begin to expire in Fiscal 2018. We have evaluated all the</w:t>
      </w:r>
    </w:p>
    <w:p>
      <w:pPr>
        <w:sectPr>
          <w:pgSz w:w="11900" w:h="16838" w:orient="portrait"/>
          <w:cols w:equalWidth="0" w:num="1">
            <w:col w:w="11420"/>
          </w:cols>
          <w:pgMar w:left="240" w:top="141"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41" w:right="239" w:bottom="1440" w:gutter="0" w:footer="0" w:header="0"/>
          <w:type w:val="continuous"/>
        </w:sectPr>
      </w:pPr>
    </w:p>
    <w:bookmarkStart w:id="45" w:name="page46"/>
    <w:bookmarkEnd w:id="4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92" w:lineRule="exact"/>
        <w:rPr>
          <w:sz w:val="20"/>
          <w:szCs w:val="20"/>
          <w:color w:val="auto"/>
        </w:rPr>
      </w:pPr>
    </w:p>
    <w:p>
      <w:pPr>
        <w:ind w:left="260" w:right="200"/>
        <w:spacing w:after="0" w:line="399" w:lineRule="auto"/>
        <w:rPr>
          <w:sz w:val="20"/>
          <w:szCs w:val="20"/>
          <w:color w:val="auto"/>
        </w:rPr>
      </w:pPr>
      <w:r>
        <w:rPr>
          <w:rFonts w:ascii="Arial" w:cs="Arial" w:eastAsia="Arial" w:hAnsi="Arial"/>
          <w:sz w:val="14"/>
          <w:szCs w:val="14"/>
          <w:color w:val="auto"/>
        </w:rPr>
        <w:t>positive and negative evidence and consider it more likely than not that these carryforwards can be realized. Approximately $1.4 million of tax credits were written off as they expired in Fiscal 2014. As such, the valuation allowance associated with these tax credits was also removed during the year.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unrecognized tax benefits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6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2014</w:t>
            </w:r>
          </w:p>
        </w:tc>
        <w:tc>
          <w:tcPr>
            <w:tcW w:w="220" w:type="dxa"/>
            <w:vAlign w:val="bottom"/>
          </w:tcPr>
          <w:p>
            <w:pPr>
              <w:spacing w:after="0"/>
              <w:rPr>
                <w:sz w:val="19"/>
                <w:szCs w:val="19"/>
                <w:color w:val="auto"/>
              </w:rPr>
            </w:pPr>
          </w:p>
        </w:tc>
        <w:tc>
          <w:tcPr>
            <w:tcW w:w="1460" w:type="dxa"/>
            <w:vAlign w:val="bottom"/>
            <w:gridSpan w:val="2"/>
          </w:tcPr>
          <w:p>
            <w:pPr>
              <w:ind w:left="120"/>
              <w:spacing w:after="0"/>
              <w:rPr>
                <w:sz w:val="20"/>
                <w:szCs w:val="20"/>
                <w:color w:val="auto"/>
              </w:rPr>
            </w:pPr>
            <w:r>
              <w:rPr>
                <w:rFonts w:ascii="Arial" w:cs="Arial" w:eastAsia="Arial" w:hAnsi="Arial"/>
                <w:sz w:val="16"/>
                <w:szCs w:val="16"/>
                <w:b w:val="1"/>
                <w:bCs w:val="1"/>
                <w:color w:val="auto"/>
              </w:rPr>
              <w:t>Fiscal 2013</w:t>
            </w:r>
          </w:p>
        </w:tc>
        <w:tc>
          <w:tcPr>
            <w:tcW w:w="240" w:type="dxa"/>
            <w:vAlign w:val="bottom"/>
          </w:tcPr>
          <w:p>
            <w:pPr>
              <w:spacing w:after="0"/>
              <w:rPr>
                <w:sz w:val="19"/>
                <w:szCs w:val="19"/>
                <w:color w:val="auto"/>
              </w:rPr>
            </w:pPr>
          </w:p>
        </w:tc>
        <w:tc>
          <w:tcPr>
            <w:tcW w:w="134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 2012</w:t>
            </w:r>
          </w:p>
        </w:tc>
      </w:tr>
      <w:tr>
        <w:trPr>
          <w:trHeight w:val="257"/>
        </w:trPr>
        <w:tc>
          <w:tcPr>
            <w:tcW w:w="64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 - beginning balance</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(2,134)</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(5,228)</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(5,387)</w:t>
            </w:r>
          </w:p>
        </w:tc>
      </w:tr>
      <w:tr>
        <w:trPr>
          <w:trHeight w:val="260"/>
        </w:trPr>
        <w:tc>
          <w:tcPr>
            <w:tcW w:w="6460" w:type="dxa"/>
            <w:vAlign w:val="bottom"/>
          </w:tcPr>
          <w:p>
            <w:pPr>
              <w:ind w:left="40"/>
              <w:spacing w:after="0"/>
              <w:rPr>
                <w:sz w:val="20"/>
                <w:szCs w:val="20"/>
                <w:color w:val="auto"/>
              </w:rPr>
            </w:pPr>
            <w:r>
              <w:rPr>
                <w:rFonts w:ascii="Arial" w:cs="Arial" w:eastAsia="Arial" w:hAnsi="Arial"/>
                <w:sz w:val="16"/>
                <w:szCs w:val="16"/>
                <w:color w:val="auto"/>
              </w:rPr>
              <w:t>Gross decreases - tax positions in a prior period</w:t>
            </w:r>
          </w:p>
        </w:tc>
        <w:tc>
          <w:tcPr>
            <w:tcW w:w="24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816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259"/>
              <w:spacing w:after="0"/>
              <w:rPr>
                <w:sz w:val="20"/>
                <w:szCs w:val="20"/>
                <w:color w:val="auto"/>
              </w:rPr>
            </w:pPr>
            <w:r>
              <w:rPr>
                <w:rFonts w:ascii="Arial" w:cs="Arial" w:eastAsia="Arial" w:hAnsi="Arial"/>
                <w:sz w:val="16"/>
                <w:szCs w:val="16"/>
                <w:color w:val="auto"/>
              </w:rPr>
              <w:t>3,101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599</w:t>
            </w:r>
          </w:p>
        </w:tc>
      </w:tr>
      <w:tr>
        <w:trPr>
          <w:trHeight w:val="273"/>
        </w:trPr>
        <w:tc>
          <w:tcPr>
            <w:tcW w:w="6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increases - current period tax positions</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(391)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(440)</w:t>
            </w:r>
          </w:p>
        </w:tc>
      </w:tr>
      <w:tr>
        <w:trPr>
          <w:trHeight w:val="240"/>
        </w:trPr>
        <w:tc>
          <w:tcPr>
            <w:tcW w:w="6460" w:type="dxa"/>
            <w:vAlign w:val="bottom"/>
          </w:tcPr>
          <w:p>
            <w:pPr>
              <w:ind w:left="40"/>
              <w:spacing w:after="0"/>
              <w:rPr>
                <w:sz w:val="20"/>
                <w:szCs w:val="20"/>
                <w:color w:val="auto"/>
              </w:rPr>
            </w:pPr>
            <w:r>
              <w:rPr>
                <w:rFonts w:ascii="Arial" w:cs="Arial" w:eastAsia="Arial" w:hAnsi="Arial"/>
                <w:sz w:val="16"/>
                <w:szCs w:val="16"/>
                <w:color w:val="auto"/>
              </w:rPr>
              <w:t>Unrecognized tax benefits - ending balance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(1,709)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(2,134)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(5,228)</w:t>
            </w:r>
          </w:p>
        </w:tc>
      </w:tr>
      <w:tr>
        <w:trPr>
          <w:trHeight w:val="20"/>
        </w:trPr>
        <w:tc>
          <w:tcPr>
            <w:tcW w:w="6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changes in the balance of Unrecognized Tax Benefits during Fiscal 2014 are a result of tax planning initiatives recorded during the year. Approximately $1.9 million of the gross decreases for Fiscal 2013 includes the removal of the interest and penalties from the overall disclosed reserve balance of unrecognized tax benefits. The remaining reductions are as a result of changes in balance of positions that meet the more-likely-than-not threshold.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If the remaining uncertain positions are ultimately favorably resolved, $2.1 million of unrecognized benefits could have a positive impact on our effective tax</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rate. It is our policy to recognize interest and penalties accrued relative to unrecognized tax benefits into tax expense. The Company reduced its accrual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 by $464,000 and penalties by $75,000 during Fiscal 2014. In total, as of August 30, 2014, the Company has recorded $848,000 of interest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$468,000 in penalties in the balance for unrecognized tax benefits. The Company reduced its accrual for interest by $235,000 and penalties by $92,000 during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Fiscal 2013. In total, as of August 31, 2013 the Company has recognized a liability for interest of $1.3 million and penalties of $542,000. In Fiscal 2012, we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reduced the accrual for interest by approximately $121,000 and reduced the accrual for penalties by approximately $118,000. Approximately $1.5 million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interest and $634,000 in penalties are included in the unrecognized tax benefits ending balance for Fiscal 2012.</w:t>
      </w:r>
    </w:p>
    <w:p>
      <w:pPr>
        <w:spacing w:after="0" w:line="16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We file tax returns in the US federal jurisdiction, as well as various international and state jurisdictions.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As of August 30, 2014, our federal returns from Fiscal 2011 to present continue to be subject to review by the IRS. With few exceptions, the state returns from Fiscal 2009 to present continue to be subject to review by the taxing jurisdictions.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August 30, 2014.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60" w:type="dxa"/>
            <w:vAlign w:val="bottom"/>
          </w:tcPr>
          <w:p>
            <w:pPr>
              <w:spacing w:after="0"/>
              <w:rPr>
                <w:sz w:val="20"/>
                <w:szCs w:val="20"/>
                <w:color w:val="auto"/>
              </w:rPr>
            </w:pPr>
            <w:r>
              <w:rPr>
                <w:rFonts w:ascii="Arial" w:cs="Arial" w:eastAsia="Arial" w:hAnsi="Arial"/>
                <w:sz w:val="16"/>
                <w:szCs w:val="16"/>
                <w:b w:val="1"/>
                <w:bCs w:val="1"/>
                <w:color w:val="auto"/>
              </w:rPr>
              <w:t>Note 12: Non-Operating Income and Expense</w:t>
            </w:r>
          </w:p>
        </w:tc>
        <w:tc>
          <w:tcPr>
            <w:tcW w:w="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38"/>
        </w:trPr>
        <w:tc>
          <w:tcPr>
            <w:tcW w:w="5360" w:type="dxa"/>
            <w:vAlign w:val="bottom"/>
          </w:tcPr>
          <w:p>
            <w:pPr>
              <w:spacing w:after="0"/>
              <w:rPr>
                <w:sz w:val="20"/>
                <w:szCs w:val="20"/>
                <w:color w:val="auto"/>
              </w:rPr>
            </w:pPr>
            <w:r>
              <w:rPr>
                <w:rFonts w:ascii="Arial" w:cs="Arial" w:eastAsia="Arial" w:hAnsi="Arial"/>
                <w:sz w:val="16"/>
                <w:szCs w:val="16"/>
                <w:color w:val="auto"/>
              </w:rPr>
              <w:t>Non-operating income consists of:</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351"/>
        </w:trPr>
        <w:tc>
          <w:tcPr>
            <w:tcW w:w="5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9"/>
              </w:rPr>
              <w:t>Year Ended</w:t>
            </w: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r>
        <w:trPr>
          <w:trHeight w:val="264"/>
        </w:trPr>
        <w:tc>
          <w:tcPr>
            <w:tcW w:w="5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20" w:type="dxa"/>
            <w:vAlign w:val="bottom"/>
            <w:gridSpan w:val="2"/>
          </w:tcPr>
          <w:p>
            <w:pPr>
              <w:ind w:left="120"/>
              <w:spacing w:after="0"/>
              <w:rPr>
                <w:sz w:val="20"/>
                <w:szCs w:val="20"/>
                <w:color w:val="auto"/>
              </w:rPr>
            </w:pPr>
            <w:r>
              <w:rPr>
                <w:rFonts w:ascii="Arial" w:cs="Arial" w:eastAsia="Arial" w:hAnsi="Arial"/>
                <w:sz w:val="16"/>
                <w:szCs w:val="16"/>
                <w:b w:val="1"/>
                <w:bCs w:val="1"/>
                <w:color w:val="auto"/>
              </w:rPr>
              <w:t>August 30, 2014</w:t>
            </w:r>
          </w:p>
        </w:tc>
        <w:tc>
          <w:tcPr>
            <w:tcW w:w="240" w:type="dxa"/>
            <w:vAlign w:val="bottom"/>
          </w:tcPr>
          <w:p>
            <w:pPr>
              <w:spacing w:after="0"/>
              <w:rPr>
                <w:sz w:val="22"/>
                <w:szCs w:val="22"/>
                <w:color w:val="auto"/>
              </w:rPr>
            </w:pPr>
          </w:p>
        </w:tc>
        <w:tc>
          <w:tcPr>
            <w:tcW w:w="18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August 31, 2013</w:t>
            </w:r>
          </w:p>
        </w:tc>
        <w:tc>
          <w:tcPr>
            <w:tcW w:w="240" w:type="dxa"/>
            <w:vAlign w:val="bottom"/>
          </w:tcPr>
          <w:p>
            <w:pPr>
              <w:spacing w:after="0"/>
              <w:rPr>
                <w:sz w:val="22"/>
                <w:szCs w:val="22"/>
                <w:color w:val="auto"/>
              </w:rPr>
            </w:pPr>
          </w:p>
        </w:tc>
        <w:tc>
          <w:tcPr>
            <w:tcW w:w="170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25, 2012</w:t>
            </w:r>
          </w:p>
        </w:tc>
      </w:tr>
      <w:tr>
        <w:trPr>
          <w:trHeight w:val="257"/>
        </w:trPr>
        <w:tc>
          <w:tcPr>
            <w:tcW w:w="53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COLI appreciation</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2,425</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2,616</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2,788</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COLI death benefits</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726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color w:val="auto"/>
              </w:rPr>
              <w:t>537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528</w:t>
            </w: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COLI premiums</w:t>
            </w: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(491)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(514)</w:t>
            </w:r>
          </w:p>
        </w:tc>
      </w:tr>
      <w:tr>
        <w:trPr>
          <w:trHeight w:val="264"/>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COLI interest expense</w:t>
            </w:r>
          </w:p>
        </w:tc>
        <w:tc>
          <w:tcPr>
            <w:tcW w:w="2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(1,795)</w:t>
            </w:r>
          </w:p>
        </w:tc>
      </w:tr>
      <w:tr>
        <w:trPr>
          <w:trHeight w:val="250"/>
        </w:trPr>
        <w:tc>
          <w:tcPr>
            <w:tcW w:w="5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COLI</w:t>
            </w:r>
          </w:p>
        </w:tc>
        <w:tc>
          <w:tcPr>
            <w:tcW w:w="2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1,047</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1,026</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1,007</w:t>
            </w:r>
          </w:p>
        </w:tc>
      </w:tr>
      <w:tr>
        <w:trPr>
          <w:trHeight w:val="247"/>
        </w:trPr>
        <w:tc>
          <w:tcPr>
            <w:tcW w:w="5360" w:type="dxa"/>
            <w:vAlign w:val="bottom"/>
          </w:tcPr>
          <w:p>
            <w:pPr>
              <w:ind w:left="40"/>
              <w:spacing w:after="0"/>
              <w:rPr>
                <w:sz w:val="20"/>
                <w:szCs w:val="20"/>
                <w:color w:val="auto"/>
              </w:rPr>
            </w:pPr>
            <w:r>
              <w:rPr>
                <w:rFonts w:ascii="Arial" w:cs="Arial" w:eastAsia="Arial" w:hAnsi="Arial"/>
                <w:sz w:val="16"/>
                <w:szCs w:val="16"/>
                <w:color w:val="auto"/>
              </w:rPr>
              <w:t>Line of credit expense</w:t>
            </w:r>
          </w:p>
        </w:tc>
        <w:tc>
          <w:tcPr>
            <w:tcW w:w="240" w:type="dxa"/>
            <w:vAlign w:val="bottom"/>
          </w:tcPr>
          <w:p>
            <w:pPr>
              <w:spacing w:after="0"/>
              <w:rPr>
                <w:sz w:val="21"/>
                <w:szCs w:val="21"/>
                <w:color w:val="auto"/>
              </w:rPr>
            </w:pP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299"/>
              <w:spacing w:after="0"/>
              <w:rPr>
                <w:sz w:val="20"/>
                <w:szCs w:val="20"/>
                <w:color w:val="auto"/>
              </w:rPr>
            </w:pPr>
            <w:r>
              <w:rPr>
                <w:rFonts w:ascii="Arial" w:cs="Arial" w:eastAsia="Arial" w:hAnsi="Arial"/>
                <w:sz w:val="16"/>
                <w:szCs w:val="16"/>
                <w:color w:val="auto"/>
              </w:rPr>
              <w:t>(571)</w:t>
            </w:r>
          </w:p>
        </w:tc>
      </w:tr>
      <w:tr>
        <w:trPr>
          <w:trHeight w:val="280"/>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Loss on sale of investment</w:t>
            </w:r>
          </w:p>
        </w:tc>
        <w:tc>
          <w:tcPr>
            <w:tcW w:w="24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0"/>
        </w:trPr>
        <w:tc>
          <w:tcPr>
            <w:tcW w:w="536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3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jc w:val="right"/>
              <w:ind w:right="359"/>
              <w:spacing w:after="0"/>
              <w:rPr>
                <w:sz w:val="20"/>
                <w:szCs w:val="20"/>
                <w:color w:val="auto"/>
              </w:rPr>
            </w:pPr>
            <w:r>
              <w:rPr>
                <w:rFonts w:ascii="Arial" w:cs="Arial" w:eastAsia="Arial" w:hAnsi="Arial"/>
                <w:sz w:val="16"/>
                <w:szCs w:val="16"/>
                <w:color w:val="auto"/>
              </w:rPr>
              <w:t>143</w:t>
            </w:r>
          </w:p>
        </w:tc>
      </w:tr>
      <w:tr>
        <w:trPr>
          <w:trHeight w:val="273"/>
        </w:trPr>
        <w:tc>
          <w:tcPr>
            <w:tcW w:w="5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Gain (loss) on foreign currency transactions</w:t>
            </w:r>
          </w:p>
        </w:tc>
        <w:tc>
          <w:tcPr>
            <w:tcW w:w="24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w:t>
            </w:r>
          </w:p>
        </w:tc>
      </w:tr>
      <w:tr>
        <w:trPr>
          <w:trHeight w:val="240"/>
        </w:trPr>
        <w:tc>
          <w:tcPr>
            <w:tcW w:w="5360" w:type="dxa"/>
            <w:vAlign w:val="bottom"/>
          </w:tcPr>
          <w:p>
            <w:pPr>
              <w:ind w:left="40"/>
              <w:spacing w:after="0"/>
              <w:rPr>
                <w:sz w:val="20"/>
                <w:szCs w:val="20"/>
                <w:color w:val="auto"/>
              </w:rPr>
            </w:pPr>
            <w:r>
              <w:rPr>
                <w:rFonts w:ascii="Arial" w:cs="Arial" w:eastAsia="Arial" w:hAnsi="Arial"/>
                <w:sz w:val="16"/>
                <w:szCs w:val="16"/>
                <w:color w:val="auto"/>
              </w:rPr>
              <w:t>Total non-operating income</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696</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581</w:t>
            </w: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Stock-Based Compensation Plans</w:t>
      </w:r>
    </w:p>
    <w:p>
      <w:pPr>
        <w:spacing w:after="0" w:line="18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We have a 2014 Omnibus Equity, Performance Award, and Incentive Compensation Plan approved by shareholders (as amended, the "Plan") in place which allows us to grant or issue non-qualified stock options, incentive stock options, share awards and other equity compensation to key employees and to non-employee directors. No more than 3.6 million shares of common stock may be issued under the Plan and no more than 3.6 million of those shares may be used for awards other than stock options or stock</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41"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appreciation rights. Shares subject to awards that are forfeited or terminated, expire unexercised, are cancelled and settled in cash in lieu of common stock or are exchanged for awards that do no involve common stock, shall be added back to the limits and again immediately become available for awards.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 and Share Awards</w:t>
      </w:r>
    </w:p>
    <w:p>
      <w:pPr>
        <w:spacing w:after="0" w:line="2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With respect to stock options, the Plan replaced the 2004 Incentive Compensation Plan. Any stock options previously granted under the 2004 Incentive Compensation Plan continue to be exercisable in accordance with their original terms and conditions. The term of any options granted under the Plan may not exceed ten years from the date of the grant. Stock options are granted at the closing market price on the date of grant. Options issued to key employees generally vest over a three-year period in equal annual installments, beginning one year after the date of grant, with immediate vesting upon retirement or upon a change of control (as defined in the Plan), if earlier. Historically, options issued to directors vested six months after grant.</w:t>
      </w:r>
    </w:p>
    <w:p>
      <w:pPr>
        <w:spacing w:after="0" w:line="149"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Share awards vest based either upon continued employment, beginning one year after the date of grant, with immediate vesting upon retirement or upon a change of control (collectively, "time-based") or upon attainment of established goals. Share awards that are not time-based typically vest at the end of a one year or three-year incentive period based upon the achievement of company goals ("performance-based"). The value of time-based restricted share awards is based on the number of shares granted and the closing price of our common stock on the date of grant. The value of performance-based restricted share awards is based upon the terms of the plan and an assessment of the probability of reaching the established performance targets. Historically, the terms of these plans linked the incentive payment to a percentage of base salary compensation and if the established goals are met, shares of the appropriate value are then granted.</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Plans</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For Fiscal 2012, Fiscal 2013 and Fiscal 2014, the Human Resources Committee of our Board of Directors established annual incentive plans for the officers that were to be paid in 2/3 cash and 1/3 restricted stock (stock must be held for one year from date of grant except for shares we agree to repurchase in lieu of executives' payment of payroll taxes).</w:t>
      </w:r>
    </w:p>
    <w:p>
      <w:pPr>
        <w:spacing w:after="0" w:line="147" w:lineRule="exact"/>
        <w:rPr>
          <w:sz w:val="20"/>
          <w:szCs w:val="20"/>
          <w:color w:val="auto"/>
        </w:rPr>
      </w:pPr>
    </w:p>
    <w:p>
      <w:pPr>
        <w:ind w:left="340" w:right="420" w:hanging="332"/>
        <w:spacing w:after="0" w:line="24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financial performance metrics (pre-tax income and ROIC) were achieved for Fiscal 2012 under the annual incentive plan thus $459,000 of compensation expense was accrued under this plan at the end of Fiscal 2012 of which $120,000 was stock-based. On October 9, 2012, the Human Resources Committee of the Board of Directors approved the award of 9,606 restricted shares to the officers under the annual incentive plan. Of the shares granted, we repurchased 2,408 shares from employees who elected to pay their payroll tax via delivery of common stock as opposed to cash.</w:t>
      </w:r>
    </w:p>
    <w:p>
      <w:pPr>
        <w:spacing w:after="0" w:line="1" w:lineRule="exact"/>
        <w:rPr>
          <w:rFonts w:ascii="Arial" w:cs="Arial" w:eastAsia="Arial" w:hAnsi="Arial"/>
          <w:sz w:val="16"/>
          <w:szCs w:val="16"/>
          <w:color w:val="auto"/>
        </w:rPr>
      </w:pPr>
    </w:p>
    <w:p>
      <w:pPr>
        <w:ind w:left="340" w:right="60" w:hanging="332"/>
        <w:spacing w:after="0" w:line="246"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financial performance metrics (net income and ROIC) were achieved for Fiscal 2013 under the annual incentive plan thus $3.0 million of compensation expense was accrued under this plan at the end of Fiscal 2013 of which $1.0 million was stock-based. On October 15, 2013, the Human Resources Committee of the Board of Directors approved the award of 38,139 restricted shares to the officers under the annual incentive plan. Of the shares granted, we repurchased 19,436 shares from employees who elected to pay their payroll tax via delivery of shares of common stock as opposed to cash.</w:t>
      </w:r>
    </w:p>
    <w:p>
      <w:pPr>
        <w:spacing w:after="0" w:line="2" w:lineRule="exact"/>
        <w:rPr>
          <w:rFonts w:ascii="Arial" w:cs="Arial" w:eastAsia="Arial" w:hAnsi="Arial"/>
          <w:sz w:val="16"/>
          <w:szCs w:val="16"/>
          <w:color w:val="auto"/>
        </w:rPr>
      </w:pPr>
    </w:p>
    <w:p>
      <w:pPr>
        <w:ind w:left="340" w:right="60" w:hanging="332"/>
        <w:spacing w:after="0" w:line="250"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financial performance metrics (net income and ROIC) were achieved for Fiscal 2014 under the annual incentive plan thus $2.6 million of compensation expense was accrued under this plan at the end of Fiscal 2014 of which $866,000 was stock-based. On October 14, 2014, the Human Resources Committee of the Board of Directors approved the award of 40,495 restricted shares to the officers under the annual incentive plan. Of the shares granted, we repurchased 20,638 shares from employees who elected to pay their payroll tax via delivery of shares of common stock as opposed to cash.</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Plans</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For Fiscal 2012, Fiscal 2013 and Fiscal 2014, the Human Resources Committee of our Board of Directors established three different three-year incentive compensation plans (Officers Long-Term Incentive Plan Fiscal 2012-2014, 2013-2015 and 2014-2016) to serve as an incentive to our senior management team to achieve certain ROE targets. If the ROE target is met, restricted stock will be awarded subsequent to the end of each three year period with a one-year restriction on sale upon award (except for shares we agree to repurchase in lieu of executives' payment of payroll taxes). In the event that we do not achieve the required ROE targets, no restricted stock will be granted. If it becomes probable that certain of the ROE performance targets will be achieved, the corresponding estimated cost of the grant will be recorded as stock-based compensation expense over the performance period. The probability of reaching the targets is evaluated each reporting period. If it becomes probable that certain of the target performance levels will be achieved, a cumulative adjustment will be recorded and future stock-based-compensation expense will increase based on the then projected performance levels. If we later determine that it is not probable that the minimum ROE performance threshold for the grants will be met, no further stock-based compensation cost will be recognized and any previously recognized stock-based compensation cost related to these plans will be reversed.</w:t>
      </w:r>
    </w:p>
    <w:p>
      <w:pPr>
        <w:spacing w:after="0" w:line="152" w:lineRule="exact"/>
        <w:rPr>
          <w:sz w:val="20"/>
          <w:szCs w:val="20"/>
          <w:color w:val="auto"/>
        </w:rPr>
      </w:pPr>
    </w:p>
    <w:p>
      <w:pPr>
        <w:ind w:left="340" w:right="60" w:hanging="332"/>
        <w:spacing w:after="0" w:line="246"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of the end of Fiscal 2012, $791,000 of stock-based compensation expense was accrued for these plans. Specifically, for the 2010-2012 plan, the ROE target was met, thus subsequent to year end, in October 2012 restricted stock was awarded to the officers in this plan. On October 9, 2012, the Human Resources Committee of the Board of Directors approved the award of 25,532 shares valued at $318,000 to the officers under the 2010-2012 long-term incentive plan. Of the shares granted, we repurchased 7,295 shares valued at $91,000 from employees who elected to pay their payroll tax via delivery of common stock as opposed to cash.</w:t>
      </w:r>
    </w:p>
    <w:p>
      <w:pPr>
        <w:spacing w:after="0" w:line="2" w:lineRule="exact"/>
        <w:rPr>
          <w:rFonts w:ascii="Arial" w:cs="Arial" w:eastAsia="Arial" w:hAnsi="Arial"/>
          <w:sz w:val="16"/>
          <w:szCs w:val="16"/>
          <w:color w:val="auto"/>
        </w:rPr>
      </w:pPr>
    </w:p>
    <w:p>
      <w:pPr>
        <w:ind w:left="340" w:right="140" w:hanging="332"/>
        <w:spacing w:after="0" w:line="251"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 of the end of Fiscal 2013, $444,000 of stock-based compensation expense has been accrued for these plans. Specifically, for the 2011-2013 plan, the ROE target was met, thus subsequent to year end, in October 2013 restricted stock was awarded to the officers in this plan. On October 15, 2013, the Human Resources Committee of the Board of Directors approved the award of 16,006 shares valued at $443,000 to the officers under the 2011-2013 long-term incentive plan. Of the shares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75" w:lineRule="exact"/>
        <w:rPr>
          <w:sz w:val="20"/>
          <w:szCs w:val="20"/>
          <w:color w:val="auto"/>
        </w:rPr>
      </w:pPr>
    </w:p>
    <w:p>
      <w:pPr>
        <w:ind w:left="340" w:right="140"/>
        <w:spacing w:after="0" w:line="317" w:lineRule="auto"/>
        <w:rPr>
          <w:sz w:val="20"/>
          <w:szCs w:val="20"/>
          <w:color w:val="auto"/>
        </w:rPr>
      </w:pPr>
      <w:r>
        <w:rPr>
          <w:rFonts w:ascii="Arial" w:cs="Arial" w:eastAsia="Arial" w:hAnsi="Arial"/>
          <w:sz w:val="16"/>
          <w:szCs w:val="16"/>
          <w:color w:val="auto"/>
        </w:rPr>
        <w:t>granted, we repurchased 7,875 shares valued at $218,000 from employees who elected to pay their payroll tax via delivery of common stock as opposed to cash.</w:t>
      </w:r>
    </w:p>
    <w:p>
      <w:pPr>
        <w:ind w:left="340" w:right="140" w:hanging="332"/>
        <w:spacing w:after="0" w:line="25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 of the end of Fiscal 2014, $540,000 of stock-based compensation expense has been accrued for these plans. Specifically, for the 2012-2014 plan, the ROE target was met, thus subsequent to year end, in October 2014 restricted stock was awarded to the officers in this plan. On October 14, 2014, the Human Resources Committee of the Board of Directors approved the award of 25,529 shares valued at $545,000 to the officers under the 2012-2014 long-term incentive plan. Of the shares granted, we repurchased 13,011 shares valued at $278,000 from employees who elected to pay their payroll tax via delivery of common stock as opposed to cash.</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Awards</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Non-employee directors may elect to receive all or part of their annual retainer and board fees in the form of Winnebago Industries stock units credited in the form of shares of our common stock instead of cash. The directors are restricted from selling these shares until their retirement. During Fiscal 2014, there were 3,576 stock units awarded to our non-employee directors in lieu of cash compensation. The aggregate intrinsic value of these awards as of August 30, 2014 was $2.6 million with 104,490 stock units outstanding.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expense for the past three fiscal years consisted of the following components: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6"/>
                <w:szCs w:val="16"/>
                <w:b w:val="1"/>
                <w:bCs w:val="1"/>
                <w:color w:val="auto"/>
              </w:rPr>
              <w:t>Year Ended</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jc w:val="right"/>
              <w:ind w:right="184"/>
              <w:spacing w:after="0"/>
              <w:rPr>
                <w:sz w:val="20"/>
                <w:szCs w:val="20"/>
                <w:color w:val="auto"/>
              </w:rPr>
            </w:pPr>
            <w:r>
              <w:rPr>
                <w:rFonts w:ascii="Arial" w:cs="Arial" w:eastAsia="Arial" w:hAnsi="Arial"/>
                <w:sz w:val="16"/>
                <w:szCs w:val="16"/>
                <w:b w:val="1"/>
                <w:bCs w:val="1"/>
                <w:color w:val="auto"/>
              </w:rPr>
              <w:t>August 30, 2014</w:t>
            </w:r>
          </w:p>
        </w:tc>
        <w:tc>
          <w:tcPr>
            <w:tcW w:w="100" w:type="dxa"/>
            <w:vAlign w:val="bottom"/>
          </w:tcPr>
          <w:p>
            <w:pPr>
              <w:spacing w:after="0"/>
              <w:rPr>
                <w:sz w:val="22"/>
                <w:szCs w:val="22"/>
                <w:color w:val="auto"/>
              </w:rPr>
            </w:pPr>
          </w:p>
        </w:tc>
        <w:tc>
          <w:tcPr>
            <w:tcW w:w="1860" w:type="dxa"/>
            <w:vAlign w:val="bottom"/>
            <w:gridSpan w:val="4"/>
          </w:tcPr>
          <w:p>
            <w:pPr>
              <w:jc w:val="right"/>
              <w:ind w:right="360"/>
              <w:spacing w:after="0"/>
              <w:rPr>
                <w:sz w:val="20"/>
                <w:szCs w:val="20"/>
                <w:color w:val="auto"/>
              </w:rPr>
            </w:pPr>
            <w:r>
              <w:rPr>
                <w:rFonts w:ascii="Arial" w:cs="Arial" w:eastAsia="Arial" w:hAnsi="Arial"/>
                <w:sz w:val="16"/>
                <w:szCs w:val="16"/>
                <w:b w:val="1"/>
                <w:bCs w:val="1"/>
                <w:color w:val="auto"/>
              </w:rPr>
              <w:t>August 31, 2013</w:t>
            </w:r>
          </w:p>
        </w:tc>
        <w:tc>
          <w:tcPr>
            <w:tcW w:w="120" w:type="dxa"/>
            <w:vAlign w:val="bottom"/>
          </w:tcPr>
          <w:p>
            <w:pPr>
              <w:spacing w:after="0"/>
              <w:rPr>
                <w:sz w:val="22"/>
                <w:szCs w:val="22"/>
                <w:color w:val="auto"/>
              </w:rPr>
            </w:pPr>
          </w:p>
        </w:tc>
        <w:tc>
          <w:tcPr>
            <w:tcW w:w="1620" w:type="dxa"/>
            <w:vAlign w:val="bottom"/>
            <w:gridSpan w:val="3"/>
          </w:tcPr>
          <w:p>
            <w:pPr>
              <w:jc w:val="right"/>
              <w:ind w:right="184"/>
              <w:spacing w:after="0"/>
              <w:rPr>
                <w:sz w:val="20"/>
                <w:szCs w:val="20"/>
                <w:color w:val="auto"/>
              </w:rPr>
            </w:pPr>
            <w:r>
              <w:rPr>
                <w:rFonts w:ascii="Arial" w:cs="Arial" w:eastAsia="Arial" w:hAnsi="Arial"/>
                <w:sz w:val="16"/>
                <w:szCs w:val="16"/>
                <w:b w:val="1"/>
                <w:bCs w:val="1"/>
                <w:color w:val="auto"/>
              </w:rPr>
              <w:t>August 25, 2012</w:t>
            </w:r>
          </w:p>
        </w:tc>
        <w:tc>
          <w:tcPr>
            <w:tcW w:w="0" w:type="dxa"/>
            <w:vAlign w:val="bottom"/>
          </w:tcPr>
          <w:p>
            <w:pPr>
              <w:spacing w:after="0"/>
              <w:rPr>
                <w:sz w:val="1"/>
                <w:szCs w:val="1"/>
                <w:color w:val="auto"/>
              </w:rPr>
            </w:pPr>
          </w:p>
        </w:tc>
      </w:tr>
      <w:tr>
        <w:trPr>
          <w:trHeight w:val="270"/>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Share awards:</w:t>
            </w:r>
          </w:p>
        </w:tc>
        <w:tc>
          <w:tcPr>
            <w:tcW w:w="10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800" w:type="dxa"/>
            <w:vAlign w:val="bottom"/>
            <w:gridSpan w:val="3"/>
          </w:tcPr>
          <w:p>
            <w:pPr>
              <w:ind w:left="180"/>
              <w:spacing w:after="0"/>
              <w:rPr>
                <w:sz w:val="20"/>
                <w:szCs w:val="20"/>
                <w:color w:val="auto"/>
              </w:rPr>
            </w:pPr>
            <w:r>
              <w:rPr>
                <w:rFonts w:ascii="Arial" w:cs="Arial" w:eastAsia="Arial" w:hAnsi="Arial"/>
                <w:sz w:val="16"/>
                <w:szCs w:val="16"/>
                <w:color w:val="auto"/>
              </w:rPr>
              <w:t>Performance-based annual plan employee award expense</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626"/>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2"/>
                <w:szCs w:val="22"/>
                <w:color w:val="auto"/>
              </w:rPr>
            </w:pPr>
          </w:p>
        </w:tc>
        <w:tc>
          <w:tcPr>
            <w:tcW w:w="720" w:type="dxa"/>
            <w:vAlign w:val="bottom"/>
          </w:tcPr>
          <w:p>
            <w:pPr>
              <w:jc w:val="right"/>
              <w:ind w:right="525"/>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1,055</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80"/>
        </w:trPr>
        <w:tc>
          <w:tcPr>
            <w:tcW w:w="48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Performance-based long-term plan employee award expense</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444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60"/>
        </w:trPr>
        <w:tc>
          <w:tcPr>
            <w:tcW w:w="2980" w:type="dxa"/>
            <w:vAlign w:val="bottom"/>
          </w:tcPr>
          <w:p>
            <w:pPr>
              <w:ind w:left="180"/>
              <w:spacing w:after="0"/>
              <w:rPr>
                <w:sz w:val="20"/>
                <w:szCs w:val="20"/>
                <w:color w:val="auto"/>
              </w:rPr>
            </w:pPr>
            <w:r>
              <w:rPr>
                <w:rFonts w:ascii="Arial" w:cs="Arial" w:eastAsia="Arial" w:hAnsi="Arial"/>
                <w:sz w:val="16"/>
                <w:szCs w:val="16"/>
                <w:color w:val="auto"/>
              </w:rPr>
              <w:t>Time-based employee award expense</w:t>
            </w:r>
          </w:p>
        </w:tc>
        <w:tc>
          <w:tcPr>
            <w:tcW w:w="10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jc w:val="right"/>
              <w:ind w:right="24"/>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80"/>
        </w:trPr>
        <w:tc>
          <w:tcPr>
            <w:tcW w:w="2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Time-based directors award expense</w:t>
            </w:r>
          </w:p>
        </w:tc>
        <w:tc>
          <w:tcPr>
            <w:tcW w:w="10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Directors stock unit expense</w:t>
            </w:r>
          </w:p>
        </w:tc>
        <w:tc>
          <w:tcPr>
            <w:tcW w:w="1000" w:type="dxa"/>
            <w:vAlign w:val="bottom"/>
            <w:tcBorders>
              <w:bottom w:val="single" w:sz="8" w:color="CCEEFF"/>
            </w:tcBorders>
          </w:tcPr>
          <w:p>
            <w:pPr>
              <w:spacing w:after="0"/>
              <w:rPr>
                <w:sz w:val="22"/>
                <w:szCs w:val="22"/>
                <w:color w:val="auto"/>
              </w:rPr>
            </w:pPr>
          </w:p>
        </w:tc>
        <w:tc>
          <w:tcPr>
            <w:tcW w:w="8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206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235</w:t>
            </w:r>
          </w:p>
        </w:tc>
        <w:tc>
          <w:tcPr>
            <w:tcW w:w="0" w:type="dxa"/>
            <w:vAlign w:val="bottom"/>
          </w:tcPr>
          <w:p>
            <w:pPr>
              <w:spacing w:after="0"/>
              <w:rPr>
                <w:sz w:val="1"/>
                <w:szCs w:val="1"/>
                <w:color w:val="auto"/>
              </w:rPr>
            </w:pPr>
          </w:p>
        </w:tc>
      </w:tr>
      <w:tr>
        <w:trPr>
          <w:trHeight w:val="24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10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26"/>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3,386</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3,009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Stock Options</w:t>
            </w: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9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980" w:type="dxa"/>
            <w:vAlign w:val="bottom"/>
            <w:gridSpan w:val="7"/>
          </w:tcPr>
          <w:p>
            <w:pPr>
              <w:spacing w:after="0"/>
              <w:rPr>
                <w:sz w:val="20"/>
                <w:szCs w:val="20"/>
                <w:color w:val="auto"/>
              </w:rPr>
            </w:pPr>
            <w:r>
              <w:rPr>
                <w:rFonts w:ascii="Arial" w:cs="Arial" w:eastAsia="Arial" w:hAnsi="Arial"/>
                <w:sz w:val="16"/>
                <w:szCs w:val="16"/>
                <w:color w:val="auto"/>
              </w:rPr>
              <w:t>A summary of stock option activity for Fiscal 2014, 2013 and 2012 is as follows:</w:t>
            </w:r>
          </w:p>
        </w:tc>
        <w:tc>
          <w:tcPr>
            <w:tcW w:w="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298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80" w:type="dxa"/>
            <w:vAlign w:val="bottom"/>
          </w:tcPr>
          <w:p>
            <w:pPr>
              <w:spacing w:after="0"/>
              <w:rPr>
                <w:sz w:val="22"/>
                <w:szCs w:val="22"/>
                <w:color w:val="auto"/>
              </w:rPr>
            </w:pPr>
          </w:p>
        </w:tc>
        <w:tc>
          <w:tcPr>
            <w:tcW w:w="198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August 30, 2014</w:t>
            </w:r>
          </w:p>
        </w:tc>
        <w:tc>
          <w:tcPr>
            <w:tcW w:w="76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August 31, 2013</w:t>
            </w:r>
          </w:p>
        </w:tc>
        <w:tc>
          <w:tcPr>
            <w:tcW w:w="7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98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August 25, 2012</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9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Wtd. Avg.</w:t>
            </w: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Wtd. Avg.</w:t>
            </w: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Wtd. Avg.</w:t>
            </w:r>
          </w:p>
        </w:tc>
        <w:tc>
          <w:tcPr>
            <w:tcW w:w="0" w:type="dxa"/>
            <w:vAlign w:val="bottom"/>
          </w:tcPr>
          <w:p>
            <w:pPr>
              <w:spacing w:after="0"/>
              <w:rPr>
                <w:sz w:val="1"/>
                <w:szCs w:val="1"/>
                <w:color w:val="auto"/>
              </w:rPr>
            </w:pPr>
          </w:p>
        </w:tc>
      </w:tr>
      <w:tr>
        <w:trPr>
          <w:trHeight w:val="162"/>
        </w:trPr>
        <w:tc>
          <w:tcPr>
            <w:tcW w:w="2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rPr>
              <w:t>Exercise</w:t>
            </w:r>
          </w:p>
        </w:tc>
        <w:tc>
          <w:tcPr>
            <w:tcW w:w="820" w:type="dxa"/>
            <w:vAlign w:val="bottom"/>
          </w:tcPr>
          <w:p>
            <w:pPr>
              <w:spacing w:after="0"/>
              <w:rPr>
                <w:sz w:val="14"/>
                <w:szCs w:val="14"/>
                <w:color w:val="auto"/>
              </w:rPr>
            </w:pPr>
          </w:p>
        </w:tc>
        <w:tc>
          <w:tcPr>
            <w:tcW w:w="920" w:type="dxa"/>
            <w:vAlign w:val="bottom"/>
          </w:tcPr>
          <w:p>
            <w:pPr>
              <w:jc w:val="right"/>
              <w:ind w:right="64"/>
              <w:spacing w:after="0"/>
              <w:rPr>
                <w:sz w:val="20"/>
                <w:szCs w:val="20"/>
                <w:color w:val="auto"/>
              </w:rPr>
            </w:pPr>
            <w:r>
              <w:rPr>
                <w:rFonts w:ascii="Arial" w:cs="Arial" w:eastAsia="Arial" w:hAnsi="Arial"/>
                <w:sz w:val="14"/>
                <w:szCs w:val="14"/>
                <w:b w:val="1"/>
                <w:bCs w:val="1"/>
                <w:color w:val="auto"/>
              </w:rPr>
              <w:t>Price per</w:t>
            </w: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Exercise</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27"/>
              <w:spacing w:after="0"/>
              <w:rPr>
                <w:sz w:val="20"/>
                <w:szCs w:val="20"/>
                <w:color w:val="auto"/>
              </w:rPr>
            </w:pPr>
            <w:r>
              <w:rPr>
                <w:rFonts w:ascii="Arial" w:cs="Arial" w:eastAsia="Arial" w:hAnsi="Arial"/>
                <w:sz w:val="14"/>
                <w:szCs w:val="14"/>
                <w:b w:val="1"/>
                <w:bCs w:val="1"/>
                <w:color w:val="auto"/>
              </w:rPr>
              <w:t>Price per</w:t>
            </w:r>
          </w:p>
        </w:tc>
        <w:tc>
          <w:tcPr>
            <w:tcW w:w="160" w:type="dxa"/>
            <w:vAlign w:val="bottom"/>
          </w:tcPr>
          <w:p>
            <w:pPr>
              <w:spacing w:after="0"/>
              <w:rPr>
                <w:sz w:val="14"/>
                <w:szCs w:val="14"/>
                <w:color w:val="auto"/>
              </w:rPr>
            </w:pPr>
          </w:p>
        </w:tc>
        <w:tc>
          <w:tcPr>
            <w:tcW w:w="740" w:type="dxa"/>
            <w:vAlign w:val="bottom"/>
          </w:tcPr>
          <w:p>
            <w:pPr>
              <w:jc w:val="right"/>
              <w:ind w:right="44"/>
              <w:spacing w:after="0"/>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96"/>
        </w:trPr>
        <w:tc>
          <w:tcPr>
            <w:tcW w:w="298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jc w:val="right"/>
              <w:ind w:right="128"/>
              <w:spacing w:after="0"/>
              <w:rPr>
                <w:sz w:val="20"/>
                <w:szCs w:val="20"/>
                <w:color w:val="auto"/>
              </w:rPr>
            </w:pPr>
            <w:r>
              <w:rPr>
                <w:rFonts w:ascii="Arial" w:cs="Arial" w:eastAsia="Arial" w:hAnsi="Arial"/>
                <w:sz w:val="14"/>
                <w:szCs w:val="14"/>
                <w:b w:val="1"/>
                <w:bCs w:val="1"/>
                <w:color w:val="auto"/>
              </w:rPr>
              <w:t>Share</w:t>
            </w: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Price/Share</w:t>
            </w:r>
          </w:p>
        </w:tc>
        <w:tc>
          <w:tcPr>
            <w:tcW w:w="82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jc w:val="right"/>
              <w:ind w:right="164"/>
              <w:spacing w:after="0"/>
              <w:rPr>
                <w:sz w:val="20"/>
                <w:szCs w:val="20"/>
                <w:color w:val="auto"/>
              </w:rPr>
            </w:pPr>
            <w:r>
              <w:rPr>
                <w:rFonts w:ascii="Arial" w:cs="Arial" w:eastAsia="Arial" w:hAnsi="Arial"/>
                <w:sz w:val="14"/>
                <w:szCs w:val="14"/>
                <w:b w:val="1"/>
                <w:bCs w:val="1"/>
                <w:color w:val="auto"/>
              </w:rPr>
              <w:t>Share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Price/Share</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20" w:type="dxa"/>
            <w:vAlign w:val="bottom"/>
          </w:tcPr>
          <w:p>
            <w:pPr>
              <w:jc w:val="right"/>
              <w:ind w:right="147"/>
              <w:spacing w:after="0"/>
              <w:rPr>
                <w:sz w:val="20"/>
                <w:szCs w:val="20"/>
                <w:color w:val="auto"/>
              </w:rPr>
            </w:pPr>
            <w:r>
              <w:rPr>
                <w:rFonts w:ascii="Arial" w:cs="Arial" w:eastAsia="Arial" w:hAnsi="Arial"/>
                <w:sz w:val="14"/>
                <w:szCs w:val="14"/>
                <w:b w:val="1"/>
                <w:bCs w:val="1"/>
                <w:color w:val="auto"/>
              </w:rPr>
              <w:t>Share</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Price/Share</w:t>
            </w:r>
          </w:p>
        </w:tc>
        <w:tc>
          <w:tcPr>
            <w:tcW w:w="0" w:type="dxa"/>
            <w:vAlign w:val="bottom"/>
          </w:tcPr>
          <w:p>
            <w:pPr>
              <w:spacing w:after="0"/>
              <w:rPr>
                <w:sz w:val="1"/>
                <w:szCs w:val="1"/>
                <w:color w:val="auto"/>
              </w:rPr>
            </w:pPr>
          </w:p>
        </w:tc>
      </w:tr>
      <w:tr>
        <w:trPr>
          <w:trHeight w:val="270"/>
        </w:trPr>
        <w:tc>
          <w:tcPr>
            <w:tcW w:w="2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Outstanding at beginning of year</w:t>
            </w:r>
          </w:p>
        </w:tc>
        <w:tc>
          <w:tcPr>
            <w:tcW w:w="100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664,994</w:t>
            </w: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$36</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29.83</w:t>
            </w:r>
          </w:p>
        </w:tc>
        <w:tc>
          <w:tcPr>
            <w:tcW w:w="1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727,664</w:t>
            </w:r>
          </w:p>
        </w:tc>
        <w:tc>
          <w:tcPr>
            <w:tcW w:w="9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$18 - $36</w:t>
            </w: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29.08</w:t>
            </w:r>
          </w:p>
        </w:tc>
        <w:tc>
          <w:tcPr>
            <w:tcW w:w="16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812,983</w:t>
            </w:r>
          </w:p>
        </w:tc>
        <w:tc>
          <w:tcPr>
            <w:tcW w:w="1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 $36</w:t>
            </w:r>
          </w:p>
        </w:tc>
        <w:tc>
          <w:tcPr>
            <w:tcW w:w="1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264"/>
        </w:trPr>
        <w:tc>
          <w:tcPr>
            <w:tcW w:w="2980" w:type="dxa"/>
            <w:vAlign w:val="bottom"/>
          </w:tcPr>
          <w:p>
            <w:pPr>
              <w:ind w:left="40"/>
              <w:spacing w:after="0"/>
              <w:rPr>
                <w:sz w:val="20"/>
                <w:szCs w:val="20"/>
                <w:color w:val="auto"/>
              </w:rPr>
            </w:pPr>
            <w:r>
              <w:rPr>
                <w:rFonts w:ascii="Arial" w:cs="Arial" w:eastAsia="Arial" w:hAnsi="Arial"/>
                <w:sz w:val="14"/>
                <w:szCs w:val="14"/>
                <w:color w:val="auto"/>
              </w:rPr>
              <w:t>Options granted</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4"/>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40" w:type="dxa"/>
            <w:vAlign w:val="bottom"/>
          </w:tcPr>
          <w:p>
            <w:pPr>
              <w:jc w:val="right"/>
              <w:ind w:right="2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Options exercised</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(77,833)</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$26 - $27</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26.72</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5"/>
              <w:spacing w:after="0"/>
              <w:rPr>
                <w:sz w:val="20"/>
                <w:szCs w:val="20"/>
                <w:color w:val="auto"/>
              </w:rPr>
            </w:pPr>
            <w:r>
              <w:rPr>
                <w:rFonts w:ascii="Arial" w:cs="Arial" w:eastAsia="Arial" w:hAnsi="Arial"/>
                <w:sz w:val="14"/>
                <w:szCs w:val="14"/>
                <w:color w:val="auto"/>
              </w:rPr>
              <w:t>18.84</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Options canceled</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(129,740)</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$26 - $35</w:t>
            </w: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29.75</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(58,670)</w:t>
            </w:r>
          </w:p>
        </w:tc>
        <w:tc>
          <w:tcPr>
            <w:tcW w:w="92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$18 - $32</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color w:val="auto"/>
              </w:rPr>
              <w:t>21.26</w:t>
            </w:r>
          </w:p>
        </w:tc>
        <w:tc>
          <w:tcPr>
            <w:tcW w:w="16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(85,319)</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 $32</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color w:val="auto"/>
              </w:rPr>
              <w:t>26.81</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Outstanding at end of year</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457,421</w:t>
            </w: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$26 - $36</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30.38</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664,994</w:t>
            </w:r>
          </w:p>
        </w:tc>
        <w:tc>
          <w:tcPr>
            <w:tcW w:w="9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4"/>
                <w:szCs w:val="14"/>
                <w:color w:val="auto"/>
              </w:rPr>
              <w:t>$26 - $36</w:t>
            </w: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4"/>
                <w:szCs w:val="14"/>
                <w:color w:val="auto"/>
              </w:rPr>
              <w:t>29.83</w:t>
            </w:r>
          </w:p>
        </w:tc>
        <w:tc>
          <w:tcPr>
            <w:tcW w:w="16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727,664</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 $36</w:t>
            </w:r>
          </w:p>
        </w:tc>
        <w:tc>
          <w:tcPr>
            <w:tcW w:w="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r>
        <w:trPr>
          <w:trHeight w:val="244"/>
        </w:trPr>
        <w:tc>
          <w:tcPr>
            <w:tcW w:w="2980" w:type="dxa"/>
            <w:vAlign w:val="bottom"/>
          </w:tcPr>
          <w:p>
            <w:pPr>
              <w:ind w:left="40"/>
              <w:spacing w:after="0"/>
              <w:rPr>
                <w:sz w:val="20"/>
                <w:szCs w:val="20"/>
                <w:color w:val="auto"/>
              </w:rPr>
            </w:pPr>
            <w:r>
              <w:rPr>
                <w:rFonts w:ascii="Arial" w:cs="Arial" w:eastAsia="Arial" w:hAnsi="Arial"/>
                <w:sz w:val="14"/>
                <w:szCs w:val="14"/>
                <w:color w:val="auto"/>
              </w:rPr>
              <w:t>Exercisable at end of year</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457,421</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$26 - $36</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30.38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664,994</w:t>
            </w:r>
          </w:p>
        </w:tc>
        <w:tc>
          <w:tcPr>
            <w:tcW w:w="920" w:type="dxa"/>
            <w:vAlign w:val="bottom"/>
          </w:tcPr>
          <w:p>
            <w:pPr>
              <w:jc w:val="right"/>
              <w:ind w:right="44"/>
              <w:spacing w:after="0"/>
              <w:rPr>
                <w:sz w:val="20"/>
                <w:szCs w:val="20"/>
                <w:color w:val="auto"/>
              </w:rPr>
            </w:pPr>
            <w:r>
              <w:rPr>
                <w:rFonts w:ascii="Arial" w:cs="Arial" w:eastAsia="Arial" w:hAnsi="Arial"/>
                <w:sz w:val="14"/>
                <w:szCs w:val="14"/>
                <w:color w:val="auto"/>
              </w:rPr>
              <w:t>$26 - $36</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ind w:right="25"/>
              <w:spacing w:after="0"/>
              <w:rPr>
                <w:sz w:val="20"/>
                <w:szCs w:val="20"/>
                <w:color w:val="auto"/>
              </w:rPr>
            </w:pPr>
            <w:r>
              <w:rPr>
                <w:rFonts w:ascii="Arial" w:cs="Arial" w:eastAsia="Arial" w:hAnsi="Arial"/>
                <w:sz w:val="14"/>
                <w:szCs w:val="14"/>
                <w:color w:val="auto"/>
              </w:rPr>
              <w:t>29.83</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727,664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$18 - $36</w:t>
            </w:r>
          </w:p>
        </w:tc>
        <w:tc>
          <w:tcPr>
            <w:tcW w:w="160" w:type="dxa"/>
            <w:vAlign w:val="bottom"/>
          </w:tcPr>
          <w:p>
            <w:pPr>
              <w:ind w:left="80"/>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24"/>
              <w:spacing w:after="0"/>
              <w:rPr>
                <w:sz w:val="20"/>
                <w:szCs w:val="20"/>
                <w:color w:val="auto"/>
              </w:rPr>
            </w:pPr>
            <w:r>
              <w:rPr>
                <w:rFonts w:ascii="Arial" w:cs="Arial" w:eastAsia="Arial" w:hAnsi="Arial"/>
                <w:sz w:val="14"/>
                <w:szCs w:val="14"/>
                <w:color w:val="auto"/>
              </w:rPr>
              <w:t>29.08</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 weighted average remaining contractual life for options outstanding and exercisable at August 30, 2014 was 0.5 years. There was no aggregate intrinsic value for the options outstanding and exercisable at August 30, 2014. Other values related to options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Pr>
          <w:p>
            <w:pPr>
              <w:spacing w:after="0"/>
              <w:rPr>
                <w:sz w:val="19"/>
                <w:szCs w:val="19"/>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2014</w:t>
            </w:r>
          </w:p>
        </w:tc>
        <w:tc>
          <w:tcPr>
            <w:tcW w:w="20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Arial" w:cs="Arial" w:eastAsia="Arial" w:hAnsi="Arial"/>
                <w:sz w:val="16"/>
                <w:szCs w:val="16"/>
                <w:b w:val="1"/>
                <w:bCs w:val="1"/>
                <w:color w:val="auto"/>
              </w:rPr>
              <w:t>Fiscal 2013</w:t>
            </w:r>
          </w:p>
        </w:tc>
        <w:tc>
          <w:tcPr>
            <w:tcW w:w="200" w:type="dxa"/>
            <w:vAlign w:val="bottom"/>
          </w:tcPr>
          <w:p>
            <w:pPr>
              <w:spacing w:after="0"/>
              <w:rPr>
                <w:sz w:val="19"/>
                <w:szCs w:val="19"/>
                <w:color w:val="auto"/>
              </w:rPr>
            </w:pPr>
          </w:p>
        </w:tc>
        <w:tc>
          <w:tcPr>
            <w:tcW w:w="1220" w:type="dxa"/>
            <w:vAlign w:val="bottom"/>
          </w:tcPr>
          <w:p>
            <w:pPr>
              <w:ind w:left="80"/>
              <w:spacing w:after="0"/>
              <w:rPr>
                <w:sz w:val="20"/>
                <w:szCs w:val="20"/>
                <w:color w:val="auto"/>
              </w:rPr>
            </w:pPr>
            <w:r>
              <w:rPr>
                <w:rFonts w:ascii="Arial" w:cs="Arial" w:eastAsia="Arial" w:hAnsi="Arial"/>
                <w:sz w:val="16"/>
                <w:szCs w:val="16"/>
                <w:b w:val="1"/>
                <w:bCs w:val="1"/>
                <w:color w:val="auto"/>
              </w:rPr>
              <w:t>Fiscal 2012</w:t>
            </w:r>
          </w:p>
        </w:tc>
      </w:tr>
      <w:tr>
        <w:trPr>
          <w:trHeight w:val="257"/>
        </w:trPr>
        <w:tc>
          <w:tcPr>
            <w:tcW w:w="5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Aggregate intrinsic value of options exercised </w:t>
            </w:r>
            <w:r>
              <w:rPr>
                <w:rFonts w:ascii="Arial" w:cs="Arial" w:eastAsia="Arial" w:hAnsi="Arial"/>
                <w:sz w:val="21"/>
                <w:szCs w:val="21"/>
                <w:color w:val="auto"/>
                <w:vertAlign w:val="superscript"/>
              </w:rPr>
              <w:t>(1)</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6"/>
                <w:szCs w:val="16"/>
                <w:color w:val="auto"/>
              </w:rPr>
              <w:t>—</w:t>
            </w:r>
          </w:p>
        </w:tc>
      </w:tr>
      <w:tr>
        <w:trPr>
          <w:trHeight w:val="251"/>
        </w:trPr>
        <w:tc>
          <w:tcPr>
            <w:tcW w:w="5720" w:type="dxa"/>
            <w:vAlign w:val="bottom"/>
          </w:tcPr>
          <w:p>
            <w:pPr>
              <w:ind w:left="40"/>
              <w:spacing w:after="0"/>
              <w:rPr>
                <w:sz w:val="20"/>
                <w:szCs w:val="20"/>
                <w:color w:val="auto"/>
              </w:rPr>
            </w:pPr>
            <w:r>
              <w:rPr>
                <w:rFonts w:ascii="Arial" w:cs="Arial" w:eastAsia="Arial" w:hAnsi="Arial"/>
                <w:sz w:val="16"/>
                <w:szCs w:val="16"/>
                <w:color w:val="auto"/>
              </w:rPr>
              <w:t>Net cash proceeds from the exercise of stock options</w:t>
            </w:r>
          </w:p>
        </w:tc>
        <w:tc>
          <w:tcPr>
            <w:tcW w:w="1420" w:type="dxa"/>
            <w:vAlign w:val="bottom"/>
          </w:tcPr>
          <w:p>
            <w:pPr>
              <w:spacing w:after="0"/>
              <w:rPr>
                <w:sz w:val="21"/>
                <w:szCs w:val="21"/>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r>
      <w:tr>
        <w:trPr>
          <w:trHeight w:val="270"/>
        </w:trPr>
        <w:tc>
          <w:tcPr>
            <w:tcW w:w="5720" w:type="dxa"/>
            <w:vAlign w:val="bottom"/>
          </w:tcPr>
          <w:p>
            <w:pPr>
              <w:ind w:left="40"/>
              <w:spacing w:after="0"/>
              <w:rPr>
                <w:sz w:val="20"/>
                <w:szCs w:val="20"/>
                <w:color w:val="auto"/>
              </w:rPr>
            </w:pPr>
            <w:r>
              <w:rPr>
                <w:rFonts w:ascii="Arial" w:cs="Arial" w:eastAsia="Arial" w:hAnsi="Arial"/>
                <w:sz w:val="16"/>
                <w:szCs w:val="16"/>
                <w:color w:val="auto"/>
              </w:rPr>
              <w:t>Actual income tax benefit realized from stock option exercises</w:t>
            </w:r>
          </w:p>
        </w:tc>
        <w:tc>
          <w:tcPr>
            <w:tcW w:w="14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20" w:type="dxa"/>
            <w:vAlign w:val="bottom"/>
          </w:tcPr>
          <w:p>
            <w:pPr>
              <w:ind w:left="94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60" w:hanging="238"/>
        <w:spacing w:after="0" w:line="199" w:lineRule="auto"/>
        <w:tabs>
          <w:tab w:leader="none" w:pos="260" w:val="left"/>
        </w:tabs>
        <w:numPr>
          <w:ilvl w:val="0"/>
          <w:numId w:val="36"/>
        </w:numPr>
        <w:rPr>
          <w:rFonts w:ascii="Arial" w:cs="Arial" w:eastAsia="Arial" w:hAnsi="Arial"/>
          <w:sz w:val="22"/>
          <w:szCs w:val="22"/>
          <w:color w:val="auto"/>
          <w:vertAlign w:val="superscript"/>
        </w:rPr>
      </w:pPr>
      <w:r>
        <w:rPr>
          <w:rFonts w:ascii="Arial" w:cs="Arial" w:eastAsia="Arial" w:hAnsi="Arial"/>
          <w:sz w:val="14"/>
          <w:szCs w:val="14"/>
          <w:color w:val="auto"/>
        </w:rPr>
        <w:t>The amount by which the closing price of our stock on the date of exercise exceeded the exercise price.</w:t>
      </w:r>
    </w:p>
    <w:p>
      <w:pPr>
        <w:spacing w:after="0" w:line="200" w:lineRule="exact"/>
        <w:rPr>
          <w:rFonts w:ascii="Arial" w:cs="Arial" w:eastAsia="Arial" w:hAnsi="Arial"/>
          <w:sz w:val="22"/>
          <w:szCs w:val="22"/>
          <w:color w:val="auto"/>
          <w:vertAlign w:val="superscript"/>
        </w:rPr>
      </w:pPr>
    </w:p>
    <w:p>
      <w:pPr>
        <w:spacing w:after="0" w:line="205"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6"/>
          <w:szCs w:val="16"/>
          <w:color w:val="auto"/>
        </w:rPr>
        <w:t>45</w:t>
      </w:r>
    </w:p>
    <w:p>
      <w:pPr>
        <w:sectPr>
          <w:pgSz w:w="11900" w:h="16838" w:orient="portrait"/>
          <w:cols w:equalWidth="0" w:num="1">
            <w:col w:w="11420"/>
          </w:cols>
          <w:pgMar w:left="240" w:top="141"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rFonts w:ascii="Arial" w:cs="Arial" w:eastAsia="Arial" w:hAnsi="Arial"/>
                <w:sz w:val="16"/>
                <w:szCs w:val="16"/>
                <w:color w:val="0000EE"/>
              </w:rPr>
            </w:pPr>
            <w:hyperlink w:anchor="page1">
              <w:r>
                <w:rPr>
                  <w:rFonts w:ascii="Arial" w:cs="Arial" w:eastAsia="Arial" w:hAnsi="Arial"/>
                  <w:sz w:val="16"/>
                  <w:szCs w:val="16"/>
                  <w:color w:val="0000EE"/>
                </w:rPr>
                <w:t>Table of Contents</w:t>
              </w:r>
            </w:hyperlink>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441"/>
        </w:trPr>
        <w:tc>
          <w:tcPr>
            <w:tcW w:w="1260" w:type="dxa"/>
            <w:vAlign w:val="bottom"/>
            <w:tcBorders>
              <w:top w:val="single" w:sz="8" w:color="0000EE"/>
            </w:tcBorders>
          </w:tcPr>
          <w:p>
            <w:pPr>
              <w:spacing w:after="0"/>
              <w:rPr>
                <w:sz w:val="20"/>
                <w:szCs w:val="20"/>
                <w:color w:val="auto"/>
              </w:rPr>
            </w:pPr>
            <w:r>
              <w:rPr>
                <w:rFonts w:ascii="Arial" w:cs="Arial" w:eastAsia="Arial" w:hAnsi="Arial"/>
                <w:sz w:val="16"/>
                <w:szCs w:val="16"/>
                <w:b w:val="1"/>
                <w:bCs w:val="1"/>
                <w:i w:val="1"/>
                <w:iCs w:val="1"/>
                <w:color w:val="auto"/>
              </w:rPr>
              <w:t>Share Awards</w:t>
            </w:r>
          </w:p>
        </w:tc>
        <w:tc>
          <w:tcPr>
            <w:tcW w:w="2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5"/>
        </w:trPr>
        <w:tc>
          <w:tcPr>
            <w:tcW w:w="6220" w:type="dxa"/>
            <w:vAlign w:val="bottom"/>
            <w:gridSpan w:val="6"/>
          </w:tcPr>
          <w:p>
            <w:pPr>
              <w:spacing w:after="0"/>
              <w:rPr>
                <w:sz w:val="20"/>
                <w:szCs w:val="20"/>
                <w:color w:val="auto"/>
              </w:rPr>
            </w:pPr>
            <w:r>
              <w:rPr>
                <w:rFonts w:ascii="Arial" w:cs="Arial" w:eastAsia="Arial" w:hAnsi="Arial"/>
                <w:sz w:val="16"/>
                <w:szCs w:val="16"/>
                <w:color w:val="auto"/>
              </w:rPr>
              <w:t>A summary of share award activity for Fiscal 2014, 2013 and 2012 is as follows:</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91"/>
        </w:trPr>
        <w:tc>
          <w:tcPr>
            <w:tcW w:w="1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ind w:left="840"/>
              <w:spacing w:after="0"/>
              <w:rPr>
                <w:sz w:val="20"/>
                <w:szCs w:val="20"/>
                <w:color w:val="auto"/>
              </w:rPr>
            </w:pPr>
            <w:r>
              <w:rPr>
                <w:rFonts w:ascii="Arial" w:cs="Arial" w:eastAsia="Arial" w:hAnsi="Arial"/>
                <w:sz w:val="16"/>
                <w:szCs w:val="16"/>
                <w:b w:val="1"/>
                <w:bCs w:val="1"/>
                <w:color w:val="auto"/>
              </w:rPr>
              <w:t>Year Ended</w:t>
            </w: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12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5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30, 2014</w:t>
            </w:r>
          </w:p>
        </w:tc>
        <w:tc>
          <w:tcPr>
            <w:tcW w:w="100" w:type="dxa"/>
            <w:vAlign w:val="bottom"/>
          </w:tcPr>
          <w:p>
            <w:pPr>
              <w:spacing w:after="0"/>
              <w:rPr>
                <w:sz w:val="22"/>
                <w:szCs w:val="22"/>
                <w:color w:val="auto"/>
              </w:rPr>
            </w:pPr>
          </w:p>
        </w:tc>
        <w:tc>
          <w:tcPr>
            <w:tcW w:w="254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31, 2013</w:t>
            </w:r>
          </w:p>
        </w:tc>
        <w:tc>
          <w:tcPr>
            <w:tcW w:w="100" w:type="dxa"/>
            <w:vAlign w:val="bottom"/>
          </w:tcPr>
          <w:p>
            <w:pPr>
              <w:spacing w:after="0"/>
              <w:rPr>
                <w:sz w:val="22"/>
                <w:szCs w:val="22"/>
                <w:color w:val="auto"/>
              </w:rPr>
            </w:pPr>
          </w:p>
        </w:tc>
        <w:tc>
          <w:tcPr>
            <w:tcW w:w="256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6"/>
                <w:szCs w:val="16"/>
                <w:b w:val="1"/>
                <w:bCs w:val="1"/>
                <w:color w:val="auto"/>
              </w:rPr>
              <w:t>August 25, 2012</w:t>
            </w:r>
          </w:p>
        </w:tc>
      </w:tr>
      <w:tr>
        <w:trPr>
          <w:trHeight w:val="198"/>
        </w:trPr>
        <w:tc>
          <w:tcPr>
            <w:tcW w:w="12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Weighted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Average Grant</w:t>
            </w:r>
          </w:p>
        </w:tc>
        <w:tc>
          <w:tcPr>
            <w:tcW w:w="1240" w:type="dxa"/>
            <w:vAlign w:val="bottom"/>
          </w:tcPr>
          <w:p>
            <w:pPr>
              <w:spacing w:after="0"/>
              <w:rPr>
                <w:sz w:val="16"/>
                <w:szCs w:val="16"/>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rPr>
              <w:t>Average Grant</w:t>
            </w:r>
          </w:p>
        </w:tc>
        <w:tc>
          <w:tcPr>
            <w:tcW w:w="1260" w:type="dxa"/>
            <w:vAlign w:val="bottom"/>
          </w:tcPr>
          <w:p>
            <w:pPr>
              <w:spacing w:after="0"/>
              <w:rPr>
                <w:sz w:val="16"/>
                <w:szCs w:val="16"/>
                <w:color w:val="auto"/>
              </w:rPr>
            </w:pPr>
          </w:p>
        </w:tc>
        <w:tc>
          <w:tcPr>
            <w:tcW w:w="1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Average Grant</w:t>
            </w:r>
          </w:p>
        </w:tc>
      </w:tr>
      <w:tr>
        <w:trPr>
          <w:trHeight w:val="189"/>
        </w:trPr>
        <w:tc>
          <w:tcPr>
            <w:tcW w:w="12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Date</w:t>
            </w: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Date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Date</w:t>
            </w:r>
          </w:p>
        </w:tc>
      </w:tr>
      <w:tr>
        <w:trPr>
          <w:trHeight w:val="228"/>
        </w:trPr>
        <w:tc>
          <w:tcPr>
            <w:tcW w:w="1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Fair Value</w:t>
            </w:r>
          </w:p>
        </w:tc>
        <w:tc>
          <w:tcPr>
            <w:tcW w:w="124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Fair Value</w:t>
            </w:r>
          </w:p>
        </w:tc>
        <w:tc>
          <w:tcPr>
            <w:tcW w:w="1260" w:type="dxa"/>
            <w:vAlign w:val="bottom"/>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9"/>
                <w:szCs w:val="19"/>
                <w:color w:val="auto"/>
              </w:rPr>
            </w:pPr>
          </w:p>
        </w:tc>
        <w:tc>
          <w:tcPr>
            <w:tcW w:w="106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r>
      <w:tr>
        <w:trPr>
          <w:trHeight w:val="257"/>
        </w:trPr>
        <w:tc>
          <w:tcPr>
            <w:tcW w:w="358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Beginning of year</w:t>
            </w:r>
          </w:p>
        </w:tc>
        <w:tc>
          <w:tcPr>
            <w:tcW w:w="124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190,962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12.46</w:t>
            </w:r>
          </w:p>
        </w:tc>
        <w:tc>
          <w:tcPr>
            <w:tcW w:w="10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70,956</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c>
          <w:tcPr>
            <w:tcW w:w="100" w:type="dxa"/>
            <w:vAlign w:val="bottom"/>
            <w:tcBorders>
              <w:top w:val="single" w:sz="8" w:color="CCEEFF"/>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148,500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r>
      <w:tr>
        <w:trPr>
          <w:trHeight w:val="260"/>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Granted</w:t>
            </w: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138,345</w:t>
            </w:r>
          </w:p>
        </w:tc>
        <w:tc>
          <w:tcPr>
            <w:tcW w:w="2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27.44</w:t>
            </w:r>
          </w:p>
        </w:tc>
        <w:tc>
          <w:tcPr>
            <w:tcW w:w="10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190,738</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22"/>
                <w:szCs w:val="22"/>
                <w:color w:val="auto"/>
              </w:rPr>
            </w:pPr>
          </w:p>
        </w:tc>
        <w:tc>
          <w:tcPr>
            <w:tcW w:w="1260" w:type="dxa"/>
            <w:vAlign w:val="bottom"/>
          </w:tcPr>
          <w:p>
            <w:pPr>
              <w:jc w:val="right"/>
              <w:ind w:right="59"/>
              <w:spacing w:after="0"/>
              <w:rPr>
                <w:sz w:val="20"/>
                <w:szCs w:val="20"/>
                <w:color w:val="auto"/>
              </w:rPr>
            </w:pPr>
            <w:r>
              <w:rPr>
                <w:rFonts w:ascii="Arial" w:cs="Arial" w:eastAsia="Arial" w:hAnsi="Arial"/>
                <w:sz w:val="16"/>
                <w:szCs w:val="16"/>
                <w:color w:val="auto"/>
              </w:rPr>
              <w:t>50,000</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7.96</w:t>
            </w:r>
          </w:p>
        </w:tc>
      </w:tr>
      <w:tr>
        <w:trPr>
          <w:trHeight w:val="280"/>
        </w:trPr>
        <w:tc>
          <w:tcPr>
            <w:tcW w:w="35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Vested</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(129,817)</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(70,732)</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12.93</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(120,044)</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11.19</w:t>
            </w:r>
          </w:p>
        </w:tc>
      </w:tr>
      <w:tr>
        <w:trPr>
          <w:trHeight w:val="264"/>
        </w:trPr>
        <w:tc>
          <w:tcPr>
            <w:tcW w:w="3580" w:type="dxa"/>
            <w:vAlign w:val="bottom"/>
            <w:gridSpan w:val="2"/>
          </w:tcPr>
          <w:p>
            <w:pPr>
              <w:ind w:left="40"/>
              <w:spacing w:after="0"/>
              <w:rPr>
                <w:sz w:val="20"/>
                <w:szCs w:val="20"/>
                <w:color w:val="auto"/>
              </w:rPr>
            </w:pPr>
            <w:r>
              <w:rPr>
                <w:rFonts w:ascii="Arial" w:cs="Arial" w:eastAsia="Arial" w:hAnsi="Arial"/>
                <w:sz w:val="16"/>
                <w:szCs w:val="16"/>
                <w:color w:val="auto"/>
              </w:rPr>
              <w:t>Canceled</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(967)</w:t>
            </w:r>
          </w:p>
        </w:tc>
        <w:tc>
          <w:tcPr>
            <w:tcW w:w="24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(7,500)</w:t>
            </w:r>
          </w:p>
        </w:tc>
        <w:tc>
          <w:tcPr>
            <w:tcW w:w="24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13.49</w:t>
            </w:r>
          </w:p>
        </w:tc>
      </w:tr>
      <w:tr>
        <w:trPr>
          <w:trHeight w:val="240"/>
        </w:trPr>
        <w:tc>
          <w:tcPr>
            <w:tcW w:w="35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End of year</w:t>
            </w:r>
          </w:p>
        </w:tc>
        <w:tc>
          <w:tcPr>
            <w:tcW w:w="124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198,523</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190,962</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70,956</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13.49</w:t>
            </w:r>
          </w:p>
        </w:tc>
      </w:tr>
      <w:tr>
        <w:trPr>
          <w:trHeight w:val="20"/>
        </w:trPr>
        <w:tc>
          <w:tcPr>
            <w:tcW w:w="1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intrinsic value of awards outstanding at August 30, 2014 was $4.9 million.</w:t>
      </w:r>
    </w:p>
    <w:p>
      <w:pPr>
        <w:spacing w:after="0" w:line="167"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auto"/>
        </w:rPr>
        <w:t>As of August 30, 2014, there was $1.5 million of unrecognized compensation expense related to restricted stock awards that is expected to be recognized over a weighted average period of 1.7 years. The total fair value of awards vested during Fiscal 2014, 2013 and 2012 was $3.6 million, $1.1 million and $1.2 million, respectively.</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On October 15, 2014 the full Board of Directors approved the award of grants of 78,600 shares of our restricted common stock under the Plan valued at $1.7 million to our key management group (approximately 60 employees). The Board of Directors also granted 21,000 shares of our restricted common stock valued at $461,000 to the non-management members of the Board.</w:t>
      </w:r>
    </w:p>
    <w:p>
      <w:pPr>
        <w:spacing w:after="0" w:line="174"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The value of the restricted stock is based on the closing price of our common stock on the date of grant, which was $21.93. The fair value of this award to employees is amortized on a straight-line basis over the requisite service period of three years or to an employee's eligible retirement date, if earlier; thus restricted stock awards are expensed immediately upon grant for retirement-eligible employees. Estimated non-cash stock compensation expense based on this restricted stock grant will be approximately $625,000 for the first quarter of Fiscal 2015 and $1.2 million for Fiscal 2015.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20" w:type="dxa"/>
            <w:vAlign w:val="bottom"/>
            <w:gridSpan w:val="2"/>
          </w:tcPr>
          <w:p>
            <w:pPr>
              <w:spacing w:after="0"/>
              <w:rPr>
                <w:sz w:val="20"/>
                <w:szCs w:val="20"/>
                <w:color w:val="auto"/>
              </w:rPr>
            </w:pPr>
            <w:r>
              <w:rPr>
                <w:rFonts w:ascii="Arial" w:cs="Arial" w:eastAsia="Arial" w:hAnsi="Arial"/>
                <w:sz w:val="16"/>
                <w:szCs w:val="16"/>
                <w:b w:val="1"/>
                <w:bCs w:val="1"/>
                <w:color w:val="auto"/>
              </w:rPr>
              <w:t>Note 14: Net Revenues Classifications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4020" w:type="dxa"/>
            <w:vAlign w:val="bottom"/>
            <w:gridSpan w:val="2"/>
          </w:tcPr>
          <w:p>
            <w:pPr>
              <w:spacing w:after="0"/>
              <w:rPr>
                <w:sz w:val="20"/>
                <w:szCs w:val="20"/>
                <w:color w:val="auto"/>
              </w:rPr>
            </w:pPr>
            <w:r>
              <w:rPr>
                <w:rFonts w:ascii="Arial" w:cs="Arial" w:eastAsia="Arial" w:hAnsi="Arial"/>
                <w:sz w:val="16"/>
                <w:szCs w:val="16"/>
                <w:color w:val="auto"/>
              </w:rPr>
              <w:t>Net revenue by product class: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160" w:type="dxa"/>
            <w:vAlign w:val="bottom"/>
            <w:gridSpan w:val="4"/>
          </w:tcPr>
          <w:p>
            <w:pPr>
              <w:ind w:left="260"/>
              <w:spacing w:after="0"/>
              <w:rPr>
                <w:sz w:val="20"/>
                <w:szCs w:val="20"/>
                <w:color w:val="auto"/>
              </w:rPr>
            </w:pPr>
            <w:r>
              <w:rPr>
                <w:rFonts w:ascii="Arial" w:cs="Arial" w:eastAsia="Arial" w:hAnsi="Arial"/>
                <w:sz w:val="16"/>
                <w:szCs w:val="16"/>
                <w:b w:val="1"/>
                <w:bCs w:val="1"/>
                <w:color w:val="auto"/>
              </w:rPr>
              <w:t>August 30, 2014</w:t>
            </w:r>
          </w:p>
        </w:tc>
        <w:tc>
          <w:tcPr>
            <w:tcW w:w="340" w:type="dxa"/>
            <w:vAlign w:val="bottom"/>
          </w:tcPr>
          <w:p>
            <w:pPr>
              <w:spacing w:after="0"/>
              <w:rPr>
                <w:sz w:val="22"/>
                <w:szCs w:val="22"/>
                <w:color w:val="auto"/>
              </w:rPr>
            </w:pPr>
          </w:p>
        </w:tc>
        <w:tc>
          <w:tcPr>
            <w:tcW w:w="21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August 31, 2013</w:t>
            </w:r>
          </w:p>
        </w:tc>
        <w:tc>
          <w:tcPr>
            <w:tcW w:w="360" w:type="dxa"/>
            <w:vAlign w:val="bottom"/>
          </w:tcPr>
          <w:p>
            <w:pPr>
              <w:spacing w:after="0"/>
              <w:rPr>
                <w:sz w:val="22"/>
                <w:szCs w:val="22"/>
                <w:color w:val="auto"/>
              </w:rPr>
            </w:pPr>
          </w:p>
        </w:tc>
        <w:tc>
          <w:tcPr>
            <w:tcW w:w="20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August 25, 2012</w:t>
            </w:r>
          </w:p>
        </w:tc>
        <w:tc>
          <w:tcPr>
            <w:tcW w:w="0" w:type="dxa"/>
            <w:vAlign w:val="bottom"/>
          </w:tcPr>
          <w:p>
            <w:pPr>
              <w:spacing w:after="0"/>
              <w:rPr>
                <w:sz w:val="1"/>
                <w:szCs w:val="1"/>
                <w:color w:val="auto"/>
              </w:rPr>
            </w:pPr>
          </w:p>
        </w:tc>
      </w:tr>
      <w:tr>
        <w:trPr>
          <w:trHeight w:val="257"/>
        </w:trPr>
        <w:tc>
          <w:tcPr>
            <w:tcW w:w="40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Motorhomes, parts and service</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853,488</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718,580</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496,193</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0" w:type="dxa"/>
            <w:vAlign w:val="bottom"/>
          </w:tcPr>
          <w:p>
            <w:pPr>
              <w:spacing w:after="0"/>
              <w:rPr>
                <w:sz w:val="1"/>
                <w:szCs w:val="1"/>
                <w:color w:val="auto"/>
              </w:rPr>
            </w:pPr>
          </w:p>
        </w:tc>
      </w:tr>
      <w:tr>
        <w:trPr>
          <w:trHeight w:val="260"/>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Towables and parts</w:t>
            </w:r>
          </w:p>
        </w:tc>
        <w:tc>
          <w:tcPr>
            <w:tcW w:w="340" w:type="dxa"/>
            <w:vAlign w:val="bottom"/>
          </w:tcPr>
          <w:p>
            <w:pPr>
              <w:spacing w:after="0"/>
              <w:rPr>
                <w:sz w:val="22"/>
                <w:szCs w:val="22"/>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58,123</w:t>
            </w:r>
          </w:p>
        </w:tc>
        <w:tc>
          <w:tcPr>
            <w:tcW w:w="940" w:type="dxa"/>
            <w:vAlign w:val="bottom"/>
          </w:tcPr>
          <w:p>
            <w:pPr>
              <w:jc w:val="right"/>
              <w:spacing w:after="0"/>
              <w:rPr>
                <w:sz w:val="20"/>
                <w:szCs w:val="20"/>
                <w:color w:val="auto"/>
              </w:rPr>
            </w:pPr>
            <w:r>
              <w:rPr>
                <w:rFonts w:ascii="Arial" w:cs="Arial" w:eastAsia="Arial" w:hAnsi="Arial"/>
                <w:sz w:val="16"/>
                <w:szCs w:val="16"/>
                <w:color w:val="auto"/>
              </w:rPr>
              <w:t>6.1%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tcPr>
          <w:p>
            <w:pPr>
              <w:jc w:val="right"/>
              <w:ind w:right="359"/>
              <w:spacing w:after="0"/>
              <w:rPr>
                <w:sz w:val="20"/>
                <w:szCs w:val="20"/>
                <w:color w:val="auto"/>
              </w:rPr>
            </w:pPr>
            <w:r>
              <w:rPr>
                <w:rFonts w:ascii="Arial" w:cs="Arial" w:eastAsia="Arial" w:hAnsi="Arial"/>
                <w:sz w:val="16"/>
                <w:szCs w:val="16"/>
                <w:color w:val="auto"/>
              </w:rPr>
              <w:t>54,683</w:t>
            </w:r>
          </w:p>
        </w:tc>
        <w:tc>
          <w:tcPr>
            <w:tcW w:w="64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56,784</w:t>
            </w:r>
          </w:p>
        </w:tc>
        <w:tc>
          <w:tcPr>
            <w:tcW w:w="840" w:type="dxa"/>
            <w:vAlign w:val="bottom"/>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7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manufactured products</w:t>
            </w: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33,552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29,902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28,702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4020" w:type="dxa"/>
            <w:vAlign w:val="bottom"/>
            <w:gridSpan w:val="2"/>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945,163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803,165</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581,679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6"/>
                <w:szCs w:val="16"/>
                <w:color w:val="auto"/>
              </w:rPr>
              <w:t>Net revenue by geographic area:</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b w:val="1"/>
                <w:bCs w:val="1"/>
                <w:color w:val="auto"/>
                <w:w w:val="99"/>
              </w:rPr>
              <w:t>Year Ended</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2"/>
                <w:szCs w:val="22"/>
                <w:color w:val="auto"/>
              </w:rPr>
            </w:pPr>
          </w:p>
        </w:tc>
        <w:tc>
          <w:tcPr>
            <w:tcW w:w="2160" w:type="dxa"/>
            <w:vAlign w:val="bottom"/>
            <w:gridSpan w:val="4"/>
          </w:tcPr>
          <w:p>
            <w:pPr>
              <w:ind w:left="240"/>
              <w:spacing w:after="0"/>
              <w:rPr>
                <w:sz w:val="20"/>
                <w:szCs w:val="20"/>
                <w:color w:val="auto"/>
              </w:rPr>
            </w:pPr>
            <w:r>
              <w:rPr>
                <w:rFonts w:ascii="Arial" w:cs="Arial" w:eastAsia="Arial" w:hAnsi="Arial"/>
                <w:sz w:val="16"/>
                <w:szCs w:val="16"/>
                <w:b w:val="1"/>
                <w:bCs w:val="1"/>
                <w:color w:val="auto"/>
              </w:rPr>
              <w:t>August 30, 2014</w:t>
            </w:r>
          </w:p>
        </w:tc>
        <w:tc>
          <w:tcPr>
            <w:tcW w:w="340" w:type="dxa"/>
            <w:vAlign w:val="bottom"/>
          </w:tcPr>
          <w:p>
            <w:pPr>
              <w:spacing w:after="0"/>
              <w:rPr>
                <w:sz w:val="22"/>
                <w:szCs w:val="22"/>
                <w:color w:val="auto"/>
              </w:rPr>
            </w:pPr>
          </w:p>
        </w:tc>
        <w:tc>
          <w:tcPr>
            <w:tcW w:w="216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August 31, 2013</w:t>
            </w:r>
          </w:p>
        </w:tc>
        <w:tc>
          <w:tcPr>
            <w:tcW w:w="360" w:type="dxa"/>
            <w:vAlign w:val="bottom"/>
          </w:tcPr>
          <w:p>
            <w:pPr>
              <w:spacing w:after="0"/>
              <w:rPr>
                <w:sz w:val="22"/>
                <w:szCs w:val="22"/>
                <w:color w:val="auto"/>
              </w:rPr>
            </w:pPr>
          </w:p>
        </w:tc>
        <w:tc>
          <w:tcPr>
            <w:tcW w:w="204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August 25, 2012</w:t>
            </w:r>
          </w:p>
        </w:tc>
        <w:tc>
          <w:tcPr>
            <w:tcW w:w="0" w:type="dxa"/>
            <w:vAlign w:val="bottom"/>
          </w:tcPr>
          <w:p>
            <w:pPr>
              <w:spacing w:after="0"/>
              <w:rPr>
                <w:sz w:val="1"/>
                <w:szCs w:val="1"/>
                <w:color w:val="auto"/>
              </w:rPr>
            </w:pPr>
          </w:p>
        </w:tc>
      </w:tr>
      <w:tr>
        <w:trPr>
          <w:trHeight w:val="257"/>
        </w:trPr>
        <w:tc>
          <w:tcPr>
            <w:tcW w:w="402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873,910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auto"/>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742,798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2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522,515</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w:t>
            </w: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71,253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60,367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59,164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4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net revenues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945,163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803,165</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581,679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4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jc w:val="right"/>
              <w:ind w:right="5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Earnings Per Share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income per share for the past three fiscal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9"/>
              </w:rPr>
              <w:t>Year Ended</w:t>
            </w: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r>
      <w:tr>
        <w:trPr>
          <w:trHeight w:val="264"/>
        </w:trPr>
        <w:tc>
          <w:tcPr>
            <w:tcW w:w="5980" w:type="dxa"/>
            <w:vAlign w:val="bottom"/>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80" w:type="dxa"/>
            <w:vAlign w:val="bottom"/>
          </w:tcPr>
          <w:p>
            <w:pPr>
              <w:spacing w:after="0"/>
              <w:rPr>
                <w:sz w:val="22"/>
                <w:szCs w:val="22"/>
                <w:color w:val="auto"/>
              </w:rPr>
            </w:pPr>
          </w:p>
        </w:tc>
        <w:tc>
          <w:tcPr>
            <w:tcW w:w="1660" w:type="dxa"/>
            <w:vAlign w:val="bottom"/>
            <w:gridSpan w:val="2"/>
          </w:tcPr>
          <w:p>
            <w:pPr>
              <w:ind w:left="80"/>
              <w:spacing w:after="0"/>
              <w:rPr>
                <w:sz w:val="20"/>
                <w:szCs w:val="20"/>
                <w:color w:val="auto"/>
              </w:rPr>
            </w:pPr>
            <w:r>
              <w:rPr>
                <w:rFonts w:ascii="Arial" w:cs="Arial" w:eastAsia="Arial" w:hAnsi="Arial"/>
                <w:sz w:val="16"/>
                <w:szCs w:val="16"/>
                <w:b w:val="1"/>
                <w:bCs w:val="1"/>
                <w:color w:val="auto"/>
              </w:rPr>
              <w:t>August 30, 2014</w:t>
            </w:r>
          </w:p>
        </w:tc>
        <w:tc>
          <w:tcPr>
            <w:tcW w:w="200" w:type="dxa"/>
            <w:vAlign w:val="bottom"/>
          </w:tcPr>
          <w:p>
            <w:pPr>
              <w:spacing w:after="0"/>
              <w:rPr>
                <w:sz w:val="22"/>
                <w:szCs w:val="22"/>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August 31, 2013</w:t>
            </w:r>
          </w:p>
        </w:tc>
        <w:tc>
          <w:tcPr>
            <w:tcW w:w="180" w:type="dxa"/>
            <w:vAlign w:val="bottom"/>
          </w:tcPr>
          <w:p>
            <w:pPr>
              <w:spacing w:after="0"/>
              <w:rPr>
                <w:sz w:val="22"/>
                <w:szCs w:val="22"/>
                <w:color w:val="auto"/>
              </w:rPr>
            </w:pPr>
          </w:p>
        </w:tc>
        <w:tc>
          <w:tcPr>
            <w:tcW w:w="1560" w:type="dxa"/>
            <w:vAlign w:val="bottom"/>
          </w:tcPr>
          <w:p>
            <w:pPr>
              <w:jc w:val="right"/>
              <w:ind w:right="179"/>
              <w:spacing w:after="0"/>
              <w:rPr>
                <w:sz w:val="20"/>
                <w:szCs w:val="20"/>
                <w:color w:val="auto"/>
              </w:rPr>
            </w:pPr>
            <w:r>
              <w:rPr>
                <w:rFonts w:ascii="Arial" w:cs="Arial" w:eastAsia="Arial" w:hAnsi="Arial"/>
                <w:sz w:val="16"/>
                <w:szCs w:val="16"/>
                <w:b w:val="1"/>
                <w:bCs w:val="1"/>
                <w:color w:val="auto"/>
              </w:rPr>
              <w:t>August 25, 2012</w:t>
            </w:r>
          </w:p>
        </w:tc>
      </w:tr>
      <w:tr>
        <w:trPr>
          <w:trHeight w:val="270"/>
        </w:trPr>
        <w:tc>
          <w:tcPr>
            <w:tcW w:w="5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r>
      <w:tr>
        <w:trPr>
          <w:trHeight w:val="260"/>
        </w:trPr>
        <w:tc>
          <w:tcPr>
            <w:tcW w:w="59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45,053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31,953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44,972</w:t>
            </w:r>
          </w:p>
        </w:tc>
      </w:tr>
      <w:tr>
        <w:trPr>
          <w:trHeight w:val="280"/>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29,145</w:t>
            </w:r>
          </w:p>
        </w:tc>
      </w:tr>
      <w:tr>
        <w:trPr>
          <w:trHeight w:val="260"/>
        </w:trPr>
        <w:tc>
          <w:tcPr>
            <w:tcW w:w="5980" w:type="dxa"/>
            <w:vAlign w:val="bottom"/>
          </w:tcPr>
          <w:p>
            <w:pPr>
              <w:ind w:left="40"/>
              <w:spacing w:after="0"/>
              <w:rPr>
                <w:sz w:val="20"/>
                <w:szCs w:val="20"/>
                <w:color w:val="auto"/>
              </w:rPr>
            </w:pPr>
            <w:r>
              <w:rPr>
                <w:rFonts w:ascii="Arial" w:cs="Arial" w:eastAsia="Arial" w:hAnsi="Arial"/>
                <w:sz w:val="16"/>
                <w:szCs w:val="16"/>
                <w:color w:val="auto"/>
              </w:rPr>
              <w:t>Net income per share - basic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1.54</w:t>
            </w:r>
          </w:p>
        </w:tc>
      </w:tr>
      <w:tr>
        <w:trPr>
          <w:trHeight w:val="293"/>
        </w:trPr>
        <w:tc>
          <w:tcPr>
            <w:tcW w:w="59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r>
      <w:tr>
        <w:trPr>
          <w:trHeight w:val="260"/>
        </w:trPr>
        <w:tc>
          <w:tcPr>
            <w:tcW w:w="5980" w:type="dxa"/>
            <w:vAlign w:val="bottom"/>
          </w:tcPr>
          <w:p>
            <w:pPr>
              <w:ind w:left="40"/>
              <w:spacing w:after="0"/>
              <w:rPr>
                <w:sz w:val="20"/>
                <w:szCs w:val="20"/>
                <w:color w:val="auto"/>
              </w:rPr>
            </w:pPr>
            <w:r>
              <w:rPr>
                <w:rFonts w:ascii="Arial" w:cs="Arial" w:eastAsia="Arial" w:hAnsi="Arial"/>
                <w:sz w:val="16"/>
                <w:szCs w:val="16"/>
                <w:color w:val="auto"/>
              </w:rPr>
              <w:t>Income per share - assuming dilution</w:t>
            </w: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80"/>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44,972</w:t>
            </w:r>
          </w:p>
        </w:tc>
      </w:tr>
      <w:tr>
        <w:trPr>
          <w:trHeight w:val="260"/>
        </w:trPr>
        <w:tc>
          <w:tcPr>
            <w:tcW w:w="5980" w:type="dxa"/>
            <w:vAlign w:val="bottom"/>
          </w:tcPr>
          <w:p>
            <w:pPr>
              <w:ind w:left="40"/>
              <w:spacing w:after="0"/>
              <w:rPr>
                <w:sz w:val="20"/>
                <w:szCs w:val="20"/>
                <w:color w:val="auto"/>
              </w:rPr>
            </w:pPr>
            <w:r>
              <w:rPr>
                <w:rFonts w:ascii="Arial" w:cs="Arial" w:eastAsia="Arial" w:hAnsi="Arial"/>
                <w:sz w:val="16"/>
                <w:szCs w:val="16"/>
                <w:color w:val="auto"/>
              </w:rPr>
              <w:t>Weighted average shares outstanding</w:t>
            </w:r>
          </w:p>
        </w:tc>
        <w:tc>
          <w:tcPr>
            <w:tcW w:w="18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27,430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28,075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29,145</w:t>
            </w:r>
          </w:p>
        </w:tc>
      </w:tr>
      <w:tr>
        <w:trPr>
          <w:trHeight w:val="280"/>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w:t>
            </w:r>
          </w:p>
        </w:tc>
      </w:tr>
      <w:tr>
        <w:trPr>
          <w:trHeight w:val="260"/>
        </w:trPr>
        <w:tc>
          <w:tcPr>
            <w:tcW w:w="5980" w:type="dxa"/>
            <w:vAlign w:val="bottom"/>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18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27,545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28,170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29,207</w:t>
            </w:r>
          </w:p>
        </w:tc>
      </w:tr>
      <w:tr>
        <w:trPr>
          <w:trHeight w:val="280"/>
        </w:trPr>
        <w:tc>
          <w:tcPr>
            <w:tcW w:w="5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bl>
    <w:p>
      <w:pPr>
        <w:spacing w:after="0" w:line="191" w:lineRule="exact"/>
        <w:rPr>
          <w:sz w:val="20"/>
          <w:szCs w:val="20"/>
          <w:color w:val="auto"/>
        </w:rPr>
      </w:pPr>
    </w:p>
    <w:p>
      <w:pPr>
        <w:jc w:val="both"/>
        <w:ind w:right="400"/>
        <w:spacing w:after="0" w:line="253" w:lineRule="auto"/>
        <w:rPr>
          <w:sz w:val="20"/>
          <w:szCs w:val="20"/>
          <w:color w:val="auto"/>
        </w:rPr>
      </w:pPr>
      <w:r>
        <w:rPr>
          <w:rFonts w:ascii="Arial" w:cs="Arial" w:eastAsia="Arial" w:hAnsi="Arial"/>
          <w:sz w:val="16"/>
          <w:szCs w:val="16"/>
          <w:color w:val="auto"/>
        </w:rPr>
        <w:t>For the fiscal years ended August 30, 2014, August 31, 2013 and August 25, 2012, there were options outstanding to purchase 457,421 shares, 664,994 shares and 727,664 shares, respectively, of common stock at an average price of $30.38, $29.83 and $29.08, respectively, which were not included in the computation of diluted income per share because they are considered anti-dilutive under the treasury stock method.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Pr>
          <w:p>
            <w:pPr>
              <w:spacing w:after="0"/>
              <w:rPr>
                <w:sz w:val="20"/>
                <w:szCs w:val="20"/>
                <w:color w:val="auto"/>
              </w:rPr>
            </w:pPr>
            <w:r>
              <w:rPr>
                <w:rFonts w:ascii="Arial" w:cs="Arial" w:eastAsia="Arial" w:hAnsi="Arial"/>
                <w:sz w:val="16"/>
                <w:szCs w:val="16"/>
                <w:b w:val="1"/>
                <w:bCs w:val="1"/>
                <w:color w:val="auto"/>
              </w:rPr>
              <w:t>Note 16: Interim Financial Information (Unaudited)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78"/>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Fiscal 2014</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November 30,</w:t>
            </w:r>
          </w:p>
        </w:tc>
        <w:tc>
          <w:tcPr>
            <w:tcW w:w="28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March 1,</w:t>
            </w:r>
          </w:p>
        </w:tc>
        <w:tc>
          <w:tcPr>
            <w:tcW w:w="2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May 31,</w:t>
            </w:r>
          </w:p>
        </w:tc>
        <w:tc>
          <w:tcPr>
            <w:tcW w:w="22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30,</w:t>
            </w:r>
          </w:p>
        </w:tc>
      </w:t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2014</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222,670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228,811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247,747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245,935</w:t>
            </w:r>
          </w:p>
        </w:tc>
      </w:tr>
      <w:tr>
        <w:trPr>
          <w:trHeight w:val="260"/>
        </w:trPr>
        <w:tc>
          <w:tcPr>
            <w:tcW w:w="50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25,962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22,845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26,481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28,709</w:t>
            </w:r>
          </w:p>
        </w:tc>
      </w:tr>
      <w:tr>
        <w:trPr>
          <w:trHeight w:val="280"/>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16,006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14,036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15,589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18,278</w:t>
            </w:r>
          </w:p>
        </w:tc>
      </w:tr>
      <w:tr>
        <w:trPr>
          <w:trHeight w:val="260"/>
        </w:trPr>
        <w:tc>
          <w:tcPr>
            <w:tcW w:w="50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11,146</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9,593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11,385</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12,929</w:t>
            </w:r>
          </w:p>
        </w:tc>
      </w:tr>
      <w:tr>
        <w:trPr>
          <w:trHeight w:val="280"/>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0.48</w:t>
            </w:r>
          </w:p>
        </w:tc>
      </w:tr>
      <w:tr>
        <w:trPr>
          <w:trHeight w:val="391"/>
        </w:trPr>
        <w:tc>
          <w:tcPr>
            <w:tcW w:w="5000" w:type="dxa"/>
            <w:vAlign w:val="bottom"/>
          </w:tcPr>
          <w:p>
            <w:pPr>
              <w:ind w:left="40"/>
              <w:spacing w:after="0"/>
              <w:rPr>
                <w:sz w:val="20"/>
                <w:szCs w:val="20"/>
                <w:color w:val="auto"/>
              </w:rPr>
            </w:pPr>
            <w:r>
              <w:rPr>
                <w:rFonts w:ascii="Arial" w:cs="Arial" w:eastAsia="Arial" w:hAnsi="Arial"/>
                <w:sz w:val="16"/>
                <w:szCs w:val="16"/>
                <w:b w:val="1"/>
                <w:bCs w:val="1"/>
                <w:color w:val="auto"/>
              </w:rPr>
              <w:t>Fiscal 2013</w:t>
            </w: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Quarter Ended</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r>
        <w:trPr>
          <w:trHeight w:val="198"/>
        </w:trPr>
        <w:tc>
          <w:tcPr>
            <w:tcW w:w="5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December 1,</w:t>
            </w:r>
          </w:p>
        </w:tc>
        <w:tc>
          <w:tcPr>
            <w:tcW w:w="280" w:type="dxa"/>
            <w:vAlign w:val="bottom"/>
          </w:tcPr>
          <w:p>
            <w:pPr>
              <w:spacing w:after="0"/>
              <w:rPr>
                <w:sz w:val="17"/>
                <w:szCs w:val="17"/>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March 2,</w:t>
            </w:r>
          </w:p>
        </w:tc>
        <w:tc>
          <w:tcPr>
            <w:tcW w:w="280" w:type="dxa"/>
            <w:vAlign w:val="bottom"/>
          </w:tcPr>
          <w:p>
            <w:pPr>
              <w:spacing w:after="0"/>
              <w:rPr>
                <w:sz w:val="17"/>
                <w:szCs w:val="17"/>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rPr>
              <w:t>June 1,</w:t>
            </w:r>
          </w:p>
        </w:tc>
        <w:tc>
          <w:tcPr>
            <w:tcW w:w="220" w:type="dxa"/>
            <w:vAlign w:val="bottom"/>
          </w:tcPr>
          <w:p>
            <w:pPr>
              <w:spacing w:after="0"/>
              <w:rPr>
                <w:sz w:val="17"/>
                <w:szCs w:val="17"/>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w:t>
            </w:r>
          </w:p>
        </w:tc>
      </w:tr>
      <w:tr>
        <w:trPr>
          <w:trHeight w:val="228"/>
        </w:trPr>
        <w:tc>
          <w:tcPr>
            <w:tcW w:w="50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2013</w:t>
            </w:r>
          </w:p>
        </w:tc>
      </w:tr>
      <w:tr>
        <w:trPr>
          <w:trHeight w:val="257"/>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193,554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177,166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218,199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214,246</w:t>
            </w:r>
          </w:p>
        </w:tc>
      </w:tr>
      <w:tr>
        <w:trPr>
          <w:trHeight w:val="260"/>
        </w:trPr>
        <w:tc>
          <w:tcPr>
            <w:tcW w:w="500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1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20,747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17,191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21,197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25,496</w:t>
            </w:r>
          </w:p>
        </w:tc>
      </w:tr>
      <w:tr>
        <w:trPr>
          <w:trHeight w:val="280"/>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9,946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8,872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15,332</w:t>
            </w:r>
          </w:p>
        </w:tc>
      </w:tr>
      <w:tr>
        <w:trPr>
          <w:trHeight w:val="260"/>
        </w:trPr>
        <w:tc>
          <w:tcPr>
            <w:tcW w:w="500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7,391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6,285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7,661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10,616</w:t>
            </w:r>
          </w:p>
        </w:tc>
      </w:tr>
      <w:tr>
        <w:trPr>
          <w:trHeight w:val="280"/>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0.38</w:t>
            </w:r>
          </w:p>
        </w:tc>
      </w:tr>
      <w:tr>
        <w:trPr>
          <w:trHeight w:val="251"/>
        </w:trPr>
        <w:tc>
          <w:tcPr>
            <w:tcW w:w="500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16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0.22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0.27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0.38</w:t>
            </w:r>
          </w:p>
        </w:tc>
      </w:tr>
      <w:tr>
        <w:trPr>
          <w:trHeight w:val="621"/>
        </w:trPr>
        <w:tc>
          <w:tcPr>
            <w:tcW w:w="5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179"/>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41"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17: Comprehensive Income</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7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8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7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August 30, 2014</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5"/>
          </w:tcPr>
          <w:p>
            <w:pPr>
              <w:jc w:val="center"/>
              <w:ind w:right="159"/>
              <w:spacing w:after="0"/>
              <w:rPr>
                <w:sz w:val="20"/>
                <w:szCs w:val="20"/>
                <w:color w:val="auto"/>
              </w:rPr>
            </w:pPr>
            <w:r>
              <w:rPr>
                <w:rFonts w:ascii="Arial" w:cs="Arial" w:eastAsia="Arial" w:hAnsi="Arial"/>
                <w:sz w:val="16"/>
                <w:szCs w:val="16"/>
                <w:b w:val="1"/>
                <w:bCs w:val="1"/>
                <w:color w:val="auto"/>
              </w:rPr>
              <w:t>August 31, 2013</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auto"/>
              </w:rPr>
              <w:t>Unrealized Gains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40" w:type="dxa"/>
            <w:vAlign w:val="bottom"/>
            <w:gridSpan w:val="5"/>
          </w:tcPr>
          <w:p>
            <w:pPr>
              <w:jc w:val="center"/>
              <w:ind w:right="199"/>
              <w:spacing w:after="0"/>
              <w:rPr>
                <w:sz w:val="20"/>
                <w:szCs w:val="20"/>
                <w:color w:val="auto"/>
              </w:rPr>
            </w:pPr>
            <w:r>
              <w:rPr>
                <w:rFonts w:ascii="Arial" w:cs="Arial" w:eastAsia="Arial" w:hAnsi="Arial"/>
                <w:sz w:val="16"/>
                <w:szCs w:val="16"/>
                <w:b w:val="1"/>
                <w:bCs w:val="1"/>
                <w:color w:val="auto"/>
              </w:rPr>
              <w:t>Unrealized Gains</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rPr>
              <w:t>and Losses on</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4"/>
          </w:tcPr>
          <w:p>
            <w:pPr>
              <w:jc w:val="center"/>
              <w:ind w:left="119"/>
              <w:spacing w:after="0"/>
              <w:rPr>
                <w:sz w:val="20"/>
                <w:szCs w:val="20"/>
                <w:color w:val="auto"/>
              </w:rPr>
            </w:pPr>
            <w:r>
              <w:rPr>
                <w:rFonts w:ascii="Arial" w:cs="Arial" w:eastAsia="Arial" w:hAnsi="Arial"/>
                <w:sz w:val="16"/>
                <w:szCs w:val="16"/>
                <w:b w:val="1"/>
                <w:bCs w:val="1"/>
                <w:color w:val="auto"/>
              </w:rPr>
              <w:t>and Losses on</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rPr>
              <w:t>Available-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80" w:type="dxa"/>
            <w:vAlign w:val="bottom"/>
            <w:gridSpan w:val="4"/>
          </w:tcPr>
          <w:p>
            <w:pPr>
              <w:jc w:val="center"/>
              <w:ind w:left="99"/>
              <w:spacing w:after="0"/>
              <w:rPr>
                <w:sz w:val="20"/>
                <w:szCs w:val="20"/>
                <w:color w:val="auto"/>
              </w:rPr>
            </w:pPr>
            <w:r>
              <w:rPr>
                <w:rFonts w:ascii="Arial" w:cs="Arial" w:eastAsia="Arial" w:hAnsi="Arial"/>
                <w:sz w:val="16"/>
                <w:szCs w:val="16"/>
                <w:b w:val="1"/>
                <w:bCs w:val="1"/>
                <w:color w:val="auto"/>
              </w:rPr>
              <w:t>Available-</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20" w:type="dxa"/>
            <w:vAlign w:val="bottom"/>
          </w:tcPr>
          <w:p>
            <w:pPr>
              <w:spacing w:after="0"/>
              <w:rPr>
                <w:sz w:val="16"/>
                <w:szCs w:val="16"/>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b w:val="1"/>
                <w:bCs w:val="1"/>
                <w:color w:val="auto"/>
              </w:rPr>
              <w:t>Defined Benefit</w:t>
            </w:r>
          </w:p>
        </w:tc>
        <w:tc>
          <w:tcPr>
            <w:tcW w:w="180" w:type="dxa"/>
            <w:vAlign w:val="bottom"/>
          </w:tcPr>
          <w:p>
            <w:pPr>
              <w:spacing w:after="0"/>
              <w:rPr>
                <w:sz w:val="16"/>
                <w:szCs w:val="16"/>
                <w:color w:val="auto"/>
              </w:rPr>
            </w:pPr>
          </w:p>
        </w:tc>
        <w:tc>
          <w:tcPr>
            <w:tcW w:w="1320" w:type="dxa"/>
            <w:vAlign w:val="bottom"/>
          </w:tcPr>
          <w:p>
            <w:pPr>
              <w:jc w:val="center"/>
              <w:ind w:right="39"/>
              <w:spacing w:after="0"/>
              <w:rPr>
                <w:sz w:val="20"/>
                <w:szCs w:val="20"/>
                <w:color w:val="auto"/>
              </w:rPr>
            </w:pPr>
            <w:r>
              <w:rPr>
                <w:rFonts w:ascii="Arial" w:cs="Arial" w:eastAsia="Arial" w:hAnsi="Arial"/>
                <w:sz w:val="16"/>
                <w:szCs w:val="16"/>
                <w:b w:val="1"/>
                <w:bCs w:val="1"/>
                <w:color w:val="auto"/>
              </w:rPr>
              <w:t>for-Sale</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Defined Benefit</w:t>
            </w:r>
          </w:p>
        </w:tc>
        <w:tc>
          <w:tcPr>
            <w:tcW w:w="1380" w:type="dxa"/>
            <w:vAlign w:val="bottom"/>
            <w:gridSpan w:val="4"/>
          </w:tcPr>
          <w:p>
            <w:pPr>
              <w:jc w:val="center"/>
              <w:ind w:left="99"/>
              <w:spacing w:after="0"/>
              <w:rPr>
                <w:sz w:val="20"/>
                <w:szCs w:val="20"/>
                <w:color w:val="auto"/>
              </w:rPr>
            </w:pPr>
            <w:r>
              <w:rPr>
                <w:rFonts w:ascii="Arial" w:cs="Arial" w:eastAsia="Arial" w:hAnsi="Arial"/>
                <w:sz w:val="16"/>
                <w:szCs w:val="16"/>
                <w:b w:val="1"/>
                <w:bCs w:val="1"/>
                <w:color w:val="auto"/>
              </w:rPr>
              <w:t>for-Sale</w:t>
            </w: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rPr>
              <w:t>Pension Items</w:t>
            </w:r>
          </w:p>
        </w:tc>
        <w:tc>
          <w:tcPr>
            <w:tcW w:w="180" w:type="dxa"/>
            <w:vAlign w:val="bottom"/>
          </w:tcPr>
          <w:p>
            <w:pPr>
              <w:spacing w:after="0"/>
              <w:rPr>
                <w:sz w:val="19"/>
                <w:szCs w:val="19"/>
                <w:color w:val="auto"/>
              </w:rPr>
            </w:pPr>
          </w:p>
        </w:tc>
        <w:tc>
          <w:tcPr>
            <w:tcW w:w="1320" w:type="dxa"/>
            <w:vAlign w:val="bottom"/>
          </w:tcPr>
          <w:p>
            <w:pPr>
              <w:jc w:val="center"/>
              <w:ind w:right="19"/>
              <w:spacing w:after="0"/>
              <w:rPr>
                <w:sz w:val="20"/>
                <w:szCs w:val="20"/>
                <w:color w:val="auto"/>
              </w:rPr>
            </w:pPr>
            <w:r>
              <w:rPr>
                <w:rFonts w:ascii="Arial" w:cs="Arial" w:eastAsia="Arial" w:hAnsi="Arial"/>
                <w:sz w:val="16"/>
                <w:szCs w:val="16"/>
                <w:b w:val="1"/>
                <w:bCs w:val="1"/>
                <w:color w:val="auto"/>
              </w:rPr>
              <w:t>Securities</w:t>
            </w:r>
          </w:p>
        </w:tc>
        <w:tc>
          <w:tcPr>
            <w:tcW w:w="340" w:type="dxa"/>
            <w:vAlign w:val="bottom"/>
          </w:tcPr>
          <w:p>
            <w:pPr>
              <w:spacing w:after="0"/>
              <w:rPr>
                <w:sz w:val="19"/>
                <w:szCs w:val="19"/>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c>
          <w:tcPr>
            <w:tcW w:w="136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Pension Items</w:t>
            </w:r>
          </w:p>
        </w:tc>
        <w:tc>
          <w:tcPr>
            <w:tcW w:w="1380" w:type="dxa"/>
            <w:vAlign w:val="bottom"/>
            <w:gridSpan w:val="4"/>
          </w:tcPr>
          <w:p>
            <w:pPr>
              <w:jc w:val="center"/>
              <w:ind w:left="119"/>
              <w:spacing w:after="0"/>
              <w:rPr>
                <w:sz w:val="20"/>
                <w:szCs w:val="20"/>
                <w:color w:val="auto"/>
              </w:rPr>
            </w:pPr>
            <w:r>
              <w:rPr>
                <w:rFonts w:ascii="Arial" w:cs="Arial" w:eastAsia="Arial" w:hAnsi="Arial"/>
                <w:sz w:val="16"/>
                <w:szCs w:val="16"/>
                <w:b w:val="1"/>
                <w:bCs w:val="1"/>
                <w:color w:val="auto"/>
              </w:rPr>
              <w:t>Securities</w:t>
            </w:r>
          </w:p>
        </w:tc>
        <w:tc>
          <w:tcPr>
            <w:tcW w:w="46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7"/>
        </w:trPr>
        <w:tc>
          <w:tcPr>
            <w:tcW w:w="27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(151)</w:t>
            </w:r>
          </w:p>
        </w:tc>
        <w:tc>
          <w:tcPr>
            <w:tcW w:w="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c>
          <w:tcPr>
            <w:tcW w:w="12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(3,326)</w:t>
            </w:r>
          </w:p>
        </w:tc>
        <w:tc>
          <w:tcPr>
            <w:tcW w:w="600" w:type="dxa"/>
            <w:vAlign w:val="bottom"/>
            <w:tcBorders>
              <w:top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(360)</w:t>
            </w:r>
          </w:p>
        </w:tc>
        <w:tc>
          <w:tcPr>
            <w:tcW w:w="4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151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6,288</w:t>
            </w:r>
          </w:p>
        </w:tc>
        <w:tc>
          <w:tcPr>
            <w:tcW w:w="600" w:type="dxa"/>
            <w:vAlign w:val="bottom"/>
            <w:shd w:val="clear" w:color="auto" w:fill="CCEEFF"/>
          </w:tcPr>
          <w:p>
            <w:pPr>
              <w:spacing w:after="0"/>
              <w:rPr>
                <w:sz w:val="23"/>
                <w:szCs w:val="23"/>
                <w:color w:val="auto"/>
              </w:rPr>
            </w:pP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209</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6,497</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Amounts reclassified from AOCI</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(2,833)</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(2,833)</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(1,962)</w:t>
            </w:r>
          </w:p>
        </w:tc>
        <w:tc>
          <w:tcPr>
            <w:tcW w:w="6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250"/>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(2,808)</w:t>
            </w: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151</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(2,657)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4,326</w:t>
            </w:r>
          </w:p>
        </w:tc>
        <w:tc>
          <w:tcPr>
            <w:tcW w:w="6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209</w:t>
            </w:r>
          </w:p>
        </w:tc>
        <w:tc>
          <w:tcPr>
            <w:tcW w:w="4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end of year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(1,808)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(1,808)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60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(151)</w:t>
            </w:r>
          </w:p>
        </w:tc>
        <w:tc>
          <w:tcPr>
            <w:tcW w:w="4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849</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5580" w:type="dxa"/>
            <w:vAlign w:val="bottom"/>
            <w:gridSpan w:val="5"/>
          </w:tcPr>
          <w:p>
            <w:pPr>
              <w:spacing w:after="0"/>
              <w:rPr>
                <w:sz w:val="20"/>
                <w:szCs w:val="20"/>
                <w:color w:val="auto"/>
              </w:rPr>
            </w:pPr>
            <w:r>
              <w:rPr>
                <w:rFonts w:ascii="Arial" w:cs="Arial" w:eastAsia="Arial" w:hAnsi="Arial"/>
                <w:sz w:val="16"/>
                <w:szCs w:val="16"/>
                <w:color w:val="auto"/>
              </w:rPr>
              <w:t>Reclassifications out of AOCI in net periodic benefit costs, net of tax, were:</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w w:val="99"/>
              </w:rPr>
              <w:t>Year Ended</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760" w:type="dxa"/>
            <w:vAlign w:val="bottom"/>
            <w:gridSpan w:val="7"/>
          </w:tcPr>
          <w:p>
            <w:pPr>
              <w:ind w:left="560"/>
              <w:spacing w:after="0"/>
              <w:rPr>
                <w:sz w:val="20"/>
                <w:szCs w:val="20"/>
                <w:color w:val="auto"/>
              </w:rPr>
            </w:pPr>
            <w:r>
              <w:rPr>
                <w:rFonts w:ascii="Arial" w:cs="Arial" w:eastAsia="Arial" w:hAnsi="Arial"/>
                <w:sz w:val="16"/>
                <w:szCs w:val="16"/>
                <w:b w:val="1"/>
                <w:bCs w:val="1"/>
                <w:color w:val="auto"/>
              </w:rPr>
              <w:t>Location on Consolidated Statements of Income and</w:t>
            </w: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ind w:left="56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August 30, 2014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August 31, 2013</w:t>
            </w:r>
          </w:p>
        </w:tc>
        <w:tc>
          <w:tcPr>
            <w:tcW w:w="0" w:type="dxa"/>
            <w:vAlign w:val="bottom"/>
          </w:tcPr>
          <w:p>
            <w:pPr>
              <w:spacing w:after="0"/>
              <w:rPr>
                <w:sz w:val="1"/>
                <w:szCs w:val="1"/>
                <w:color w:val="auto"/>
              </w:rPr>
            </w:pPr>
          </w:p>
        </w:tc>
      </w:tr>
      <w:tr>
        <w:trPr>
          <w:trHeight w:val="270"/>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40" w:type="dxa"/>
            <w:vAlign w:val="bottom"/>
            <w:shd w:val="clear" w:color="auto" w:fill="CCEEFF"/>
          </w:tcPr>
          <w:p>
            <w:pPr>
              <w:spacing w:after="0"/>
              <w:rPr>
                <w:sz w:val="23"/>
                <w:szCs w:val="23"/>
                <w:color w:val="auto"/>
              </w:rPr>
            </w:pPr>
          </w:p>
        </w:tc>
        <w:tc>
          <w:tcPr>
            <w:tcW w:w="272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Cost of goods sold</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(2,803)</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gridSpan w:val="3"/>
          </w:tcPr>
          <w:p>
            <w:pPr>
              <w:ind w:left="56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(3,582)</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(3,226)</w:t>
            </w:r>
          </w:p>
        </w:tc>
        <w:tc>
          <w:tcPr>
            <w:tcW w:w="0" w:type="dxa"/>
            <w:vAlign w:val="bottom"/>
          </w:tcPr>
          <w:p>
            <w:pPr>
              <w:spacing w:after="0"/>
              <w:rPr>
                <w:sz w:val="1"/>
                <w:szCs w:val="1"/>
                <w:color w:val="auto"/>
              </w:rPr>
            </w:pPr>
          </w:p>
        </w:tc>
      </w:tr>
      <w:tr>
        <w:trPr>
          <w:trHeight w:val="270"/>
        </w:trPr>
        <w:tc>
          <w:tcPr>
            <w:tcW w:w="2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720" w:type="dxa"/>
            <w:vAlign w:val="bottom"/>
            <w:gridSpan w:val="3"/>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net actuarial loss</w:t>
            </w:r>
          </w:p>
        </w:tc>
        <w:tc>
          <w:tcPr>
            <w:tcW w:w="140" w:type="dxa"/>
            <w:vAlign w:val="bottom"/>
            <w:shd w:val="clear" w:color="auto" w:fill="CCEEFF"/>
          </w:tcPr>
          <w:p>
            <w:pPr>
              <w:spacing w:after="0"/>
              <w:rPr>
                <w:sz w:val="23"/>
                <w:szCs w:val="23"/>
                <w:color w:val="auto"/>
              </w:rPr>
            </w:pPr>
          </w:p>
        </w:tc>
        <w:tc>
          <w:tcPr>
            <w:tcW w:w="2720" w:type="dxa"/>
            <w:vAlign w:val="bottom"/>
            <w:gridSpan w:val="3"/>
            <w:shd w:val="clear" w:color="auto" w:fill="CCEEFF"/>
          </w:tcPr>
          <w:p>
            <w:pPr>
              <w:ind w:left="560"/>
              <w:spacing w:after="0"/>
              <w:rPr>
                <w:sz w:val="20"/>
                <w:szCs w:val="20"/>
                <w:color w:val="auto"/>
              </w:rPr>
            </w:pPr>
            <w:r>
              <w:rPr>
                <w:rFonts w:ascii="Arial" w:cs="Arial" w:eastAsia="Arial" w:hAnsi="Arial"/>
                <w:sz w:val="16"/>
                <w:szCs w:val="16"/>
                <w:color w:val="auto"/>
              </w:rPr>
              <w:t>Cost of goods sold</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1,098</w:t>
            </w:r>
          </w:p>
        </w:tc>
        <w:tc>
          <w:tcPr>
            <w:tcW w:w="0" w:type="dxa"/>
            <w:vAlign w:val="bottom"/>
          </w:tcPr>
          <w:p>
            <w:pPr>
              <w:spacing w:after="0"/>
              <w:rPr>
                <w:sz w:val="1"/>
                <w:szCs w:val="1"/>
                <w:color w:val="auto"/>
              </w:rPr>
            </w:pPr>
          </w:p>
        </w:tc>
      </w:tr>
      <w:tr>
        <w:trPr>
          <w:trHeight w:val="264"/>
        </w:trPr>
        <w:tc>
          <w:tcPr>
            <w:tcW w:w="27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720" w:type="dxa"/>
            <w:vAlign w:val="bottom"/>
            <w:tcBorders>
              <w:bottom w:val="single" w:sz="8" w:color="CCEEFF"/>
            </w:tcBorders>
            <w:gridSpan w:val="3"/>
          </w:tcPr>
          <w:p>
            <w:pPr>
              <w:ind w:left="560"/>
              <w:spacing w:after="0"/>
              <w:rPr>
                <w:sz w:val="20"/>
                <w:szCs w:val="20"/>
                <w:color w:val="auto"/>
              </w:rPr>
            </w:pPr>
            <w:r>
              <w:rPr>
                <w:rFonts w:ascii="Arial" w:cs="Arial" w:eastAsia="Arial" w:hAnsi="Arial"/>
                <w:sz w:val="16"/>
                <w:szCs w:val="16"/>
                <w:color w:val="auto"/>
              </w:rPr>
              <w:t>Operating expenses</w:t>
            </w:r>
          </w:p>
        </w:tc>
        <w:tc>
          <w:tcPr>
            <w:tcW w:w="34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57"/>
        </w:trPr>
        <w:tc>
          <w:tcPr>
            <w:tcW w:w="27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w:t>
            </w: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1,264</w:t>
            </w:r>
          </w:p>
        </w:tc>
        <w:tc>
          <w:tcPr>
            <w:tcW w:w="0" w:type="dxa"/>
            <w:vAlign w:val="bottom"/>
          </w:tcPr>
          <w:p>
            <w:pPr>
              <w:spacing w:after="0"/>
              <w:rPr>
                <w:sz w:val="1"/>
                <w:szCs w:val="1"/>
                <w:color w:val="auto"/>
              </w:rPr>
            </w:pPr>
          </w:p>
        </w:tc>
      </w:tr>
      <w:tr>
        <w:trPr>
          <w:trHeight w:val="270"/>
        </w:trPr>
        <w:tc>
          <w:tcPr>
            <w:tcW w:w="27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tcPr>
          <w:p>
            <w:pPr>
              <w:spacing w:after="0"/>
              <w:rPr>
                <w:sz w:val="23"/>
                <w:szCs w:val="23"/>
                <w:color w:val="auto"/>
              </w:rPr>
            </w:pPr>
          </w:p>
        </w:tc>
        <w:tc>
          <w:tcPr>
            <w:tcW w:w="340" w:type="dxa"/>
            <w:vAlign w:val="bottom"/>
            <w:tcBorders>
              <w:bottom w:val="single" w:sz="8" w:color="CCEEFF"/>
            </w:tcBorders>
          </w:tcPr>
          <w:p>
            <w:pPr>
              <w:spacing w:after="0"/>
              <w:rPr>
                <w:sz w:val="23"/>
                <w:szCs w:val="23"/>
                <w:color w:val="auto"/>
              </w:rPr>
            </w:pPr>
          </w:p>
        </w:tc>
        <w:tc>
          <w:tcPr>
            <w:tcW w:w="10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500" w:type="dxa"/>
            <w:vAlign w:val="bottom"/>
            <w:tcBorders>
              <w:bottom w:val="single" w:sz="8" w:color="CCEEFF"/>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7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(1,962)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18: Subsequent Events</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7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780"/>
        <w:spacing w:after="0" w:line="260" w:lineRule="auto"/>
        <w:rPr>
          <w:sz w:val="20"/>
          <w:szCs w:val="20"/>
          <w:color w:val="auto"/>
        </w:rPr>
      </w:pPr>
      <w:r>
        <w:rPr>
          <w:rFonts w:ascii="Arial" w:cs="Arial" w:eastAsia="Arial" w:hAnsi="Arial"/>
          <w:sz w:val="16"/>
          <w:szCs w:val="16"/>
          <w:color w:val="auto"/>
        </w:rPr>
        <w:t>On October 15, 2014, our Board of Directors declared a cash dividend of $0.09 per outstanding share of common stock. The dividend will be paid on November 26, 2014 to all shareholders of record at the close of business on November 12, 2014.</w:t>
      </w:r>
    </w:p>
    <w:p>
      <w:pPr>
        <w:spacing w:after="0" w:line="149" w:lineRule="exact"/>
        <w:rPr>
          <w:sz w:val="20"/>
          <w:szCs w:val="20"/>
          <w:color w:val="auto"/>
        </w:rPr>
      </w:pPr>
    </w:p>
    <w:p>
      <w:pPr>
        <w:ind w:right="4440"/>
        <w:spacing w:after="0" w:line="475" w:lineRule="auto"/>
        <w:rPr>
          <w:sz w:val="20"/>
          <w:szCs w:val="20"/>
          <w:color w:val="auto"/>
        </w:rPr>
      </w:pPr>
      <w:r>
        <w:rPr>
          <w:rFonts w:ascii="Arial" w:cs="Arial" w:eastAsia="Arial" w:hAnsi="Arial"/>
          <w:sz w:val="16"/>
          <w:szCs w:val="16"/>
          <w:b w:val="1"/>
          <w:bCs w:val="1"/>
          <w:color w:val="auto"/>
        </w:rPr>
        <w:t xml:space="preserve">Item 9. </w:t>
      </w:r>
      <w:r>
        <w:rPr>
          <w:rFonts w:ascii="Arial" w:cs="Arial" w:eastAsia="Arial" w:hAnsi="Arial"/>
          <w:sz w:val="16"/>
          <w:szCs w:val="16"/>
          <w:color w:val="auto"/>
        </w:rPr>
        <w:t>Changes in and Disagreements with Accountants on Accounting and Financial Disclosure</w:t>
      </w:r>
      <w:r>
        <w:rPr>
          <w:rFonts w:ascii="Arial" w:cs="Arial" w:eastAsia="Arial" w:hAnsi="Arial"/>
          <w:sz w:val="16"/>
          <w:szCs w:val="16"/>
          <w:b w:val="1"/>
          <w:bCs w:val="1"/>
          <w:color w:val="auto"/>
        </w:rPr>
        <w:t xml:space="preserve"> </w:t>
      </w:r>
      <w:r>
        <w:rPr>
          <w:rFonts w:ascii="Arial" w:cs="Arial" w:eastAsia="Arial" w:hAnsi="Arial"/>
          <w:sz w:val="16"/>
          <w:szCs w:val="16"/>
          <w:color w:val="auto"/>
        </w:rPr>
        <w:t>None.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9A. </w:t>
      </w:r>
      <w:r>
        <w:rPr>
          <w:rFonts w:ascii="Arial" w:cs="Arial" w:eastAsia="Arial" w:hAnsi="Arial"/>
          <w:sz w:val="16"/>
          <w:szCs w:val="16"/>
          <w:color w:val="auto"/>
        </w:rPr>
        <w:t>Controls and Procedures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87" w:lineRule="exact"/>
        <w:rPr>
          <w:sz w:val="20"/>
          <w:szCs w:val="20"/>
          <w:color w:val="auto"/>
        </w:rPr>
      </w:pPr>
    </w:p>
    <w:p>
      <w:pPr>
        <w:ind w:right="240"/>
        <w:spacing w:after="0" w:line="249"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and believes that such controls and procedures are effective at the reasonable assurance level.</w:t>
      </w:r>
    </w:p>
    <w:p>
      <w:pPr>
        <w:spacing w:after="0" w:line="151"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required by Exchange Act Rule 13a-15(b), as of the end of the period covered by this Annual Report (the "Evaluation Date"). Based on this evaluation, the Chief Executive Officer and Chief Financial Officer have concluded that our disclosure controls and procedures were effective as of the Evaluation Date.</w:t>
      </w:r>
    </w:p>
    <w:p>
      <w:pPr>
        <w:sectPr>
          <w:pgSz w:w="11900" w:h="16838" w:orient="portrait"/>
          <w:cols w:equalWidth="0" w:num="1">
            <w:col w:w="11420"/>
          </w:cols>
          <w:pgMar w:left="240" w:top="141" w:right="23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41"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Internal Control Over Financial Reporting</w:t>
      </w:r>
    </w:p>
    <w:p>
      <w:pPr>
        <w:spacing w:after="0" w:line="18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Management's report on internal control over financial reporting as of August 30, 2014 is included within Item 8 of this Annual Report on Form 10-K and is incorporated herein by reference. The report of Deloitte &amp; Touche LLP on the effectiveness of internal control over financial reporting is included within Item 8 of this Annual Report on Form 10-K and is incorporated herein by reference.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87"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9B. </w:t>
      </w:r>
      <w:r>
        <w:rPr>
          <w:rFonts w:ascii="Arial" w:cs="Arial" w:eastAsia="Arial" w:hAnsi="Arial"/>
          <w:sz w:val="16"/>
          <w:szCs w:val="16"/>
          <w:color w:val="auto"/>
        </w:rPr>
        <w:t>Other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color w:val="auto"/>
        </w:rPr>
        <w:t>Directors, Executive Officers and Corporate Governance</w:t>
      </w:r>
    </w:p>
    <w:p>
      <w:pPr>
        <w:spacing w:after="0" w:line="18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Reference is made to the table entitled "Executive Officers of the Registrant" in Part I of this report and to the information included under the captions "Board of Directors, Committees of the Board and Corporate Governance", "Section 16(a) Beneficial Ownership Reporting Compliance", "Election of Directors" and "Fiscal Year 2015 Shareholder Proposals" in our Proxy Statement for the Annual Meeting of Shareholders scheduled to be held December 16, 2014, which information is incorporated by reference herein.</w:t>
      </w:r>
    </w:p>
    <w:p>
      <w:pPr>
        <w:spacing w:after="0" w:line="149" w:lineRule="exact"/>
        <w:rPr>
          <w:sz w:val="20"/>
          <w:szCs w:val="20"/>
          <w:color w:val="auto"/>
        </w:rPr>
      </w:pPr>
    </w:p>
    <w:p>
      <w:pPr>
        <w:jc w:val="both"/>
        <w:ind w:right="160"/>
        <w:spacing w:after="0" w:line="253" w:lineRule="auto"/>
        <w:rPr>
          <w:sz w:val="20"/>
          <w:szCs w:val="20"/>
          <w:color w:val="auto"/>
        </w:rPr>
      </w:pPr>
      <w:r>
        <w:rPr>
          <w:rFonts w:ascii="Arial" w:cs="Arial" w:eastAsia="Arial" w:hAnsi="Arial"/>
          <w:sz w:val="16"/>
          <w:szCs w:val="16"/>
          <w:color w:val="auto"/>
        </w:rPr>
        <w:t>We have adopted a written code of ethics, the "Code of Ethics for CEO and Senior Financial Officers" (the "Code") which is applicable to our Chief Executive Officer, Chief Financial Officer, and Treasurer (collectively, the "Senior Officers"). In accordance with the rules and regulations of the SEC, a copy of the Code has been filed as an exhibit to this Form 10-K and is posted on our website.</w:t>
      </w:r>
    </w:p>
    <w:p>
      <w:pPr>
        <w:spacing w:after="0" w:line="14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We intend to disclose any changes in or waivers from the Code applicable to any Senior Officer on our website at www.winnebagoind.com or by filing a Form 8-K.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11. </w:t>
      </w:r>
      <w:r>
        <w:rPr>
          <w:rFonts w:ascii="Arial" w:cs="Arial" w:eastAsia="Arial" w:hAnsi="Arial"/>
          <w:sz w:val="16"/>
          <w:szCs w:val="16"/>
          <w:color w:val="auto"/>
        </w:rPr>
        <w:t>Executive Compensation</w:t>
      </w:r>
    </w:p>
    <w:p>
      <w:pPr>
        <w:spacing w:after="0" w:line="187" w:lineRule="exact"/>
        <w:rPr>
          <w:sz w:val="20"/>
          <w:szCs w:val="20"/>
          <w:color w:val="auto"/>
        </w:rPr>
      </w:pPr>
    </w:p>
    <w:p>
      <w:pPr>
        <w:ind w:right="440"/>
        <w:spacing w:after="0" w:line="260"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16, 2014,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12. </w:t>
      </w:r>
      <w:r>
        <w:rPr>
          <w:rFonts w:ascii="Arial" w:cs="Arial" w:eastAsia="Arial" w:hAnsi="Arial"/>
          <w:sz w:val="16"/>
          <w:szCs w:val="16"/>
          <w:color w:val="auto"/>
        </w:rPr>
        <w:t>Security Ownership of Certain Beneficial Owners and Management and Related Stockholder Matters</w:t>
      </w:r>
    </w:p>
    <w:p>
      <w:pPr>
        <w:spacing w:after="0" w:line="187"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Reference is made to the table entitled "Equity Compensation Plan Information" in Part II of this report and to the share ownership information included under the caption "Voting Securities and Principal Holders Thereof" in our Proxy Statement for the Annual Meeting of Shareholders scheduled to be held December 16, 2014, which information is incorporated by reference herein.</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13. </w:t>
      </w:r>
      <w:r>
        <w:rPr>
          <w:rFonts w:ascii="Arial" w:cs="Arial" w:eastAsia="Arial" w:hAnsi="Arial"/>
          <w:sz w:val="16"/>
          <w:szCs w:val="16"/>
          <w:color w:val="auto"/>
        </w:rPr>
        <w:t>Certain Relationships and Related Transactions, and Director Independence</w:t>
      </w:r>
    </w:p>
    <w:p>
      <w:pPr>
        <w:spacing w:after="0" w:line="187" w:lineRule="exact"/>
        <w:rPr>
          <w:sz w:val="20"/>
          <w:szCs w:val="20"/>
          <w:color w:val="auto"/>
        </w:rPr>
      </w:pPr>
    </w:p>
    <w:p>
      <w:pPr>
        <w:ind w:right="540"/>
        <w:spacing w:after="0" w:line="260"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16, 2014,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14. </w:t>
      </w:r>
      <w:r>
        <w:rPr>
          <w:rFonts w:ascii="Arial" w:cs="Arial" w:eastAsia="Arial" w:hAnsi="Arial"/>
          <w:sz w:val="16"/>
          <w:szCs w:val="16"/>
          <w:color w:val="auto"/>
        </w:rPr>
        <w:t>Principal Accounting Fees and Services</w:t>
      </w:r>
    </w:p>
    <w:p>
      <w:pPr>
        <w:spacing w:after="0" w:line="187"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Reference is made to the information included under the caption "Independent Registered Public Accountants Fees and Services" in our Proxy Statement for the Annual Meeting of Shareholders scheduled to be held December 16, 2014 which information is incorporated by reference herein.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15. </w:t>
      </w:r>
      <w:r>
        <w:rPr>
          <w:rFonts w:ascii="Arial" w:cs="Arial" w:eastAsia="Arial" w:hAnsi="Arial"/>
          <w:sz w:val="16"/>
          <w:szCs w:val="16"/>
          <w:color w:val="auto"/>
        </w:rPr>
        <w:t>Exhibits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Statement Schedules</w:t>
      </w:r>
    </w:p>
    <w:p>
      <w:pPr>
        <w:spacing w:after="0" w:line="18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consolidated financial statements are included in Item 8 and an index to financial statements appears on page 24 of this report.</w:t>
      </w:r>
    </w:p>
    <w:p>
      <w:pPr>
        <w:spacing w:after="0" w:line="167" w:lineRule="exact"/>
        <w:rPr>
          <w:rFonts w:ascii="Arial" w:cs="Arial" w:eastAsia="Arial" w:hAnsi="Arial"/>
          <w:sz w:val="16"/>
          <w:szCs w:val="16"/>
          <w:color w:val="auto"/>
        </w:rPr>
      </w:pPr>
    </w:p>
    <w:p>
      <w:pPr>
        <w:ind w:left="340" w:hanging="332"/>
        <w:spacing w:after="0"/>
        <w:tabs>
          <w:tab w:leader="none" w:pos="3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Statement Schedules: Winnebago Industries, Inc. and Subsidiaries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340" w:right="40"/>
        <w:spacing w:after="0" w:line="260" w:lineRule="auto"/>
        <w:rPr>
          <w:sz w:val="20"/>
          <w:szCs w:val="20"/>
          <w:color w:val="auto"/>
        </w:rPr>
      </w:pPr>
      <w:r>
        <w:rPr>
          <w:rFonts w:ascii="Arial" w:cs="Arial" w:eastAsia="Arial" w:hAnsi="Arial"/>
          <w:sz w:val="16"/>
          <w:szCs w:val="16"/>
          <w:color w:val="auto"/>
        </w:rPr>
        <w:t>All schedules are omitted because of the absence of the conditions under which they are required or because the information required is shown in the consolidated financial statements or the notes thereto.</w:t>
      </w:r>
    </w:p>
    <w:p>
      <w:pPr>
        <w:spacing w:after="0" w:line="14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Exhibits: See Exhibit Index on pages 51-53.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87"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69" w:lineRule="exact"/>
        <w:rPr>
          <w:sz w:val="20"/>
          <w:szCs w:val="20"/>
          <w:color w:val="auto"/>
        </w:rPr>
      </w:pPr>
    </w:p>
    <w:p>
      <w:pPr>
        <w:ind w:left="5080"/>
        <w:spacing w:after="0"/>
        <w:rPr>
          <w:sz w:val="20"/>
          <w:szCs w:val="20"/>
          <w:color w:val="auto"/>
        </w:rPr>
      </w:pPr>
      <w:r>
        <w:rPr>
          <w:rFonts w:ascii="Arial" w:cs="Arial" w:eastAsia="Arial" w:hAnsi="Arial"/>
          <w:sz w:val="16"/>
          <w:szCs w:val="16"/>
          <w:color w:val="auto"/>
        </w:rPr>
        <w:t>WINNEBAGO INDUSTRIES, INC.</w:t>
      </w:r>
    </w:p>
    <w:p>
      <w:pPr>
        <w:spacing w:after="0" w:line="354"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29210</wp:posOffset>
            </wp:positionV>
            <wp:extent cx="36703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82"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Randy J. Potts</w:t>
      </w:r>
    </w:p>
    <w:p>
      <w:pPr>
        <w:spacing w:after="0" w:line="370"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Chief Executive Officer, President, Chairman of the Board</w:t>
      </w:r>
    </w:p>
    <w:p>
      <w:pPr>
        <w:spacing w:after="0" w:line="86"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(Principal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October 28, 2014</w:t>
      </w:r>
    </w:p>
    <w:p>
      <w:pPr>
        <w:spacing w:after="0" w:line="383"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October 28, 2014, by the following persons on behalf of the Registrant and in the capacities indicated.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274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88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Arial" w:cs="Arial" w:eastAsia="Arial" w:hAnsi="Arial"/>
                <w:sz w:val="16"/>
                <w:szCs w:val="16"/>
                <w:b w:val="1"/>
                <w:bCs w:val="1"/>
                <w:color w:val="auto"/>
              </w:rPr>
              <w:t>Capacity</w:t>
            </w:r>
          </w:p>
        </w:tc>
      </w:tr>
      <w:tr>
        <w:trPr>
          <w:trHeight w:val="595"/>
        </w:trPr>
        <w:tc>
          <w:tcPr>
            <w:tcW w:w="200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Randy J. Potts</w:t>
            </w:r>
          </w:p>
        </w:tc>
        <w:tc>
          <w:tcPr>
            <w:tcW w:w="740" w:type="dxa"/>
            <w:vAlign w:val="bottom"/>
            <w:tcBorders>
              <w:top w:val="single" w:sz="8" w:color="auto"/>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Randy J. Potts</w:t>
            </w:r>
          </w:p>
        </w:tc>
        <w:tc>
          <w:tcPr>
            <w:tcW w:w="88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Chief Executive Officer, President, Chairman of the Board</w:t>
            </w:r>
          </w:p>
        </w:tc>
      </w:tr>
      <w:tr>
        <w:trPr>
          <w:trHeight w:val="195"/>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(Principal Executive Officer)</w:t>
            </w:r>
          </w:p>
        </w:tc>
      </w:tr>
      <w:tr>
        <w:trPr>
          <w:trHeight w:val="567"/>
        </w:trPr>
        <w:tc>
          <w:tcPr>
            <w:tcW w:w="4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Sarah N. Nielsen</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04"/>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Sarah N. Nielsen</w:t>
            </w:r>
          </w:p>
        </w:tc>
        <w:tc>
          <w:tcPr>
            <w:tcW w:w="880" w:type="dxa"/>
            <w:vAlign w:val="bottom"/>
          </w:tcPr>
          <w:p>
            <w:pPr>
              <w:spacing w:after="0"/>
              <w:rPr>
                <w:sz w:val="17"/>
                <w:szCs w:val="17"/>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Vice President, Chief Financial Officer</w:t>
            </w:r>
          </w:p>
        </w:tc>
      </w:tr>
      <w:tr>
        <w:trPr>
          <w:trHeight w:val="195"/>
        </w:trPr>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567"/>
        </w:trPr>
        <w:tc>
          <w:tcPr>
            <w:tcW w:w="4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Irvin E. Aal</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Irvin E. Aal</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Robert M. Chiusano</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Robert M. Chiusano</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Jerry N. Currie</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Jerry N. Currie</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4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Lawrence A. Erickson</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Lawrence A. Erickson</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Robert J. Olson</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Robert J. Olson</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Martha T. Rodamaker</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40"/>
              <w:spacing w:after="0"/>
              <w:rPr>
                <w:sz w:val="20"/>
                <w:szCs w:val="20"/>
                <w:color w:val="auto"/>
              </w:rPr>
            </w:pPr>
            <w:r>
              <w:rPr>
                <w:rFonts w:ascii="Arial" w:cs="Arial" w:eastAsia="Arial" w:hAnsi="Arial"/>
                <w:sz w:val="16"/>
                <w:szCs w:val="16"/>
                <w:color w:val="auto"/>
              </w:rPr>
              <w:t>Martha T. Rodamaker</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567"/>
        </w:trPr>
        <w:tc>
          <w:tcPr>
            <w:tcW w:w="474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i w:val="1"/>
                <w:iCs w:val="1"/>
                <w:color w:val="auto"/>
              </w:rPr>
              <w:t>/s/ Mark T. Schroepfer</w:t>
            </w: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37"/>
        </w:trPr>
        <w:tc>
          <w:tcPr>
            <w:tcW w:w="4740" w:type="dxa"/>
            <w:vAlign w:val="bottom"/>
            <w:gridSpan w:val="3"/>
          </w:tcPr>
          <w:p>
            <w:pPr>
              <w:ind w:left="60"/>
              <w:spacing w:after="0"/>
              <w:rPr>
                <w:sz w:val="20"/>
                <w:szCs w:val="20"/>
                <w:color w:val="auto"/>
              </w:rPr>
            </w:pPr>
            <w:r>
              <w:rPr>
                <w:rFonts w:ascii="Arial" w:cs="Arial" w:eastAsia="Arial" w:hAnsi="Arial"/>
                <w:sz w:val="16"/>
                <w:szCs w:val="16"/>
                <w:color w:val="auto"/>
              </w:rPr>
              <w:t>Mark T. Schroepfer</w:t>
            </w:r>
          </w:p>
        </w:tc>
        <w:tc>
          <w:tcPr>
            <w:tcW w:w="88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6"/>
                <w:szCs w:val="16"/>
                <w:color w:val="auto"/>
              </w:rPr>
              <w:t>Director</w:t>
            </w:r>
          </w:p>
        </w:tc>
      </w:tr>
    </w:tbl>
    <w:p>
      <w:pPr>
        <w:spacing w:after="0" w:line="200" w:lineRule="exact"/>
        <w:rPr>
          <w:sz w:val="20"/>
          <w:szCs w:val="20"/>
          <w:color w:val="auto"/>
        </w:rPr>
      </w:pPr>
    </w:p>
    <w:p>
      <w:pPr>
        <w:sectPr>
          <w:pgSz w:w="11900" w:h="16838" w:orient="portrait"/>
          <w:cols w:equalWidth="0" w:num="1">
            <w:col w:w="11080"/>
          </w:cols>
          <w:pgMar w:left="240" w:top="141" w:right="579" w:bottom="1440" w:gutter="0" w:footer="0" w:header="0"/>
        </w:sectPr>
      </w:pPr>
    </w:p>
    <w:p>
      <w:pPr>
        <w:spacing w:after="0" w:line="65"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80"/>
          </w:cols>
          <w:pgMar w:left="240" w:top="141" w:right="579" w:bottom="1440" w:gutter="0" w:footer="0" w:header="0"/>
          <w:type w:val="continuous"/>
        </w:sectPr>
      </w:pPr>
    </w:p>
    <w:bookmarkStart w:id="53" w:name="page54"/>
    <w:bookmarkEnd w:id="5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187" w:lineRule="exact"/>
        <w:rPr>
          <w:sz w:val="20"/>
          <w:szCs w:val="20"/>
          <w:color w:val="auto"/>
        </w:rPr>
      </w:pPr>
    </w:p>
    <w:p>
      <w:pPr>
        <w:ind w:left="500" w:right="420" w:hanging="499"/>
        <w:spacing w:after="0" w:line="260" w:lineRule="auto"/>
        <w:tabs>
          <w:tab w:leader="none" w:pos="480" w:val="left"/>
        </w:tabs>
        <w:rPr>
          <w:sz w:val="20"/>
          <w:szCs w:val="20"/>
          <w:color w:val="auto"/>
        </w:rPr>
      </w:pPr>
      <w:r>
        <w:rPr>
          <w:rFonts w:ascii="Arial" w:cs="Arial" w:eastAsia="Arial" w:hAnsi="Arial"/>
          <w:sz w:val="16"/>
          <w:szCs w:val="16"/>
          <w:color w:val="auto"/>
        </w:rPr>
        <w:t>3a.</w:t>
      </w:r>
      <w:r>
        <w:rPr>
          <w:sz w:val="20"/>
          <w:szCs w:val="20"/>
          <w:color w:val="auto"/>
        </w:rPr>
        <w:tab/>
      </w:r>
      <w:r>
        <w:rPr>
          <w:rFonts w:ascii="Arial" w:cs="Arial" w:eastAsia="Arial" w:hAnsi="Arial"/>
          <w:sz w:val="16"/>
          <w:szCs w:val="16"/>
          <w:color w:val="auto"/>
        </w:rPr>
        <w:t>Articles of Incorporation previously filed with the Registrant's Quarterly Report on Form 10-Q for the quarter ended May 27, 2000 (Commission File Number 001-06403) and incorporated by reference herein.</w:t>
      </w:r>
    </w:p>
    <w:p>
      <w:pPr>
        <w:spacing w:after="0" w:line="142"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3b.</w:t>
      </w:r>
      <w:r>
        <w:rPr>
          <w:sz w:val="20"/>
          <w:szCs w:val="20"/>
          <w:color w:val="auto"/>
        </w:rPr>
        <w:tab/>
      </w:r>
      <w:r>
        <w:rPr>
          <w:rFonts w:ascii="Arial" w:cs="Arial" w:eastAsia="Arial" w:hAnsi="Arial"/>
          <w:sz w:val="16"/>
          <w:szCs w:val="16"/>
          <w:color w:val="auto"/>
        </w:rPr>
        <w:t>Amended By-Laws of the Registrant previously filed with the Registrant's Current Report on Form 8-K dated March 24, 2010 (Commission File Number</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001-06403) and incorporated by reference herein.</w:t>
      </w:r>
    </w:p>
    <w:p>
      <w:pPr>
        <w:spacing w:after="0" w:line="167"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10a.</w:t>
        <w:tab/>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49"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10b.</w:t>
        <w:tab/>
        <w:t>Winnebago Industries, Inc. 1997 Stock Option Plan previously filed with the Registrant's Annual Report on Form 10-K for the fiscal year ended August</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30, 1997 (Commission File Number 001-06403) and incorporated by reference herein.*</w:t>
      </w:r>
    </w:p>
    <w:p>
      <w:pPr>
        <w:spacing w:after="0" w:line="167" w:lineRule="exact"/>
        <w:rPr>
          <w:sz w:val="20"/>
          <w:szCs w:val="20"/>
          <w:color w:val="auto"/>
        </w:rPr>
      </w:pPr>
    </w:p>
    <w:p>
      <w:pPr>
        <w:ind w:left="500" w:right="120" w:hanging="499"/>
        <w:spacing w:after="0" w:line="250" w:lineRule="auto"/>
        <w:tabs>
          <w:tab w:leader="none" w:pos="480" w:val="left"/>
        </w:tabs>
        <w:rPr>
          <w:sz w:val="20"/>
          <w:szCs w:val="20"/>
          <w:color w:val="auto"/>
        </w:rPr>
      </w:pPr>
      <w:r>
        <w:rPr>
          <w:rFonts w:ascii="Arial" w:cs="Arial" w:eastAsia="Arial" w:hAnsi="Arial"/>
          <w:sz w:val="16"/>
          <w:szCs w:val="16"/>
          <w:color w:val="auto"/>
        </w:rPr>
        <w:t>10c.</w:t>
        <w:tab/>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49" w:lineRule="exact"/>
        <w:rPr>
          <w:sz w:val="20"/>
          <w:szCs w:val="20"/>
          <w:color w:val="auto"/>
        </w:rPr>
      </w:pPr>
    </w:p>
    <w:p>
      <w:pPr>
        <w:ind w:left="500" w:right="120" w:hanging="499"/>
        <w:spacing w:after="0" w:line="253" w:lineRule="auto"/>
        <w:tabs>
          <w:tab w:leader="none" w:pos="480" w:val="left"/>
        </w:tabs>
        <w:rPr>
          <w:sz w:val="20"/>
          <w:szCs w:val="20"/>
          <w:color w:val="auto"/>
        </w:rPr>
      </w:pPr>
      <w:r>
        <w:rPr>
          <w:rFonts w:ascii="Arial" w:cs="Arial" w:eastAsia="Arial" w:hAnsi="Arial"/>
          <w:sz w:val="16"/>
          <w:szCs w:val="16"/>
          <w:color w:val="auto"/>
        </w:rPr>
        <w:t>10d.</w:t>
        <w:tab/>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47" w:lineRule="exact"/>
        <w:rPr>
          <w:sz w:val="20"/>
          <w:szCs w:val="20"/>
          <w:color w:val="auto"/>
        </w:rPr>
      </w:pPr>
    </w:p>
    <w:p>
      <w:pPr>
        <w:ind w:left="500" w:right="560" w:hanging="499"/>
        <w:spacing w:after="0" w:line="253" w:lineRule="auto"/>
        <w:tabs>
          <w:tab w:leader="none" w:pos="480" w:val="left"/>
        </w:tabs>
        <w:rPr>
          <w:sz w:val="20"/>
          <w:szCs w:val="20"/>
          <w:color w:val="auto"/>
        </w:rPr>
      </w:pPr>
      <w:r>
        <w:rPr>
          <w:rFonts w:ascii="Arial" w:cs="Arial" w:eastAsia="Arial" w:hAnsi="Arial"/>
          <w:sz w:val="16"/>
          <w:szCs w:val="16"/>
          <w:color w:val="auto"/>
        </w:rPr>
        <w:t>10e.</w:t>
        <w:tab/>
        <w:t>Form of Winnebago Industries, Inc. Non-Qualified Stock Option Agreement for grants of Non-Qualified Stock Options under the 2004 Incentive Compensation Plan previously filed with the Registrant's Report on Form 8-K dated October 13, 2004 (Commission File Number 001-06403) and incorporated by reference herein.*</w:t>
      </w:r>
    </w:p>
    <w:p>
      <w:pPr>
        <w:spacing w:after="0" w:line="147" w:lineRule="exact"/>
        <w:rPr>
          <w:sz w:val="20"/>
          <w:szCs w:val="20"/>
          <w:color w:val="auto"/>
        </w:rPr>
      </w:pPr>
    </w:p>
    <w:p>
      <w:pPr>
        <w:ind w:left="500" w:right="80" w:hanging="499"/>
        <w:spacing w:after="0" w:line="260" w:lineRule="auto"/>
        <w:tabs>
          <w:tab w:leader="none" w:pos="480" w:val="left"/>
        </w:tabs>
        <w:rPr>
          <w:sz w:val="20"/>
          <w:szCs w:val="20"/>
          <w:color w:val="auto"/>
        </w:rPr>
      </w:pPr>
      <w:r>
        <w:rPr>
          <w:rFonts w:ascii="Arial" w:cs="Arial" w:eastAsia="Arial" w:hAnsi="Arial"/>
          <w:sz w:val="16"/>
          <w:szCs w:val="16"/>
          <w:color w:val="auto"/>
        </w:rPr>
        <w:t>10f.</w:t>
        <w:tab/>
        <w:t>Winnebago Industries, Inc. Restricted Stock Grant Award Agreement under the 2004 Incentive Compensation Plan previously filed with the Registrant's Current Report on Form 8-K dated October 11, 2006 (Commission File Number 001-06403) and incorporated by reference herein.*</w:t>
      </w:r>
    </w:p>
    <w:p>
      <w:pPr>
        <w:spacing w:after="0" w:line="142" w:lineRule="exact"/>
        <w:rPr>
          <w:sz w:val="20"/>
          <w:szCs w:val="20"/>
          <w:color w:val="auto"/>
        </w:rPr>
      </w:pPr>
    </w:p>
    <w:p>
      <w:pPr>
        <w:ind w:left="500" w:right="140" w:hanging="499"/>
        <w:spacing w:after="0" w:line="260" w:lineRule="auto"/>
        <w:tabs>
          <w:tab w:leader="none" w:pos="480" w:val="left"/>
        </w:tabs>
        <w:rPr>
          <w:sz w:val="20"/>
          <w:szCs w:val="20"/>
          <w:color w:val="auto"/>
        </w:rPr>
      </w:pPr>
      <w:r>
        <w:rPr>
          <w:rFonts w:ascii="Arial" w:cs="Arial" w:eastAsia="Arial" w:hAnsi="Arial"/>
          <w:sz w:val="16"/>
          <w:szCs w:val="16"/>
          <w:color w:val="auto"/>
        </w:rPr>
        <w:t>10g.</w:t>
        <w:tab/>
        <w:t>Winnebago Industries, Inc. Executive Deferred Compensation Plan previously filed with the Registrant's Quarterly Report on Form 10-Q for the quarter ended November 25, 2006 (Commission File Number 001-06403) and incorporated by reference herein.*</w:t>
      </w:r>
    </w:p>
    <w:p>
      <w:pPr>
        <w:spacing w:after="0" w:line="142" w:lineRule="exact"/>
        <w:rPr>
          <w:sz w:val="20"/>
          <w:szCs w:val="20"/>
          <w:color w:val="auto"/>
        </w:rPr>
      </w:pPr>
    </w:p>
    <w:p>
      <w:pPr>
        <w:ind w:left="500" w:right="20" w:hanging="499"/>
        <w:spacing w:after="0" w:line="250" w:lineRule="auto"/>
        <w:tabs>
          <w:tab w:leader="none" w:pos="480" w:val="left"/>
        </w:tabs>
        <w:rPr>
          <w:sz w:val="20"/>
          <w:szCs w:val="20"/>
          <w:color w:val="auto"/>
        </w:rPr>
      </w:pPr>
      <w:r>
        <w:rPr>
          <w:rFonts w:ascii="Arial" w:cs="Arial" w:eastAsia="Arial" w:hAnsi="Arial"/>
          <w:sz w:val="16"/>
          <w:szCs w:val="16"/>
          <w:color w:val="auto"/>
        </w:rPr>
        <w:t>10h.</w:t>
        <w:tab/>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 and the Amendment dated March 23, 2011 previously filed with the Registrant's Quarterly Report on Form 10-Q for the quarter ended May 28, 2011 (Commission File Number 001-06403) and incorporated by reference herein.*</w:t>
      </w:r>
    </w:p>
    <w:p>
      <w:pPr>
        <w:spacing w:after="0" w:line="149" w:lineRule="exact"/>
        <w:rPr>
          <w:sz w:val="20"/>
          <w:szCs w:val="20"/>
          <w:color w:val="auto"/>
        </w:rPr>
      </w:pPr>
    </w:p>
    <w:p>
      <w:pPr>
        <w:ind w:left="500" w:right="80" w:hanging="499"/>
        <w:spacing w:after="0" w:line="251" w:lineRule="auto"/>
        <w:tabs>
          <w:tab w:leader="none" w:pos="480" w:val="left"/>
        </w:tabs>
        <w:rPr>
          <w:sz w:val="20"/>
          <w:szCs w:val="20"/>
          <w:color w:val="auto"/>
        </w:rPr>
      </w:pPr>
      <w:r>
        <w:rPr>
          <w:rFonts w:ascii="Arial" w:cs="Arial" w:eastAsia="Arial" w:hAnsi="Arial"/>
          <w:sz w:val="16"/>
          <w:szCs w:val="16"/>
          <w:color w:val="auto"/>
        </w:rPr>
        <w:t>10i.</w:t>
        <w:tab/>
        <w:t>Winnebago Industries, Inc. 2014 Omnibus Equity, Performance Award, and Incentive Compensation Plan previously filed as Appendix B with the Registrant's Proxy Statement for the Annual Meeting of Shareholders held on December 17, 2013 (Commission File Number 001-06403) and incorporated by reference herein and the Supplement dated December 6, 2013 previously filed (Commission File Number 001-06403) and incorporated by reference herein.*</w:t>
      </w:r>
    </w:p>
    <w:p>
      <w:pPr>
        <w:spacing w:after="0" w:line="149" w:lineRule="exact"/>
        <w:rPr>
          <w:sz w:val="20"/>
          <w:szCs w:val="20"/>
          <w:color w:val="auto"/>
        </w:rPr>
      </w:pPr>
    </w:p>
    <w:p>
      <w:pPr>
        <w:ind w:left="500" w:right="100" w:hanging="499"/>
        <w:spacing w:after="0" w:line="250" w:lineRule="auto"/>
        <w:tabs>
          <w:tab w:leader="none" w:pos="480" w:val="left"/>
        </w:tabs>
        <w:rPr>
          <w:sz w:val="20"/>
          <w:szCs w:val="20"/>
          <w:color w:val="auto"/>
        </w:rPr>
      </w:pPr>
      <w:r>
        <w:rPr>
          <w:rFonts w:ascii="Arial" w:cs="Arial" w:eastAsia="Arial" w:hAnsi="Arial"/>
          <w:sz w:val="16"/>
          <w:szCs w:val="16"/>
          <w:color w:val="auto"/>
        </w:rPr>
        <w:t>10j.</w:t>
        <w:tab/>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49" w:lineRule="exact"/>
        <w:rPr>
          <w:sz w:val="20"/>
          <w:szCs w:val="20"/>
          <w:color w:val="auto"/>
        </w:rPr>
      </w:pPr>
    </w:p>
    <w:p>
      <w:pPr>
        <w:ind w:left="500" w:right="60" w:hanging="499"/>
        <w:spacing w:after="0" w:line="250" w:lineRule="auto"/>
        <w:tabs>
          <w:tab w:leader="none" w:pos="480" w:val="left"/>
        </w:tabs>
        <w:rPr>
          <w:sz w:val="20"/>
          <w:szCs w:val="20"/>
          <w:color w:val="auto"/>
        </w:rPr>
      </w:pPr>
      <w:r>
        <w:rPr>
          <w:rFonts w:ascii="Arial" w:cs="Arial" w:eastAsia="Arial" w:hAnsi="Arial"/>
          <w:sz w:val="16"/>
          <w:szCs w:val="16"/>
          <w:color w:val="auto"/>
        </w:rPr>
        <w:t>10k.</w:t>
        <w:tab/>
        <w:t>Winnebago Industries, Inc. Profit Sharing and Deferred Savings Investment Plan previously filed with the Registrant's Annual Report on Form 10-K for the fiscal year ended August 31, 1985 (Commission File Number 001-06403), and incorporated by reference herein,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10l.</w:t>
        <w:tab/>
        <w:t>Winnebago Industries, Inc. Officers' Long-Term Incentive Plan, fiscal three-year period 2012, 2013 and 2014 previously filed with the Registrant's Current Report on Form 8-K dated June 21, 2011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10m.</w:t>
        <w:tab/>
        <w:t>Winnebago Industries, Inc. Officers' Long-Term Incentive Plan, fiscal three-year period 2013, 2014 and 2015 previously filed with the Registrant's Current Report on Form 8-K dated June 20, 2012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10n.</w:t>
        <w:tab/>
        <w:t>Winnebago Industries, Inc. Officers' Long-Term Incentive Plan, fiscal three-year period 2014, 2015 and 2016 previously filed with the Registrant's Current Report on Form 8-K dated June 19, 2013 (Commission File Number 001-06403) and incorporated by reference herein.*</w:t>
      </w:r>
    </w:p>
    <w:p>
      <w:pPr>
        <w:spacing w:after="0" w:line="142" w:lineRule="exact"/>
        <w:rPr>
          <w:sz w:val="20"/>
          <w:szCs w:val="20"/>
          <w:color w:val="auto"/>
        </w:rPr>
      </w:pPr>
    </w:p>
    <w:p>
      <w:pPr>
        <w:ind w:left="500" w:right="560" w:hanging="499"/>
        <w:spacing w:after="0" w:line="260" w:lineRule="auto"/>
        <w:tabs>
          <w:tab w:leader="none" w:pos="480" w:val="left"/>
        </w:tabs>
        <w:rPr>
          <w:sz w:val="20"/>
          <w:szCs w:val="20"/>
          <w:color w:val="auto"/>
        </w:rPr>
      </w:pPr>
      <w:r>
        <w:rPr>
          <w:rFonts w:ascii="Arial" w:cs="Arial" w:eastAsia="Arial" w:hAnsi="Arial"/>
          <w:sz w:val="16"/>
          <w:szCs w:val="16"/>
          <w:color w:val="auto"/>
        </w:rPr>
        <w:t>10o.</w:t>
        <w:tab/>
        <w:t>Winnebago Industries, Inc. Officers' Long-Term Incentive Plan, fiscal three-year period 2015, 2016 and 2017 previously filed with the Registrant's Current Report on Form 8-K dated June 18, 2014 (Commission File Number 001-06403) and incorporated by reference herein.*</w:t>
      </w:r>
    </w:p>
    <w:p>
      <w:pPr>
        <w:spacing w:after="0" w:line="142" w:lineRule="exact"/>
        <w:rPr>
          <w:sz w:val="20"/>
          <w:szCs w:val="20"/>
          <w:color w:val="auto"/>
        </w:rPr>
      </w:pPr>
    </w:p>
    <w:p>
      <w:pPr>
        <w:jc w:val="both"/>
        <w:ind w:left="500" w:right="100" w:hanging="499"/>
        <w:spacing w:after="0" w:line="253" w:lineRule="auto"/>
        <w:tabs>
          <w:tab w:leader="none" w:pos="480" w:val="left"/>
        </w:tabs>
        <w:rPr>
          <w:sz w:val="20"/>
          <w:szCs w:val="20"/>
          <w:color w:val="auto"/>
        </w:rPr>
      </w:pPr>
      <w:r>
        <w:rPr>
          <w:rFonts w:ascii="Arial" w:cs="Arial" w:eastAsia="Arial" w:hAnsi="Arial"/>
          <w:sz w:val="16"/>
          <w:szCs w:val="16"/>
          <w:color w:val="auto"/>
        </w:rPr>
        <w:t>10p.</w:t>
        <w:tab/>
        <w:t>Amended and Restated Executive Change of Control Agreement dated December 17, 2008 between Winnebago Industries, Inc. and Robert L. Gossett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80" w:hanging="499"/>
        <w:spacing w:after="0" w:line="253" w:lineRule="auto"/>
        <w:tabs>
          <w:tab w:leader="none" w:pos="480" w:val="left"/>
        </w:tabs>
        <w:rPr>
          <w:sz w:val="20"/>
          <w:szCs w:val="20"/>
          <w:color w:val="auto"/>
        </w:rPr>
      </w:pPr>
      <w:r>
        <w:rPr>
          <w:rFonts w:ascii="Arial" w:cs="Arial" w:eastAsia="Arial" w:hAnsi="Arial"/>
          <w:sz w:val="16"/>
          <w:szCs w:val="16"/>
          <w:color w:val="auto"/>
        </w:rPr>
        <w:t>10q.</w:t>
        <w:tab/>
        <w:t>Amended and Restated Executive Change of Control Agreement dated December 17, 2008 between Winnebago Industries, Inc. and William J. O'Leary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jc w:val="both"/>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10r.</w:t>
        <w:tab/>
        <w:t>Amended and Restated Executive Change of Control Agreement dated December 17, 2008 between Winnebago Industries, Inc. and Sarah N. Nielsen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140" w:hanging="499"/>
        <w:spacing w:after="0" w:line="253" w:lineRule="auto"/>
        <w:tabs>
          <w:tab w:leader="none" w:pos="480" w:val="left"/>
        </w:tabs>
        <w:rPr>
          <w:sz w:val="20"/>
          <w:szCs w:val="20"/>
          <w:color w:val="auto"/>
        </w:rPr>
      </w:pPr>
      <w:r>
        <w:rPr>
          <w:rFonts w:ascii="Arial" w:cs="Arial" w:eastAsia="Arial" w:hAnsi="Arial"/>
          <w:sz w:val="16"/>
          <w:szCs w:val="16"/>
          <w:color w:val="auto"/>
        </w:rPr>
        <w:t>10s.</w:t>
        <w:tab/>
        <w:t>Amended and Restated Executive Change of Control Agreement dated December 17, 2008 between Winnebago Industries, Inc. and Randy J. Potts previously filed with the Registrant's Annual Report on Form 10-K for the fiscal year ended August 29, 2009 (Commission File Number 001-06403) and incorporated by reference herein.*</w:t>
      </w:r>
    </w:p>
    <w:p>
      <w:pPr>
        <w:spacing w:after="0" w:line="147" w:lineRule="exact"/>
        <w:rPr>
          <w:sz w:val="20"/>
          <w:szCs w:val="20"/>
          <w:color w:val="auto"/>
        </w:rPr>
      </w:pPr>
    </w:p>
    <w:p>
      <w:pPr>
        <w:ind w:left="500" w:right="200" w:hanging="499"/>
        <w:spacing w:after="0" w:line="253" w:lineRule="auto"/>
        <w:tabs>
          <w:tab w:leader="none" w:pos="480" w:val="left"/>
        </w:tabs>
        <w:rPr>
          <w:sz w:val="20"/>
          <w:szCs w:val="20"/>
          <w:color w:val="auto"/>
        </w:rPr>
      </w:pPr>
      <w:r>
        <w:rPr>
          <w:rFonts w:ascii="Arial" w:cs="Arial" w:eastAsia="Arial" w:hAnsi="Arial"/>
          <w:sz w:val="16"/>
          <w:szCs w:val="16"/>
          <w:color w:val="auto"/>
        </w:rPr>
        <w:t>10t.</w:t>
        <w:tab/>
        <w:t>Executive Change of Control Agreement dated May 3, 2010 between Winnebago Industries, Inc. and Daryl W. Krieger previously filed with the Registrant's Quarterly Report on Form 10-Q for the quarter ended May 29, 2010 (Commission File Number 001-06403) and incorporated by reference herein.*</w:t>
      </w:r>
    </w:p>
    <w:p>
      <w:pPr>
        <w:spacing w:after="0" w:line="147" w:lineRule="exact"/>
        <w:rPr>
          <w:sz w:val="20"/>
          <w:szCs w:val="20"/>
          <w:color w:val="auto"/>
        </w:rPr>
      </w:pPr>
    </w:p>
    <w:p>
      <w:pPr>
        <w:ind w:left="500" w:right="180" w:hanging="499"/>
        <w:spacing w:after="0" w:line="253" w:lineRule="auto"/>
        <w:tabs>
          <w:tab w:leader="none" w:pos="480" w:val="left"/>
        </w:tabs>
        <w:rPr>
          <w:sz w:val="20"/>
          <w:szCs w:val="20"/>
          <w:color w:val="auto"/>
        </w:rPr>
      </w:pPr>
      <w:r>
        <w:rPr>
          <w:rFonts w:ascii="Arial" w:cs="Arial" w:eastAsia="Arial" w:hAnsi="Arial"/>
          <w:sz w:val="16"/>
          <w:szCs w:val="16"/>
          <w:color w:val="auto"/>
        </w:rPr>
        <w:t>10u.</w:t>
        <w:tab/>
        <w:t>Executive Change of Control Agreement dated August 1, 2011 between Winnebago Industries, Inc. and Donald L. Heidemann previously filed with the Registrant's Annual Report on Form 10-K for the fiscal year ended August 27, 2011 (Commission File Number 001-06403) and incorporated by reference herein.*</w:t>
      </w:r>
    </w:p>
    <w:p>
      <w:pPr>
        <w:spacing w:after="0" w:line="14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10v.</w:t>
        <w:tab/>
        <w:t>Executive Change of Control between Winnebago Industries, Inc. and Steven S. Degnan dated June 20, 2012.*</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10w.</w:t>
        <w:tab/>
        <w:t>Executive Change of Control between Winnebago Industries, Inc. and Scott C. Folkers dated June 20, 2012.*</w:t>
      </w:r>
    </w:p>
    <w:p>
      <w:pPr>
        <w:spacing w:after="0" w:line="167" w:lineRule="exact"/>
        <w:rPr>
          <w:sz w:val="20"/>
          <w:szCs w:val="20"/>
          <w:color w:val="auto"/>
        </w:rPr>
      </w:pPr>
    </w:p>
    <w:p>
      <w:pPr>
        <w:ind w:left="500" w:hanging="499"/>
        <w:spacing w:after="0" w:line="260" w:lineRule="auto"/>
        <w:tabs>
          <w:tab w:leader="none" w:pos="480" w:val="left"/>
        </w:tabs>
        <w:rPr>
          <w:sz w:val="20"/>
          <w:szCs w:val="20"/>
          <w:color w:val="auto"/>
        </w:rPr>
      </w:pPr>
      <w:r>
        <w:rPr>
          <w:rFonts w:ascii="Arial" w:cs="Arial" w:eastAsia="Arial" w:hAnsi="Arial"/>
          <w:sz w:val="16"/>
          <w:szCs w:val="16"/>
          <w:color w:val="auto"/>
        </w:rPr>
        <w:t>10x.</w:t>
        <w:tab/>
        <w:t>Winnebago Industries, Inc. Supplemental Executive Retirement Plan previously filed with the Registrant's Annual Report on Form 10-K for the fiscal year ended August 29, 2009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10y.</w:t>
        <w:tab/>
        <w:t>Winnebago Industries, Inc. Officers' Incentive Compensation Plan for Fiscal 2013 previously filed with the Registrant's Current Report on Form 8-K dated June 20, 2012 (Commission File Number 001-06403) and incorporated by reference herein.*</w:t>
      </w:r>
    </w:p>
    <w:p>
      <w:pPr>
        <w:spacing w:after="0" w:line="142" w:lineRule="exact"/>
        <w:rPr>
          <w:sz w:val="20"/>
          <w:szCs w:val="20"/>
          <w:color w:val="auto"/>
        </w:rPr>
      </w:pPr>
    </w:p>
    <w:p>
      <w:pPr>
        <w:ind w:left="500" w:right="440" w:hanging="499"/>
        <w:spacing w:after="0" w:line="260" w:lineRule="auto"/>
        <w:tabs>
          <w:tab w:leader="none" w:pos="480" w:val="left"/>
        </w:tabs>
        <w:rPr>
          <w:sz w:val="20"/>
          <w:szCs w:val="20"/>
          <w:color w:val="auto"/>
        </w:rPr>
      </w:pPr>
      <w:r>
        <w:rPr>
          <w:rFonts w:ascii="Arial" w:cs="Arial" w:eastAsia="Arial" w:hAnsi="Arial"/>
          <w:sz w:val="16"/>
          <w:szCs w:val="16"/>
          <w:color w:val="auto"/>
        </w:rPr>
        <w:t>10z.</w:t>
        <w:tab/>
        <w:t>Winnebago Industries, Inc. Officers' Incentive Compensation Plan for Fiscal 2014 previously filed with the Registrant's Current Report on Form 8-K dated June 19, 2013 (Commission File Number 001-06403) and incorporated by reference herein.*</w:t>
      </w:r>
    </w:p>
    <w:p>
      <w:pPr>
        <w:spacing w:after="0" w:line="142" w:lineRule="exact"/>
        <w:rPr>
          <w:sz w:val="20"/>
          <w:szCs w:val="20"/>
          <w:color w:val="auto"/>
        </w:rPr>
      </w:pPr>
    </w:p>
    <w:p>
      <w:pPr>
        <w:ind w:left="500" w:right="440" w:hanging="485"/>
        <w:spacing w:after="0" w:line="260" w:lineRule="auto"/>
        <w:rPr>
          <w:sz w:val="20"/>
          <w:szCs w:val="20"/>
          <w:color w:val="auto"/>
        </w:rPr>
      </w:pPr>
      <w:r>
        <w:rPr>
          <w:rFonts w:ascii="Arial" w:cs="Arial" w:eastAsia="Arial" w:hAnsi="Arial"/>
          <w:sz w:val="16"/>
          <w:szCs w:val="16"/>
          <w:color w:val="auto"/>
        </w:rPr>
        <w:t>10aa. Winnebago Industries, Inc. Officers' Incentive Compensation Plan for Fiscal 2015 previously filed with the Registrant's Current Report on Form 8-K dated June 18, 2014 (Commission File Number 001-06403) and incorporated by reference herein.*</w:t>
      </w:r>
    </w:p>
    <w:p>
      <w:pPr>
        <w:spacing w:after="0" w:line="142" w:lineRule="exact"/>
        <w:rPr>
          <w:sz w:val="20"/>
          <w:szCs w:val="20"/>
          <w:color w:val="auto"/>
        </w:rPr>
      </w:pPr>
    </w:p>
    <w:p>
      <w:pPr>
        <w:ind w:left="500" w:right="100" w:hanging="485"/>
        <w:spacing w:after="0" w:line="260" w:lineRule="auto"/>
        <w:rPr>
          <w:sz w:val="20"/>
          <w:szCs w:val="20"/>
          <w:color w:val="auto"/>
        </w:rPr>
      </w:pPr>
      <w:r>
        <w:rPr>
          <w:rFonts w:ascii="Arial" w:cs="Arial" w:eastAsia="Arial" w:hAnsi="Arial"/>
          <w:sz w:val="16"/>
          <w:szCs w:val="16"/>
          <w:color w:val="auto"/>
        </w:rPr>
        <w:t>10ab. Winnebago Industries, Inc. Credit Agreement with GECC previously filed with the Registrant's Current Report on Form 8-K dated October 31, 2012 and amended on Form 8-K dated May 28, 2014 (Commission File Number 001-06403) and incorporated by reference herein.</w:t>
      </w:r>
    </w:p>
    <w:p>
      <w:pPr>
        <w:spacing w:after="0" w:line="142" w:lineRule="exact"/>
        <w:rPr>
          <w:sz w:val="20"/>
          <w:szCs w:val="20"/>
          <w:color w:val="auto"/>
        </w:rPr>
      </w:pPr>
    </w:p>
    <w:p>
      <w:pPr>
        <w:ind w:left="500" w:right="160" w:hanging="499"/>
        <w:spacing w:after="0" w:line="260" w:lineRule="auto"/>
        <w:tabs>
          <w:tab w:leader="none" w:pos="480" w:val="left"/>
        </w:tabs>
        <w:rPr>
          <w:sz w:val="20"/>
          <w:szCs w:val="20"/>
          <w:color w:val="auto"/>
        </w:rPr>
      </w:pPr>
      <w:r>
        <w:rPr>
          <w:rFonts w:ascii="Arial" w:cs="Arial" w:eastAsia="Arial" w:hAnsi="Arial"/>
          <w:sz w:val="16"/>
          <w:szCs w:val="16"/>
          <w:color w:val="auto"/>
        </w:rPr>
        <w:t>10ac.</w:t>
        <w:tab/>
        <w:t>Winnebago Industries, Inc. Registration Statement previously filed on Form S-3 on April 4, 2013 (Commission File Number 333-187720) and amended on Form S-3A on April 30, 2013 (Commission File Number 333-187720) and incorporated by reference 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left="500" w:right="640" w:hanging="485"/>
        <w:spacing w:after="0" w:line="260" w:lineRule="auto"/>
        <w:rPr>
          <w:sz w:val="20"/>
          <w:szCs w:val="20"/>
          <w:color w:val="auto"/>
        </w:rPr>
      </w:pPr>
      <w:r>
        <w:rPr>
          <w:rFonts w:ascii="Arial" w:cs="Arial" w:eastAsia="Arial" w:hAnsi="Arial"/>
          <w:sz w:val="16"/>
          <w:szCs w:val="16"/>
          <w:color w:val="auto"/>
        </w:rPr>
        <w:t>10ad. Winnebago Industries, Inc. Registration Statement previously filed on Form S-8 on March 28, 2014 (Commission File Number 333-194854) and incorporated by reference herein.</w:t>
      </w:r>
    </w:p>
    <w:p>
      <w:pPr>
        <w:spacing w:after="0" w:line="142" w:lineRule="exact"/>
        <w:rPr>
          <w:sz w:val="20"/>
          <w:szCs w:val="20"/>
          <w:color w:val="auto"/>
        </w:rPr>
      </w:pPr>
    </w:p>
    <w:p>
      <w:pPr>
        <w:ind w:left="500" w:right="160" w:hanging="485"/>
        <w:spacing w:after="0" w:line="260" w:lineRule="auto"/>
        <w:tabs>
          <w:tab w:leader="none" w:pos="480" w:val="left"/>
        </w:tabs>
        <w:rPr>
          <w:sz w:val="20"/>
          <w:szCs w:val="20"/>
          <w:color w:val="auto"/>
        </w:rPr>
      </w:pPr>
      <w:r>
        <w:rPr>
          <w:rFonts w:ascii="Arial" w:cs="Arial" w:eastAsia="Arial" w:hAnsi="Arial"/>
          <w:sz w:val="16"/>
          <w:szCs w:val="16"/>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42" w:lineRule="exact"/>
        <w:rPr>
          <w:sz w:val="20"/>
          <w:szCs w:val="20"/>
          <w:color w:val="auto"/>
        </w:rPr>
      </w:pPr>
    </w:p>
    <w:p>
      <w:pPr>
        <w:ind w:left="500" w:hanging="478"/>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List of Subsidiaries.</w:t>
      </w:r>
    </w:p>
    <w:p>
      <w:pPr>
        <w:spacing w:after="0" w:line="167" w:lineRule="exact"/>
        <w:rPr>
          <w:sz w:val="20"/>
          <w:szCs w:val="20"/>
          <w:color w:val="auto"/>
        </w:rPr>
      </w:pPr>
    </w:p>
    <w:p>
      <w:pPr>
        <w:ind w:left="500" w:hanging="478"/>
        <w:spacing w:after="0"/>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Consent of Independent Registered Public Accounting Firm.</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31.1</w:t>
        <w:tab/>
        <w:t>Certification by the Chief Executive Officer pursuant to Section 302 of the Sarbanes-Oxley Act of 2002 dated October 28, 2014.</w:t>
      </w:r>
    </w:p>
    <w:p>
      <w:pPr>
        <w:spacing w:after="0" w:line="167"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color w:val="auto"/>
        </w:rPr>
        <w:t>31.2</w:t>
        <w:tab/>
        <w:t>Certification by the Chief Financial Officer pursuant to Section 302 of the Sarbanes-Oxley Act of 2002 dated October 28, 2014.</w:t>
      </w:r>
    </w:p>
    <w:p>
      <w:pPr>
        <w:spacing w:after="0" w:line="167" w:lineRule="exact"/>
        <w:rPr>
          <w:sz w:val="20"/>
          <w:szCs w:val="20"/>
          <w:color w:val="auto"/>
        </w:rPr>
      </w:pPr>
    </w:p>
    <w:p>
      <w:pPr>
        <w:ind w:left="500" w:right="400" w:hanging="485"/>
        <w:spacing w:after="0" w:line="260" w:lineRule="auto"/>
        <w:tabs>
          <w:tab w:leader="none" w:pos="480" w:val="left"/>
        </w:tabs>
        <w:rPr>
          <w:sz w:val="20"/>
          <w:szCs w:val="20"/>
          <w:color w:val="auto"/>
        </w:rPr>
      </w:pPr>
      <w:r>
        <w:rPr>
          <w:rFonts w:ascii="Arial" w:cs="Arial" w:eastAsia="Arial" w:hAnsi="Arial"/>
          <w:sz w:val="16"/>
          <w:szCs w:val="16"/>
          <w:color w:val="auto"/>
        </w:rPr>
        <w:t>32.1</w:t>
        <w:tab/>
        <w:t>Certification by the Chief Executive Officer pursuant to Section 1350, as adopted pursuant to Section 906 of the Sarbanes-Oxley Act of 2002 dated October 28, 2014.</w:t>
      </w:r>
    </w:p>
    <w:p>
      <w:pPr>
        <w:spacing w:after="0" w:line="142" w:lineRule="exact"/>
        <w:rPr>
          <w:sz w:val="20"/>
          <w:szCs w:val="20"/>
          <w:color w:val="auto"/>
        </w:rPr>
      </w:pPr>
    </w:p>
    <w:p>
      <w:pPr>
        <w:ind w:left="500" w:right="460" w:hanging="485"/>
        <w:spacing w:after="0" w:line="260" w:lineRule="auto"/>
        <w:tabs>
          <w:tab w:leader="none" w:pos="480" w:val="left"/>
        </w:tabs>
        <w:rPr>
          <w:sz w:val="20"/>
          <w:szCs w:val="20"/>
          <w:color w:val="auto"/>
        </w:rPr>
      </w:pPr>
      <w:r>
        <w:rPr>
          <w:rFonts w:ascii="Arial" w:cs="Arial" w:eastAsia="Arial" w:hAnsi="Arial"/>
          <w:sz w:val="16"/>
          <w:szCs w:val="16"/>
          <w:color w:val="auto"/>
        </w:rPr>
        <w:t>32.2</w:t>
        <w:tab/>
        <w:t>Certification by the Chief Financial Officer pursuant to Section 1350, as adopted pursuant to Section 906 of the Sarbanes-Oxley Act of 2002 dated October 28, 2014.</w:t>
      </w:r>
    </w:p>
    <w:p>
      <w:pPr>
        <w:sectPr>
          <w:pgSz w:w="11900" w:h="16838" w:orient="portrait"/>
          <w:cols w:equalWidth="0" w:num="1">
            <w:col w:w="11400"/>
          </w:cols>
          <w:pgMar w:left="240" w:top="141" w:right="259" w:bottom="1440" w:gutter="0" w:footer="0" w:header="0"/>
        </w:sectPr>
      </w:pP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720" w:space="26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800" w:space="18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167"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60" w:space="220"/>
            <w:col w:w="10420"/>
          </w:cols>
          <w:pgMar w:left="240" w:top="141" w:right="25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780" w:space="200"/>
            <w:col w:w="10420"/>
          </w:cols>
          <w:pgMar w:left="240" w:top="141" w:right="259" w:bottom="1440" w:gutter="0" w:footer="0" w:header="0"/>
          <w:type w:val="continuous"/>
        </w:sect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*Management contract or compensation plan or arrangement.</w:t>
      </w:r>
    </w:p>
    <w:p>
      <w:pPr>
        <w:spacing w:after="0" w:line="16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**Attached as Exhibit 101 to this report are the following financial statements from our Annual Report on Form 10-K for the year ended August 30, 2014 formatted in XBRL: (i) the Consolidated Balance Sheets, (ii) the Consolidated Statements of Operations, (iii) the Consolidated Statements Stockholders' Equity,</w:t>
      </w:r>
    </w:p>
    <w:p>
      <w:pPr>
        <w:spacing w:after="0" w:line="1" w:lineRule="exact"/>
        <w:rPr>
          <w:sz w:val="20"/>
          <w:szCs w:val="20"/>
          <w:color w:val="auto"/>
        </w:rPr>
      </w:pPr>
    </w:p>
    <w:p>
      <w:pPr>
        <w:ind w:right="100" w:firstLine="8"/>
        <w:spacing w:after="0" w:line="260" w:lineRule="auto"/>
        <w:tabs>
          <w:tab w:leader="none" w:pos="27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Consolidated Statement of Cash Flows, and (v) related notes to these financial statements. Such exhibits are deemed furnished and not filed pursuant to Rule 406T of Regulation S-T.</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00"/>
          </w:cols>
          <w:pgMar w:left="240" w:top="141" w:right="25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86"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3140" w:type="dxa"/>
            <w:vAlign w:val="bottom"/>
          </w:tcPr>
          <w:p>
            <w:pPr>
              <w:spacing w:after="0"/>
              <w:rPr>
                <w:sz w:val="20"/>
                <w:szCs w:val="20"/>
                <w:color w:val="auto"/>
              </w:rPr>
            </w:pPr>
            <w:r>
              <w:rPr>
                <w:rFonts w:ascii="Arial" w:cs="Arial" w:eastAsia="Arial" w:hAnsi="Arial"/>
                <w:sz w:val="13"/>
                <w:szCs w:val="13"/>
                <w:b w:val="1"/>
                <w:bCs w:val="1"/>
                <w:color w:val="auto"/>
              </w:rPr>
              <w:t>BOARD OF DIRECTORS</w:t>
            </w:r>
          </w:p>
        </w:tc>
        <w:tc>
          <w:tcPr>
            <w:tcW w:w="4020" w:type="dxa"/>
            <w:vAlign w:val="bottom"/>
            <w:gridSpan w:val="5"/>
          </w:tcPr>
          <w:p>
            <w:pPr>
              <w:ind w:left="600"/>
              <w:spacing w:after="0"/>
              <w:rPr>
                <w:sz w:val="20"/>
                <w:szCs w:val="20"/>
                <w:color w:val="auto"/>
              </w:rPr>
            </w:pPr>
            <w:r>
              <w:rPr>
                <w:rFonts w:ascii="Arial" w:cs="Arial" w:eastAsia="Arial" w:hAnsi="Arial"/>
                <w:sz w:val="13"/>
                <w:szCs w:val="13"/>
                <w:b w:val="1"/>
                <w:bCs w:val="1"/>
                <w:color w:val="auto"/>
              </w:rPr>
              <w:t>SHAREHOLDER INFORMATION</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Randy J. Potts (55)</w:t>
            </w:r>
          </w:p>
        </w:tc>
        <w:tc>
          <w:tcPr>
            <w:tcW w:w="4020" w:type="dxa"/>
            <w:vAlign w:val="bottom"/>
            <w:gridSpan w:val="5"/>
            <w:vMerge w:val="restart"/>
          </w:tcPr>
          <w:p>
            <w:pPr>
              <w:ind w:left="600"/>
              <w:spacing w:after="0"/>
              <w:rPr>
                <w:sz w:val="20"/>
                <w:szCs w:val="20"/>
                <w:color w:val="auto"/>
              </w:rPr>
            </w:pPr>
            <w:r>
              <w:rPr>
                <w:rFonts w:ascii="Arial" w:cs="Arial" w:eastAsia="Arial" w:hAnsi="Arial"/>
                <w:sz w:val="13"/>
                <w:szCs w:val="13"/>
                <w:b w:val="1"/>
                <w:bCs w:val="1"/>
                <w:color w:val="auto"/>
              </w:rPr>
              <w:t>Publications</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President, Chief Executive Officer,</w:t>
            </w:r>
          </w:p>
        </w:tc>
        <w:tc>
          <w:tcPr>
            <w:tcW w:w="40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ind w:left="180"/>
              <w:spacing w:after="0" w:line="135" w:lineRule="exact"/>
              <w:rPr>
                <w:sz w:val="20"/>
                <w:szCs w:val="20"/>
                <w:color w:val="auto"/>
              </w:rPr>
            </w:pPr>
            <w:r>
              <w:rPr>
                <w:rFonts w:ascii="Arial" w:cs="Arial" w:eastAsia="Arial" w:hAnsi="Arial"/>
                <w:sz w:val="13"/>
                <w:szCs w:val="13"/>
                <w:color w:val="auto"/>
              </w:rPr>
              <w:t>and Chairman of the Board</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A notice of Annual Meeting of Shareholders and Proxy</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Winnebago Industries, Inc.</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Statement is furnished to shareholders upon request in</w:t>
            </w:r>
          </w:p>
        </w:tc>
        <w:tc>
          <w:tcPr>
            <w:tcW w:w="0" w:type="dxa"/>
            <w:vAlign w:val="bottom"/>
          </w:tcPr>
          <w:p>
            <w:pPr>
              <w:spacing w:after="0"/>
              <w:rPr>
                <w:sz w:val="1"/>
                <w:szCs w:val="1"/>
                <w:color w:val="auto"/>
              </w:rPr>
            </w:pPr>
          </w:p>
        </w:tc>
      </w:tr>
      <w:tr>
        <w:trPr>
          <w:trHeight w:val="152"/>
        </w:trPr>
        <w:tc>
          <w:tcPr>
            <w:tcW w:w="3140" w:type="dxa"/>
            <w:vAlign w:val="bottom"/>
            <w:vMerge w:val="restart"/>
          </w:tcPr>
          <w:p>
            <w:pPr>
              <w:spacing w:after="0"/>
              <w:rPr>
                <w:sz w:val="20"/>
                <w:szCs w:val="20"/>
                <w:color w:val="auto"/>
              </w:rPr>
            </w:pPr>
            <w:r>
              <w:rPr>
                <w:rFonts w:ascii="Arial" w:cs="Arial" w:eastAsia="Arial" w:hAnsi="Arial"/>
                <w:sz w:val="13"/>
                <w:szCs w:val="13"/>
                <w:color w:val="auto"/>
              </w:rPr>
              <w:t>Irvin E. Aal (75) 2,3*</w:t>
            </w:r>
          </w:p>
        </w:tc>
        <w:tc>
          <w:tcPr>
            <w:tcW w:w="4020" w:type="dxa"/>
            <w:vAlign w:val="bottom"/>
            <w:gridSpan w:val="5"/>
          </w:tcPr>
          <w:p>
            <w:pPr>
              <w:ind w:left="600"/>
              <w:spacing w:after="0"/>
              <w:rPr>
                <w:sz w:val="20"/>
                <w:szCs w:val="20"/>
                <w:color w:val="auto"/>
              </w:rPr>
            </w:pPr>
            <w:r>
              <w:rPr>
                <w:rFonts w:ascii="Arial" w:cs="Arial" w:eastAsia="Arial" w:hAnsi="Arial"/>
                <w:sz w:val="13"/>
                <w:szCs w:val="13"/>
                <w:color w:val="auto"/>
              </w:rPr>
              <w:t>advance of the annual meeting.</w:t>
            </w:r>
          </w:p>
        </w:tc>
        <w:tc>
          <w:tcPr>
            <w:tcW w:w="0" w:type="dxa"/>
            <w:vAlign w:val="bottom"/>
          </w:tcPr>
          <w:p>
            <w:pPr>
              <w:spacing w:after="0"/>
              <w:rPr>
                <w:sz w:val="1"/>
                <w:szCs w:val="1"/>
                <w:color w:val="auto"/>
              </w:rPr>
            </w:pPr>
          </w:p>
        </w:tc>
      </w:tr>
      <w:tr>
        <w:trPr>
          <w:trHeight w:val="118"/>
        </w:trPr>
        <w:tc>
          <w:tcPr>
            <w:tcW w:w="31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Former General Manager</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Copies of our quarterly financial earnings releases, the</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Case Tyler Business Unit of CNH Global</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w w:val="99"/>
              </w:rPr>
              <w:t>annual report on Form 10-K (without exhibits), the quarterly</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reports on Form 10-Q (without exhibits) and current reports</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Robert M. Chiusano (63) 2,4*</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on Form 8-K (without exhibits) as filed by us with the</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Former Executive Vice President and Chief</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Securities and Exchange Commission, may be obtained</w:t>
            </w:r>
          </w:p>
        </w:tc>
        <w:tc>
          <w:tcPr>
            <w:tcW w:w="0" w:type="dxa"/>
            <w:vAlign w:val="bottom"/>
          </w:tcPr>
          <w:p>
            <w:pPr>
              <w:spacing w:after="0"/>
              <w:rPr>
                <w:sz w:val="1"/>
                <w:szCs w:val="1"/>
                <w:color w:val="auto"/>
              </w:rPr>
            </w:pPr>
          </w:p>
        </w:tc>
      </w:tr>
      <w:tr>
        <w:trPr>
          <w:trHeight w:val="135"/>
        </w:trPr>
        <w:tc>
          <w:tcPr>
            <w:tcW w:w="3140" w:type="dxa"/>
            <w:vAlign w:val="bottom"/>
          </w:tcPr>
          <w:p>
            <w:pPr>
              <w:ind w:left="180"/>
              <w:spacing w:after="0" w:line="135" w:lineRule="exact"/>
              <w:rPr>
                <w:sz w:val="20"/>
                <w:szCs w:val="20"/>
                <w:color w:val="auto"/>
              </w:rPr>
            </w:pPr>
            <w:r>
              <w:rPr>
                <w:rFonts w:ascii="Arial" w:cs="Arial" w:eastAsia="Arial" w:hAnsi="Arial"/>
                <w:sz w:val="13"/>
                <w:szCs w:val="13"/>
                <w:color w:val="auto"/>
              </w:rPr>
              <w:t>Operating Officer - Commercial Systems</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without charge from the corporate offices as follows:</w:t>
            </w:r>
          </w:p>
        </w:tc>
        <w:tc>
          <w:tcPr>
            <w:tcW w:w="0" w:type="dxa"/>
            <w:vAlign w:val="bottom"/>
          </w:tcPr>
          <w:p>
            <w:pPr>
              <w:spacing w:after="0"/>
              <w:rPr>
                <w:sz w:val="1"/>
                <w:szCs w:val="1"/>
                <w:color w:val="auto"/>
              </w:rPr>
            </w:pPr>
          </w:p>
        </w:tc>
      </w:tr>
      <w:tr>
        <w:trPr>
          <w:trHeight w:val="152"/>
        </w:trPr>
        <w:tc>
          <w:tcPr>
            <w:tcW w:w="3140" w:type="dxa"/>
            <w:vAlign w:val="bottom"/>
          </w:tcPr>
          <w:p>
            <w:pPr>
              <w:spacing w:after="0"/>
              <w:rPr>
                <w:sz w:val="20"/>
                <w:szCs w:val="20"/>
                <w:color w:val="auto"/>
              </w:rPr>
            </w:pPr>
            <w:r>
              <w:rPr>
                <w:rFonts w:ascii="Arial" w:cs="Arial" w:eastAsia="Arial" w:hAnsi="Arial"/>
                <w:sz w:val="13"/>
                <w:szCs w:val="13"/>
                <w:color w:val="auto"/>
              </w:rPr>
              <w:t>Rockwell Collins, Inc.</w:t>
            </w:r>
          </w:p>
        </w:tc>
        <w:tc>
          <w:tcPr>
            <w:tcW w:w="4020" w:type="dxa"/>
            <w:vAlign w:val="bottom"/>
            <w:gridSpan w:val="5"/>
            <w:vMerge w:val="restart"/>
          </w:tcPr>
          <w:p>
            <w:pPr>
              <w:ind w:left="600"/>
              <w:spacing w:after="0"/>
              <w:rPr>
                <w:sz w:val="20"/>
                <w:szCs w:val="20"/>
                <w:color w:val="auto"/>
              </w:rPr>
            </w:pPr>
            <w:r>
              <w:rPr>
                <w:rFonts w:ascii="Arial" w:cs="Arial" w:eastAsia="Arial" w:hAnsi="Arial"/>
                <w:sz w:val="13"/>
                <w:szCs w:val="13"/>
                <w:color w:val="auto"/>
              </w:rPr>
              <w:t>Sheila Davis, PR/IR Manager</w:t>
            </w:r>
          </w:p>
        </w:tc>
        <w:tc>
          <w:tcPr>
            <w:tcW w:w="0" w:type="dxa"/>
            <w:vAlign w:val="bottom"/>
          </w:tcPr>
          <w:p>
            <w:pPr>
              <w:spacing w:after="0"/>
              <w:rPr>
                <w:sz w:val="1"/>
                <w:szCs w:val="1"/>
                <w:color w:val="auto"/>
              </w:rPr>
            </w:pPr>
          </w:p>
        </w:tc>
      </w:tr>
      <w:tr>
        <w:trPr>
          <w:trHeight w:val="118"/>
        </w:trPr>
        <w:tc>
          <w:tcPr>
            <w:tcW w:w="3140" w:type="dxa"/>
            <w:vAlign w:val="bottom"/>
          </w:tcPr>
          <w:p>
            <w:pPr>
              <w:spacing w:after="0"/>
              <w:rPr>
                <w:sz w:val="10"/>
                <w:szCs w:val="10"/>
                <w:color w:val="auto"/>
              </w:rPr>
            </w:pPr>
          </w:p>
        </w:tc>
        <w:tc>
          <w:tcPr>
            <w:tcW w:w="40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Jerry N. Currie (69) 1,3</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Winnebago Industries, Inc.</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605 W. Crystal Lake Road</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CURRIES Company</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P.O. Box 152</w:t>
            </w:r>
          </w:p>
        </w:tc>
        <w:tc>
          <w:tcPr>
            <w:tcW w:w="0" w:type="dxa"/>
            <w:vAlign w:val="bottom"/>
          </w:tcPr>
          <w:p>
            <w:pPr>
              <w:spacing w:after="0"/>
              <w:rPr>
                <w:sz w:val="1"/>
                <w:szCs w:val="1"/>
                <w:color w:val="auto"/>
              </w:rPr>
            </w:pPr>
          </w:p>
        </w:tc>
      </w:tr>
      <w:tr>
        <w:trPr>
          <w:trHeight w:val="135"/>
        </w:trPr>
        <w:tc>
          <w:tcPr>
            <w:tcW w:w="3140" w:type="dxa"/>
            <w:vAlign w:val="bottom"/>
          </w:tcPr>
          <w:p>
            <w:pPr>
              <w:spacing w:after="0"/>
              <w:rPr>
                <w:sz w:val="11"/>
                <w:szCs w:val="11"/>
                <w:color w:val="auto"/>
              </w:rPr>
            </w:pP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Forest City, Iowa 50436-0152</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Lawrence A. Erickson (65)** 1,2*</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Telephone: (641) 585-3535</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Former Senior Vice President and Chief</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Fax: (641) 585-6966</w:t>
            </w:r>
          </w:p>
        </w:tc>
        <w:tc>
          <w:tcPr>
            <w:tcW w:w="0" w:type="dxa"/>
            <w:vAlign w:val="bottom"/>
          </w:tcPr>
          <w:p>
            <w:pPr>
              <w:spacing w:after="0"/>
              <w:rPr>
                <w:sz w:val="1"/>
                <w:szCs w:val="1"/>
                <w:color w:val="auto"/>
              </w:rPr>
            </w:pPr>
          </w:p>
        </w:tc>
      </w:tr>
      <w:tr>
        <w:trPr>
          <w:trHeight w:val="128"/>
        </w:trPr>
        <w:tc>
          <w:tcPr>
            <w:tcW w:w="3140" w:type="dxa"/>
            <w:vAlign w:val="bottom"/>
          </w:tcPr>
          <w:p>
            <w:pPr>
              <w:ind w:left="180"/>
              <w:spacing w:after="0" w:line="128" w:lineRule="exact"/>
              <w:rPr>
                <w:sz w:val="20"/>
                <w:szCs w:val="20"/>
                <w:color w:val="auto"/>
              </w:rPr>
            </w:pPr>
            <w:r>
              <w:rPr>
                <w:rFonts w:ascii="Arial" w:cs="Arial" w:eastAsia="Arial" w:hAnsi="Arial"/>
                <w:sz w:val="13"/>
                <w:szCs w:val="13"/>
                <w:color w:val="auto"/>
              </w:rPr>
              <w:t>Financial Officer</w:t>
            </w:r>
          </w:p>
        </w:tc>
        <w:tc>
          <w:tcPr>
            <w:tcW w:w="4020" w:type="dxa"/>
            <w:vAlign w:val="bottom"/>
            <w:gridSpan w:val="5"/>
          </w:tcPr>
          <w:p>
            <w:pPr>
              <w:ind w:left="600"/>
              <w:spacing w:after="0" w:line="128" w:lineRule="exact"/>
              <w:rPr>
                <w:sz w:val="20"/>
                <w:szCs w:val="20"/>
                <w:color w:val="auto"/>
              </w:rPr>
            </w:pPr>
            <w:r>
              <w:rPr>
                <w:rFonts w:ascii="Arial" w:cs="Arial" w:eastAsia="Arial" w:hAnsi="Arial"/>
                <w:sz w:val="13"/>
                <w:szCs w:val="13"/>
                <w:color w:val="auto"/>
              </w:rPr>
              <w:t>E-Mail: ir@wgo.net</w:t>
            </w:r>
          </w:p>
        </w:tc>
        <w:tc>
          <w:tcPr>
            <w:tcW w:w="0" w:type="dxa"/>
            <w:vAlign w:val="bottom"/>
          </w:tcPr>
          <w:p>
            <w:pPr>
              <w:spacing w:after="0"/>
              <w:rPr>
                <w:sz w:val="1"/>
                <w:szCs w:val="1"/>
                <w:color w:val="auto"/>
              </w:rPr>
            </w:pPr>
          </w:p>
        </w:tc>
      </w:tr>
      <w:tr>
        <w:trPr>
          <w:trHeight w:val="140"/>
        </w:trPr>
        <w:tc>
          <w:tcPr>
            <w:tcW w:w="3140" w:type="dxa"/>
            <w:vAlign w:val="bottom"/>
          </w:tcPr>
          <w:p>
            <w:pPr>
              <w:spacing w:after="0" w:line="140" w:lineRule="exact"/>
              <w:rPr>
                <w:sz w:val="20"/>
                <w:szCs w:val="20"/>
                <w:color w:val="auto"/>
              </w:rPr>
            </w:pPr>
            <w:r>
              <w:rPr>
                <w:rFonts w:ascii="Arial" w:cs="Arial" w:eastAsia="Arial" w:hAnsi="Arial"/>
                <w:sz w:val="13"/>
                <w:szCs w:val="13"/>
                <w:color w:val="auto"/>
              </w:rPr>
              <w:t>Rockwell Collins, Inc.</w:t>
            </w:r>
          </w:p>
        </w:tc>
        <w:tc>
          <w:tcPr>
            <w:tcW w:w="10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3140" w:type="dxa"/>
            <w:vAlign w:val="bottom"/>
          </w:tcPr>
          <w:p>
            <w:pPr>
              <w:spacing w:after="0"/>
              <w:rPr>
                <w:sz w:val="20"/>
                <w:szCs w:val="20"/>
                <w:color w:val="auto"/>
              </w:rPr>
            </w:pPr>
            <w:r>
              <w:rPr>
                <w:rFonts w:ascii="Arial" w:cs="Arial" w:eastAsia="Arial" w:hAnsi="Arial"/>
                <w:sz w:val="13"/>
                <w:szCs w:val="13"/>
                <w:color w:val="auto"/>
              </w:rPr>
              <w:t>Robert J. Olson (63) 4</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Former President, Chief Executive Officer,</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and Chairman of the Board</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20"/>
                <w:szCs w:val="20"/>
                <w:color w:val="auto"/>
              </w:rPr>
            </w:pPr>
            <w:r>
              <w:rPr>
                <w:rFonts w:ascii="Arial" w:cs="Arial" w:eastAsia="Arial" w:hAnsi="Arial"/>
                <w:sz w:val="13"/>
                <w:szCs w:val="13"/>
                <w:color w:val="auto"/>
              </w:rPr>
              <w:t>Winnebago Industries, Inc.</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140" w:type="dxa"/>
            <w:vAlign w:val="bottom"/>
          </w:tcPr>
          <w:p>
            <w:pPr>
              <w:spacing w:after="0"/>
              <w:rPr>
                <w:sz w:val="20"/>
                <w:szCs w:val="20"/>
                <w:color w:val="auto"/>
              </w:rPr>
            </w:pPr>
            <w:r>
              <w:rPr>
                <w:rFonts w:ascii="Arial" w:cs="Arial" w:eastAsia="Arial" w:hAnsi="Arial"/>
                <w:sz w:val="13"/>
                <w:szCs w:val="13"/>
                <w:color w:val="auto"/>
              </w:rPr>
              <w:t>Martha T. Rodamaker (52) 1,3</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President and Chief Executive Officer</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20"/>
                <w:szCs w:val="20"/>
                <w:color w:val="auto"/>
              </w:rPr>
            </w:pPr>
            <w:r>
              <w:rPr>
                <w:rFonts w:ascii="Arial" w:cs="Arial" w:eastAsia="Arial" w:hAnsi="Arial"/>
                <w:sz w:val="13"/>
                <w:szCs w:val="13"/>
                <w:color w:val="auto"/>
              </w:rPr>
              <w:t>First Citizens National Bank</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3140" w:type="dxa"/>
            <w:vAlign w:val="bottom"/>
          </w:tcPr>
          <w:p>
            <w:pPr>
              <w:spacing w:after="0"/>
              <w:rPr>
                <w:sz w:val="20"/>
                <w:szCs w:val="20"/>
                <w:color w:val="auto"/>
              </w:rPr>
            </w:pPr>
            <w:r>
              <w:rPr>
                <w:rFonts w:ascii="Arial" w:cs="Arial" w:eastAsia="Arial" w:hAnsi="Arial"/>
                <w:sz w:val="13"/>
                <w:szCs w:val="13"/>
                <w:color w:val="auto"/>
              </w:rPr>
              <w:t>Mark T. Schroepfer (67) 1*,4</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Former President and Chief Executive Officer</w:t>
            </w: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20"/>
                <w:szCs w:val="20"/>
                <w:color w:val="auto"/>
              </w:rPr>
            </w:pPr>
            <w:r>
              <w:rPr>
                <w:rFonts w:ascii="Arial" w:cs="Arial" w:eastAsia="Arial" w:hAnsi="Arial"/>
                <w:sz w:val="13"/>
                <w:szCs w:val="13"/>
                <w:color w:val="auto"/>
              </w:rPr>
              <w:t>Lincoln Industrial Corp</w:t>
            </w: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140" w:type="dxa"/>
            <w:vAlign w:val="bottom"/>
          </w:tcPr>
          <w:p>
            <w:pPr>
              <w:spacing w:after="0"/>
              <w:rPr>
                <w:sz w:val="20"/>
                <w:szCs w:val="20"/>
                <w:color w:val="auto"/>
              </w:rPr>
            </w:pPr>
            <w:r>
              <w:rPr>
                <w:rFonts w:ascii="Arial" w:cs="Arial" w:eastAsia="Arial" w:hAnsi="Arial"/>
                <w:sz w:val="13"/>
                <w:szCs w:val="13"/>
                <w:color w:val="auto"/>
              </w:rPr>
              <w:t>Board Committee/Members</w:t>
            </w:r>
          </w:p>
        </w:tc>
        <w:tc>
          <w:tcPr>
            <w:tcW w:w="4020" w:type="dxa"/>
            <w:vAlign w:val="bottom"/>
            <w:gridSpan w:val="5"/>
            <w:vMerge w:val="restart"/>
          </w:tcPr>
          <w:p>
            <w:pPr>
              <w:ind w:left="600"/>
              <w:spacing w:after="0"/>
              <w:rPr>
                <w:sz w:val="20"/>
                <w:szCs w:val="20"/>
                <w:color w:val="auto"/>
              </w:rPr>
            </w:pPr>
            <w:r>
              <w:rPr>
                <w:rFonts w:ascii="Arial" w:cs="Arial" w:eastAsia="Arial" w:hAnsi="Arial"/>
                <w:sz w:val="13"/>
                <w:szCs w:val="13"/>
                <w:color w:val="auto"/>
              </w:rPr>
              <w:t>All news releases issued by us, reports filed by us with the</w:t>
            </w:r>
          </w:p>
        </w:tc>
        <w:tc>
          <w:tcPr>
            <w:tcW w:w="0" w:type="dxa"/>
            <w:vAlign w:val="bottom"/>
          </w:tcPr>
          <w:p>
            <w:pPr>
              <w:spacing w:after="0"/>
              <w:rPr>
                <w:sz w:val="1"/>
                <w:szCs w:val="1"/>
                <w:color w:val="auto"/>
              </w:rPr>
            </w:pPr>
          </w:p>
        </w:tc>
      </w:tr>
      <w:tr>
        <w:trPr>
          <w:trHeight w:val="122"/>
        </w:trPr>
        <w:tc>
          <w:tcPr>
            <w:tcW w:w="3140" w:type="dxa"/>
            <w:vAlign w:val="bottom"/>
          </w:tcPr>
          <w:p>
            <w:pPr>
              <w:spacing w:after="0" w:line="122" w:lineRule="exact"/>
              <w:rPr>
                <w:sz w:val="20"/>
                <w:szCs w:val="20"/>
                <w:color w:val="auto"/>
              </w:rPr>
            </w:pPr>
            <w:r>
              <w:rPr>
                <w:rFonts w:ascii="Arial" w:cs="Arial" w:eastAsia="Arial" w:hAnsi="Arial"/>
                <w:sz w:val="13"/>
                <w:szCs w:val="13"/>
                <w:color w:val="auto"/>
              </w:rPr>
              <w:t>1. Audit</w:t>
            </w:r>
          </w:p>
        </w:tc>
        <w:tc>
          <w:tcPr>
            <w:tcW w:w="40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2. Human Resources</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Securities and Exchange Commission (including exhibits)</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3. Nominating and Governance</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rPr>
              <w:t>and information on our Corporate Governance Policies and</w:t>
            </w:r>
          </w:p>
        </w:tc>
        <w:tc>
          <w:tcPr>
            <w:tcW w:w="0" w:type="dxa"/>
            <w:vAlign w:val="bottom"/>
          </w:tcPr>
          <w:p>
            <w:pPr>
              <w:spacing w:after="0"/>
              <w:rPr>
                <w:sz w:val="1"/>
                <w:szCs w:val="1"/>
                <w:color w:val="auto"/>
              </w:rPr>
            </w:pPr>
          </w:p>
        </w:tc>
      </w:tr>
      <w:tr>
        <w:trPr>
          <w:trHeight w:val="135"/>
        </w:trPr>
        <w:tc>
          <w:tcPr>
            <w:tcW w:w="3140" w:type="dxa"/>
            <w:vAlign w:val="bottom"/>
          </w:tcPr>
          <w:p>
            <w:pPr>
              <w:spacing w:after="0" w:line="135" w:lineRule="exact"/>
              <w:rPr>
                <w:sz w:val="20"/>
                <w:szCs w:val="20"/>
                <w:color w:val="auto"/>
              </w:rPr>
            </w:pPr>
            <w:r>
              <w:rPr>
                <w:rFonts w:ascii="Arial" w:cs="Arial" w:eastAsia="Arial" w:hAnsi="Arial"/>
                <w:sz w:val="13"/>
                <w:szCs w:val="13"/>
                <w:color w:val="auto"/>
              </w:rPr>
              <w:t>4. Business Development Advisory</w:t>
            </w:r>
          </w:p>
        </w:tc>
        <w:tc>
          <w:tcPr>
            <w:tcW w:w="4020" w:type="dxa"/>
            <w:vAlign w:val="bottom"/>
            <w:gridSpan w:val="5"/>
          </w:tcPr>
          <w:p>
            <w:pPr>
              <w:ind w:left="600"/>
              <w:spacing w:after="0" w:line="135" w:lineRule="exact"/>
              <w:rPr>
                <w:sz w:val="20"/>
                <w:szCs w:val="20"/>
                <w:color w:val="auto"/>
              </w:rPr>
            </w:pPr>
            <w:r>
              <w:rPr>
                <w:rFonts w:ascii="Arial" w:cs="Arial" w:eastAsia="Arial" w:hAnsi="Arial"/>
                <w:sz w:val="13"/>
                <w:szCs w:val="13"/>
                <w:color w:val="auto"/>
                <w:w w:val="96"/>
              </w:rPr>
              <w:t>Procedures may also be viewed at the Winnebago Industries'</w:t>
            </w:r>
          </w:p>
        </w:tc>
        <w:tc>
          <w:tcPr>
            <w:tcW w:w="0" w:type="dxa"/>
            <w:vAlign w:val="bottom"/>
          </w:tcPr>
          <w:p>
            <w:pPr>
              <w:spacing w:after="0"/>
              <w:rPr>
                <w:sz w:val="1"/>
                <w:szCs w:val="1"/>
                <w:color w:val="auto"/>
              </w:rPr>
            </w:pPr>
          </w:p>
        </w:tc>
      </w:tr>
      <w:tr>
        <w:trPr>
          <w:trHeight w:val="128"/>
        </w:trPr>
        <w:tc>
          <w:tcPr>
            <w:tcW w:w="3140" w:type="dxa"/>
            <w:vAlign w:val="bottom"/>
          </w:tcPr>
          <w:p>
            <w:pPr>
              <w:spacing w:after="0" w:line="108" w:lineRule="exact"/>
              <w:rPr>
                <w:sz w:val="20"/>
                <w:szCs w:val="20"/>
                <w:color w:val="auto"/>
              </w:rPr>
            </w:pPr>
            <w:r>
              <w:rPr>
                <w:rFonts w:ascii="Arial" w:cs="Arial" w:eastAsia="Arial" w:hAnsi="Arial"/>
                <w:sz w:val="12"/>
                <w:szCs w:val="12"/>
                <w:color w:val="auto"/>
              </w:rPr>
              <w:t>* Committee Chairman</w:t>
            </w:r>
          </w:p>
        </w:tc>
        <w:tc>
          <w:tcPr>
            <w:tcW w:w="4020" w:type="dxa"/>
            <w:vAlign w:val="bottom"/>
            <w:gridSpan w:val="5"/>
          </w:tcPr>
          <w:p>
            <w:pPr>
              <w:ind w:left="600"/>
              <w:spacing w:after="0" w:line="108" w:lineRule="exact"/>
              <w:rPr>
                <w:sz w:val="20"/>
                <w:szCs w:val="20"/>
                <w:color w:val="auto"/>
              </w:rPr>
            </w:pPr>
            <w:r>
              <w:rPr>
                <w:rFonts w:ascii="Arial" w:cs="Arial" w:eastAsia="Arial" w:hAnsi="Arial"/>
                <w:sz w:val="12"/>
                <w:szCs w:val="12"/>
                <w:color w:val="auto"/>
              </w:rPr>
              <w:t>website: http://wgo.net/investor.html. Information contained</w:t>
            </w:r>
          </w:p>
        </w:tc>
        <w:tc>
          <w:tcPr>
            <w:tcW w:w="0" w:type="dxa"/>
            <w:vAlign w:val="bottom"/>
          </w:tcPr>
          <w:p>
            <w:pPr>
              <w:spacing w:after="0"/>
              <w:rPr>
                <w:sz w:val="1"/>
                <w:szCs w:val="1"/>
                <w:color w:val="auto"/>
              </w:rPr>
            </w:pPr>
          </w:p>
        </w:tc>
      </w:tr>
      <w:tr>
        <w:trPr>
          <w:trHeight w:val="20"/>
        </w:trPr>
        <w:tc>
          <w:tcPr>
            <w:tcW w:w="3140" w:type="dxa"/>
            <w:vAlign w:val="bottom"/>
            <w:vMerge w:val="restart"/>
          </w:tcPr>
          <w:p>
            <w:pPr>
              <w:spacing w:after="0" w:line="143" w:lineRule="exact"/>
              <w:rPr>
                <w:sz w:val="20"/>
                <w:szCs w:val="20"/>
                <w:color w:val="auto"/>
              </w:rPr>
            </w:pPr>
            <w:r>
              <w:rPr>
                <w:rFonts w:ascii="Arial" w:cs="Arial" w:eastAsia="Arial" w:hAnsi="Arial"/>
                <w:sz w:val="13"/>
                <w:szCs w:val="13"/>
                <w:color w:val="auto"/>
              </w:rPr>
              <w:t>** Lead Independent Director</w:t>
            </w:r>
          </w:p>
        </w:tc>
        <w:tc>
          <w:tcPr>
            <w:tcW w:w="1080" w:type="dxa"/>
            <w:vAlign w:val="bottom"/>
            <w:gridSpan w:val="2"/>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400" w:type="dxa"/>
            <w:vAlign w:val="bottom"/>
            <w:vMerge w:val="restart"/>
          </w:tcPr>
          <w:p>
            <w:pPr>
              <w:ind w:left="20"/>
              <w:spacing w:after="0" w:line="143" w:lineRule="exact"/>
              <w:rPr>
                <w:sz w:val="20"/>
                <w:szCs w:val="20"/>
                <w:color w:val="auto"/>
              </w:rPr>
            </w:pPr>
            <w:r>
              <w:rPr>
                <w:rFonts w:ascii="Arial" w:cs="Arial" w:eastAsia="Arial" w:hAnsi="Arial"/>
                <w:sz w:val="13"/>
                <w:szCs w:val="13"/>
                <w:color w:val="auto"/>
                <w:w w:val="95"/>
              </w:rPr>
              <w:t>not incorporated into this</w:t>
            </w:r>
          </w:p>
        </w:tc>
        <w:tc>
          <w:tcPr>
            <w:tcW w:w="0" w:type="dxa"/>
            <w:vAlign w:val="bottom"/>
          </w:tcPr>
          <w:p>
            <w:pPr>
              <w:spacing w:after="0" w:line="20" w:lineRule="exact"/>
              <w:rPr>
                <w:sz w:val="1"/>
                <w:szCs w:val="1"/>
                <w:color w:val="auto"/>
              </w:rPr>
            </w:pPr>
          </w:p>
        </w:tc>
      </w:tr>
      <w:tr>
        <w:trPr>
          <w:trHeight w:val="123"/>
        </w:trPr>
        <w:tc>
          <w:tcPr>
            <w:tcW w:w="3140" w:type="dxa"/>
            <w:vAlign w:val="bottom"/>
            <w:vMerge w:val="continue"/>
          </w:tcPr>
          <w:p>
            <w:pPr>
              <w:spacing w:after="0"/>
              <w:rPr>
                <w:sz w:val="10"/>
                <w:szCs w:val="10"/>
                <w:color w:val="auto"/>
              </w:rPr>
            </w:pPr>
          </w:p>
        </w:tc>
        <w:tc>
          <w:tcPr>
            <w:tcW w:w="2620" w:type="dxa"/>
            <w:vAlign w:val="bottom"/>
            <w:gridSpan w:val="4"/>
          </w:tcPr>
          <w:p>
            <w:pPr>
              <w:ind w:left="600"/>
              <w:spacing w:after="0" w:line="123" w:lineRule="exact"/>
              <w:rPr>
                <w:sz w:val="20"/>
                <w:szCs w:val="20"/>
                <w:color w:val="auto"/>
              </w:rPr>
            </w:pPr>
            <w:r>
              <w:rPr>
                <w:rFonts w:ascii="Arial" w:cs="Arial" w:eastAsia="Arial" w:hAnsi="Arial"/>
                <w:sz w:val="13"/>
                <w:szCs w:val="13"/>
                <w:color w:val="auto"/>
                <w:w w:val="96"/>
              </w:rPr>
              <w:t>on Winnebago Industries' website is</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140" w:type="dxa"/>
            <w:vAlign w:val="bottom"/>
          </w:tcPr>
          <w:p>
            <w:pPr>
              <w:spacing w:after="0"/>
              <w:rPr>
                <w:sz w:val="13"/>
                <w:szCs w:val="13"/>
                <w:color w:val="auto"/>
              </w:rPr>
            </w:pPr>
          </w:p>
        </w:tc>
        <w:tc>
          <w:tcPr>
            <w:tcW w:w="4020" w:type="dxa"/>
            <w:vAlign w:val="bottom"/>
            <w:gridSpan w:val="5"/>
          </w:tcPr>
          <w:p>
            <w:pPr>
              <w:ind w:left="600"/>
              <w:spacing w:after="0"/>
              <w:rPr>
                <w:sz w:val="20"/>
                <w:szCs w:val="20"/>
                <w:color w:val="auto"/>
              </w:rPr>
            </w:pPr>
            <w:r>
              <w:rPr>
                <w:rFonts w:ascii="Arial" w:cs="Arial" w:eastAsia="Arial" w:hAnsi="Arial"/>
                <w:sz w:val="13"/>
                <w:szCs w:val="13"/>
                <w:color w:val="auto"/>
              </w:rPr>
              <w:t>Annual Report or other securities filings.</w:t>
            </w:r>
          </w:p>
        </w:tc>
        <w:tc>
          <w:tcPr>
            <w:tcW w:w="0" w:type="dxa"/>
            <w:vAlign w:val="bottom"/>
          </w:tcPr>
          <w:p>
            <w:pPr>
              <w:spacing w:after="0"/>
              <w:rPr>
                <w:sz w:val="1"/>
                <w:szCs w:val="1"/>
                <w:color w:val="auto"/>
              </w:rPr>
            </w:pPr>
          </w:p>
        </w:tc>
      </w:tr>
    </w:tbl>
    <w:p>
      <w:pPr>
        <w:spacing w:after="0" w:line="143" w:lineRule="exact"/>
        <w:rPr>
          <w:sz w:val="20"/>
          <w:szCs w:val="20"/>
          <w:color w:val="auto"/>
        </w:rPr>
      </w:pPr>
    </w:p>
    <w:tbl>
      <w:tblPr>
        <w:tblLayout w:type="fixed"/>
        <w:tblInd w:w="280" w:type="dxa"/>
        <w:tblCellMar>
          <w:top w:w="0" w:type="dxa"/>
          <w:left w:w="0" w:type="dxa"/>
          <w:bottom w:w="0" w:type="dxa"/>
          <w:right w:w="0" w:type="dxa"/>
        </w:tblCellMar>
      </w:tblPr>
      <w:tr>
        <w:trPr>
          <w:trHeight w:val="151"/>
        </w:trPr>
        <w:tc>
          <w:tcPr>
            <w:tcW w:w="3740" w:type="dxa"/>
            <w:vAlign w:val="bottom"/>
          </w:tcPr>
          <w:p>
            <w:pPr>
              <w:spacing w:after="0"/>
              <w:rPr>
                <w:sz w:val="20"/>
                <w:szCs w:val="20"/>
                <w:color w:val="auto"/>
              </w:rPr>
            </w:pPr>
            <w:r>
              <w:rPr>
                <w:rFonts w:ascii="Arial" w:cs="Arial" w:eastAsia="Arial" w:hAnsi="Arial"/>
                <w:sz w:val="13"/>
                <w:szCs w:val="13"/>
                <w:b w:val="1"/>
                <w:bCs w:val="1"/>
                <w:color w:val="auto"/>
              </w:rPr>
              <w:t>OFFICERS</w:t>
            </w:r>
          </w:p>
        </w:tc>
        <w:tc>
          <w:tcPr>
            <w:tcW w:w="3440" w:type="dxa"/>
            <w:vAlign w:val="bottom"/>
            <w:gridSpan w:val="2"/>
          </w:tcPr>
          <w:p>
            <w:pPr>
              <w:spacing w:after="0"/>
              <w:rPr>
                <w:sz w:val="20"/>
                <w:szCs w:val="20"/>
                <w:color w:val="auto"/>
              </w:rPr>
            </w:pPr>
            <w:r>
              <w:rPr>
                <w:rFonts w:ascii="Arial" w:cs="Arial" w:eastAsia="Arial" w:hAnsi="Arial"/>
                <w:sz w:val="13"/>
                <w:szCs w:val="13"/>
                <w:b w:val="1"/>
                <w:bCs w:val="1"/>
                <w:color w:val="auto"/>
              </w:rPr>
              <w:t>Number of Shareholders of Record</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As of October 14, 2014, Winnebago Industries had 3,150</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Randy J. Potts (55)</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shareholders of record.</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20"/>
                <w:szCs w:val="20"/>
                <w:color w:val="auto"/>
              </w:rPr>
            </w:pPr>
            <w:r>
              <w:rPr>
                <w:rFonts w:ascii="Arial" w:cs="Arial" w:eastAsia="Arial" w:hAnsi="Arial"/>
                <w:sz w:val="13"/>
                <w:szCs w:val="13"/>
                <w:color w:val="auto"/>
              </w:rPr>
              <w:t>Chief Executive Officer and President</w:t>
            </w:r>
          </w:p>
        </w:tc>
        <w:tc>
          <w:tcPr>
            <w:tcW w:w="3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Dividends Paid</w:t>
            </w: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3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S. Scott Degnan (49)</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No dividends were paid in Fiscal 2014. Cash dividend</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Vice President, Sales and Product Management</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w w:val="96"/>
              </w:rPr>
              <w:t>payments were suspended starting with the second quarter of</w:t>
            </w:r>
          </w:p>
        </w:tc>
        <w:tc>
          <w:tcPr>
            <w:tcW w:w="0" w:type="dxa"/>
            <w:vAlign w:val="bottom"/>
          </w:tcPr>
          <w:p>
            <w:pPr>
              <w:spacing w:after="0"/>
              <w:rPr>
                <w:sz w:val="1"/>
                <w:szCs w:val="1"/>
                <w:color w:val="auto"/>
              </w:rPr>
            </w:pPr>
          </w:p>
        </w:tc>
      </w:tr>
      <w:tr>
        <w:trPr>
          <w:trHeight w:val="152"/>
        </w:trPr>
        <w:tc>
          <w:tcPr>
            <w:tcW w:w="3740" w:type="dxa"/>
            <w:vAlign w:val="bottom"/>
            <w:vMerge w:val="restart"/>
          </w:tcPr>
          <w:p>
            <w:pPr>
              <w:spacing w:after="0"/>
              <w:rPr>
                <w:sz w:val="20"/>
                <w:szCs w:val="20"/>
                <w:color w:val="auto"/>
              </w:rPr>
            </w:pPr>
            <w:r>
              <w:rPr>
                <w:rFonts w:ascii="Arial" w:cs="Arial" w:eastAsia="Arial" w:hAnsi="Arial"/>
                <w:sz w:val="13"/>
                <w:szCs w:val="13"/>
                <w:color w:val="auto"/>
              </w:rPr>
              <w:t>Scott C. Folkers (52)</w:t>
            </w:r>
          </w:p>
        </w:tc>
        <w:tc>
          <w:tcPr>
            <w:tcW w:w="3440" w:type="dxa"/>
            <w:vAlign w:val="bottom"/>
            <w:gridSpan w:val="2"/>
          </w:tcPr>
          <w:p>
            <w:pPr>
              <w:spacing w:after="0"/>
              <w:rPr>
                <w:sz w:val="20"/>
                <w:szCs w:val="20"/>
                <w:color w:val="auto"/>
              </w:rPr>
            </w:pPr>
            <w:r>
              <w:rPr>
                <w:rFonts w:ascii="Arial" w:cs="Arial" w:eastAsia="Arial" w:hAnsi="Arial"/>
                <w:sz w:val="13"/>
                <w:szCs w:val="13"/>
                <w:color w:val="auto"/>
              </w:rPr>
              <w:t>Fiscal 2009.</w:t>
            </w:r>
          </w:p>
        </w:tc>
        <w:tc>
          <w:tcPr>
            <w:tcW w:w="0" w:type="dxa"/>
            <w:vAlign w:val="bottom"/>
          </w:tcPr>
          <w:p>
            <w:pPr>
              <w:spacing w:after="0"/>
              <w:rPr>
                <w:sz w:val="1"/>
                <w:szCs w:val="1"/>
                <w:color w:val="auto"/>
              </w:rPr>
            </w:pPr>
          </w:p>
        </w:tc>
      </w:tr>
      <w:tr>
        <w:trPr>
          <w:trHeight w:val="118"/>
        </w:trPr>
        <w:tc>
          <w:tcPr>
            <w:tcW w:w="3740" w:type="dxa"/>
            <w:vAlign w:val="bottom"/>
            <w:vMerge w:val="continue"/>
          </w:tcPr>
          <w:p>
            <w:pPr>
              <w:spacing w:after="0"/>
              <w:rPr>
                <w:sz w:val="10"/>
                <w:szCs w:val="10"/>
                <w:color w:val="auto"/>
              </w:rPr>
            </w:pPr>
          </w:p>
        </w:tc>
        <w:tc>
          <w:tcPr>
            <w:tcW w:w="3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Shareholder Account Assistance</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Vice President, General Counsel and Secretary</w:t>
            </w:r>
          </w:p>
        </w:tc>
        <w:tc>
          <w:tcPr>
            <w:tcW w:w="34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Transfer Agent to contact for address changes, account</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Robert L. Gossett (63)</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certificates and stock holdings:</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20"/>
                <w:szCs w:val="20"/>
                <w:color w:val="auto"/>
              </w:rPr>
            </w:pPr>
            <w:r>
              <w:rPr>
                <w:rFonts w:ascii="Arial" w:cs="Arial" w:eastAsia="Arial" w:hAnsi="Arial"/>
                <w:sz w:val="13"/>
                <w:szCs w:val="13"/>
                <w:color w:val="auto"/>
              </w:rPr>
              <w:t>Vice President, Administration</w:t>
            </w:r>
          </w:p>
        </w:tc>
        <w:tc>
          <w:tcPr>
            <w:tcW w:w="3440" w:type="dxa"/>
            <w:vAlign w:val="bottom"/>
            <w:gridSpan w:val="2"/>
            <w:vMerge w:val="restart"/>
          </w:tcPr>
          <w:p>
            <w:pPr>
              <w:spacing w:after="0"/>
              <w:rPr>
                <w:sz w:val="20"/>
                <w:szCs w:val="20"/>
                <w:color w:val="auto"/>
              </w:rPr>
            </w:pPr>
            <w:r>
              <w:rPr>
                <w:rFonts w:ascii="Arial" w:cs="Arial" w:eastAsia="Arial" w:hAnsi="Arial"/>
                <w:sz w:val="13"/>
                <w:szCs w:val="13"/>
                <w:color w:val="auto"/>
              </w:rPr>
              <w:t>Wells Fargo Shareowner Services</w:t>
            </w: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34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Donald L. Heidemann (42)</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P.O. Box 64854</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Treasurer/Director of Finance</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St. Paul, MN 55164-0854 or</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1110 Centre Pointe Curve, Suite 101</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Daryl W. Krieger (51)</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Mendota Heights, MN 55120</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Vice President, Manufacturing</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Telephone: (800) 468-9716 or (651) 450-4064</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Inquiries:</w:t>
            </w:r>
          </w:p>
        </w:tc>
        <w:tc>
          <w:tcPr>
            <w:tcW w:w="0" w:type="dxa"/>
            <w:vAlign w:val="bottom"/>
          </w:tcPr>
          <w:p>
            <w:pPr>
              <w:spacing w:after="0"/>
              <w:rPr>
                <w:sz w:val="1"/>
                <w:szCs w:val="1"/>
                <w:color w:val="auto"/>
              </w:rPr>
            </w:pPr>
          </w:p>
        </w:tc>
      </w:tr>
      <w:tr>
        <w:trPr>
          <w:trHeight w:val="128"/>
        </w:trPr>
        <w:tc>
          <w:tcPr>
            <w:tcW w:w="3740" w:type="dxa"/>
            <w:vAlign w:val="bottom"/>
          </w:tcPr>
          <w:p>
            <w:pPr>
              <w:spacing w:after="0" w:line="128" w:lineRule="exact"/>
              <w:rPr>
                <w:sz w:val="20"/>
                <w:szCs w:val="20"/>
                <w:color w:val="auto"/>
              </w:rPr>
            </w:pPr>
            <w:r>
              <w:rPr>
                <w:rFonts w:ascii="Arial" w:cs="Arial" w:eastAsia="Arial" w:hAnsi="Arial"/>
                <w:sz w:val="13"/>
                <w:szCs w:val="13"/>
                <w:color w:val="auto"/>
              </w:rPr>
              <w:t>Sarah N. Nielsen (41)</w:t>
            </w:r>
          </w:p>
        </w:tc>
        <w:tc>
          <w:tcPr>
            <w:tcW w:w="3440" w:type="dxa"/>
            <w:vAlign w:val="bottom"/>
            <w:gridSpan w:val="2"/>
          </w:tcPr>
          <w:p>
            <w:pPr>
              <w:spacing w:after="0" w:line="128" w:lineRule="exact"/>
              <w:rPr>
                <w:sz w:val="20"/>
                <w:szCs w:val="20"/>
                <w:color w:val="auto"/>
              </w:rPr>
            </w:pPr>
            <w:r>
              <w:rPr>
                <w:rFonts w:ascii="Arial" w:cs="Arial" w:eastAsia="Arial" w:hAnsi="Arial"/>
                <w:sz w:val="13"/>
                <w:szCs w:val="13"/>
                <w:color w:val="auto"/>
              </w:rPr>
              <w:t>www.shareowneronline.com</w:t>
            </w:r>
          </w:p>
        </w:tc>
        <w:tc>
          <w:tcPr>
            <w:tcW w:w="0" w:type="dxa"/>
            <w:vAlign w:val="bottom"/>
          </w:tcPr>
          <w:p>
            <w:pPr>
              <w:spacing w:after="0"/>
              <w:rPr>
                <w:sz w:val="1"/>
                <w:szCs w:val="1"/>
                <w:color w:val="auto"/>
              </w:rPr>
            </w:pPr>
          </w:p>
        </w:tc>
      </w:tr>
      <w:tr>
        <w:trPr>
          <w:trHeight w:val="140"/>
        </w:trPr>
        <w:tc>
          <w:tcPr>
            <w:tcW w:w="3740" w:type="dxa"/>
            <w:vAlign w:val="bottom"/>
          </w:tcPr>
          <w:p>
            <w:pPr>
              <w:spacing w:after="0" w:line="140" w:lineRule="exact"/>
              <w:rPr>
                <w:sz w:val="20"/>
                <w:szCs w:val="20"/>
                <w:color w:val="auto"/>
              </w:rPr>
            </w:pPr>
            <w:r>
              <w:rPr>
                <w:rFonts w:ascii="Arial" w:cs="Arial" w:eastAsia="Arial" w:hAnsi="Arial"/>
                <w:sz w:val="13"/>
                <w:szCs w:val="13"/>
                <w:color w:val="auto"/>
              </w:rPr>
              <w:t>Vice President, Chief Financial Officer</w:t>
            </w:r>
          </w:p>
        </w:tc>
        <w:tc>
          <w:tcPr>
            <w:tcW w:w="1560" w:type="dxa"/>
            <w:vAlign w:val="bottom"/>
            <w:tcBorders>
              <w:top w:val="single" w:sz="8" w:color="auto"/>
            </w:tcBorders>
            <w:vMerge w:val="restart"/>
          </w:tcPr>
          <w:p>
            <w:pPr>
              <w:spacing w:after="0"/>
              <w:rPr>
                <w:sz w:val="20"/>
                <w:szCs w:val="20"/>
                <w:color w:val="auto"/>
              </w:rPr>
            </w:pPr>
            <w:r>
              <w:rPr>
                <w:rFonts w:ascii="Arial" w:cs="Arial" w:eastAsia="Arial" w:hAnsi="Arial"/>
                <w:sz w:val="13"/>
                <w:szCs w:val="13"/>
                <w:b w:val="1"/>
                <w:bCs w:val="1"/>
                <w:color w:val="auto"/>
              </w:rPr>
              <w:t>Annual Meeting</w:t>
            </w:r>
          </w:p>
        </w:tc>
        <w:tc>
          <w:tcPr>
            <w:tcW w:w="188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William J. O'Leary (65)</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w w:val="98"/>
              </w:rPr>
              <w:t>The Annual Meeting of Shareholders is scheduled to be held</w:t>
            </w:r>
          </w:p>
        </w:tc>
        <w:tc>
          <w:tcPr>
            <w:tcW w:w="0" w:type="dxa"/>
            <w:vAlign w:val="bottom"/>
          </w:tcPr>
          <w:p>
            <w:pPr>
              <w:spacing w:after="0"/>
              <w:rPr>
                <w:sz w:val="1"/>
                <w:szCs w:val="1"/>
                <w:color w:val="auto"/>
              </w:rPr>
            </w:pPr>
          </w:p>
        </w:tc>
      </w:tr>
      <w:tr>
        <w:trPr>
          <w:trHeight w:val="135"/>
        </w:trPr>
        <w:tc>
          <w:tcPr>
            <w:tcW w:w="3740" w:type="dxa"/>
            <w:vAlign w:val="bottom"/>
          </w:tcPr>
          <w:p>
            <w:pPr>
              <w:spacing w:after="0" w:line="135" w:lineRule="exact"/>
              <w:rPr>
                <w:sz w:val="20"/>
                <w:szCs w:val="20"/>
                <w:color w:val="auto"/>
              </w:rPr>
            </w:pPr>
            <w:r>
              <w:rPr>
                <w:rFonts w:ascii="Arial" w:cs="Arial" w:eastAsia="Arial" w:hAnsi="Arial"/>
                <w:sz w:val="13"/>
                <w:szCs w:val="13"/>
                <w:color w:val="auto"/>
              </w:rPr>
              <w:t>Vice President, Product Development</w:t>
            </w: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on Tuesday, December 16, 2014 at 4:00 p.m. (CST) in</w:t>
            </w:r>
          </w:p>
        </w:tc>
        <w:tc>
          <w:tcPr>
            <w:tcW w:w="0" w:type="dxa"/>
            <w:vAlign w:val="bottom"/>
          </w:tcPr>
          <w:p>
            <w:pPr>
              <w:spacing w:after="0"/>
              <w:rPr>
                <w:sz w:val="1"/>
                <w:szCs w:val="1"/>
                <w:color w:val="auto"/>
              </w:rPr>
            </w:pPr>
          </w:p>
        </w:tc>
      </w:tr>
      <w:tr>
        <w:trPr>
          <w:trHeight w:val="135"/>
        </w:trPr>
        <w:tc>
          <w:tcPr>
            <w:tcW w:w="374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w w:val="96"/>
              </w:rPr>
              <w:t>Winnebago Industries' South Office Complex Theater, 605 W.</w:t>
            </w:r>
          </w:p>
        </w:tc>
        <w:tc>
          <w:tcPr>
            <w:tcW w:w="0" w:type="dxa"/>
            <w:vAlign w:val="bottom"/>
          </w:tcPr>
          <w:p>
            <w:pPr>
              <w:spacing w:after="0"/>
              <w:rPr>
                <w:sz w:val="1"/>
                <w:szCs w:val="1"/>
                <w:color w:val="auto"/>
              </w:rPr>
            </w:pPr>
          </w:p>
        </w:tc>
      </w:tr>
      <w:tr>
        <w:trPr>
          <w:trHeight w:val="152"/>
        </w:trPr>
        <w:tc>
          <w:tcPr>
            <w:tcW w:w="3740" w:type="dxa"/>
            <w:vAlign w:val="bottom"/>
          </w:tcPr>
          <w:p>
            <w:pPr>
              <w:spacing w:after="0"/>
              <w:rPr>
                <w:sz w:val="13"/>
                <w:szCs w:val="13"/>
                <w:color w:val="auto"/>
              </w:rPr>
            </w:pPr>
          </w:p>
        </w:tc>
        <w:tc>
          <w:tcPr>
            <w:tcW w:w="3440" w:type="dxa"/>
            <w:vAlign w:val="bottom"/>
            <w:gridSpan w:val="2"/>
          </w:tcPr>
          <w:p>
            <w:pPr>
              <w:spacing w:after="0"/>
              <w:rPr>
                <w:sz w:val="20"/>
                <w:szCs w:val="20"/>
                <w:color w:val="auto"/>
              </w:rPr>
            </w:pPr>
            <w:r>
              <w:rPr>
                <w:rFonts w:ascii="Arial" w:cs="Arial" w:eastAsia="Arial" w:hAnsi="Arial"/>
                <w:sz w:val="13"/>
                <w:szCs w:val="13"/>
                <w:color w:val="auto"/>
              </w:rPr>
              <w:t>Crystal Lake Road, Forest City, Iowa.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Independent Auditors</w:t>
      </w:r>
    </w:p>
    <w:p>
      <w:pPr>
        <w:spacing w:after="0" w:line="219" w:lineRule="auto"/>
        <w:rPr>
          <w:sz w:val="20"/>
          <w:szCs w:val="20"/>
          <w:color w:val="auto"/>
        </w:rPr>
      </w:pPr>
      <w:r>
        <w:rPr>
          <w:rFonts w:ascii="Arial" w:cs="Arial" w:eastAsia="Arial" w:hAnsi="Arial"/>
          <w:sz w:val="13"/>
          <w:szCs w:val="13"/>
          <w:color w:val="auto"/>
        </w:rPr>
        <w:t>Deloitte &amp; Touche LLP</w:t>
      </w:r>
    </w:p>
    <w:p>
      <w:pPr>
        <w:spacing w:after="0" w:line="217" w:lineRule="auto"/>
        <w:rPr>
          <w:sz w:val="20"/>
          <w:szCs w:val="20"/>
          <w:color w:val="auto"/>
        </w:rPr>
      </w:pPr>
      <w:r>
        <w:rPr>
          <w:rFonts w:ascii="Arial" w:cs="Arial" w:eastAsia="Arial" w:hAnsi="Arial"/>
          <w:sz w:val="13"/>
          <w:szCs w:val="13"/>
          <w:color w:val="auto"/>
        </w:rPr>
        <w:t>Suite 2800</w:t>
      </w:r>
    </w:p>
    <w:p>
      <w:pPr>
        <w:spacing w:after="0" w:line="216" w:lineRule="auto"/>
        <w:rPr>
          <w:sz w:val="20"/>
          <w:szCs w:val="20"/>
          <w:color w:val="auto"/>
        </w:rPr>
      </w:pPr>
      <w:r>
        <w:rPr>
          <w:rFonts w:ascii="Arial" w:cs="Arial" w:eastAsia="Arial" w:hAnsi="Arial"/>
          <w:sz w:val="13"/>
          <w:szCs w:val="13"/>
          <w:color w:val="auto"/>
        </w:rPr>
        <w:t>50 South Sixth Street</w:t>
      </w:r>
    </w:p>
    <w:p>
      <w:pPr>
        <w:spacing w:after="0" w:line="1" w:lineRule="exact"/>
        <w:rPr>
          <w:sz w:val="20"/>
          <w:szCs w:val="20"/>
          <w:color w:val="auto"/>
        </w:rPr>
      </w:pPr>
    </w:p>
    <w:p>
      <w:pPr>
        <w:ind w:right="1400"/>
        <w:spacing w:after="0" w:line="230" w:lineRule="auto"/>
        <w:rPr>
          <w:sz w:val="20"/>
          <w:szCs w:val="20"/>
          <w:color w:val="auto"/>
        </w:rPr>
      </w:pPr>
      <w:r>
        <w:rPr>
          <w:rFonts w:ascii="Arial" w:cs="Arial" w:eastAsia="Arial" w:hAnsi="Arial"/>
          <w:sz w:val="13"/>
          <w:szCs w:val="13"/>
          <w:color w:val="auto"/>
        </w:rPr>
        <w:t>Minneapolis, Minnesota 55402-1844 (612) 397-4000</w:t>
      </w:r>
    </w:p>
    <w:p>
      <w:pPr>
        <w:spacing w:after="0" w:line="103" w:lineRule="exact"/>
        <w:rPr>
          <w:sz w:val="20"/>
          <w:szCs w:val="20"/>
          <w:color w:val="auto"/>
        </w:rPr>
      </w:pPr>
    </w:p>
    <w:p>
      <w:pPr>
        <w:ind w:right="640"/>
        <w:spacing w:after="0" w:line="229" w:lineRule="auto"/>
        <w:rPr>
          <w:sz w:val="20"/>
          <w:szCs w:val="20"/>
          <w:color w:val="auto"/>
        </w:rPr>
      </w:pPr>
      <w:r>
        <w:rPr>
          <w:rFonts w:ascii="Arial" w:cs="Arial" w:eastAsia="Arial" w:hAnsi="Arial"/>
          <w:sz w:val="13"/>
          <w:szCs w:val="13"/>
          <w:b w:val="1"/>
          <w:bCs w:val="1"/>
          <w:color w:val="auto"/>
        </w:rPr>
        <w:t>NYSE Annual CEO Certification and Sarbanes-Oxley Section 302 Certifications</w:t>
      </w:r>
    </w:p>
    <w:p>
      <w:pPr>
        <w:spacing w:after="0" w:line="1" w:lineRule="exact"/>
        <w:rPr>
          <w:sz w:val="20"/>
          <w:szCs w:val="20"/>
          <w:color w:val="auto"/>
        </w:rPr>
      </w:pPr>
    </w:p>
    <w:p>
      <w:pPr>
        <w:spacing w:after="0" w:line="138" w:lineRule="exact"/>
        <w:rPr>
          <w:sz w:val="20"/>
          <w:szCs w:val="20"/>
          <w:color w:val="auto"/>
        </w:rPr>
      </w:pPr>
      <w:r>
        <w:rPr>
          <w:rFonts w:ascii="Arial" w:cs="Arial" w:eastAsia="Arial" w:hAnsi="Arial"/>
          <w:sz w:val="13"/>
          <w:szCs w:val="13"/>
          <w:color w:val="auto"/>
        </w:rPr>
        <w:t>We submitted the annual Chief Executive Officer Certification to the New York Stock Exchange (NYSE) as required under the corporate governance rules of the NYSE. We also filed as exhibits to our 2013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the Chief Executive Officer and Chief Financial Officer certifications required under 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color w:val="auto"/>
        </w:rPr>
        <w:t>Winnebago Industries is an equal opportunity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1572895</wp:posOffset>
            </wp:positionV>
            <wp:extent cx="737235" cy="754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723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37" w:lineRule="auto"/>
        <w:rPr>
          <w:sz w:val="20"/>
          <w:szCs w:val="20"/>
          <w:color w:val="auto"/>
        </w:rPr>
      </w:pPr>
      <w:r>
        <w:rPr>
          <w:rFonts w:ascii="Arial" w:cs="Arial" w:eastAsia="Arial" w:hAnsi="Arial"/>
          <w:sz w:val="12"/>
          <w:szCs w:val="12"/>
          <w:color w:val="auto"/>
        </w:rPr>
        <w:t>The Letter to Shareholders contains forward-looking statements within the meaning of the Private Securities Litigation Reform Act of 1995. Investors are cautioned that forward-looking statements are inherently uncertain. A number of factors could cause actual results to differ materially from these statements. These factors are included under “Item 1A. Risk Factors” in Part 1 of the accompanying Annual Report on Form 10-K. Other risk factors that may emerge in the future as significant risks or uncertainties to Winnebago Industries will be disclosed in a future Quarterly Report on Form 10-Q or Current Report on Form 8-K.</w:t>
      </w:r>
    </w:p>
    <w:p>
      <w:pPr>
        <w:sectPr>
          <w:pgSz w:w="11900" w:h="16838" w:orient="portrait"/>
          <w:cols w:equalWidth="0" w:num="2">
            <w:col w:w="7460" w:space="380"/>
            <w:col w:w="3440"/>
          </w:cols>
          <w:pgMar w:left="240" w:top="141" w:right="37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Jurisdiction of</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w w:val="99"/>
              </w:rPr>
              <w:t>Percent of</w:t>
            </w:r>
          </w:p>
        </w:tc>
      </w:tr>
      <w:tr>
        <w:trPr>
          <w:trHeight w:val="283"/>
        </w:trPr>
        <w:tc>
          <w:tcPr>
            <w:tcW w:w="6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Corporation</w:t>
            </w:r>
          </w:p>
        </w:tc>
        <w:tc>
          <w:tcPr>
            <w:tcW w:w="12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Incorporation</w:t>
            </w:r>
          </w:p>
        </w:tc>
        <w:tc>
          <w:tcPr>
            <w:tcW w:w="12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Ownership</w:t>
            </w:r>
          </w:p>
        </w:tc>
      </w:tr>
      <w:tr>
        <w:trPr>
          <w:trHeight w:val="237"/>
        </w:trPr>
        <w:tc>
          <w:tcPr>
            <w:tcW w:w="6940" w:type="dxa"/>
            <w:vAlign w:val="bottom"/>
            <w:gridSpan w:val="2"/>
          </w:tcPr>
          <w:p>
            <w:pPr>
              <w:ind w:left="40"/>
              <w:spacing w:after="0"/>
              <w:rPr>
                <w:sz w:val="20"/>
                <w:szCs w:val="20"/>
                <w:color w:val="auto"/>
              </w:rPr>
            </w:pPr>
            <w:r>
              <w:rPr>
                <w:rFonts w:ascii="Arial" w:cs="Arial" w:eastAsia="Arial" w:hAnsi="Arial"/>
                <w:sz w:val="16"/>
                <w:szCs w:val="16"/>
                <w:color w:val="auto"/>
              </w:rPr>
              <w:t>Winnebago Industries, Inc.</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80" w:type="dxa"/>
            <w:vAlign w:val="bottom"/>
          </w:tcPr>
          <w:p>
            <w:pPr>
              <w:jc w:val="center"/>
              <w:spacing w:after="0"/>
              <w:rPr>
                <w:sz w:val="20"/>
                <w:szCs w:val="20"/>
                <w:color w:val="auto"/>
              </w:rPr>
            </w:pPr>
            <w:r>
              <w:rPr>
                <w:rFonts w:ascii="Arial" w:cs="Arial" w:eastAsia="Arial" w:hAnsi="Arial"/>
                <w:sz w:val="16"/>
                <w:szCs w:val="16"/>
                <w:color w:val="auto"/>
              </w:rPr>
              <w:t>Parent</w:t>
            </w:r>
          </w:p>
        </w:tc>
      </w:tr>
      <w:tr>
        <w:trPr>
          <w:trHeight w:val="270"/>
        </w:trPr>
        <w:tc>
          <w:tcPr>
            <w:tcW w:w="6940" w:type="dxa"/>
            <w:vAlign w:val="bottom"/>
            <w:gridSpan w:val="2"/>
          </w:tcPr>
          <w:p>
            <w:pPr>
              <w:ind w:left="40"/>
              <w:spacing w:after="0"/>
              <w:rPr>
                <w:sz w:val="20"/>
                <w:szCs w:val="20"/>
                <w:color w:val="auto"/>
              </w:rPr>
            </w:pPr>
            <w:r>
              <w:rPr>
                <w:rFonts w:ascii="Arial" w:cs="Arial" w:eastAsia="Arial" w:hAnsi="Arial"/>
                <w:sz w:val="16"/>
                <w:szCs w:val="16"/>
                <w:color w:val="auto"/>
              </w:rPr>
              <w:t>Winnebago of Indiana, LLC</w:t>
            </w:r>
          </w:p>
        </w:tc>
        <w:tc>
          <w:tcPr>
            <w:tcW w:w="2300" w:type="dxa"/>
            <w:vAlign w:val="bottom"/>
            <w:gridSpan w:val="2"/>
          </w:tcPr>
          <w:p>
            <w:pPr>
              <w:jc w:val="center"/>
              <w:ind w:right="120"/>
              <w:spacing w:after="0"/>
              <w:rPr>
                <w:sz w:val="20"/>
                <w:szCs w:val="20"/>
                <w:color w:val="auto"/>
              </w:rPr>
            </w:pPr>
            <w:r>
              <w:rPr>
                <w:rFonts w:ascii="Arial" w:cs="Arial" w:eastAsia="Arial" w:hAnsi="Arial"/>
                <w:sz w:val="16"/>
                <w:szCs w:val="16"/>
                <w:color w:val="auto"/>
              </w:rPr>
              <w:t>Iowa</w:t>
            </w:r>
          </w:p>
        </w:tc>
        <w:tc>
          <w:tcPr>
            <w:tcW w:w="2180" w:type="dxa"/>
            <w:vAlign w:val="bottom"/>
          </w:tcPr>
          <w:p>
            <w:pPr>
              <w:jc w:val="center"/>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420"/>
          </w:cols>
          <w:pgMar w:left="240" w:top="576" w:right="239" w:bottom="1440" w:gutter="0" w:footer="0" w:header="0"/>
        </w:sectPr>
      </w:pPr>
    </w:p>
    <w:bookmarkStart w:id="58" w:name="page59"/>
    <w:bookmarkEnd w:id="58"/>
    <w:p>
      <w:pPr>
        <w:jc w:val="center"/>
        <w:ind w:right="-199"/>
        <w:spacing w:after="0"/>
        <w:rPr>
          <w:sz w:val="20"/>
          <w:szCs w:val="20"/>
          <w:color w:val="auto"/>
        </w:rPr>
      </w:pPr>
      <w:r>
        <w:rPr>
          <w:rFonts w:ascii="Arial" w:cs="Arial" w:eastAsia="Arial" w:hAnsi="Arial"/>
          <w:sz w:val="18"/>
          <w:szCs w:val="18"/>
          <w:b w:val="1"/>
          <w:bCs w:val="1"/>
          <w:color w:val="auto"/>
        </w:rPr>
        <w:t>Exhibit 23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6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consent to the incorporation by reference in Registration Statements No. 333-31595, No. 333-47123, No. 333-113246, and No. 333-194854 on Form S-8 and No. 333-187720 on Form S-3 of our reports dated October 28, 2014, relating to the consolidated financial statements of Winnebago Industries, Inc. and the effectiveness of Winnebago Industries, Inc.'s internal control over financial reporting, appearing in the Annual Report on Form 10-K of Winnebago Industries, Inc. for the year ended August 30, 2014.</w:t>
      </w: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DELOITTE &amp; TOUCHE LLP</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Minneapolis, Minnesota</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October 28, 2014</w:t>
      </w:r>
    </w:p>
    <w:p>
      <w:pPr>
        <w:sectPr>
          <w:pgSz w:w="11900" w:h="16838" w:orient="portrait"/>
          <w:cols w:equalWidth="0" w:num="1">
            <w:col w:w="11220"/>
          </w:cols>
          <w:pgMar w:left="240" w:top="576" w:right="439" w:bottom="1440" w:gutter="0" w:footer="0" w:header="0"/>
        </w:sectPr>
      </w:pPr>
    </w:p>
    <w:bookmarkStart w:id="59" w:name="page60"/>
    <w:bookmarkEnd w:id="59"/>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I, Randy Potts, Chief Executive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1000" w:val="left"/>
          <w:tab w:leader="none" w:pos="6260" w:val="left"/>
          <w:tab w:leader="none" w:pos="71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29210</wp:posOffset>
            </wp:positionV>
            <wp:extent cx="27273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82"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I, Sarah N. Nielsen, Chief Financial Officer of Winnebago Industries, Inc., certify that:</w:t>
      </w:r>
    </w:p>
    <w:p>
      <w:pPr>
        <w:spacing w:after="0" w:line="8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Winnebago Industries, Inc. (the "Registrant");</w:t>
      </w:r>
    </w:p>
    <w:p>
      <w:pPr>
        <w:spacing w:after="0" w:line="315" w:lineRule="exact"/>
        <w:rPr>
          <w:rFonts w:ascii="Arial" w:cs="Arial" w:eastAsia="Arial" w:hAnsi="Arial"/>
          <w:sz w:val="16"/>
          <w:szCs w:val="16"/>
          <w:color w:val="auto"/>
        </w:rPr>
      </w:pPr>
    </w:p>
    <w:p>
      <w:pPr>
        <w:ind w:left="340" w:right="200" w:hanging="332"/>
        <w:spacing w:after="0" w:line="253"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4" w:lineRule="exact"/>
        <w:rPr>
          <w:rFonts w:ascii="Arial" w:cs="Arial" w:eastAsia="Arial" w:hAnsi="Arial"/>
          <w:sz w:val="16"/>
          <w:szCs w:val="16"/>
          <w:color w:val="auto"/>
        </w:rPr>
      </w:pPr>
    </w:p>
    <w:p>
      <w:pPr>
        <w:ind w:left="340" w:right="160" w:hanging="332"/>
        <w:spacing w:after="0" w:line="260"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8" w:lineRule="exact"/>
        <w:rPr>
          <w:rFonts w:ascii="Arial" w:cs="Arial" w:eastAsia="Arial" w:hAnsi="Arial"/>
          <w:sz w:val="16"/>
          <w:szCs w:val="16"/>
          <w:color w:val="auto"/>
        </w:rPr>
      </w:pPr>
    </w:p>
    <w:p>
      <w:pPr>
        <w:ind w:left="340" w:right="100" w:hanging="332"/>
        <w:spacing w:after="0" w:line="253"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4" w:lineRule="exact"/>
        <w:rPr>
          <w:rFonts w:ascii="Arial" w:cs="Arial" w:eastAsia="Arial" w:hAnsi="Arial"/>
          <w:sz w:val="16"/>
          <w:szCs w:val="16"/>
          <w:color w:val="auto"/>
        </w:rPr>
      </w:pPr>
    </w:p>
    <w:p>
      <w:pPr>
        <w:ind w:left="660" w:right="160" w:hanging="328"/>
        <w:spacing w:after="0" w:line="253"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Annual Report is being prepared;</w:t>
      </w:r>
    </w:p>
    <w:p>
      <w:pPr>
        <w:spacing w:after="0" w:line="174" w:lineRule="exact"/>
        <w:rPr>
          <w:rFonts w:ascii="Arial" w:cs="Arial" w:eastAsia="Arial" w:hAnsi="Arial"/>
          <w:sz w:val="16"/>
          <w:szCs w:val="16"/>
          <w:color w:val="auto"/>
        </w:rPr>
      </w:pPr>
    </w:p>
    <w:p>
      <w:pPr>
        <w:ind w:left="660" w:hanging="328"/>
        <w:spacing w:after="0" w:line="253"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6"/>
          <w:szCs w:val="16"/>
          <w:color w:val="auto"/>
        </w:rPr>
      </w:pPr>
    </w:p>
    <w:p>
      <w:pPr>
        <w:ind w:left="660" w:right="320" w:hanging="328"/>
        <w:spacing w:after="0" w:line="260"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w:t>
      </w:r>
    </w:p>
    <w:p>
      <w:pPr>
        <w:spacing w:after="0" w:line="168" w:lineRule="exact"/>
        <w:rPr>
          <w:rFonts w:ascii="Arial" w:cs="Arial" w:eastAsia="Arial" w:hAnsi="Arial"/>
          <w:sz w:val="16"/>
          <w:szCs w:val="16"/>
          <w:color w:val="auto"/>
        </w:rPr>
      </w:pPr>
    </w:p>
    <w:p>
      <w:pPr>
        <w:jc w:val="both"/>
        <w:ind w:left="660" w:right="420" w:hanging="328"/>
        <w:spacing w:after="0" w:line="253"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financial reporting;</w:t>
      </w:r>
    </w:p>
    <w:p>
      <w:pPr>
        <w:spacing w:after="0" w:line="174" w:lineRule="exact"/>
        <w:rPr>
          <w:rFonts w:ascii="Arial" w:cs="Arial" w:eastAsia="Arial" w:hAnsi="Arial"/>
          <w:sz w:val="16"/>
          <w:szCs w:val="16"/>
          <w:color w:val="auto"/>
        </w:rPr>
      </w:pPr>
    </w:p>
    <w:p>
      <w:pPr>
        <w:ind w:left="340" w:right="560" w:hanging="332"/>
        <w:spacing w:after="0" w:line="260"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8" w:lineRule="exact"/>
        <w:rPr>
          <w:rFonts w:ascii="Arial" w:cs="Arial" w:eastAsia="Arial" w:hAnsi="Arial"/>
          <w:sz w:val="16"/>
          <w:szCs w:val="16"/>
          <w:color w:val="auto"/>
        </w:rPr>
      </w:pPr>
    </w:p>
    <w:p>
      <w:pPr>
        <w:ind w:left="660" w:hanging="328"/>
        <w:spacing w:after="0" w:line="260"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6"/>
          <w:szCs w:val="16"/>
          <w:color w:val="auto"/>
        </w:rPr>
      </w:pPr>
    </w:p>
    <w:p>
      <w:pPr>
        <w:ind w:left="660" w:right="100" w:hanging="328"/>
        <w:spacing w:after="0" w:line="260" w:lineRule="auto"/>
        <w:tabs>
          <w:tab w:leader="none" w:pos="6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42" w:lineRule="exact"/>
        <w:rPr>
          <w:sz w:val="20"/>
          <w:szCs w:val="20"/>
          <w:color w:val="auto"/>
        </w:rPr>
      </w:pPr>
    </w:p>
    <w:p>
      <w:pPr>
        <w:ind w:left="40"/>
        <w:spacing w:after="0"/>
        <w:tabs>
          <w:tab w:leader="none" w:pos="820" w:val="left"/>
          <w:tab w:leader="none" w:pos="6380" w:val="left"/>
          <w:tab w:leader="none" w:pos="7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29210</wp:posOffset>
            </wp:positionV>
            <wp:extent cx="2701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2"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360"/>
          </w:cols>
          <w:pgMar w:left="240" w:top="576" w:right="29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282"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30, 2014, I, Randy Potts, Chief Executive Officer and President of Winnebago Industries, Inc., certify that pursuant to 18 U.S.C. §1350 as adopted pursuant to §906 of the Sarbanes-Oxley Act of 2002, that:</w:t>
      </w:r>
    </w:p>
    <w:p>
      <w:pPr>
        <w:spacing w:after="0" w:line="250" w:lineRule="exact"/>
        <w:rPr>
          <w:sz w:val="20"/>
          <w:szCs w:val="20"/>
          <w:color w:val="auto"/>
        </w:rPr>
      </w:pPr>
    </w:p>
    <w:p>
      <w:pPr>
        <w:ind w:left="660" w:right="80" w:hanging="328"/>
        <w:spacing w:after="0" w:line="253" w:lineRule="auto"/>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30,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00" w:val="left"/>
          <w:tab w:leader="none" w:pos="6260" w:val="left"/>
          <w:tab w:leader="none" w:pos="71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29210</wp:posOffset>
            </wp:positionV>
            <wp:extent cx="27273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82"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Randy J. Potts</w:t>
      </w:r>
    </w:p>
    <w:p>
      <w:pPr>
        <w:spacing w:after="0" w:line="86"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Chairman of the Board</w:t>
      </w:r>
    </w:p>
    <w:p>
      <w:pPr>
        <w:sectPr>
          <w:pgSz w:w="11900" w:h="16838" w:orient="portrait"/>
          <w:cols w:equalWidth="0" w:num="1">
            <w:col w:w="11360"/>
          </w:cols>
          <w:pgMar w:left="240" w:top="630" w:right="299" w:bottom="1440" w:gutter="0" w:footer="0" w:header="0"/>
        </w:sectPr>
      </w:pPr>
    </w:p>
    <w:bookmarkStart w:id="62" w:name="page63"/>
    <w:bookmarkEnd w:id="62"/>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 connection with this Annual Report on Form 10-K of Winnebago Industries, Inc. for the year ended August 30, 2014, I, Sarah N. Nielsen, Vice President, Chief Financial Officer of Winnebago Industries, Inc., certify that pursuant to 18 U.S.C. §1350 as adopted pursuant to §906 of the Sarbanes-Oxley Act of 2002, that:</w:t>
      </w:r>
    </w:p>
    <w:p>
      <w:pPr>
        <w:spacing w:after="0" w:line="361" w:lineRule="exact"/>
        <w:rPr>
          <w:sz w:val="20"/>
          <w:szCs w:val="20"/>
          <w:color w:val="auto"/>
        </w:rPr>
      </w:pPr>
    </w:p>
    <w:p>
      <w:pPr>
        <w:ind w:left="660" w:right="80" w:hanging="328"/>
        <w:spacing w:after="0" w:line="253"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This Annual Report on Form 10-K (“periodic report”) of Winnebago Industries, Inc. (the “issuer”), for the fiscal year ended August 30, 2014 as filed with the Securities and Exchange Commission on the date of this certificate, which this statement accompanies, fully complies with the requirements of Section 13(a) or 15(d) of the Securities Exchange Act of 1934, and</w:t>
      </w:r>
    </w:p>
    <w:p>
      <w:pPr>
        <w:spacing w:after="0" w:line="174" w:lineRule="exact"/>
        <w:rPr>
          <w:rFonts w:ascii="Arial" w:cs="Arial" w:eastAsia="Arial" w:hAnsi="Arial"/>
          <w:sz w:val="16"/>
          <w:szCs w:val="16"/>
          <w:color w:val="auto"/>
        </w:rPr>
      </w:pPr>
    </w:p>
    <w:p>
      <w:pPr>
        <w:ind w:left="660" w:hanging="328"/>
        <w:spacing w:after="0"/>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1000" w:val="left"/>
          <w:tab w:leader="none" w:pos="6260" w:val="left"/>
          <w:tab w:leader="none" w:pos="71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October 28, 2014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29210</wp:posOffset>
            </wp:positionV>
            <wp:extent cx="27273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82"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Sarah N. Nielsen</w:t>
      </w:r>
    </w:p>
    <w:p>
      <w:pPr>
        <w:spacing w:after="0" w:line="86" w:lineRule="exact"/>
        <w:rPr>
          <w:sz w:val="20"/>
          <w:szCs w:val="20"/>
          <w:color w:val="auto"/>
        </w:rPr>
      </w:pPr>
    </w:p>
    <w:p>
      <w:pPr>
        <w:ind w:left="716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3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
      <w:numFmt w:val="bullet"/>
      <w:start w:val="1"/>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1"/>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
      <w:numFmt w:val="bullet"/>
      <w:start w:val="1"/>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1)"/>
      <w:numFmt w:val="decimal"/>
      <w:start w:val="1"/>
    </w:lvl>
  </w:abstractNum>
  <w:abstractNum w:abstractNumId="13">
    <w:nsid w:val="3A95F874"/>
    <w:multiLevelType w:val="hybridMultilevel"/>
    <w:lvl w:ilvl="0">
      <w:lvlJc w:val="left"/>
      <w:lvlText w:val="(%1)"/>
      <w:numFmt w:val="decimal"/>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decimal"/>
      <w:start w:val="1"/>
    </w:lvl>
  </w:abstractNum>
  <w:abstractNum w:abstractNumId="16">
    <w:nsid w:val="7C3DBD3D"/>
    <w:multiLevelType w:val="hybridMultilevel"/>
    <w:lvl w:ilvl="0">
      <w:lvlJc w:val="left"/>
      <w:lvlText w:val="(%1)"/>
      <w:numFmt w:val="decimal"/>
      <w:start w:val="1"/>
    </w:lvl>
  </w:abstractNum>
  <w:abstractNum w:abstractNumId="17">
    <w:nsid w:val="737B8DDC"/>
    <w:multiLevelType w:val="hybridMultilevel"/>
    <w:lvl w:ilvl="0">
      <w:lvlJc w:val="left"/>
      <w:lvlText w:val="•"/>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1)"/>
      <w:numFmt w:val="decimal"/>
      <w:start w:val="1"/>
    </w:lvl>
  </w:abstractNum>
  <w:abstractNum w:abstractNumId="20">
    <w:nsid w:val="4516DDE9"/>
    <w:multiLevelType w:val="hybridMultilevel"/>
    <w:lvl w:ilvl="0">
      <w:lvlJc w:val="left"/>
      <w:lvlText w:val="(%1)"/>
      <w:numFmt w:val="decimal"/>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1)"/>
      <w:numFmt w:val="decimal"/>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1)"/>
      <w:numFmt w:val="decimal"/>
      <w:start w:val="1"/>
    </w:lvl>
  </w:abstractNum>
  <w:abstractNum w:abstractNumId="31">
    <w:nsid w:val="2463B9EA"/>
    <w:multiLevelType w:val="hybridMultilevel"/>
    <w:lvl w:ilvl="0">
      <w:lvlJc w:val="left"/>
      <w:lvlText w:val="(%1)"/>
      <w:numFmt w:val="decimal"/>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
      <w:numFmt w:val="bullet"/>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1."/>
      <w:numFmt w:val="decimal"/>
      <w:start w:val="3"/>
    </w:lvl>
  </w:abstractNum>
  <w:abstractNum w:abstractNumId="38">
    <w:nsid w:val="70A64E2A"/>
    <w:multiLevelType w:val="hybridMultilevel"/>
    <w:lvl w:ilvl="0">
      <w:lvlJc w:val="left"/>
      <w:lvlText w:val="%1."/>
      <w:numFmt w:val="decimal"/>
      <w:start w:val="21"/>
    </w:lvl>
  </w:abstractNum>
  <w:abstractNum w:abstractNumId="39">
    <w:nsid w:val="6A2342EC"/>
    <w:multiLevelType w:val="hybridMultilevel"/>
    <w:lvl w:ilvl="0">
      <w:lvlJc w:val="left"/>
      <w:lvlText w:val="%1."/>
      <w:numFmt w:val="decimal"/>
      <w:start w:val="23"/>
    </w:lvl>
  </w:abstractNum>
  <w:abstractNum w:abstractNumId="40">
    <w:nsid w:val="2A487CB0"/>
    <w:multiLevelType w:val="hybridMultilevel"/>
    <w:lvl w:ilvl="0">
      <w:lvlJc w:val="left"/>
      <w:lvlText w:val="(%1)"/>
      <w:numFmt w:val="lowerRoman"/>
      <w:start w:val="4"/>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2019-12-05T15:48:55Z</dcterms:created>
  <dcterms:modified xsi:type="dcterms:W3CDTF">2019-12-05T15:48:55Z</dcterms:modified>
</cp:coreProperties>
</file>