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63" w:lineRule="exact"/>
        <w:rPr>
          <w:sz w:val="24"/>
          <w:szCs w:val="24"/>
          <w:color w:val="auto"/>
        </w:rPr>
      </w:pPr>
    </w:p>
    <w:p>
      <w:pPr>
        <w:ind w:left="4920"/>
        <w:spacing w:after="0"/>
        <w:rPr>
          <w:sz w:val="20"/>
          <w:szCs w:val="20"/>
          <w:color w:val="auto"/>
        </w:rPr>
      </w:pPr>
      <w:r>
        <w:rPr>
          <w:rFonts w:ascii="Arial" w:cs="Arial" w:eastAsia="Arial" w:hAnsi="Arial"/>
          <w:sz w:val="25"/>
          <w:szCs w:val="25"/>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25400</wp:posOffset>
            </wp:positionV>
            <wp:extent cx="12261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618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-170815</wp:posOffset>
            </wp:positionV>
            <wp:extent cx="1226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22" w:lineRule="exact"/>
        <w:rPr>
          <w:sz w:val="24"/>
          <w:szCs w:val="24"/>
          <w:color w:val="auto"/>
        </w:rPr>
      </w:pPr>
    </w:p>
    <w:p>
      <w:pPr>
        <w:ind w:left="3820"/>
        <w:spacing w:after="0"/>
        <w:rPr>
          <w:sz w:val="20"/>
          <w:szCs w:val="20"/>
          <w:color w:val="auto"/>
        </w:rPr>
      </w:pPr>
      <w:r>
        <w:rPr>
          <w:rFonts w:ascii="Arial" w:cs="Arial" w:eastAsia="Arial" w:hAnsi="Arial"/>
          <w:sz w:val="25"/>
          <w:szCs w:val="25"/>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2070735</wp:posOffset>
            </wp:positionH>
            <wp:positionV relativeFrom="paragraph">
              <wp:posOffset>210820</wp:posOffset>
            </wp:positionV>
            <wp:extent cx="3000375" cy="1157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00375" cy="1157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WINNEBAGO INDUSTRIES, INC.</w:t>
      </w:r>
    </w:p>
    <w:p>
      <w:pPr>
        <w:spacing w:after="0" w:line="62"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(Exact name of registrant as specified in its charter)</w:t>
      </w:r>
    </w:p>
    <w:p>
      <w:pPr>
        <w:spacing w:after="0" w:line="174" w:lineRule="exact"/>
        <w:rPr>
          <w:sz w:val="24"/>
          <w:szCs w:val="24"/>
          <w:color w:val="auto"/>
        </w:rPr>
      </w:pPr>
    </w:p>
    <w:tbl>
      <w:tblPr>
        <w:tblLayout w:type="fixed"/>
        <w:tblInd w:w="1320" w:type="dxa"/>
        <w:tblCellMar>
          <w:top w:w="0" w:type="dxa"/>
          <w:left w:w="0" w:type="dxa"/>
          <w:bottom w:w="0" w:type="dxa"/>
          <w:right w:w="0" w:type="dxa"/>
        </w:tblCellMar>
      </w:tblPr>
      <w:tr>
        <w:trPr>
          <w:trHeight w:val="218"/>
        </w:trPr>
        <w:tc>
          <w:tcPr>
            <w:tcW w:w="31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Iowa</w:t>
            </w:r>
          </w:p>
        </w:tc>
        <w:tc>
          <w:tcPr>
            <w:tcW w:w="340" w:type="dxa"/>
            <w:vAlign w:val="bottom"/>
          </w:tcPr>
          <w:p>
            <w:pPr>
              <w:spacing w:after="0"/>
              <w:rPr>
                <w:sz w:val="18"/>
                <w:szCs w:val="18"/>
                <w:color w:val="auto"/>
              </w:rPr>
            </w:pPr>
          </w:p>
        </w:tc>
        <w:tc>
          <w:tcPr>
            <w:tcW w:w="15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001-06403</w:t>
            </w:r>
          </w:p>
        </w:tc>
        <w:tc>
          <w:tcPr>
            <w:tcW w:w="320" w:type="dxa"/>
            <w:vAlign w:val="bottom"/>
          </w:tcPr>
          <w:p>
            <w:pPr>
              <w:spacing w:after="0"/>
              <w:rPr>
                <w:sz w:val="18"/>
                <w:szCs w:val="18"/>
                <w:color w:val="auto"/>
              </w:rPr>
            </w:pPr>
          </w:p>
        </w:tc>
        <w:tc>
          <w:tcPr>
            <w:tcW w:w="3220" w:type="dxa"/>
            <w:vAlign w:val="bottom"/>
            <w:tcBorders>
              <w:bottom w:val="single" w:sz="8" w:color="auto"/>
            </w:tcBorders>
            <w:gridSpan w:val="2"/>
          </w:tcPr>
          <w:p>
            <w:pPr>
              <w:jc w:val="right"/>
              <w:ind w:right="1099"/>
              <w:spacing w:after="0"/>
              <w:rPr>
                <w:sz w:val="20"/>
                <w:szCs w:val="20"/>
                <w:color w:val="auto"/>
              </w:rPr>
            </w:pPr>
            <w:r>
              <w:rPr>
                <w:rFonts w:ascii="Arial" w:cs="Arial" w:eastAsia="Arial" w:hAnsi="Arial"/>
                <w:sz w:val="16"/>
                <w:szCs w:val="16"/>
                <w:b w:val="1"/>
                <w:bCs w:val="1"/>
                <w:color w:val="auto"/>
              </w:rPr>
              <w:t>42-0802678</w:t>
            </w:r>
          </w:p>
        </w:tc>
      </w:tr>
      <w:tr>
        <w:trPr>
          <w:trHeight w:val="201"/>
        </w:trPr>
        <w:tc>
          <w:tcPr>
            <w:tcW w:w="3160" w:type="dxa"/>
            <w:vAlign w:val="bottom"/>
            <w:gridSpan w:val="2"/>
          </w:tcPr>
          <w:p>
            <w:pPr>
              <w:jc w:val="center"/>
              <w:ind w:right="40"/>
              <w:spacing w:after="0"/>
              <w:rPr>
                <w:sz w:val="20"/>
                <w:szCs w:val="20"/>
                <w:color w:val="auto"/>
              </w:rPr>
            </w:pPr>
            <w:r>
              <w:rPr>
                <w:rFonts w:ascii="Arial" w:cs="Arial" w:eastAsia="Arial" w:hAnsi="Arial"/>
                <w:sz w:val="16"/>
                <w:szCs w:val="16"/>
                <w:color w:val="auto"/>
              </w:rPr>
              <w:t>(State or other jurisdiction</w:t>
            </w:r>
          </w:p>
        </w:tc>
        <w:tc>
          <w:tcPr>
            <w:tcW w:w="340" w:type="dxa"/>
            <w:vAlign w:val="bottom"/>
          </w:tcPr>
          <w:p>
            <w:pPr>
              <w:spacing w:after="0"/>
              <w:rPr>
                <w:sz w:val="17"/>
                <w:szCs w:val="17"/>
                <w:color w:val="auto"/>
              </w:rPr>
            </w:pPr>
          </w:p>
        </w:tc>
        <w:tc>
          <w:tcPr>
            <w:tcW w:w="1900" w:type="dxa"/>
            <w:vAlign w:val="bottom"/>
            <w:gridSpan w:val="2"/>
          </w:tcPr>
          <w:p>
            <w:pPr>
              <w:jc w:val="center"/>
              <w:ind w:right="400"/>
              <w:spacing w:after="0"/>
              <w:rPr>
                <w:sz w:val="20"/>
                <w:szCs w:val="20"/>
                <w:color w:val="auto"/>
              </w:rPr>
            </w:pPr>
            <w:r>
              <w:rPr>
                <w:rFonts w:ascii="Arial" w:cs="Arial" w:eastAsia="Arial" w:hAnsi="Arial"/>
                <w:sz w:val="16"/>
                <w:szCs w:val="16"/>
                <w:color w:val="auto"/>
              </w:rPr>
              <w:t>(Commission</w:t>
            </w:r>
          </w:p>
        </w:tc>
        <w:tc>
          <w:tcPr>
            <w:tcW w:w="3220" w:type="dxa"/>
            <w:vAlign w:val="bottom"/>
            <w:gridSpan w:val="2"/>
          </w:tcPr>
          <w:p>
            <w:pPr>
              <w:jc w:val="center"/>
              <w:spacing w:after="0"/>
              <w:rPr>
                <w:sz w:val="20"/>
                <w:szCs w:val="20"/>
                <w:color w:val="auto"/>
              </w:rPr>
            </w:pPr>
            <w:r>
              <w:rPr>
                <w:rFonts w:ascii="Arial" w:cs="Arial" w:eastAsia="Arial" w:hAnsi="Arial"/>
                <w:sz w:val="16"/>
                <w:szCs w:val="16"/>
                <w:color w:val="auto"/>
              </w:rPr>
              <w:t>(I.R.S. Employer</w:t>
            </w:r>
          </w:p>
        </w:tc>
      </w:tr>
      <w:tr>
        <w:trPr>
          <w:trHeight w:val="195"/>
        </w:trPr>
        <w:tc>
          <w:tcPr>
            <w:tcW w:w="3160" w:type="dxa"/>
            <w:vAlign w:val="bottom"/>
            <w:gridSpan w:val="2"/>
          </w:tcPr>
          <w:p>
            <w:pPr>
              <w:jc w:val="center"/>
              <w:spacing w:after="0"/>
              <w:rPr>
                <w:sz w:val="20"/>
                <w:szCs w:val="20"/>
                <w:color w:val="auto"/>
              </w:rPr>
            </w:pPr>
            <w:r>
              <w:rPr>
                <w:rFonts w:ascii="Arial" w:cs="Arial" w:eastAsia="Arial" w:hAnsi="Arial"/>
                <w:sz w:val="16"/>
                <w:szCs w:val="16"/>
                <w:color w:val="auto"/>
              </w:rPr>
              <w:t>of incorporation or organization)</w:t>
            </w:r>
          </w:p>
        </w:tc>
        <w:tc>
          <w:tcPr>
            <w:tcW w:w="340" w:type="dxa"/>
            <w:vAlign w:val="bottom"/>
          </w:tcPr>
          <w:p>
            <w:pPr>
              <w:spacing w:after="0"/>
              <w:rPr>
                <w:sz w:val="16"/>
                <w:szCs w:val="16"/>
                <w:color w:val="auto"/>
              </w:rPr>
            </w:pPr>
          </w:p>
        </w:tc>
        <w:tc>
          <w:tcPr>
            <w:tcW w:w="1900" w:type="dxa"/>
            <w:vAlign w:val="bottom"/>
            <w:gridSpan w:val="2"/>
          </w:tcPr>
          <w:p>
            <w:pPr>
              <w:ind w:left="300"/>
              <w:spacing w:after="0"/>
              <w:rPr>
                <w:sz w:val="20"/>
                <w:szCs w:val="20"/>
                <w:color w:val="auto"/>
              </w:rPr>
            </w:pPr>
            <w:r>
              <w:rPr>
                <w:rFonts w:ascii="Arial" w:cs="Arial" w:eastAsia="Arial" w:hAnsi="Arial"/>
                <w:sz w:val="16"/>
                <w:szCs w:val="16"/>
                <w:color w:val="auto"/>
              </w:rPr>
              <w:t>File Number)</w:t>
            </w:r>
          </w:p>
        </w:tc>
        <w:tc>
          <w:tcPr>
            <w:tcW w:w="3220" w:type="dxa"/>
            <w:vAlign w:val="bottom"/>
            <w:gridSpan w:val="2"/>
          </w:tcPr>
          <w:p>
            <w:pPr>
              <w:jc w:val="center"/>
              <w:spacing w:after="0"/>
              <w:rPr>
                <w:sz w:val="20"/>
                <w:szCs w:val="20"/>
                <w:color w:val="auto"/>
              </w:rPr>
            </w:pPr>
            <w:r>
              <w:rPr>
                <w:rFonts w:ascii="Arial" w:cs="Arial" w:eastAsia="Arial" w:hAnsi="Arial"/>
                <w:sz w:val="16"/>
                <w:szCs w:val="16"/>
                <w:color w:val="auto"/>
              </w:rPr>
              <w:t>Identification No.)</w:t>
            </w:r>
          </w:p>
        </w:tc>
      </w:tr>
      <w:tr>
        <w:trPr>
          <w:trHeight w:val="516"/>
        </w:trPr>
        <w:tc>
          <w:tcPr>
            <w:tcW w:w="31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P. O. Box 152, Forest City, Iowa</w:t>
            </w: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20" w:type="dxa"/>
            <w:vAlign w:val="bottom"/>
            <w:tcBorders>
              <w:bottom w:val="single" w:sz="8" w:color="auto"/>
            </w:tcBorders>
            <w:gridSpan w:val="2"/>
          </w:tcPr>
          <w:p>
            <w:pPr>
              <w:jc w:val="right"/>
              <w:ind w:right="1319"/>
              <w:spacing w:after="0"/>
              <w:rPr>
                <w:sz w:val="20"/>
                <w:szCs w:val="20"/>
                <w:color w:val="auto"/>
              </w:rPr>
            </w:pPr>
            <w:r>
              <w:rPr>
                <w:rFonts w:ascii="Arial" w:cs="Arial" w:eastAsia="Arial" w:hAnsi="Arial"/>
                <w:sz w:val="16"/>
                <w:szCs w:val="16"/>
                <w:b w:val="1"/>
                <w:bCs w:val="1"/>
                <w:color w:val="auto"/>
              </w:rPr>
              <w:t>50436</w:t>
            </w:r>
          </w:p>
        </w:tc>
      </w:tr>
      <w:tr>
        <w:trPr>
          <w:trHeight w:val="233"/>
        </w:trPr>
        <w:tc>
          <w:tcPr>
            <w:tcW w:w="3160" w:type="dxa"/>
            <w:vAlign w:val="bottom"/>
            <w:gridSpan w:val="2"/>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0" w:type="dxa"/>
            <w:vAlign w:val="bottom"/>
          </w:tcPr>
          <w:p>
            <w:pPr>
              <w:jc w:val="center"/>
              <w:ind w:right="959"/>
              <w:spacing w:after="0"/>
              <w:rPr>
                <w:sz w:val="20"/>
                <w:szCs w:val="20"/>
                <w:color w:val="auto"/>
              </w:rPr>
            </w:pPr>
            <w:r>
              <w:rPr>
                <w:rFonts w:ascii="Arial" w:cs="Arial" w:eastAsia="Arial" w:hAnsi="Arial"/>
                <w:sz w:val="16"/>
                <w:szCs w:val="16"/>
                <w:color w:val="auto"/>
              </w:rPr>
              <w:t>(Zip Code)</w:t>
            </w:r>
          </w:p>
        </w:tc>
      </w:tr>
      <w:tr>
        <w:trPr>
          <w:trHeight w:val="473"/>
        </w:trPr>
        <w:tc>
          <w:tcPr>
            <w:tcW w:w="2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Stacy L. Bogart</w:t>
            </w:r>
          </w:p>
        </w:tc>
        <w:tc>
          <w:tcPr>
            <w:tcW w:w="102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59"/>
        </w:trPr>
        <w:tc>
          <w:tcPr>
            <w:tcW w:w="216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6"/>
                <w:szCs w:val="16"/>
                <w:b w:val="1"/>
                <w:bCs w:val="1"/>
                <w:color w:val="auto"/>
              </w:rPr>
              <w:t>(952) 828-8439</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200" w:type="dxa"/>
            <w:vAlign w:val="bottom"/>
          </w:tcPr>
          <w:p>
            <w:pPr>
              <w:spacing w:after="0"/>
              <w:rPr>
                <w:sz w:val="22"/>
                <w:szCs w:val="22"/>
                <w:color w:val="auto"/>
              </w:rPr>
            </w:pPr>
          </w:p>
        </w:tc>
      </w:tr>
    </w:tbl>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(Name and telephone number, including area code, of the</w:t>
      </w:r>
    </w:p>
    <w:p>
      <w:pPr>
        <w:jc w:val="center"/>
        <w:ind w:right="-99"/>
        <w:spacing w:after="0"/>
        <w:rPr>
          <w:sz w:val="20"/>
          <w:szCs w:val="20"/>
          <w:color w:val="auto"/>
        </w:rPr>
      </w:pPr>
      <w:r>
        <w:rPr>
          <w:rFonts w:ascii="Arial" w:cs="Arial" w:eastAsia="Arial" w:hAnsi="Arial"/>
          <w:sz w:val="16"/>
          <w:szCs w:val="16"/>
          <w:color w:val="auto"/>
        </w:rPr>
        <w:t>person to contact in 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75" w:lineRule="exact"/>
        <w:rPr>
          <w:sz w:val="24"/>
          <w:szCs w:val="24"/>
          <w:color w:val="auto"/>
        </w:rPr>
      </w:pPr>
    </w:p>
    <w:p>
      <w:pPr>
        <w:spacing w:after="0"/>
        <w:rPr>
          <w:sz w:val="20"/>
          <w:szCs w:val="20"/>
          <w:color w:val="auto"/>
        </w:rPr>
      </w:pPr>
      <w:r>
        <w:rPr>
          <w:rFonts w:ascii="Arial" w:cs="Arial" w:eastAsia="Arial" w:hAnsi="Arial"/>
          <w:sz w:val="16"/>
          <w:szCs w:val="16"/>
          <w:color w:val="auto"/>
        </w:rPr>
        <w:t>x Rule 13p-1 under the Securities Exchange Act (17 CFR240.13p-1) for the reporting period from January 1 to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Section 1 - Conflict Minerals Disclosure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1.01 Conflict Minerals Disclosure and Report</w:t>
      </w:r>
    </w:p>
    <w:p>
      <w:pPr>
        <w:spacing w:after="0" w:line="26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A copy of Winnebago Industries, Inc. (“Winnebago’s”) Conflict Minerals Report for the reporting period January 1, 2020 to December 31, 2020 is provided as Exhibit 1.01 hereto and is publicly available at www.winnebagoind.com under Investors and Financial/SEC Information. Winnebago’s determination and related due diligence efforts are included in Winnebago's Conflict Minerals Report and incorporated by reference herein.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1.02 Exhibit</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A copy of Winnebago's Conflict Minerals Report is filed as Exhibit 1.01 hereto.</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2 - Exhibits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2.01 Exhibits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Exhibit 1.01 is filed as part of this Specialized Disclosure Report on Form SD.</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Exhibit</w:t>
      </w:r>
    </w:p>
    <w:p>
      <w:pPr>
        <w:ind w:left="420"/>
        <w:spacing w:after="0"/>
        <w:tabs>
          <w:tab w:leader="none" w:pos="136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10795</wp:posOffset>
            </wp:positionV>
            <wp:extent cx="6866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66255" cy="8255"/>
                    </a:xfrm>
                    <a:prstGeom prst="rect">
                      <a:avLst/>
                    </a:prstGeom>
                    <a:noFill/>
                  </pic:spPr>
                </pic:pic>
              </a:graphicData>
            </a:graphic>
          </wp:anchor>
        </w:drawing>
      </w:r>
    </w:p>
    <w:p>
      <w:pPr>
        <w:spacing w:after="0" w:line="26" w:lineRule="exact"/>
        <w:rPr>
          <w:sz w:val="20"/>
          <w:szCs w:val="20"/>
          <w:color w:val="auto"/>
        </w:rPr>
      </w:pPr>
    </w:p>
    <w:p>
      <w:pPr>
        <w:ind w:left="420"/>
        <w:spacing w:after="0"/>
        <w:tabs>
          <w:tab w:leader="none" w:pos="1360" w:val="left"/>
        </w:tabs>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1.01</w:t>
        </w:r>
      </w:hyperlink>
      <w:r>
        <w:rPr>
          <w:rFonts w:ascii="Arial" w:cs="Arial" w:eastAsia="Arial" w:hAnsi="Arial"/>
          <w:sz w:val="16"/>
          <w:szCs w:val="16"/>
          <w:u w:val="single" w:color="auto"/>
          <w:color w:val="0000FF"/>
        </w:rPr>
        <w:tab/>
      </w:r>
      <w:hyperlink w:anchor="page4">
        <w:r>
          <w:rPr>
            <w:rFonts w:ascii="Arial" w:cs="Arial" w:eastAsia="Arial" w:hAnsi="Arial"/>
            <w:sz w:val="16"/>
            <w:szCs w:val="16"/>
            <w:u w:val="single" w:color="auto"/>
            <w:color w:val="0000FF"/>
          </w:rPr>
          <w:t>Conflict Minerals Report for the reporting period January 1, 2020 to December 31, 2020 as required by Items 1.01 and 1.02 of this Form</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00"/>
          </w:cols>
          <w:pgMar w:left="320" w:top="891" w:right="379" w:bottom="1440" w:gutter="0" w:footer="0" w:header="0"/>
        </w:sectPr>
      </w:pPr>
    </w:p>
    <w:bookmarkStart w:id="2" w:name="page3"/>
    <w:bookmarkEnd w:id="2"/>
    <w:p>
      <w:pPr>
        <w:ind w:left="5160"/>
        <w:spacing w:after="0"/>
        <w:rPr>
          <w:sz w:val="20"/>
          <w:szCs w:val="20"/>
          <w:color w:val="auto"/>
        </w:rPr>
      </w:pPr>
      <w:r>
        <w:rPr>
          <w:rFonts w:ascii="Arial" w:cs="Arial" w:eastAsia="Arial" w:hAnsi="Arial"/>
          <w:sz w:val="16"/>
          <w:szCs w:val="16"/>
          <w:color w:val="auto"/>
        </w:rPr>
        <w:t>SIGNATURE</w:t>
      </w:r>
    </w:p>
    <w:p>
      <w:pPr>
        <w:spacing w:after="0" w:line="26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duly authorized undersigned.</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59"/>
        </w:trPr>
        <w:tc>
          <w:tcPr>
            <w:tcW w:w="56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7080" w:type="dxa"/>
            <w:vAlign w:val="bottom"/>
            <w:gridSpan w:val="2"/>
          </w:tcPr>
          <w:p>
            <w:pPr>
              <w:ind w:left="122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433"/>
        </w:trPr>
        <w:tc>
          <w:tcPr>
            <w:tcW w:w="560" w:type="dxa"/>
            <w:vAlign w:val="bottom"/>
          </w:tcPr>
          <w:p>
            <w:pPr>
              <w:spacing w:after="0"/>
              <w:rPr>
                <w:sz w:val="20"/>
                <w:szCs w:val="20"/>
                <w:color w:val="auto"/>
              </w:rPr>
            </w:pPr>
            <w:r>
              <w:rPr>
                <w:rFonts w:ascii="Arial" w:cs="Arial" w:eastAsia="Arial" w:hAnsi="Arial"/>
                <w:sz w:val="16"/>
                <w:szCs w:val="16"/>
                <w:color w:val="auto"/>
              </w:rPr>
              <w:t>Date:</w:t>
            </w:r>
          </w:p>
        </w:tc>
        <w:tc>
          <w:tcPr>
            <w:tcW w:w="2360" w:type="dxa"/>
            <w:vAlign w:val="bottom"/>
          </w:tcPr>
          <w:p>
            <w:pPr>
              <w:ind w:left="160"/>
              <w:spacing w:after="0"/>
              <w:rPr>
                <w:sz w:val="20"/>
                <w:szCs w:val="20"/>
                <w:color w:val="auto"/>
              </w:rPr>
            </w:pPr>
            <w:r>
              <w:rPr>
                <w:rFonts w:ascii="Arial" w:cs="Arial" w:eastAsia="Arial" w:hAnsi="Arial"/>
                <w:sz w:val="16"/>
                <w:szCs w:val="16"/>
                <w:color w:val="auto"/>
              </w:rPr>
              <w:t>May 28, 2021</w:t>
            </w:r>
          </w:p>
        </w:tc>
        <w:tc>
          <w:tcPr>
            <w:tcW w:w="2040" w:type="dxa"/>
            <w:vAlign w:val="bottom"/>
          </w:tcPr>
          <w:p>
            <w:pPr>
              <w:ind w:left="1220"/>
              <w:spacing w:after="0"/>
              <w:rPr>
                <w:sz w:val="20"/>
                <w:szCs w:val="20"/>
                <w:color w:val="auto"/>
              </w:rPr>
            </w:pPr>
            <w:r>
              <w:rPr>
                <w:rFonts w:ascii="Arial" w:cs="Arial" w:eastAsia="Arial" w:hAnsi="Arial"/>
                <w:sz w:val="16"/>
                <w:szCs w:val="16"/>
                <w:color w:val="auto"/>
              </w:rPr>
              <w:t>By:</w:t>
            </w: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Stacy L. Bogart</w:t>
            </w:r>
          </w:p>
        </w:tc>
      </w:tr>
      <w:tr>
        <w:trPr>
          <w:trHeight w:val="206"/>
        </w:trPr>
        <w:tc>
          <w:tcPr>
            <w:tcW w:w="5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040" w:type="dxa"/>
            <w:vAlign w:val="bottom"/>
          </w:tcPr>
          <w:p>
            <w:pPr>
              <w:ind w:left="1220"/>
              <w:spacing w:after="0"/>
              <w:rPr>
                <w:sz w:val="20"/>
                <w:szCs w:val="20"/>
                <w:color w:val="auto"/>
              </w:rPr>
            </w:pPr>
            <w:r>
              <w:rPr>
                <w:rFonts w:ascii="Arial" w:cs="Arial" w:eastAsia="Arial" w:hAnsi="Arial"/>
                <w:sz w:val="16"/>
                <w:szCs w:val="16"/>
                <w:color w:val="auto"/>
              </w:rPr>
              <w:t>Name:</w:t>
            </w:r>
          </w:p>
        </w:tc>
        <w:tc>
          <w:tcPr>
            <w:tcW w:w="5040" w:type="dxa"/>
            <w:vAlign w:val="bottom"/>
          </w:tcPr>
          <w:p>
            <w:pPr>
              <w:ind w:left="20"/>
              <w:spacing w:after="0"/>
              <w:rPr>
                <w:sz w:val="20"/>
                <w:szCs w:val="20"/>
                <w:color w:val="auto"/>
              </w:rPr>
            </w:pPr>
            <w:r>
              <w:rPr>
                <w:rFonts w:ascii="Arial" w:cs="Arial" w:eastAsia="Arial" w:hAnsi="Arial"/>
                <w:sz w:val="16"/>
                <w:szCs w:val="16"/>
                <w:color w:val="auto"/>
              </w:rPr>
              <w:t>Stacy L. Bogart</w:t>
            </w:r>
          </w:p>
        </w:tc>
      </w:tr>
      <w:tr>
        <w:trPr>
          <w:trHeight w:val="183"/>
        </w:trPr>
        <w:tc>
          <w:tcPr>
            <w:tcW w:w="5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5040" w:type="dxa"/>
            <w:vAlign w:val="bottom"/>
          </w:tcPr>
          <w:p>
            <w:pPr>
              <w:ind w:left="20"/>
              <w:spacing w:after="0"/>
              <w:rPr>
                <w:sz w:val="20"/>
                <w:szCs w:val="20"/>
                <w:color w:val="auto"/>
              </w:rPr>
            </w:pPr>
            <w:r>
              <w:rPr>
                <w:rFonts w:ascii="Arial" w:cs="Arial" w:eastAsia="Arial" w:hAnsi="Arial"/>
                <w:sz w:val="16"/>
                <w:szCs w:val="16"/>
                <w:color w:val="auto"/>
              </w:rPr>
              <w:t>Senior Vice President, General Counsel, Secretary and Corporate</w:t>
            </w:r>
          </w:p>
        </w:tc>
      </w:tr>
      <w:tr>
        <w:trPr>
          <w:trHeight w:val="195"/>
        </w:trPr>
        <w:tc>
          <w:tcPr>
            <w:tcW w:w="5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040" w:type="dxa"/>
            <w:vAlign w:val="bottom"/>
          </w:tcPr>
          <w:p>
            <w:pPr>
              <w:ind w:left="1220"/>
              <w:spacing w:after="0"/>
              <w:rPr>
                <w:sz w:val="20"/>
                <w:szCs w:val="20"/>
                <w:color w:val="auto"/>
              </w:rPr>
            </w:pPr>
            <w:r>
              <w:rPr>
                <w:rFonts w:ascii="Arial" w:cs="Arial" w:eastAsia="Arial" w:hAnsi="Arial"/>
                <w:sz w:val="16"/>
                <w:szCs w:val="16"/>
                <w:color w:val="auto"/>
              </w:rPr>
              <w:t>Title:</w:t>
            </w:r>
          </w:p>
        </w:tc>
        <w:tc>
          <w:tcPr>
            <w:tcW w:w="5040" w:type="dxa"/>
            <w:vAlign w:val="bottom"/>
          </w:tcPr>
          <w:p>
            <w:pPr>
              <w:ind w:left="20"/>
              <w:spacing w:after="0"/>
              <w:rPr>
                <w:sz w:val="20"/>
                <w:szCs w:val="20"/>
                <w:color w:val="auto"/>
              </w:rPr>
            </w:pPr>
            <w:r>
              <w:rPr>
                <w:rFonts w:ascii="Arial" w:cs="Arial" w:eastAsia="Arial" w:hAnsi="Arial"/>
                <w:sz w:val="16"/>
                <w:szCs w:val="16"/>
                <w:color w:val="auto"/>
              </w:rPr>
              <w:t>Responsibility</w:t>
            </w:r>
          </w:p>
        </w:tc>
      </w:tr>
      <w:tr>
        <w:trPr>
          <w:trHeight w:val="864"/>
        </w:trPr>
        <w:tc>
          <w:tcPr>
            <w:tcW w:w="5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040" w:type="dxa"/>
            <w:vAlign w:val="bottom"/>
          </w:tcPr>
          <w:p>
            <w:pPr>
              <w:ind w:left="600"/>
              <w:spacing w:after="0"/>
              <w:rPr>
                <w:sz w:val="20"/>
                <w:szCs w:val="20"/>
                <w:color w:val="auto"/>
              </w:rPr>
            </w:pPr>
            <w:r>
              <w:rPr>
                <w:rFonts w:ascii="Arial" w:cs="Arial" w:eastAsia="Arial" w:hAnsi="Arial"/>
                <w:sz w:val="16"/>
                <w:szCs w:val="16"/>
                <w:color w:val="auto"/>
              </w:rPr>
              <w:t>3</w:t>
            </w:r>
          </w:p>
        </w:tc>
      </w:tr>
    </w:tbl>
    <w:p>
      <w:pPr>
        <w:sectPr>
          <w:pgSz w:w="11900" w:h="16838" w:orient="portrait"/>
          <w:cols w:equalWidth="0" w:num="1">
            <w:col w:w="10620"/>
          </w:cols>
          <w:pgMar w:left="320" w:top="911" w:right="95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1.01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Conflict Minerals Report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 Ended December 31, 2020</w:t>
      </w:r>
    </w:p>
    <w:p>
      <w:pPr>
        <w:spacing w:after="0" w:line="248" w:lineRule="exact"/>
        <w:rPr>
          <w:sz w:val="20"/>
          <w:szCs w:val="20"/>
          <w:color w:val="auto"/>
        </w:rPr>
      </w:pPr>
    </w:p>
    <w:p>
      <w:pPr>
        <w:ind w:right="780"/>
        <w:spacing w:after="0" w:line="260" w:lineRule="auto"/>
        <w:rPr>
          <w:sz w:val="20"/>
          <w:szCs w:val="20"/>
          <w:color w:val="auto"/>
        </w:rPr>
      </w:pPr>
      <w:r>
        <w:rPr>
          <w:rFonts w:ascii="Arial" w:cs="Arial" w:eastAsia="Arial" w:hAnsi="Arial"/>
          <w:sz w:val="16"/>
          <w:szCs w:val="16"/>
          <w:color w:val="auto"/>
        </w:rPr>
        <w:t>The "Company," "Winnebago Industries," "we," "our," and "us" are used interchangeably to refer to Winnebago Industries, Inc. and its subsidiaries, Winnebago of Indiana, LLC, Grand Design RV, LLC, Chris-Craft USA, Inc., and Newmar Corporation as appropriate in this context.</w:t>
      </w:r>
    </w:p>
    <w:p>
      <w:pPr>
        <w:spacing w:after="0" w:line="222"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This Conflict Minerals Report of Winnebago Industries, Inc. for calendar year 2020 is presented in accordance with Rule 13p-1 (“Rule 13p-1”) under the Securities Exchange Act of 1934 (the “1934 Act”). Please refer to Rule 13p-1, Form SD and the 1934 Act Release No. 34-67716 for definitions to the terms used in this Report, unless otherwise defined herein.</w:t>
      </w:r>
    </w:p>
    <w:p>
      <w:pPr>
        <w:spacing w:after="0" w:line="228"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Winnebago Industries, a manufacturer with a diversified portfolio of recreation vehicles and marine products, has determined that its products were manufactured with tin, tantalum, tungsten, and gold, which were necessary for the functionality of such products. In accordance with Rule 13p-1, Winnebago Industries performed due diligence as noted below to determine the conflict minerals’ status of the necessary conflict minerals used in its product manufacturing.</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 of Conflict Minerals Program and Reasonable Country of Origin Inquiry</w:t>
      </w:r>
    </w:p>
    <w:p>
      <w:pPr>
        <w:spacing w:after="0" w:line="282" w:lineRule="exact"/>
        <w:rPr>
          <w:sz w:val="20"/>
          <w:szCs w:val="20"/>
          <w:color w:val="auto"/>
        </w:rPr>
      </w:pPr>
    </w:p>
    <w:p>
      <w:pPr>
        <w:ind w:left="660" w:right="20" w:hanging="328"/>
        <w:spacing w:after="0" w:line="243"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6"/>
          <w:szCs w:val="16"/>
          <w:color w:val="auto"/>
        </w:rPr>
        <w:t>We have structured compliance efforts internally to support supply chain due diligence. Winnebago Industries has developed a team responsible for the conflict minerals program. The team reports to the General Counsel.</w:t>
      </w:r>
    </w:p>
    <w:p>
      <w:pPr>
        <w:spacing w:after="0" w:line="9" w:lineRule="exact"/>
        <w:rPr>
          <w:rFonts w:ascii="Arial" w:cs="Arial" w:eastAsia="Arial" w:hAnsi="Arial"/>
          <w:sz w:val="18"/>
          <w:szCs w:val="18"/>
          <w:color w:val="auto"/>
        </w:rPr>
      </w:pPr>
    </w:p>
    <w:p>
      <w:pPr>
        <w:ind w:left="660" w:right="480" w:hanging="328"/>
        <w:spacing w:after="0" w:line="244"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6"/>
          <w:szCs w:val="16"/>
          <w:color w:val="auto"/>
        </w:rPr>
        <w:t>We have established a system of controls and supply chain transparency through the adoption and use of due diligence tools created by the Electronic Industry Citizenship Coalition and the Global e-Sustainability Initiative (“EICC/GeSI”). This included the use of the Conflict Minerals Reporting Template (“CMRT”), a supply-chain survey.</w:t>
      </w:r>
    </w:p>
    <w:p>
      <w:pPr>
        <w:spacing w:after="0" w:line="9" w:lineRule="exact"/>
        <w:rPr>
          <w:rFonts w:ascii="Arial" w:cs="Arial" w:eastAsia="Arial" w:hAnsi="Arial"/>
          <w:sz w:val="18"/>
          <w:szCs w:val="18"/>
          <w:color w:val="auto"/>
        </w:rPr>
      </w:pPr>
    </w:p>
    <w:p>
      <w:pPr>
        <w:ind w:left="660" w:right="20" w:hanging="328"/>
        <w:spacing w:after="0" w:line="246"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6"/>
          <w:szCs w:val="16"/>
          <w:color w:val="auto"/>
        </w:rPr>
        <w:t>We have conducted a supply chain survey of our largest suppliers that potentially provided parts and materials containing conflict minerals. The survey requested suppliers to identify smelters and refiners, using the CMRT. As a downstream manufacturer, we rely on our vendors to provide the origins of all of our conflict minerals, including the location of the smelter, mine, or transit route of the minerals.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Design of Due Diligence</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We have reviewed our suppliers and sourcing decisions, and integrated into our management programs the Organization for Economic Cooperation and</w:t>
      </w:r>
    </w:p>
    <w:p>
      <w:pPr>
        <w:spacing w:after="0" w:line="59"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Development Due Diligence Guidance for Responsible Supply Chains of Minerals from Conflict-Affected and High-Risk Areas: Second Edition (“OECD Framework”), an internationally-recognized due diligence framework. Winnebago Industries communicated to applicable suppliers, our efforts to comply with Rule 13p-1.</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Description of Due Diligence Measures Performed</w:t>
      </w:r>
    </w:p>
    <w:p>
      <w:pPr>
        <w:spacing w:after="0" w:line="268" w:lineRule="exact"/>
        <w:rPr>
          <w:sz w:val="20"/>
          <w:szCs w:val="20"/>
          <w:color w:val="auto"/>
        </w:rPr>
      </w:pPr>
    </w:p>
    <w:p>
      <w:pPr>
        <w:ind w:right="400"/>
        <w:spacing w:after="0" w:line="253" w:lineRule="auto"/>
        <w:rPr>
          <w:sz w:val="20"/>
          <w:szCs w:val="20"/>
          <w:color w:val="auto"/>
        </w:rPr>
      </w:pPr>
      <w:r>
        <w:rPr>
          <w:rFonts w:ascii="Arial" w:cs="Arial" w:eastAsia="Arial" w:hAnsi="Arial"/>
          <w:sz w:val="16"/>
          <w:szCs w:val="16"/>
          <w:color w:val="auto"/>
        </w:rPr>
        <w:t>We have included a summary below of the description of the measures performed to exercise due diligence on the source and chain of custody of the necessary conflict minerals contained in our products, which may have originated from the Covered Countries and may not have come from recycled or scrap sources:</w:t>
      </w:r>
    </w:p>
    <w:p>
      <w:pPr>
        <w:spacing w:after="0" w:line="242" w:lineRule="exact"/>
        <w:rPr>
          <w:sz w:val="20"/>
          <w:szCs w:val="20"/>
          <w:color w:val="auto"/>
        </w:rPr>
      </w:pPr>
    </w:p>
    <w:p>
      <w:pPr>
        <w:ind w:left="660" w:right="40" w:hanging="328"/>
        <w:spacing w:after="0" w:line="243"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6"/>
          <w:szCs w:val="16"/>
          <w:color w:val="auto"/>
        </w:rPr>
        <w:t>We evaluated survey responses to identify: (i) the use and source of Conflict Minerals, and; (ii) any indicators that Conflict Minerals may have come from the Democratic Republic of the Congo or an Adjoining Country.</w:t>
      </w:r>
    </w:p>
    <w:p>
      <w:pPr>
        <w:spacing w:after="0" w:line="9" w:lineRule="exact"/>
        <w:rPr>
          <w:rFonts w:ascii="Arial" w:cs="Arial" w:eastAsia="Arial" w:hAnsi="Arial"/>
          <w:sz w:val="18"/>
          <w:szCs w:val="18"/>
          <w:color w:val="auto"/>
        </w:rPr>
      </w:pPr>
    </w:p>
    <w:p>
      <w:pPr>
        <w:ind w:left="660" w:right="620" w:hanging="328"/>
        <w:spacing w:after="0" w:line="243"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6"/>
          <w:szCs w:val="16"/>
          <w:color w:val="auto"/>
        </w:rPr>
        <w:t>We compared smelters and refiners identified by the supply chain survey against the list of smelters and refiners that are compliant with the Responsible Minerals Assurance Process assessment protocols (“RMAP”) formerly known as Conflict Free Smelter Program.</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6"/>
          <w:szCs w:val="16"/>
          <w:color w:val="auto"/>
        </w:rPr>
        <w:t>We made additional inquiries on a case-by-case basis if smelter and refinery information was deemed inconsistent, inaccurate, or incomplete.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6"/>
          <w:szCs w:val="16"/>
          <w:color w:val="auto"/>
        </w:rPr>
        <w:t>The status of risk mitigation efforts was summarized and provided to Winnebago Industries’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6"/>
          <w:szCs w:val="16"/>
          <w:color w:val="auto"/>
        </w:rPr>
        <w:t>Our conflict minerals compliance results are reported annually to the SEC and are made publicly available on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012"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i w:val="1"/>
          <w:iCs w:val="1"/>
          <w:color w:val="auto"/>
        </w:rPr>
        <w:t>Product Determination</w:t>
      </w:r>
    </w:p>
    <w:p>
      <w:pPr>
        <w:spacing w:after="0" w:line="26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All products manufactured by Winnebago Industries are deemed to contain conflict minerals only when necessary to the products’ functionality. We produce products that include motorhomes, touring coaches, travel trailers, fifth wheel trailers, and marine products, as well as supporting RV products. Based on the surveys provided and notifications that our suppliers’ diligence efforts were incomplete, we do not have sufficient information to conclusively determine all smelters or refiners or Countries of Origin of the conflict minerals. However, based on the data provided by the Reasonable Country of Origin Inquiry, this information has been listed in Annex I. The majority of our suppliers reported conflict minerals’ use at the company level, not at the product level. As such, we cannot definitively state whether these conflict minerals were included in the products supplied to Winnebago or further validate that these smelters or refiners exist in our supply chain.</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Due Diligence</w:t>
      </w:r>
    </w:p>
    <w:p>
      <w:pPr>
        <w:spacing w:after="0" w:line="268" w:lineRule="exact"/>
        <w:rPr>
          <w:sz w:val="20"/>
          <w:szCs w:val="20"/>
          <w:color w:val="auto"/>
        </w:rPr>
      </w:pPr>
    </w:p>
    <w:p>
      <w:pPr>
        <w:ind w:right="540"/>
        <w:spacing w:after="0" w:line="260" w:lineRule="auto"/>
        <w:rPr>
          <w:sz w:val="20"/>
          <w:szCs w:val="20"/>
          <w:color w:val="auto"/>
        </w:rPr>
      </w:pPr>
      <w:r>
        <w:rPr>
          <w:rFonts w:ascii="Arial" w:cs="Arial" w:eastAsia="Arial" w:hAnsi="Arial"/>
          <w:sz w:val="16"/>
          <w:szCs w:val="16"/>
          <w:color w:val="auto"/>
        </w:rPr>
        <w:t>There were numerous suppliers that did not provide a listing of smelters and refiners used, and an additional group of suppliers that did not provide a response to our survey. In our efforts to obtain timely and accurate information from our supply chain, we intend to execute the following:</w:t>
      </w:r>
    </w:p>
    <w:p>
      <w:pPr>
        <w:spacing w:after="0" w:line="22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Continue to assess the presence of conflict minerals in our supply chain.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Clearly communicate expectations with newly contracted and delinquent suppliers.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Continue to improve our risk mitigation strategy.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Continue to encourage our direct suppliers to assess their supply chain risks.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Continue to encourage our direct suppliers to provide complete and accurate information.</w:t>
      </w:r>
    </w:p>
    <w:p>
      <w:pPr>
        <w:spacing w:after="0" w:line="251"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As we progress, we expect that transparency in our supply chain will increase, which will allow for more accurate and detailed levels of risk assessment within our supply chain.</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00"/>
          </w:cols>
          <w:pgMar w:left="320" w:top="1012" w:right="37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15"/>
        </w:trPr>
        <w:tc>
          <w:tcPr>
            <w:tcW w:w="1180" w:type="dxa"/>
            <w:vAlign w:val="bottom"/>
          </w:tcPr>
          <w:p>
            <w:pPr>
              <w:spacing w:after="0"/>
              <w:rPr>
                <w:sz w:val="18"/>
                <w:szCs w:val="18"/>
                <w:color w:val="auto"/>
              </w:rPr>
            </w:pPr>
          </w:p>
        </w:tc>
        <w:tc>
          <w:tcPr>
            <w:tcW w:w="6720" w:type="dxa"/>
            <w:vAlign w:val="bottom"/>
          </w:tcPr>
          <w:p>
            <w:pPr>
              <w:ind w:left="4160"/>
              <w:spacing w:after="0"/>
              <w:rPr>
                <w:sz w:val="20"/>
                <w:szCs w:val="20"/>
                <w:color w:val="auto"/>
              </w:rPr>
            </w:pPr>
            <w:r>
              <w:rPr>
                <w:rFonts w:ascii="Arial" w:cs="Arial" w:eastAsia="Arial" w:hAnsi="Arial"/>
                <w:sz w:val="16"/>
                <w:szCs w:val="16"/>
                <w:b w:val="1"/>
                <w:bCs w:val="1"/>
                <w:color w:val="auto"/>
              </w:rPr>
              <w:t>Annex I</w:t>
            </w:r>
          </w:p>
        </w:tc>
        <w:tc>
          <w:tcPr>
            <w:tcW w:w="3160" w:type="dxa"/>
            <w:vAlign w:val="bottom"/>
          </w:tcPr>
          <w:p>
            <w:pPr>
              <w:spacing w:after="0"/>
              <w:rPr>
                <w:sz w:val="18"/>
                <w:szCs w:val="18"/>
                <w:color w:val="auto"/>
              </w:rPr>
            </w:pPr>
          </w:p>
        </w:tc>
      </w:tr>
      <w:tr>
        <w:trPr>
          <w:trHeight w:val="33"/>
        </w:trPr>
        <w:tc>
          <w:tcPr>
            <w:tcW w:w="1180" w:type="dxa"/>
            <w:vAlign w:val="bottom"/>
            <w:tcBorders>
              <w:bottom w:val="single" w:sz="8" w:color="auto"/>
            </w:tcBorders>
          </w:tcPr>
          <w:p>
            <w:pPr>
              <w:spacing w:after="0"/>
              <w:rPr>
                <w:sz w:val="2"/>
                <w:szCs w:val="2"/>
                <w:color w:val="auto"/>
              </w:rPr>
            </w:pPr>
          </w:p>
        </w:tc>
        <w:tc>
          <w:tcPr>
            <w:tcW w:w="672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r>
      <w:tr>
        <w:trPr>
          <w:trHeight w:val="209"/>
        </w:trPr>
        <w:tc>
          <w:tcPr>
            <w:tcW w:w="1180" w:type="dxa"/>
            <w:vAlign w:val="bottom"/>
            <w:tcBorders>
              <w:left w:val="single" w:sz="8" w:color="auto"/>
              <w:bottom w:val="single" w:sz="8" w:color="auto"/>
              <w:right w:val="single" w:sz="8" w:color="CCCCCC"/>
            </w:tcBorders>
            <w:shd w:val="clear" w:color="auto" w:fill="0070C0"/>
          </w:tcPr>
          <w:p>
            <w:pPr>
              <w:ind w:left="40"/>
              <w:spacing w:after="0"/>
              <w:rPr>
                <w:sz w:val="20"/>
                <w:szCs w:val="20"/>
                <w:color w:val="auto"/>
              </w:rPr>
            </w:pPr>
            <w:r>
              <w:rPr>
                <w:rFonts w:ascii="Arial" w:cs="Arial" w:eastAsia="Arial" w:hAnsi="Arial"/>
                <w:sz w:val="16"/>
                <w:szCs w:val="16"/>
                <w:b w:val="1"/>
                <w:bCs w:val="1"/>
                <w:color w:val="FFFFFF"/>
              </w:rPr>
              <w:t>Metal</w:t>
            </w:r>
          </w:p>
        </w:tc>
        <w:tc>
          <w:tcPr>
            <w:tcW w:w="6720" w:type="dxa"/>
            <w:vAlign w:val="bottom"/>
            <w:tcBorders>
              <w:bottom w:val="single" w:sz="8" w:color="auto"/>
              <w:right w:val="single" w:sz="8" w:color="CCCCCC"/>
            </w:tcBorders>
            <w:shd w:val="clear" w:color="auto" w:fill="0070C0"/>
          </w:tcPr>
          <w:p>
            <w:pPr>
              <w:spacing w:after="0"/>
              <w:rPr>
                <w:sz w:val="20"/>
                <w:szCs w:val="20"/>
                <w:color w:val="auto"/>
              </w:rPr>
            </w:pPr>
            <w:r>
              <w:rPr>
                <w:rFonts w:ascii="Arial" w:cs="Arial" w:eastAsia="Arial" w:hAnsi="Arial"/>
                <w:sz w:val="16"/>
                <w:szCs w:val="16"/>
                <w:b w:val="1"/>
                <w:bCs w:val="1"/>
                <w:color w:val="FFFFFF"/>
              </w:rPr>
              <w:t>Smelter Name</w:t>
            </w:r>
          </w:p>
        </w:tc>
        <w:tc>
          <w:tcPr>
            <w:tcW w:w="3160" w:type="dxa"/>
            <w:vAlign w:val="bottom"/>
            <w:tcBorders>
              <w:bottom w:val="single" w:sz="8" w:color="auto"/>
              <w:right w:val="single" w:sz="8" w:color="auto"/>
            </w:tcBorders>
            <w:shd w:val="clear" w:color="auto" w:fill="0070C0"/>
          </w:tcPr>
          <w:p>
            <w:pPr>
              <w:ind w:left="20"/>
              <w:spacing w:after="0"/>
              <w:rPr>
                <w:sz w:val="20"/>
                <w:szCs w:val="20"/>
                <w:color w:val="auto"/>
              </w:rPr>
            </w:pPr>
            <w:r>
              <w:rPr>
                <w:rFonts w:ascii="Arial" w:cs="Arial" w:eastAsia="Arial" w:hAnsi="Arial"/>
                <w:sz w:val="16"/>
                <w:szCs w:val="16"/>
                <w:b w:val="1"/>
                <w:bCs w:val="1"/>
                <w:color w:val="FFFFFF"/>
              </w:rPr>
              <w:t>Smelter Country</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L'Orfebre S.A.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ANDORRA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Morris and Watson Gold Coast</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AUSTRALIA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Western Australian Mint (T/a The Perth Mint)</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AUSTRALIA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Ogussa Osterreichische Gold- und Silber-Scheideanstalt GmbH</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AUSTRIA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Tony Goetz NV</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BELGIUM</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Umicore S.A. Business Unit Precious Metals Refining</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BELGIUM</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AngloGold Ashanti Corrego do Sitio Mineracao</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Marsam Metals</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Umicore Brasil Ltda.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Asahi Refining Canada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CANADA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CCR Refinery - Glencore Canada Corporation</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CANADA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Royal Canadian Mint</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CANADA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Planta Recuperadora de Metales SpA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CHILE</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Daye Non-Ferrous Metals Mining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Gold Refinery of Zijin Mining Group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Great Wall Precious Metals Co., Ltd. of CBPM</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Guangdong Jinding Gold Limited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Guoda Safina High-Tech Environmental Refinery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Hangzhou Fuchunjiang Smelting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Heraeus Metals Hong Kong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Hunan Chenzhou Mining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Hunan Guiyang yinxing Nonferrous Smelting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Inner Mongolia Qiankun Gold and Silver Refinery Share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Jiangxi Copper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Lingbao Gold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Lingbao Jinyuan Tonghui Refinery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Luoyang Zijin Yinhui Gold Refinery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Metalor Technologies (Hong Kong)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Metalor Technologies (Suzhou)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Penglai Penggang Gold Industry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Refinery of Seemine Gold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Shandong Humon Smelting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Shandong Tiancheng Biological Gold Industrial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Shandong Zhaojin Gold &amp; Silver Refinery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Shenzhen Zhonghenglong Real Industry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Sichuan Tianze Precious Metals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The Refinery of Shandong Gold Mining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Tongling Nonferrous Metals Group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Yunnan Copper Industry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Zhongyuan Gold Smelter of Zhongjin Gold Corporation</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C.I Metales Procesados Industriales SAS</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COLOMBIA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SAFINA A.S.</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CZECHIA</w:t>
            </w:r>
          </w:p>
        </w:tc>
      </w:tr>
      <w:tr>
        <w:trPr>
          <w:trHeight w:val="210"/>
        </w:trPr>
        <w:tc>
          <w:tcPr>
            <w:tcW w:w="1180" w:type="dxa"/>
            <w:vAlign w:val="bottom"/>
            <w:tcBorders>
              <w:left w:val="single" w:sz="8" w:color="auto"/>
              <w:bottom w:val="single" w:sz="8" w:color="auto"/>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auto"/>
              <w:right w:val="single" w:sz="8" w:color="CCCCCC"/>
            </w:tcBorders>
          </w:tcPr>
          <w:p>
            <w:pPr>
              <w:spacing w:after="0"/>
              <w:rPr>
                <w:sz w:val="20"/>
                <w:szCs w:val="20"/>
                <w:color w:val="auto"/>
              </w:rPr>
            </w:pPr>
            <w:r>
              <w:rPr>
                <w:rFonts w:ascii="Arial" w:cs="Arial" w:eastAsia="Arial" w:hAnsi="Arial"/>
                <w:sz w:val="16"/>
                <w:szCs w:val="16"/>
                <w:color w:val="auto"/>
              </w:rPr>
              <w:t>SAAMP</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FRANCE</w:t>
            </w:r>
          </w:p>
        </w:tc>
      </w:tr>
    </w:tbl>
    <w:p>
      <w:pPr>
        <w:sectPr>
          <w:pgSz w:w="11900" w:h="16838" w:orient="portrait"/>
          <w:cols w:equalWidth="0" w:num="1">
            <w:col w:w="11060"/>
          </w:cols>
          <w:pgMar w:left="320" w:top="904" w:right="51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180" w:type="dxa"/>
            <w:vAlign w:val="bottom"/>
            <w:tcBorders>
              <w:top w:val="single" w:sz="8" w:color="auto"/>
              <w:left w:val="single" w:sz="8" w:color="auto"/>
              <w:bottom w:val="single" w:sz="8" w:color="auto"/>
              <w:right w:val="single" w:sz="8" w:color="CCCCCC"/>
            </w:tcBorders>
            <w:shd w:val="clear" w:color="auto" w:fill="0070C0"/>
          </w:tcPr>
          <w:p>
            <w:pPr>
              <w:ind w:left="40"/>
              <w:spacing w:after="0"/>
              <w:rPr>
                <w:sz w:val="20"/>
                <w:szCs w:val="20"/>
                <w:color w:val="auto"/>
              </w:rPr>
            </w:pPr>
            <w:r>
              <w:rPr>
                <w:rFonts w:ascii="Arial" w:cs="Arial" w:eastAsia="Arial" w:hAnsi="Arial"/>
                <w:sz w:val="16"/>
                <w:szCs w:val="16"/>
                <w:b w:val="1"/>
                <w:bCs w:val="1"/>
                <w:color w:val="FFFFFF"/>
              </w:rPr>
              <w:t>Metal</w:t>
            </w:r>
          </w:p>
        </w:tc>
        <w:tc>
          <w:tcPr>
            <w:tcW w:w="6720" w:type="dxa"/>
            <w:vAlign w:val="bottom"/>
            <w:tcBorders>
              <w:top w:val="single" w:sz="8" w:color="auto"/>
              <w:bottom w:val="single" w:sz="8" w:color="auto"/>
              <w:right w:val="single" w:sz="8" w:color="CCCCCC"/>
            </w:tcBorders>
            <w:shd w:val="clear" w:color="auto" w:fill="0070C0"/>
          </w:tcPr>
          <w:p>
            <w:pPr>
              <w:spacing w:after="0"/>
              <w:rPr>
                <w:sz w:val="20"/>
                <w:szCs w:val="20"/>
                <w:color w:val="auto"/>
              </w:rPr>
            </w:pPr>
            <w:r>
              <w:rPr>
                <w:rFonts w:ascii="Arial" w:cs="Arial" w:eastAsia="Arial" w:hAnsi="Arial"/>
                <w:sz w:val="16"/>
                <w:szCs w:val="16"/>
                <w:b w:val="1"/>
                <w:bCs w:val="1"/>
                <w:color w:val="FFFFFF"/>
              </w:rPr>
              <w:t>Smelter Name</w:t>
            </w:r>
          </w:p>
        </w:tc>
        <w:tc>
          <w:tcPr>
            <w:tcW w:w="3160" w:type="dxa"/>
            <w:vAlign w:val="bottom"/>
            <w:tcBorders>
              <w:top w:val="single" w:sz="8" w:color="auto"/>
              <w:bottom w:val="single" w:sz="8" w:color="auto"/>
              <w:right w:val="single" w:sz="8" w:color="auto"/>
            </w:tcBorders>
            <w:shd w:val="clear" w:color="auto" w:fill="0070C0"/>
          </w:tcPr>
          <w:p>
            <w:pPr>
              <w:ind w:left="20"/>
              <w:spacing w:after="0"/>
              <w:rPr>
                <w:sz w:val="20"/>
                <w:szCs w:val="20"/>
                <w:color w:val="auto"/>
              </w:rPr>
            </w:pPr>
            <w:r>
              <w:rPr>
                <w:rFonts w:ascii="Arial" w:cs="Arial" w:eastAsia="Arial" w:hAnsi="Arial"/>
                <w:sz w:val="16"/>
                <w:szCs w:val="16"/>
                <w:b w:val="1"/>
                <w:bCs w:val="1"/>
                <w:color w:val="FFFFFF"/>
              </w:rPr>
              <w:t>Smelter Country</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Allgemeine Gold-und Silberscheideanstalt A.G.</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Aurubis AG</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 Hafner GmbH + Co. KG</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Degussa Sonne / Mond Goldhandel GmbH</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DODUCO Contacts and Refining GmbH</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Heimerle + Meule GmbH</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Heraeus Precious Metals GmbH &amp; Co. KG</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SAXONIA Edelmetalle GmbH</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WIELAND Edelmetalle GmbH</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Gold Coast Refinery</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GHANA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Augmont Enterprises Private Limited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Bangalore Refinery</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CGR Metalloys Pvt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GCC Gujrat Gold Centre Pvt.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JALAN &amp; Company</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Kundan Care Products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MMTC-PAMP India Pvt.,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Sai Refinery</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Shirpur Gold Refinery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Sovereign Metals</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Aneka Tambang (Persero) Tbk</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8853 S.p.A.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ITALY</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Chimet S.p.A.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ITALY</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Italpreziosi</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ITALY</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Safimet S.p.A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ITALY</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T.C.A S.p.A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ITALY</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Aida Chemical Industries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Asahi Pretec Corp.</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Asaka Riken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Chugai Mining</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Dowa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Eco-System Recycling Co., Ltd. East Plant</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Eco-System Recycling Co., Ltd. North Plant</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Eco-System Recycling Co., Ltd. West Plant</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Ishifuku Metal Industry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Japan Mint</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JX Nippon Mining &amp; Metals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Kojima Chemicals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Matsuda Sangyo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Mitsubishi Materials Corporation</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Mitsui Mining and Smelting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Nihon Material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10"/>
        </w:trPr>
        <w:tc>
          <w:tcPr>
            <w:tcW w:w="1180" w:type="dxa"/>
            <w:vAlign w:val="bottom"/>
            <w:tcBorders>
              <w:left w:val="single" w:sz="8" w:color="auto"/>
              <w:bottom w:val="single" w:sz="8" w:color="auto"/>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auto"/>
              <w:right w:val="single" w:sz="8" w:color="CCCCCC"/>
            </w:tcBorders>
          </w:tcPr>
          <w:p>
            <w:pPr>
              <w:spacing w:after="0"/>
              <w:rPr>
                <w:sz w:val="20"/>
                <w:szCs w:val="20"/>
                <w:color w:val="auto"/>
              </w:rPr>
            </w:pPr>
            <w:r>
              <w:rPr>
                <w:rFonts w:ascii="Arial" w:cs="Arial" w:eastAsia="Arial" w:hAnsi="Arial"/>
                <w:sz w:val="16"/>
                <w:szCs w:val="16"/>
                <w:color w:val="auto"/>
              </w:rPr>
              <w:t>Ohura Precious Metal Industry Co., Ltd.</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bl>
    <w:p>
      <w:pPr>
        <w:sectPr>
          <w:pgSz w:w="11900" w:h="16838" w:orient="portrait"/>
          <w:cols w:equalWidth="0" w:num="1">
            <w:col w:w="11060"/>
          </w:cols>
          <w:pgMar w:left="320" w:top="916" w:right="51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180" w:type="dxa"/>
            <w:vAlign w:val="bottom"/>
            <w:tcBorders>
              <w:top w:val="single" w:sz="8" w:color="auto"/>
              <w:left w:val="single" w:sz="8" w:color="auto"/>
              <w:bottom w:val="single" w:sz="8" w:color="auto"/>
              <w:right w:val="single" w:sz="8" w:color="CCCCCC"/>
            </w:tcBorders>
            <w:shd w:val="clear" w:color="auto" w:fill="0070C0"/>
          </w:tcPr>
          <w:p>
            <w:pPr>
              <w:ind w:left="40"/>
              <w:spacing w:after="0"/>
              <w:rPr>
                <w:sz w:val="20"/>
                <w:szCs w:val="20"/>
                <w:color w:val="auto"/>
              </w:rPr>
            </w:pPr>
            <w:r>
              <w:rPr>
                <w:rFonts w:ascii="Arial" w:cs="Arial" w:eastAsia="Arial" w:hAnsi="Arial"/>
                <w:sz w:val="16"/>
                <w:szCs w:val="16"/>
                <w:b w:val="1"/>
                <w:bCs w:val="1"/>
                <w:color w:val="FFFFFF"/>
              </w:rPr>
              <w:t>Metal</w:t>
            </w:r>
          </w:p>
        </w:tc>
        <w:tc>
          <w:tcPr>
            <w:tcW w:w="6720" w:type="dxa"/>
            <w:vAlign w:val="bottom"/>
            <w:tcBorders>
              <w:top w:val="single" w:sz="8" w:color="auto"/>
              <w:bottom w:val="single" w:sz="8" w:color="auto"/>
              <w:right w:val="single" w:sz="8" w:color="CCCCCC"/>
            </w:tcBorders>
            <w:shd w:val="clear" w:color="auto" w:fill="0070C0"/>
          </w:tcPr>
          <w:p>
            <w:pPr>
              <w:spacing w:after="0"/>
              <w:rPr>
                <w:sz w:val="20"/>
                <w:szCs w:val="20"/>
                <w:color w:val="auto"/>
              </w:rPr>
            </w:pPr>
            <w:r>
              <w:rPr>
                <w:rFonts w:ascii="Arial" w:cs="Arial" w:eastAsia="Arial" w:hAnsi="Arial"/>
                <w:sz w:val="16"/>
                <w:szCs w:val="16"/>
                <w:b w:val="1"/>
                <w:bCs w:val="1"/>
                <w:color w:val="FFFFFF"/>
              </w:rPr>
              <w:t>Smelter Name</w:t>
            </w:r>
          </w:p>
        </w:tc>
        <w:tc>
          <w:tcPr>
            <w:tcW w:w="3160" w:type="dxa"/>
            <w:vAlign w:val="bottom"/>
            <w:tcBorders>
              <w:top w:val="single" w:sz="8" w:color="auto"/>
              <w:bottom w:val="single" w:sz="8" w:color="auto"/>
              <w:right w:val="single" w:sz="8" w:color="auto"/>
            </w:tcBorders>
            <w:shd w:val="clear" w:color="auto" w:fill="0070C0"/>
          </w:tcPr>
          <w:p>
            <w:pPr>
              <w:ind w:left="20"/>
              <w:spacing w:after="0"/>
              <w:rPr>
                <w:sz w:val="20"/>
                <w:szCs w:val="20"/>
                <w:color w:val="auto"/>
              </w:rPr>
            </w:pPr>
            <w:r>
              <w:rPr>
                <w:rFonts w:ascii="Arial" w:cs="Arial" w:eastAsia="Arial" w:hAnsi="Arial"/>
                <w:sz w:val="16"/>
                <w:szCs w:val="16"/>
                <w:b w:val="1"/>
                <w:bCs w:val="1"/>
                <w:color w:val="FFFFFF"/>
              </w:rPr>
              <w:t>Smelter Country</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Sumitomo Metal Mining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Tanaka Kikinzoku Kogyo K.K.</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Tokuriki Honten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Yamakin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Yokohama Metal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Kazakhmys Smelting LLC</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KAZAKHSTAN</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Kazzinc</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KAZAKHSTAN</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TOO Tau-Ken-Altyn</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KAZAKHSTAN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DS PRETECH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DSC (Do Sung Corporation)</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HwaSeong CJ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Korea Zinc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LS-NIKKO Copper Inc.</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LT Metal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NH Recytech Company</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Samduck Precious Metals</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Samwon Metals Corp.</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SungEel HiMetal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Torecom</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Kyrgyzaltyn JSC</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KYRGYZSTAN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State Research Institute Center for Physical Sciences and Technology</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LITHUANIA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Modeltech Sdn Bhd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MALAYSIA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Caridad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MEXICO</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Metalurgica Met-Mex Penoles S.A. De C.V.</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MEXICO</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REMONDIS PMR B.V.</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NETHERLANDS</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Morris and Watson</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NEW ZEALAND</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K.A. Rasmussen</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NORWAY</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Bangko Sentral ng Pilipinas (Central Bank of the Philippines)</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PHILIPPINES</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KGHM Polska Miedz Spolka Akcyjna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POLAND</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JSC Ekaterinburg Non-Ferrous Metal Processing Plant</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JSC Uralelectromed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Kyshtym Copper-Electrolytic Plant ZAO</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Moscow Special Alloys Processing Plant</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OJSC "The Gulidov Krasnoyarsk Non-Ferrous Metals Plant" (OJSC Krastsvetmet)</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OJSC Novosibirsk Refinery</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Prioksky Plant of Non-Ferrous Metals</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SOE Shyolkovsky Factory of Secondary Precious Metals</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L'azurde Company For Jewelry</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SAUDI ARABIA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Metalor Technologies (Singapore) Pte.,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SINGAPORE</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AU Traders and Refiners</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SOUTH AFRICA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Rand Refinery (Pty)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SOUTH AFRICA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SEMPSA Joyeria Plateria S.A.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SPAIN</w:t>
            </w:r>
          </w:p>
        </w:tc>
      </w:tr>
      <w:tr>
        <w:trPr>
          <w:trHeight w:val="210"/>
        </w:trPr>
        <w:tc>
          <w:tcPr>
            <w:tcW w:w="1180" w:type="dxa"/>
            <w:vAlign w:val="bottom"/>
            <w:tcBorders>
              <w:left w:val="single" w:sz="8" w:color="auto"/>
              <w:bottom w:val="single" w:sz="8" w:color="auto"/>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auto"/>
              <w:right w:val="single" w:sz="8" w:color="CCCCCC"/>
            </w:tcBorders>
          </w:tcPr>
          <w:p>
            <w:pPr>
              <w:spacing w:after="0"/>
              <w:rPr>
                <w:sz w:val="20"/>
                <w:szCs w:val="20"/>
                <w:color w:val="auto"/>
              </w:rPr>
            </w:pPr>
            <w:r>
              <w:rPr>
                <w:rFonts w:ascii="Arial" w:cs="Arial" w:eastAsia="Arial" w:hAnsi="Arial"/>
                <w:sz w:val="16"/>
                <w:szCs w:val="16"/>
                <w:color w:val="auto"/>
              </w:rPr>
              <w:t>Sudan Gold Refinery</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SUDAN</w:t>
            </w:r>
          </w:p>
        </w:tc>
      </w:tr>
    </w:tbl>
    <w:p>
      <w:pPr>
        <w:sectPr>
          <w:pgSz w:w="11900" w:h="16838" w:orient="portrait"/>
          <w:cols w:equalWidth="0" w:num="1">
            <w:col w:w="11060"/>
          </w:cols>
          <w:pgMar w:left="320" w:top="916" w:right="51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180" w:type="dxa"/>
            <w:vAlign w:val="bottom"/>
            <w:tcBorders>
              <w:top w:val="single" w:sz="8" w:color="auto"/>
              <w:left w:val="single" w:sz="8" w:color="auto"/>
              <w:bottom w:val="single" w:sz="8" w:color="auto"/>
              <w:right w:val="single" w:sz="8" w:color="CCCCCC"/>
            </w:tcBorders>
            <w:shd w:val="clear" w:color="auto" w:fill="0070C0"/>
          </w:tcPr>
          <w:p>
            <w:pPr>
              <w:ind w:left="40"/>
              <w:spacing w:after="0"/>
              <w:rPr>
                <w:sz w:val="20"/>
                <w:szCs w:val="20"/>
                <w:color w:val="auto"/>
              </w:rPr>
            </w:pPr>
            <w:r>
              <w:rPr>
                <w:rFonts w:ascii="Arial" w:cs="Arial" w:eastAsia="Arial" w:hAnsi="Arial"/>
                <w:sz w:val="16"/>
                <w:szCs w:val="16"/>
                <w:b w:val="1"/>
                <w:bCs w:val="1"/>
                <w:color w:val="FFFFFF"/>
              </w:rPr>
              <w:t>Metal</w:t>
            </w:r>
          </w:p>
        </w:tc>
        <w:tc>
          <w:tcPr>
            <w:tcW w:w="6720" w:type="dxa"/>
            <w:vAlign w:val="bottom"/>
            <w:tcBorders>
              <w:top w:val="single" w:sz="8" w:color="auto"/>
              <w:bottom w:val="single" w:sz="8" w:color="auto"/>
              <w:right w:val="single" w:sz="8" w:color="CCCCCC"/>
            </w:tcBorders>
            <w:shd w:val="clear" w:color="auto" w:fill="0070C0"/>
          </w:tcPr>
          <w:p>
            <w:pPr>
              <w:spacing w:after="0"/>
              <w:rPr>
                <w:sz w:val="20"/>
                <w:szCs w:val="20"/>
                <w:color w:val="auto"/>
              </w:rPr>
            </w:pPr>
            <w:r>
              <w:rPr>
                <w:rFonts w:ascii="Arial" w:cs="Arial" w:eastAsia="Arial" w:hAnsi="Arial"/>
                <w:sz w:val="16"/>
                <w:szCs w:val="16"/>
                <w:b w:val="1"/>
                <w:bCs w:val="1"/>
                <w:color w:val="FFFFFF"/>
              </w:rPr>
              <w:t>Smelter Name</w:t>
            </w:r>
          </w:p>
        </w:tc>
        <w:tc>
          <w:tcPr>
            <w:tcW w:w="3160" w:type="dxa"/>
            <w:vAlign w:val="bottom"/>
            <w:tcBorders>
              <w:top w:val="single" w:sz="8" w:color="auto"/>
              <w:bottom w:val="single" w:sz="8" w:color="auto"/>
              <w:right w:val="single" w:sz="8" w:color="auto"/>
            </w:tcBorders>
            <w:shd w:val="clear" w:color="auto" w:fill="0070C0"/>
          </w:tcPr>
          <w:p>
            <w:pPr>
              <w:ind w:left="20"/>
              <w:spacing w:after="0"/>
              <w:rPr>
                <w:sz w:val="20"/>
                <w:szCs w:val="20"/>
                <w:color w:val="auto"/>
              </w:rPr>
            </w:pPr>
            <w:r>
              <w:rPr>
                <w:rFonts w:ascii="Arial" w:cs="Arial" w:eastAsia="Arial" w:hAnsi="Arial"/>
                <w:sz w:val="16"/>
                <w:szCs w:val="16"/>
                <w:b w:val="1"/>
                <w:bCs w:val="1"/>
                <w:color w:val="FFFFFF"/>
              </w:rPr>
              <w:t>Smelter Country</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Boliden AB</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SWEDEN</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Argor-Heraeus S.A.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SWITZERLAND</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Cendres + Metaux S.A.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SWITZERLAND</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Metalor Technologies S.A.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SWITZERLAND</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PAMP S.A.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SWITZERLAND</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PX Precinox S.A.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SWITZERLAND</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Valcambi S.A.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SWITZERLAND</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Singway Technology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TAIWAN, PROVINCE OF 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Solar Applied Materials Technology Corp.</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TAIWAN, PROVINCE OF 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Umicore Precious Metals Thailand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THAILAND</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Atasay Kuyumculuk Sanayi Ve Ticaret A.S.</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TURKEY</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Istanbul Gold Refinery</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TURKEY</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Nadir Metal Rafineri San. Ve Tic. A.S.</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TURKEY</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African Gold Refinery</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UGANDA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Al Etihad Gold Refinery DMCC</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ARAB EMIRATES</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Dijllah Gold Refinery FZC</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ARAB EMIRATES</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Emirates Gold DMCC</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ARAB EMIRATES</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Fujairah Gold FZC</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ARAB EMIRATES</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International Precious Metal Refiners</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ARAB EMIRATES</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Kaloti Precious Metals</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ARAB EMIRATES</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Abington Reldan Metals, LLC</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Advanced Chemical Company</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Asahi Refining USA Inc.</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Geib Refining Corporation</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Kennecott Utah Copper LLC</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Materion</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Metalor USA Refining Corporation</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Pease &amp; Curren</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QG Refining, LLC</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Sabin Metal Corp.</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United Precious Metal Refining, Inc.</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Almalyk Mining and Metallurgical Complex (AMMC)</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UZBEKISTAN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Navoi Mining and Metallurgical Combinat</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UZBEKISTAN</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Universal Precious Metals Refining Zambia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ZAMBIA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Fidelity Printers and Refiners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ZIMBABWE</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LSM Brasil S.A.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Mineracao Taboca S.A.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Resind Industria e Comercio Ltda.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Changsha South Tantalum Niobium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F&amp;X Electro-Materials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FIR Metals &amp; Resource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Guangdong Rising Rare Metals-EO Materials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auto"/>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auto"/>
              <w:right w:val="single" w:sz="8" w:color="CCCCCC"/>
            </w:tcBorders>
          </w:tcPr>
          <w:p>
            <w:pPr>
              <w:spacing w:after="0"/>
              <w:rPr>
                <w:sz w:val="20"/>
                <w:szCs w:val="20"/>
                <w:color w:val="auto"/>
              </w:rPr>
            </w:pPr>
            <w:r>
              <w:rPr>
                <w:rFonts w:ascii="Arial" w:cs="Arial" w:eastAsia="Arial" w:hAnsi="Arial"/>
                <w:sz w:val="16"/>
                <w:szCs w:val="16"/>
                <w:color w:val="auto"/>
              </w:rPr>
              <w:t>Guangdong Zhiyuan New Material Co., Ltd.</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bl>
    <w:p>
      <w:pPr>
        <w:sectPr>
          <w:pgSz w:w="11900" w:h="16838" w:orient="portrait"/>
          <w:cols w:equalWidth="0" w:num="1">
            <w:col w:w="11060"/>
          </w:cols>
          <w:pgMar w:left="320" w:top="916" w:right="51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180" w:type="dxa"/>
            <w:vAlign w:val="bottom"/>
            <w:tcBorders>
              <w:top w:val="single" w:sz="8" w:color="auto"/>
              <w:left w:val="single" w:sz="8" w:color="auto"/>
              <w:bottom w:val="single" w:sz="8" w:color="auto"/>
              <w:right w:val="single" w:sz="8" w:color="CCCCCC"/>
            </w:tcBorders>
            <w:shd w:val="clear" w:color="auto" w:fill="0070C0"/>
          </w:tcPr>
          <w:p>
            <w:pPr>
              <w:ind w:left="40"/>
              <w:spacing w:after="0"/>
              <w:rPr>
                <w:sz w:val="20"/>
                <w:szCs w:val="20"/>
                <w:color w:val="auto"/>
              </w:rPr>
            </w:pPr>
            <w:r>
              <w:rPr>
                <w:rFonts w:ascii="Arial" w:cs="Arial" w:eastAsia="Arial" w:hAnsi="Arial"/>
                <w:sz w:val="16"/>
                <w:szCs w:val="16"/>
                <w:b w:val="1"/>
                <w:bCs w:val="1"/>
                <w:color w:val="FFFFFF"/>
              </w:rPr>
              <w:t>Metal</w:t>
            </w:r>
          </w:p>
        </w:tc>
        <w:tc>
          <w:tcPr>
            <w:tcW w:w="6720" w:type="dxa"/>
            <w:vAlign w:val="bottom"/>
            <w:tcBorders>
              <w:top w:val="single" w:sz="8" w:color="auto"/>
              <w:bottom w:val="single" w:sz="8" w:color="auto"/>
              <w:right w:val="single" w:sz="8" w:color="CCCCCC"/>
            </w:tcBorders>
            <w:shd w:val="clear" w:color="auto" w:fill="0070C0"/>
          </w:tcPr>
          <w:p>
            <w:pPr>
              <w:spacing w:after="0"/>
              <w:rPr>
                <w:sz w:val="20"/>
                <w:szCs w:val="20"/>
                <w:color w:val="auto"/>
              </w:rPr>
            </w:pPr>
            <w:r>
              <w:rPr>
                <w:rFonts w:ascii="Arial" w:cs="Arial" w:eastAsia="Arial" w:hAnsi="Arial"/>
                <w:sz w:val="16"/>
                <w:szCs w:val="16"/>
                <w:b w:val="1"/>
                <w:bCs w:val="1"/>
                <w:color w:val="FFFFFF"/>
              </w:rPr>
              <w:t>Smelter Name</w:t>
            </w:r>
          </w:p>
        </w:tc>
        <w:tc>
          <w:tcPr>
            <w:tcW w:w="3180" w:type="dxa"/>
            <w:vAlign w:val="bottom"/>
            <w:tcBorders>
              <w:top w:val="single" w:sz="8" w:color="auto"/>
              <w:bottom w:val="single" w:sz="8" w:color="auto"/>
              <w:right w:val="single" w:sz="8" w:color="auto"/>
            </w:tcBorders>
            <w:shd w:val="clear" w:color="auto" w:fill="0070C0"/>
          </w:tcPr>
          <w:p>
            <w:pPr>
              <w:ind w:left="20"/>
              <w:spacing w:after="0"/>
              <w:rPr>
                <w:sz w:val="20"/>
                <w:szCs w:val="20"/>
                <w:color w:val="auto"/>
              </w:rPr>
            </w:pPr>
            <w:r>
              <w:rPr>
                <w:rFonts w:ascii="Arial" w:cs="Arial" w:eastAsia="Arial" w:hAnsi="Arial"/>
                <w:sz w:val="16"/>
                <w:szCs w:val="16"/>
                <w:b w:val="1"/>
                <w:bCs w:val="1"/>
                <w:color w:val="FFFFFF"/>
              </w:rPr>
              <w:t>Smelter Country</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Hengyang King Xing Lifeng New Materials Co., Ltd.</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Jiangxi Dinghai Tantalum &amp; Niobium Co., Ltd.</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Jiangxi Tuohong New Raw Material</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Jiujiang Janny New Material Co., Ltd.</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JiuJiang JinXin Nonferrous Metals Co., Ltd.</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Jiujiang Tanbre Co., Ltd.</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Jiujiang Zhongao Tantalum &amp; Niobium Co., Ltd.</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Ningxia Orient Tantalum Industry Co., Ltd.</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XinXing HaoRong Electronic Material Co., Ltd.</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Yanling Jincheng Tantalum &amp; Niobium Co., Ltd.</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NPM Silmet AS</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ESTONIA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H.C. Starck Hermsdorf GmbH</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H.C. Starck Smelting GmbH &amp; Co. KG</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H.C. Starck Tantalum and Niobium GmbH</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Metallurgical Products India Pvt., Ltd.</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Asaka Riken Co., Ltd.</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Global Advanced Metals Aizu</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H.C. Starck Ltd.</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Mitsui Mining and Smelting Co., Ltd.</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Taki Chemical Co., Ltd.</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Ulba Metallurgical Plant JSC</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KAZAKHSTAN</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KEMET Blue Metals</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MEXICO</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PRG Dooel</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NORTH MACEDONIA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Solikamsk Magnesium Works OAO</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H.C. Starck Co., Ltd.</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THAILAND</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CP Metals Inc.</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D Block Metals, LLC</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Exotech Inc.</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Global Advanced Metals Boyertown</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H.C. Starck Inc.</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KEMET Blue Powder</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QuantumClean</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Telex Metals</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Metallo Belgium N.V.</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BELGIUM</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EM Vinto</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BOLIVIA (PLURINATIONAL STATE OF)</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Operaciones Metalurgicas S.A.</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BOLIVIA (PLURINATIONAL STATE OF)</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Estanho de Rondonia S.A.</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Magnu's Minerais Metais e Ligas Ltda.</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Melt Metais e Ligas S.A.</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Mineracao Taboca S.A.</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Resind Industria e Comercio Ltda.</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09"/>
        </w:trPr>
        <w:tc>
          <w:tcPr>
            <w:tcW w:w="1180" w:type="dxa"/>
            <w:vAlign w:val="bottom"/>
            <w:tcBorders>
              <w:left w:val="single" w:sz="8" w:color="auto"/>
              <w:bottom w:val="single" w:sz="8" w:color="auto"/>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auto"/>
              <w:right w:val="single" w:sz="8" w:color="CCCCCC"/>
            </w:tcBorders>
          </w:tcPr>
          <w:p>
            <w:pPr>
              <w:spacing w:after="0"/>
              <w:rPr>
                <w:sz w:val="20"/>
                <w:szCs w:val="20"/>
                <w:color w:val="auto"/>
              </w:rPr>
            </w:pPr>
            <w:r>
              <w:rPr>
                <w:rFonts w:ascii="Arial" w:cs="Arial" w:eastAsia="Arial" w:hAnsi="Arial"/>
                <w:sz w:val="16"/>
                <w:szCs w:val="16"/>
                <w:color w:val="auto"/>
              </w:rPr>
              <w:t>Soft Metais Ltda.</w:t>
            </w:r>
          </w:p>
        </w:tc>
        <w:tc>
          <w:tcPr>
            <w:tcW w:w="3180" w:type="dxa"/>
            <w:vAlign w:val="bottom"/>
            <w:tcBorders>
              <w:bottom w:val="single" w:sz="8" w:color="auto"/>
              <w:right w:val="single" w:sz="8" w:color="CCCCCC"/>
            </w:tcBorders>
          </w:tcPr>
          <w:p>
            <w:pPr>
              <w:ind w:left="20"/>
              <w:spacing w:after="0"/>
              <w:rPr>
                <w:sz w:val="20"/>
                <w:szCs w:val="20"/>
                <w:color w:val="auto"/>
              </w:rPr>
            </w:pPr>
            <w:r>
              <w:rPr>
                <w:rFonts w:ascii="Arial" w:cs="Arial" w:eastAsia="Arial" w:hAnsi="Arial"/>
                <w:sz w:val="16"/>
                <w:szCs w:val="16"/>
                <w:color w:val="auto"/>
              </w:rPr>
              <w:t>BRAZIL</w:t>
            </w:r>
          </w:p>
        </w:tc>
      </w:tr>
    </w:tbl>
    <w:p>
      <w:pPr>
        <w:sectPr>
          <w:pgSz w:w="11900" w:h="16838" w:orient="portrait"/>
          <w:cols w:equalWidth="0" w:num="1">
            <w:col w:w="11060"/>
          </w:cols>
          <w:pgMar w:left="320" w:top="916" w:right="51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180" w:type="dxa"/>
            <w:vAlign w:val="bottom"/>
            <w:tcBorders>
              <w:top w:val="single" w:sz="8" w:color="auto"/>
              <w:left w:val="single" w:sz="8" w:color="auto"/>
              <w:bottom w:val="single" w:sz="8" w:color="auto"/>
              <w:right w:val="single" w:sz="8" w:color="CCCCCC"/>
            </w:tcBorders>
            <w:shd w:val="clear" w:color="auto" w:fill="0070C0"/>
          </w:tcPr>
          <w:p>
            <w:pPr>
              <w:ind w:left="40"/>
              <w:spacing w:after="0"/>
              <w:rPr>
                <w:sz w:val="20"/>
                <w:szCs w:val="20"/>
                <w:color w:val="auto"/>
              </w:rPr>
            </w:pPr>
            <w:r>
              <w:rPr>
                <w:rFonts w:ascii="Arial" w:cs="Arial" w:eastAsia="Arial" w:hAnsi="Arial"/>
                <w:sz w:val="16"/>
                <w:szCs w:val="16"/>
                <w:b w:val="1"/>
                <w:bCs w:val="1"/>
                <w:color w:val="FFFFFF"/>
              </w:rPr>
              <w:t>Metal</w:t>
            </w:r>
          </w:p>
        </w:tc>
        <w:tc>
          <w:tcPr>
            <w:tcW w:w="6720" w:type="dxa"/>
            <w:vAlign w:val="bottom"/>
            <w:tcBorders>
              <w:top w:val="single" w:sz="8" w:color="auto"/>
              <w:bottom w:val="single" w:sz="8" w:color="auto"/>
              <w:right w:val="single" w:sz="8" w:color="CCCCCC"/>
            </w:tcBorders>
            <w:shd w:val="clear" w:color="auto" w:fill="0070C0"/>
          </w:tcPr>
          <w:p>
            <w:pPr>
              <w:spacing w:after="0"/>
              <w:rPr>
                <w:sz w:val="20"/>
                <w:szCs w:val="20"/>
                <w:color w:val="auto"/>
              </w:rPr>
            </w:pPr>
            <w:r>
              <w:rPr>
                <w:rFonts w:ascii="Arial" w:cs="Arial" w:eastAsia="Arial" w:hAnsi="Arial"/>
                <w:sz w:val="16"/>
                <w:szCs w:val="16"/>
                <w:b w:val="1"/>
                <w:bCs w:val="1"/>
                <w:color w:val="FFFFFF"/>
              </w:rPr>
              <w:t>Smelter Name</w:t>
            </w:r>
          </w:p>
        </w:tc>
        <w:tc>
          <w:tcPr>
            <w:tcW w:w="3180" w:type="dxa"/>
            <w:vAlign w:val="bottom"/>
            <w:tcBorders>
              <w:top w:val="single" w:sz="8" w:color="auto"/>
              <w:bottom w:val="single" w:sz="8" w:color="auto"/>
              <w:right w:val="single" w:sz="8" w:color="auto"/>
            </w:tcBorders>
            <w:shd w:val="clear" w:color="auto" w:fill="0070C0"/>
          </w:tcPr>
          <w:p>
            <w:pPr>
              <w:ind w:left="20"/>
              <w:spacing w:after="0"/>
              <w:rPr>
                <w:sz w:val="20"/>
                <w:szCs w:val="20"/>
                <w:color w:val="auto"/>
              </w:rPr>
            </w:pPr>
            <w:r>
              <w:rPr>
                <w:rFonts w:ascii="Arial" w:cs="Arial" w:eastAsia="Arial" w:hAnsi="Arial"/>
                <w:sz w:val="16"/>
                <w:szCs w:val="16"/>
                <w:b w:val="1"/>
                <w:bCs w:val="1"/>
                <w:color w:val="FFFFFF"/>
              </w:rPr>
              <w:t>Smelter Country</w:t>
            </w:r>
          </w:p>
        </w:tc>
      </w:tr>
      <w:tr>
        <w:trPr>
          <w:trHeight w:val="206"/>
        </w:trPr>
        <w:tc>
          <w:tcPr>
            <w:tcW w:w="1180" w:type="dxa"/>
            <w:vAlign w:val="bottom"/>
            <w:tcBorders>
              <w:left w:val="single" w:sz="8" w:color="auto"/>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right w:val="single" w:sz="8" w:color="CCCCCC"/>
            </w:tcBorders>
          </w:tcPr>
          <w:p>
            <w:pPr>
              <w:spacing w:after="0"/>
              <w:rPr>
                <w:sz w:val="20"/>
                <w:szCs w:val="20"/>
                <w:color w:val="auto"/>
              </w:rPr>
            </w:pPr>
            <w:r>
              <w:rPr>
                <w:rFonts w:ascii="Arial" w:cs="Arial" w:eastAsia="Arial" w:hAnsi="Arial"/>
                <w:sz w:val="16"/>
                <w:szCs w:val="16"/>
                <w:color w:val="auto"/>
              </w:rPr>
              <w:t>Super Ligas</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18"/>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White Solder Metalurgia e Mineracao Ltda.</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12"/>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Chenzhou Yunxiang Mining and Metallurgy Co., Ltd.</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Chifeng Dajingzi Tin Industry Co., Ltd.</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China Tin Group Co., Ltd.</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Dongguan CiEXPO Environmental Engineering Co., Ltd.</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Gejiu City Fuxiang Industry and Trade Co., Ltd.</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Gejiu Fengming Metallurgy Chemical Plant</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Gejiu Kai Meng Industry and Trade LLC</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Gejiu Non-Ferrous Metal Processing Co., Ltd.</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Gejiu Yunxin Nonferrous Electrolysis Co., Ltd.</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Gejiu Zili Mining And Metallurgy Co., Ltd.</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Guangdong Hanhe Non-Ferrous Metal Co., Ltd.</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Guanyang Guida Nonferrous Metal Smelting Plant</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HuiChang Hill Tin Industry Co., Ltd.</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Huichang Jinshunda Tin Co., Ltd.</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Jiangxi New Nanshan Technology Ltd.</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Ma'anshan Weitai Tin Co., Ltd.</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Yunnan Chengfeng Non-ferrous Metals Co., Ltd.</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Yunnan Tin Company Limited</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Yunnan Yunfan Non-ferrous Metals Co., Ltd.</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Precious Minerals and Smelting Limited</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CV Ayi Jaya</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CV Dua Sekawan</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CV Gita Pesona</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CV United Smelting</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CV Venus Inti Perkasa</w:t>
            </w:r>
          </w:p>
        </w:tc>
        <w:tc>
          <w:tcPr>
            <w:tcW w:w="3180" w:type="dxa"/>
            <w:vAlign w:val="bottom"/>
            <w:tcBorders>
              <w:bottom w:val="single" w:sz="8" w:color="CCCCCC"/>
              <w:right w:val="single" w:sz="8" w:color="CCCCCC"/>
            </w:tcBorders>
          </w:tcPr>
          <w:p>
            <w:pPr>
              <w:ind w:left="20"/>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Aries Kencana Sejahtera</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Artha Cipta Langgeng</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ATD Makmur Mandiri Jaya</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Babel Inti Perkasa</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Babel Surya Alam Lestari</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Bangka Prima Tin</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Bangka Serumpun</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Bangka Tin Industry</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Belitung Industri Sejahtera</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Bukit Timah</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DS Jaya Abadi</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Eunindo Usaha Mandiri</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Inti Stania Prima</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Karimun Mining</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Kijang Jaya Mandiri</w:t>
            </w:r>
          </w:p>
        </w:tc>
        <w:tc>
          <w:tcPr>
            <w:tcW w:w="318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09"/>
        </w:trPr>
        <w:tc>
          <w:tcPr>
            <w:tcW w:w="1180" w:type="dxa"/>
            <w:vAlign w:val="bottom"/>
            <w:tcBorders>
              <w:left w:val="single" w:sz="8" w:color="auto"/>
              <w:bottom w:val="single" w:sz="8" w:color="auto"/>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auto"/>
              <w:right w:val="single" w:sz="8" w:color="CCCCCC"/>
            </w:tcBorders>
          </w:tcPr>
          <w:p>
            <w:pPr>
              <w:spacing w:after="0"/>
              <w:rPr>
                <w:sz w:val="20"/>
                <w:szCs w:val="20"/>
                <w:color w:val="auto"/>
              </w:rPr>
            </w:pPr>
            <w:r>
              <w:rPr>
                <w:rFonts w:ascii="Arial" w:cs="Arial" w:eastAsia="Arial" w:hAnsi="Arial"/>
                <w:sz w:val="16"/>
                <w:szCs w:val="16"/>
                <w:color w:val="auto"/>
              </w:rPr>
              <w:t>PT Menara Cipta Mulia</w:t>
            </w:r>
          </w:p>
        </w:tc>
        <w:tc>
          <w:tcPr>
            <w:tcW w:w="3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bl>
    <w:p>
      <w:pPr>
        <w:sectPr>
          <w:pgSz w:w="11900" w:h="16838" w:orient="portrait"/>
          <w:cols w:equalWidth="0" w:num="1">
            <w:col w:w="11060"/>
          </w:cols>
          <w:pgMar w:left="320" w:top="916" w:right="51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180" w:type="dxa"/>
            <w:vAlign w:val="bottom"/>
            <w:tcBorders>
              <w:top w:val="single" w:sz="8" w:color="auto"/>
              <w:left w:val="single" w:sz="8" w:color="auto"/>
              <w:bottom w:val="single" w:sz="8" w:color="auto"/>
              <w:right w:val="single" w:sz="8" w:color="CCCCCC"/>
            </w:tcBorders>
            <w:shd w:val="clear" w:color="auto" w:fill="0070C0"/>
          </w:tcPr>
          <w:p>
            <w:pPr>
              <w:ind w:left="40"/>
              <w:spacing w:after="0"/>
              <w:rPr>
                <w:sz w:val="20"/>
                <w:szCs w:val="20"/>
                <w:color w:val="auto"/>
              </w:rPr>
            </w:pPr>
            <w:r>
              <w:rPr>
                <w:rFonts w:ascii="Arial" w:cs="Arial" w:eastAsia="Arial" w:hAnsi="Arial"/>
                <w:sz w:val="16"/>
                <w:szCs w:val="16"/>
                <w:b w:val="1"/>
                <w:bCs w:val="1"/>
                <w:color w:val="FFFFFF"/>
              </w:rPr>
              <w:t>Metal</w:t>
            </w:r>
          </w:p>
        </w:tc>
        <w:tc>
          <w:tcPr>
            <w:tcW w:w="6720" w:type="dxa"/>
            <w:vAlign w:val="bottom"/>
            <w:tcBorders>
              <w:top w:val="single" w:sz="8" w:color="auto"/>
              <w:bottom w:val="single" w:sz="8" w:color="auto"/>
              <w:right w:val="single" w:sz="8" w:color="CCCCCC"/>
            </w:tcBorders>
            <w:shd w:val="clear" w:color="auto" w:fill="0070C0"/>
          </w:tcPr>
          <w:p>
            <w:pPr>
              <w:spacing w:after="0"/>
              <w:rPr>
                <w:sz w:val="20"/>
                <w:szCs w:val="20"/>
                <w:color w:val="auto"/>
              </w:rPr>
            </w:pPr>
            <w:r>
              <w:rPr>
                <w:rFonts w:ascii="Arial" w:cs="Arial" w:eastAsia="Arial" w:hAnsi="Arial"/>
                <w:sz w:val="16"/>
                <w:szCs w:val="16"/>
                <w:b w:val="1"/>
                <w:bCs w:val="1"/>
                <w:color w:val="FFFFFF"/>
              </w:rPr>
              <w:t>Smelter Name</w:t>
            </w:r>
          </w:p>
        </w:tc>
        <w:tc>
          <w:tcPr>
            <w:tcW w:w="3160" w:type="dxa"/>
            <w:vAlign w:val="bottom"/>
            <w:tcBorders>
              <w:top w:val="single" w:sz="8" w:color="auto"/>
              <w:bottom w:val="single" w:sz="8" w:color="auto"/>
              <w:right w:val="single" w:sz="8" w:color="auto"/>
            </w:tcBorders>
            <w:shd w:val="clear" w:color="auto" w:fill="0070C0"/>
          </w:tcPr>
          <w:p>
            <w:pPr>
              <w:ind w:left="20"/>
              <w:spacing w:after="0"/>
              <w:rPr>
                <w:sz w:val="20"/>
                <w:szCs w:val="20"/>
                <w:color w:val="auto"/>
              </w:rPr>
            </w:pPr>
            <w:r>
              <w:rPr>
                <w:rFonts w:ascii="Arial" w:cs="Arial" w:eastAsia="Arial" w:hAnsi="Arial"/>
                <w:sz w:val="16"/>
                <w:szCs w:val="16"/>
                <w:b w:val="1"/>
                <w:bCs w:val="1"/>
                <w:color w:val="FFFFFF"/>
              </w:rPr>
              <w:t>Smelter Country</w:t>
            </w:r>
          </w:p>
        </w:tc>
      </w:tr>
      <w:tr>
        <w:trPr>
          <w:trHeight w:val="206"/>
        </w:trPr>
        <w:tc>
          <w:tcPr>
            <w:tcW w:w="1180" w:type="dxa"/>
            <w:vAlign w:val="bottom"/>
            <w:tcBorders>
              <w:left w:val="single" w:sz="8" w:color="auto"/>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right w:val="single" w:sz="8" w:color="CCCCCC"/>
            </w:tcBorders>
          </w:tcPr>
          <w:p>
            <w:pPr>
              <w:spacing w:after="0"/>
              <w:rPr>
                <w:sz w:val="20"/>
                <w:szCs w:val="20"/>
                <w:color w:val="auto"/>
              </w:rPr>
            </w:pPr>
            <w:r>
              <w:rPr>
                <w:rFonts w:ascii="Arial" w:cs="Arial" w:eastAsia="Arial" w:hAnsi="Arial"/>
                <w:sz w:val="16"/>
                <w:szCs w:val="16"/>
                <w:color w:val="auto"/>
              </w:rPr>
              <w:t>PT Mitra Stania Prima</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8"/>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Mitra Sukses Globalindo</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2"/>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Panca Mega Persada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Prima Timah Utama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Rajawali Rimba Perkasa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Rajehan Ariq</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Refined Bangka Tin</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Sariwiguna Binasentosa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Stanindo Inti Perkasa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Sukses Inti Makmur</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Sumber Jaya Indah</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Timah Tbk Kundur</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Timah Tbk Mentok</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Tinindo Inter Nusa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Tirus Putra Mandiri</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Tommy Utama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Dowa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Mitsubishi Materials Corporation</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Malaysia Smelting Corporation (MSC)</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MALAYSIA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Modeltech Sdn Bhd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MALAYSIA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Pongpipat Company Limited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MYANMAR</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Minsur</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PERU</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O.M. Manufacturing Philippines, Inc.</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PHILIPPINES</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Fenix Metals</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POLAND</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Novosibirsk Processing Plant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Luna Smelter,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RWANDA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CRM Synergies</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SPAIN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Metallo Spain S.L.U.</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SPAIN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Rui Da Hung</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TAIWAN, PROVINCE OF 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O.M. Manufacturing (Thailand)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THAILAND</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Thaisarco</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THAILAND</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Alpha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Metallic Resources, Inc.</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Tin Technology &amp; Refining</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An Vinh Joint Stock Mineral Processing Company</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VIETNAM</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Electro-Mechanical Facility of the Cao Bang Minerals &amp; Metallurgy Joint Stock Company</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VIETNAM</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Nghe Tinh Non-Ferrous Metals Joint Stock Company</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VIETNAM</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Thai Nguyen Mining and Metallurgy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VIETNAM</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Tuyen Quang Non-Ferrous Metals Joint Stock Company</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VIETNAM</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Wolfram Bergbau und Hutten AG</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AUSTRIA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ACL Metais Eireli</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Albasteel Industria e Comercio de Ligas Para Fundicao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09"/>
        </w:trPr>
        <w:tc>
          <w:tcPr>
            <w:tcW w:w="1180" w:type="dxa"/>
            <w:vAlign w:val="bottom"/>
            <w:tcBorders>
              <w:left w:val="single" w:sz="8" w:color="auto"/>
              <w:bottom w:val="single" w:sz="8" w:color="auto"/>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auto"/>
              <w:right w:val="single" w:sz="8" w:color="CCCCCC"/>
            </w:tcBorders>
          </w:tcPr>
          <w:p>
            <w:pPr>
              <w:spacing w:after="0"/>
              <w:rPr>
                <w:sz w:val="20"/>
                <w:szCs w:val="20"/>
                <w:color w:val="auto"/>
              </w:rPr>
            </w:pPr>
            <w:r>
              <w:rPr>
                <w:rFonts w:ascii="Arial" w:cs="Arial" w:eastAsia="Arial" w:hAnsi="Arial"/>
                <w:sz w:val="16"/>
                <w:szCs w:val="16"/>
                <w:color w:val="auto"/>
              </w:rPr>
              <w:t>Cronimet Brasil Ltda</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bl>
    <w:p>
      <w:pPr>
        <w:sectPr>
          <w:pgSz w:w="11900" w:h="16838" w:orient="portrait"/>
          <w:cols w:equalWidth="0" w:num="1">
            <w:col w:w="11060"/>
          </w:cols>
          <w:pgMar w:left="320" w:top="916" w:right="51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180" w:type="dxa"/>
            <w:vAlign w:val="bottom"/>
            <w:tcBorders>
              <w:top w:val="single" w:sz="8" w:color="auto"/>
              <w:left w:val="single" w:sz="8" w:color="auto"/>
              <w:bottom w:val="single" w:sz="8" w:color="auto"/>
              <w:right w:val="single" w:sz="8" w:color="CCCCCC"/>
            </w:tcBorders>
            <w:shd w:val="clear" w:color="auto" w:fill="0070C0"/>
          </w:tcPr>
          <w:p>
            <w:pPr>
              <w:ind w:left="40"/>
              <w:spacing w:after="0"/>
              <w:rPr>
                <w:sz w:val="20"/>
                <w:szCs w:val="20"/>
                <w:color w:val="auto"/>
              </w:rPr>
            </w:pPr>
            <w:r>
              <w:rPr>
                <w:rFonts w:ascii="Arial" w:cs="Arial" w:eastAsia="Arial" w:hAnsi="Arial"/>
                <w:sz w:val="16"/>
                <w:szCs w:val="16"/>
                <w:b w:val="1"/>
                <w:bCs w:val="1"/>
                <w:color w:val="FFFFFF"/>
              </w:rPr>
              <w:t>Metal</w:t>
            </w:r>
          </w:p>
        </w:tc>
        <w:tc>
          <w:tcPr>
            <w:tcW w:w="6720" w:type="dxa"/>
            <w:vAlign w:val="bottom"/>
            <w:tcBorders>
              <w:top w:val="single" w:sz="8" w:color="auto"/>
              <w:bottom w:val="single" w:sz="8" w:color="auto"/>
              <w:right w:val="single" w:sz="8" w:color="CCCCCC"/>
            </w:tcBorders>
            <w:shd w:val="clear" w:color="auto" w:fill="0070C0"/>
          </w:tcPr>
          <w:p>
            <w:pPr>
              <w:spacing w:after="0"/>
              <w:rPr>
                <w:sz w:val="20"/>
                <w:szCs w:val="20"/>
                <w:color w:val="auto"/>
              </w:rPr>
            </w:pPr>
            <w:r>
              <w:rPr>
                <w:rFonts w:ascii="Arial" w:cs="Arial" w:eastAsia="Arial" w:hAnsi="Arial"/>
                <w:sz w:val="16"/>
                <w:szCs w:val="16"/>
                <w:b w:val="1"/>
                <w:bCs w:val="1"/>
                <w:color w:val="FFFFFF"/>
              </w:rPr>
              <w:t>Smelter Name</w:t>
            </w:r>
          </w:p>
        </w:tc>
        <w:tc>
          <w:tcPr>
            <w:tcW w:w="3160" w:type="dxa"/>
            <w:vAlign w:val="bottom"/>
            <w:tcBorders>
              <w:top w:val="single" w:sz="8" w:color="auto"/>
              <w:bottom w:val="single" w:sz="8" w:color="auto"/>
              <w:right w:val="single" w:sz="8" w:color="auto"/>
            </w:tcBorders>
            <w:shd w:val="clear" w:color="auto" w:fill="0070C0"/>
          </w:tcPr>
          <w:p>
            <w:pPr>
              <w:ind w:left="20"/>
              <w:spacing w:after="0"/>
              <w:rPr>
                <w:sz w:val="20"/>
                <w:szCs w:val="20"/>
                <w:color w:val="auto"/>
              </w:rPr>
            </w:pPr>
            <w:r>
              <w:rPr>
                <w:rFonts w:ascii="Arial" w:cs="Arial" w:eastAsia="Arial" w:hAnsi="Arial"/>
                <w:sz w:val="16"/>
                <w:szCs w:val="16"/>
                <w:b w:val="1"/>
                <w:bCs w:val="1"/>
                <w:color w:val="FFFFFF"/>
              </w:rPr>
              <w:t>Smelter Country</w:t>
            </w:r>
          </w:p>
        </w:tc>
      </w:tr>
      <w:tr>
        <w:trPr>
          <w:trHeight w:val="206"/>
        </w:trPr>
        <w:tc>
          <w:tcPr>
            <w:tcW w:w="1180" w:type="dxa"/>
            <w:vAlign w:val="bottom"/>
            <w:tcBorders>
              <w:left w:val="single" w:sz="8" w:color="auto"/>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right w:val="single" w:sz="8" w:color="CCCCCC"/>
            </w:tcBorders>
          </w:tcPr>
          <w:p>
            <w:pPr>
              <w:spacing w:after="0"/>
              <w:rPr>
                <w:sz w:val="20"/>
                <w:szCs w:val="20"/>
                <w:color w:val="auto"/>
              </w:rPr>
            </w:pPr>
            <w:r>
              <w:rPr>
                <w:rFonts w:ascii="Arial" w:cs="Arial" w:eastAsia="Arial" w:hAnsi="Arial"/>
                <w:sz w:val="16"/>
                <w:szCs w:val="16"/>
                <w:color w:val="auto"/>
              </w:rPr>
              <w:t>Chenzhou Diamond Tungsten Products Co., Ltd.</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8"/>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China Molybdenum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2"/>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Chongyi Zhangyuan Tungsten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CNMC (Guangxi) PGMA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Fujian Ganmin RareMetal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Fujian Jinxin Tungsten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Ganzhou Haichuang Tungsten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Ganzhou Huaxing Tungsten Products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Ganzhou Jiangwu Ferrotungsten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Ganzhou Seadragon W &amp; Mo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GEM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Guangdong Xianglu Tungsten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Hunan Chenzhou Mining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Hunan Chuangda Vanadium Tungsten Co., Ltd. Wuji</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Hunan Chunchang Nonferrous Metals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Hunan Litian Tungsten Industry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Jiangwu H.C. Starck Tungsten Products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Jiangxi Gan Bei Tungsten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Jiangxi Minmetals Gao'an Non-ferrous Metals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Jiangxi Tonggu Non-ferrous Metallurgical &amp; Chemical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Jiangxi Xianglu Tungsten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Jiangxi Xinsheng Tungsten Industry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Jiangxi Yaosheng Tungsten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Malipo Haiyu Tungsten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Shaoguan Xinhai Rendan Tungsten Industry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South-East Nonferrous Metal Company Limited of Hengyang City</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Xiamen Tungsten (H.C.)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Xiamen Tungsten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Xinfeng Huarui Tungsten &amp; Molybdenum New Material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H.C. Starck Smelting GmbH &amp; Co. KG</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H.C. Starck Tungsten GmbH</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A.L.M.T. Corp.</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Japan New Metals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KGETS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Woltech Korea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Philippine Chuangxin Industrial Co., Inc.</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PHILIPPINES</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Hydrometallurg, JSC</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JSC "Kirovgrad Hard Alloys Plant"</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Moliren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NPP Tyazhmetprom LLC</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Unecha Refractory metals plant</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Lianyou Metals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TAIWAN, PROVINCE OF CHINA</w:t>
            </w:r>
          </w:p>
        </w:tc>
      </w:tr>
      <w:tr>
        <w:trPr>
          <w:trHeight w:val="209"/>
        </w:trPr>
        <w:tc>
          <w:tcPr>
            <w:tcW w:w="1180" w:type="dxa"/>
            <w:vAlign w:val="bottom"/>
            <w:tcBorders>
              <w:left w:val="single" w:sz="8" w:color="auto"/>
              <w:bottom w:val="single" w:sz="8" w:color="auto"/>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auto"/>
              <w:right w:val="single" w:sz="8" w:color="CCCCCC"/>
            </w:tcBorders>
          </w:tcPr>
          <w:p>
            <w:pPr>
              <w:spacing w:after="0"/>
              <w:rPr>
                <w:sz w:val="20"/>
                <w:szCs w:val="20"/>
                <w:color w:val="auto"/>
              </w:rPr>
            </w:pPr>
            <w:r>
              <w:rPr>
                <w:rFonts w:ascii="Arial" w:cs="Arial" w:eastAsia="Arial" w:hAnsi="Arial"/>
                <w:sz w:val="16"/>
                <w:szCs w:val="16"/>
                <w:color w:val="auto"/>
              </w:rPr>
              <w:t>CP Metals Inc.</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bl>
    <w:p>
      <w:pPr>
        <w:sectPr>
          <w:pgSz w:w="11900" w:h="16838" w:orient="portrait"/>
          <w:cols w:equalWidth="0" w:num="1">
            <w:col w:w="11060"/>
          </w:cols>
          <w:pgMar w:left="320" w:top="916" w:right="51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180" w:type="dxa"/>
            <w:vAlign w:val="bottom"/>
            <w:tcBorders>
              <w:top w:val="single" w:sz="8" w:color="auto"/>
              <w:left w:val="single" w:sz="8" w:color="auto"/>
              <w:bottom w:val="single" w:sz="8" w:color="auto"/>
              <w:right w:val="single" w:sz="8" w:color="CCCCCC"/>
            </w:tcBorders>
            <w:shd w:val="clear" w:color="auto" w:fill="0070C0"/>
          </w:tcPr>
          <w:p>
            <w:pPr>
              <w:ind w:left="40"/>
              <w:spacing w:after="0"/>
              <w:rPr>
                <w:sz w:val="20"/>
                <w:szCs w:val="20"/>
                <w:color w:val="auto"/>
              </w:rPr>
            </w:pPr>
            <w:r>
              <w:rPr>
                <w:rFonts w:ascii="Arial" w:cs="Arial" w:eastAsia="Arial" w:hAnsi="Arial"/>
                <w:sz w:val="16"/>
                <w:szCs w:val="16"/>
                <w:b w:val="1"/>
                <w:bCs w:val="1"/>
                <w:color w:val="FFFFFF"/>
              </w:rPr>
              <w:t>Metal</w:t>
            </w:r>
          </w:p>
        </w:tc>
        <w:tc>
          <w:tcPr>
            <w:tcW w:w="6720" w:type="dxa"/>
            <w:vAlign w:val="bottom"/>
            <w:tcBorders>
              <w:top w:val="single" w:sz="8" w:color="auto"/>
              <w:bottom w:val="single" w:sz="8" w:color="auto"/>
              <w:right w:val="single" w:sz="8" w:color="CCCCCC"/>
            </w:tcBorders>
            <w:shd w:val="clear" w:color="auto" w:fill="0070C0"/>
          </w:tcPr>
          <w:p>
            <w:pPr>
              <w:spacing w:after="0"/>
              <w:rPr>
                <w:sz w:val="20"/>
                <w:szCs w:val="20"/>
                <w:color w:val="auto"/>
              </w:rPr>
            </w:pPr>
            <w:r>
              <w:rPr>
                <w:rFonts w:ascii="Arial" w:cs="Arial" w:eastAsia="Arial" w:hAnsi="Arial"/>
                <w:sz w:val="16"/>
                <w:szCs w:val="16"/>
                <w:b w:val="1"/>
                <w:bCs w:val="1"/>
                <w:color w:val="FFFFFF"/>
              </w:rPr>
              <w:t>Smelter Name</w:t>
            </w:r>
          </w:p>
        </w:tc>
        <w:tc>
          <w:tcPr>
            <w:tcW w:w="3160" w:type="dxa"/>
            <w:vAlign w:val="bottom"/>
            <w:tcBorders>
              <w:top w:val="single" w:sz="8" w:color="auto"/>
              <w:bottom w:val="single" w:sz="8" w:color="auto"/>
              <w:right w:val="single" w:sz="8" w:color="auto"/>
            </w:tcBorders>
            <w:shd w:val="clear" w:color="auto" w:fill="0070C0"/>
          </w:tcPr>
          <w:p>
            <w:pPr>
              <w:ind w:left="20"/>
              <w:spacing w:after="0"/>
              <w:rPr>
                <w:sz w:val="20"/>
                <w:szCs w:val="20"/>
                <w:color w:val="auto"/>
              </w:rPr>
            </w:pPr>
            <w:r>
              <w:rPr>
                <w:rFonts w:ascii="Arial" w:cs="Arial" w:eastAsia="Arial" w:hAnsi="Arial"/>
                <w:sz w:val="16"/>
                <w:szCs w:val="16"/>
                <w:b w:val="1"/>
                <w:bCs w:val="1"/>
                <w:color w:val="FFFFFF"/>
              </w:rPr>
              <w:t>Smelter Country</w:t>
            </w:r>
          </w:p>
        </w:tc>
      </w:tr>
      <w:tr>
        <w:trPr>
          <w:trHeight w:val="206"/>
        </w:trPr>
        <w:tc>
          <w:tcPr>
            <w:tcW w:w="1180" w:type="dxa"/>
            <w:vAlign w:val="bottom"/>
            <w:tcBorders>
              <w:left w:val="single" w:sz="8" w:color="auto"/>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right w:val="single" w:sz="8" w:color="CCCCCC"/>
            </w:tcBorders>
          </w:tcPr>
          <w:p>
            <w:pPr>
              <w:spacing w:after="0"/>
              <w:rPr>
                <w:sz w:val="20"/>
                <w:szCs w:val="20"/>
                <w:color w:val="auto"/>
              </w:rPr>
            </w:pPr>
            <w:r>
              <w:rPr>
                <w:rFonts w:ascii="Arial" w:cs="Arial" w:eastAsia="Arial" w:hAnsi="Arial"/>
                <w:sz w:val="16"/>
                <w:szCs w:val="16"/>
                <w:color w:val="auto"/>
              </w:rPr>
              <w:t>Global Tungsten &amp; Powders Corp.</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18"/>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Kennametal Fallon</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12"/>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Kennametal Huntsville</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Niagara Refining LLC</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Asia Tungsten Products Vietnam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VIETNAM</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Masan Tungsten Chemical LLC (MTC)</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VIETNAM</w:t>
            </w:r>
          </w:p>
        </w:tc>
      </w:tr>
      <w:tr>
        <w:trPr>
          <w:trHeight w:val="210"/>
        </w:trPr>
        <w:tc>
          <w:tcPr>
            <w:tcW w:w="1180" w:type="dxa"/>
            <w:vAlign w:val="bottom"/>
            <w:tcBorders>
              <w:left w:val="single" w:sz="8" w:color="auto"/>
              <w:bottom w:val="single" w:sz="8" w:color="auto"/>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auto"/>
              <w:right w:val="single" w:sz="8" w:color="CCCCCC"/>
            </w:tcBorders>
          </w:tcPr>
          <w:p>
            <w:pPr>
              <w:spacing w:after="0"/>
              <w:rPr>
                <w:sz w:val="20"/>
                <w:szCs w:val="20"/>
                <w:color w:val="auto"/>
              </w:rPr>
            </w:pPr>
            <w:r>
              <w:rPr>
                <w:rFonts w:ascii="Arial" w:cs="Arial" w:eastAsia="Arial" w:hAnsi="Arial"/>
                <w:sz w:val="16"/>
                <w:szCs w:val="16"/>
                <w:color w:val="auto"/>
              </w:rPr>
              <w:t>Tejing (Vietnam) Tungsten Co., Ltd.</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VIETNAM</w:t>
            </w:r>
          </w:p>
        </w:tc>
      </w:tr>
    </w:tbl>
    <w:p>
      <w:pPr>
        <w:spacing w:after="0" w:line="1" w:lineRule="exact"/>
        <w:rPr>
          <w:sz w:val="20"/>
          <w:szCs w:val="20"/>
          <w:color w:val="auto"/>
        </w:rPr>
      </w:pPr>
    </w:p>
    <w:sectPr>
      <w:pgSz w:w="11900" w:h="16838" w:orient="portrait"/>
      <w:cols w:equalWidth="0" w:num="1">
        <w:col w:w="11060"/>
      </w:cols>
      <w:pgMar w:left="320" w:top="916"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2021-05-28T20:52:38Z</dcterms:created>
  <dcterms:modified xsi:type="dcterms:W3CDTF">2021-05-28T20:52:38Z</dcterms:modified>
</cp:coreProperties>
</file>