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250825</wp:posOffset>
            </wp:positionV>
            <wp:extent cx="137223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196215</wp:posOffset>
            </wp:positionV>
            <wp:extent cx="137223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March 17,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1198245</wp:posOffset>
            </wp:positionV>
            <wp:extent cx="13804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6350</wp:posOffset>
            </wp:positionV>
            <wp:extent cx="2066925" cy="909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66925" cy="9093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10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19" w:lineRule="exact"/>
        <w:rPr>
          <w:sz w:val="24"/>
          <w:szCs w:val="24"/>
          <w:color w:val="auto"/>
        </w:rPr>
      </w:pPr>
    </w:p>
    <w:tbl>
      <w:tblPr>
        <w:tblLayout w:type="fixed"/>
        <w:tblInd w:w="1120" w:type="dxa"/>
        <w:tblCellMar>
          <w:top w:w="0" w:type="dxa"/>
          <w:left w:w="0" w:type="dxa"/>
          <w:bottom w:w="0" w:type="dxa"/>
          <w:right w:w="0" w:type="dxa"/>
        </w:tblCellMar>
      </w:tblPr>
      <w:tr>
        <w:trPr>
          <w:trHeight w:val="24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Iowa</w:t>
            </w:r>
          </w:p>
        </w:tc>
        <w:tc>
          <w:tcPr>
            <w:tcW w:w="250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001-06403</w:t>
            </w:r>
          </w:p>
        </w:tc>
        <w:tc>
          <w:tcPr>
            <w:tcW w:w="240" w:type="dxa"/>
            <w:vAlign w:val="bottom"/>
            <w:tcBorders>
              <w:bottom w:val="single" w:sz="8" w:color="auto"/>
            </w:tcBorders>
          </w:tcPr>
          <w:p>
            <w:pPr>
              <w:spacing w:after="0"/>
              <w:rPr>
                <w:sz w:val="21"/>
                <w:szCs w:val="21"/>
                <w:color w:val="auto"/>
              </w:rPr>
            </w:pPr>
          </w:p>
        </w:tc>
        <w:tc>
          <w:tcPr>
            <w:tcW w:w="3120" w:type="dxa"/>
            <w:vAlign w:val="bottom"/>
            <w:tcBorders>
              <w:bottom w:val="single" w:sz="8" w:color="auto"/>
            </w:tcBorders>
          </w:tcPr>
          <w:p>
            <w:pPr>
              <w:jc w:val="right"/>
              <w:ind w:right="1110"/>
              <w:spacing w:after="0"/>
              <w:rPr>
                <w:sz w:val="20"/>
                <w:szCs w:val="20"/>
                <w:color w:val="auto"/>
              </w:rPr>
            </w:pPr>
            <w:r>
              <w:rPr>
                <w:rFonts w:ascii="Arial" w:cs="Arial" w:eastAsia="Arial" w:hAnsi="Arial"/>
                <w:sz w:val="18"/>
                <w:szCs w:val="18"/>
                <w:b w:val="1"/>
                <w:bCs w:val="1"/>
                <w:color w:val="auto"/>
              </w:rPr>
              <w:t>42-0802678</w:t>
            </w:r>
          </w:p>
        </w:tc>
      </w:tr>
      <w:tr>
        <w:trPr>
          <w:trHeight w:val="229"/>
        </w:trPr>
        <w:tc>
          <w:tcPr>
            <w:tcW w:w="3340" w:type="dxa"/>
            <w:vAlign w:val="bottom"/>
          </w:tcPr>
          <w:p>
            <w:pPr>
              <w:jc w:val="center"/>
              <w:spacing w:after="0"/>
              <w:rPr>
                <w:sz w:val="20"/>
                <w:szCs w:val="20"/>
                <w:color w:val="auto"/>
              </w:rPr>
            </w:pPr>
            <w:r>
              <w:rPr>
                <w:rFonts w:ascii="Arial" w:cs="Arial" w:eastAsia="Arial" w:hAnsi="Arial"/>
                <w:sz w:val="18"/>
                <w:szCs w:val="18"/>
                <w:color w:val="auto"/>
                <w:w w:val="99"/>
              </w:rPr>
              <w:t>(State or Other Jurisdiction</w:t>
            </w:r>
          </w:p>
        </w:tc>
        <w:tc>
          <w:tcPr>
            <w:tcW w:w="274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(Commission File Number)</w:t>
            </w:r>
          </w:p>
        </w:tc>
        <w:tc>
          <w:tcPr>
            <w:tcW w:w="3120" w:type="dxa"/>
            <w:vAlign w:val="bottom"/>
          </w:tcPr>
          <w:p>
            <w:pPr>
              <w:jc w:val="center"/>
              <w:ind w:right="150"/>
              <w:spacing w:after="0"/>
              <w:rPr>
                <w:sz w:val="20"/>
                <w:szCs w:val="20"/>
                <w:color w:val="auto"/>
              </w:rPr>
            </w:pPr>
            <w:r>
              <w:rPr>
                <w:rFonts w:ascii="Arial" w:cs="Arial" w:eastAsia="Arial" w:hAnsi="Arial"/>
                <w:sz w:val="18"/>
                <w:szCs w:val="18"/>
                <w:color w:val="auto"/>
                <w:w w:val="99"/>
              </w:rPr>
              <w:t>(IRS Employer</w:t>
            </w:r>
          </w:p>
        </w:tc>
      </w:tr>
      <w:tr>
        <w:trPr>
          <w:trHeight w:val="217"/>
        </w:trPr>
        <w:tc>
          <w:tcPr>
            <w:tcW w:w="3340" w:type="dxa"/>
            <w:vAlign w:val="bottom"/>
          </w:tcPr>
          <w:p>
            <w:pPr>
              <w:jc w:val="center"/>
              <w:spacing w:after="0"/>
              <w:rPr>
                <w:sz w:val="20"/>
                <w:szCs w:val="20"/>
                <w:color w:val="auto"/>
              </w:rPr>
            </w:pPr>
            <w:r>
              <w:rPr>
                <w:rFonts w:ascii="Arial" w:cs="Arial" w:eastAsia="Arial" w:hAnsi="Arial"/>
                <w:sz w:val="18"/>
                <w:szCs w:val="18"/>
                <w:color w:val="auto"/>
              </w:rPr>
              <w:t>of Incorporation)</w:t>
            </w:r>
          </w:p>
        </w:tc>
        <w:tc>
          <w:tcPr>
            <w:tcW w:w="2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20" w:type="dxa"/>
            <w:vAlign w:val="bottom"/>
          </w:tcPr>
          <w:p>
            <w:pPr>
              <w:jc w:val="center"/>
              <w:ind w:right="150"/>
              <w:spacing w:after="0"/>
              <w:rPr>
                <w:sz w:val="20"/>
                <w:szCs w:val="20"/>
                <w:color w:val="auto"/>
              </w:rPr>
            </w:pPr>
            <w:r>
              <w:rPr>
                <w:rFonts w:ascii="Arial" w:cs="Arial" w:eastAsia="Arial" w:hAnsi="Arial"/>
                <w:sz w:val="18"/>
                <w:szCs w:val="18"/>
                <w:color w:val="auto"/>
                <w:w w:val="99"/>
              </w:rPr>
              <w:t>Identification No.)</w:t>
            </w:r>
          </w:p>
        </w:tc>
      </w:tr>
      <w:tr>
        <w:trPr>
          <w:trHeight w:val="520"/>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P.O. Box 152, Forest City, Iowa</w:t>
            </w:r>
          </w:p>
        </w:tc>
        <w:tc>
          <w:tcPr>
            <w:tcW w:w="25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jc w:val="right"/>
              <w:ind w:right="1350"/>
              <w:spacing w:after="0"/>
              <w:rPr>
                <w:sz w:val="20"/>
                <w:szCs w:val="20"/>
                <w:color w:val="auto"/>
              </w:rPr>
            </w:pPr>
            <w:r>
              <w:rPr>
                <w:rFonts w:ascii="Arial" w:cs="Arial" w:eastAsia="Arial" w:hAnsi="Arial"/>
                <w:sz w:val="18"/>
                <w:szCs w:val="18"/>
                <w:b w:val="1"/>
                <w:bCs w:val="1"/>
                <w:color w:val="auto"/>
              </w:rPr>
              <w:t>50436</w:t>
            </w:r>
          </w:p>
        </w:tc>
      </w:tr>
      <w:tr>
        <w:trPr>
          <w:trHeight w:val="243"/>
        </w:trPr>
        <w:tc>
          <w:tcPr>
            <w:tcW w:w="3340" w:type="dxa"/>
            <w:vAlign w:val="bottom"/>
          </w:tcPr>
          <w:p>
            <w:pPr>
              <w:jc w:val="center"/>
              <w:spacing w:after="0"/>
              <w:rPr>
                <w:sz w:val="20"/>
                <w:szCs w:val="20"/>
                <w:color w:val="auto"/>
              </w:rPr>
            </w:pPr>
            <w:r>
              <w:rPr>
                <w:rFonts w:ascii="Arial" w:cs="Arial" w:eastAsia="Arial" w:hAnsi="Arial"/>
                <w:sz w:val="18"/>
                <w:szCs w:val="18"/>
                <w:color w:val="auto"/>
                <w:w w:val="99"/>
              </w:rPr>
              <w:t>(Address of Principal Executive Offices)</w:t>
            </w:r>
          </w:p>
        </w:tc>
        <w:tc>
          <w:tcPr>
            <w:tcW w:w="2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120" w:type="dxa"/>
            <w:vAlign w:val="bottom"/>
          </w:tcPr>
          <w:p>
            <w:pPr>
              <w:jc w:val="center"/>
              <w:ind w:right="150"/>
              <w:spacing w:after="0"/>
              <w:rPr>
                <w:sz w:val="20"/>
                <w:szCs w:val="20"/>
                <w:color w:val="auto"/>
              </w:rPr>
            </w:pPr>
            <w:r>
              <w:rPr>
                <w:rFonts w:ascii="Arial" w:cs="Arial" w:eastAsia="Arial" w:hAnsi="Arial"/>
                <w:sz w:val="18"/>
                <w:szCs w:val="18"/>
                <w:color w:val="auto"/>
                <w:w w:val="98"/>
              </w:rPr>
              <w:t>(Zip Code)</w:t>
            </w:r>
          </w:p>
        </w:tc>
      </w:tr>
      <w:tr>
        <w:trPr>
          <w:trHeight w:val="486"/>
        </w:trPr>
        <w:tc>
          <w:tcPr>
            <w:tcW w:w="6080" w:type="dxa"/>
            <w:vAlign w:val="bottom"/>
            <w:gridSpan w:val="3"/>
          </w:tcPr>
          <w:p>
            <w:pPr>
              <w:ind w:left="1920"/>
              <w:spacing w:after="0"/>
              <w:rPr>
                <w:sz w:val="20"/>
                <w:szCs w:val="20"/>
                <w:color w:val="auto"/>
              </w:rPr>
            </w:pPr>
            <w:r>
              <w:rPr>
                <w:rFonts w:ascii="Arial" w:cs="Arial" w:eastAsia="Arial" w:hAnsi="Arial"/>
                <w:sz w:val="18"/>
                <w:szCs w:val="18"/>
                <w:color w:val="auto"/>
              </w:rPr>
              <w:t>Registrant's telephone number, including area code</w:t>
            </w:r>
          </w:p>
        </w:tc>
        <w:tc>
          <w:tcPr>
            <w:tcW w:w="3120" w:type="dxa"/>
            <w:vAlign w:val="bottom"/>
          </w:tcPr>
          <w:p>
            <w:pPr>
              <w:jc w:val="right"/>
              <w:ind w:right="1830"/>
              <w:spacing w:after="0"/>
              <w:rPr>
                <w:sz w:val="20"/>
                <w:szCs w:val="20"/>
                <w:color w:val="auto"/>
              </w:rPr>
            </w:pPr>
            <w:r>
              <w:rPr>
                <w:rFonts w:ascii="Arial" w:cs="Arial" w:eastAsia="Arial" w:hAnsi="Arial"/>
                <w:sz w:val="18"/>
                <w:szCs w:val="18"/>
                <w:b w:val="1"/>
                <w:bCs w:val="1"/>
                <w:color w:val="auto"/>
              </w:rPr>
              <w:t>641-585-3535</w:t>
            </w:r>
          </w:p>
        </w:tc>
      </w:tr>
    </w:tbl>
    <w:p>
      <w:pPr>
        <w:spacing w:after="0" w:line="215" w:lineRule="exact"/>
        <w:rPr>
          <w:sz w:val="24"/>
          <w:szCs w:val="24"/>
          <w:color w:val="auto"/>
        </w:rPr>
      </w:pPr>
    </w:p>
    <w:p>
      <w:pPr>
        <w:ind w:left="2220"/>
        <w:spacing w:after="0"/>
        <w:rPr>
          <w:sz w:val="20"/>
          <w:szCs w:val="20"/>
          <w:color w:val="auto"/>
        </w:rPr>
      </w:pPr>
      <w:r>
        <w:rPr>
          <w:rFonts w:ascii="Arial" w:cs="Arial" w:eastAsia="Arial" w:hAnsi="Arial"/>
          <w:sz w:val="18"/>
          <w:szCs w:val="18"/>
          <w:color w:val="auto"/>
        </w:rPr>
        <w:t>______________________________________________________________________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229235</wp:posOffset>
            </wp:positionV>
            <wp:extent cx="136334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69" w:lineRule="exact"/>
        <w:rPr>
          <w:sz w:val="24"/>
          <w:szCs w:val="24"/>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ectPr>
          <w:pgSz w:w="11900" w:h="16838" w:orient="portrait"/>
          <w:cols w:equalWidth="0" w:num="1">
            <w:col w:w="11420"/>
          </w:cols>
          <w:pgMar w:left="240" w:top="717" w:right="23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7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Winnebago Industries, Inc. is filing herewith a press release issued on March 17, 2011, as Exhibit 99.1 which is included herein. The press release was issued to report earnings for the second quarter and first six months of Fiscal 2011 ended February 26, 2011.</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78" w:lineRule="exact"/>
        <w:rPr>
          <w:sz w:val="20"/>
          <w:szCs w:val="20"/>
          <w:color w:val="auto"/>
        </w:rPr>
      </w:pPr>
    </w:p>
    <w:p>
      <w:pPr>
        <w:ind w:left="420" w:hanging="412"/>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4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Exhibit</w:t>
      </w:r>
    </w:p>
    <w:p>
      <w:pPr>
        <w:spacing w:after="0" w:line="31"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18"/>
          <w:szCs w:val="18"/>
          <w:b w:val="1"/>
          <w:bCs w:val="1"/>
          <w:u w:val="single" w:color="auto"/>
          <w:color w:val="auto"/>
        </w:rPr>
        <w:t>Number</w:t>
      </w:r>
      <w:r>
        <w:rPr>
          <w:sz w:val="20"/>
          <w:szCs w:val="20"/>
          <w:color w:val="auto"/>
        </w:rPr>
        <w:tab/>
      </w:r>
      <w:r>
        <w:rPr>
          <w:rFonts w:ascii="Arial" w:cs="Arial" w:eastAsia="Arial" w:hAnsi="Arial"/>
          <w:sz w:val="17"/>
          <w:szCs w:val="17"/>
          <w:b w:val="1"/>
          <w:bCs w:val="1"/>
          <w:u w:val="single" w:color="auto"/>
          <w:color w:val="auto"/>
        </w:rPr>
        <w:t>Description</w:t>
      </w:r>
    </w:p>
    <w:p>
      <w:pPr>
        <w:spacing w:after="0" w:line="9" w:lineRule="exact"/>
        <w:rPr>
          <w:sz w:val="20"/>
          <w:szCs w:val="20"/>
          <w:color w:val="auto"/>
        </w:rPr>
      </w:pPr>
    </w:p>
    <w:p>
      <w:pPr>
        <w:ind w:left="660"/>
        <w:spacing w:after="0"/>
        <w:tabs>
          <w:tab w:leader="none" w:pos="13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Press release of Winnebago Industries, Inc. dated March 17, 2011.</w:t>
      </w:r>
    </w:p>
    <w:p>
      <w:pPr>
        <w:sectPr>
          <w:pgSz w:w="11900" w:h="16838" w:orient="portrait"/>
          <w:cols w:equalWidth="0" w:num="1">
            <w:col w:w="11020"/>
          </w:cols>
          <w:pgMar w:left="240" w:top="620" w:right="63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22"/>
          <w:szCs w:val="22"/>
          <w:b w:val="1"/>
          <w:bCs w:val="1"/>
          <w:color w:val="auto"/>
        </w:rPr>
        <w:t>SIGNATURES</w:t>
      </w:r>
    </w:p>
    <w:p>
      <w:pPr>
        <w:spacing w:after="0" w:line="17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72"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WINNEBAGO INDUSTRIES, INC.</w:t>
      </w:r>
    </w:p>
    <w:p>
      <w:pPr>
        <w:spacing w:after="0" w:line="63"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(Registrant)</w:t>
      </w:r>
    </w:p>
    <w:p>
      <w:pPr>
        <w:spacing w:after="0" w:line="360" w:lineRule="exact"/>
        <w:rPr>
          <w:sz w:val="20"/>
          <w:szCs w:val="20"/>
          <w:color w:val="auto"/>
        </w:rPr>
      </w:pPr>
    </w:p>
    <w:p>
      <w:pPr>
        <w:ind w:left="40"/>
        <w:spacing w:after="0"/>
        <w:tabs>
          <w:tab w:leader="none" w:pos="600" w:val="left"/>
          <w:tab w:leader="none" w:pos="3440" w:val="left"/>
          <w:tab w:leader="none" w:pos="4100" w:val="left"/>
        </w:tabs>
        <w:rPr>
          <w:sz w:val="20"/>
          <w:szCs w:val="20"/>
          <w:color w:val="auto"/>
        </w:rPr>
      </w:pPr>
      <w:r>
        <w:rPr>
          <w:rFonts w:ascii="Arial" w:cs="Arial" w:eastAsia="Arial" w:hAnsi="Arial"/>
          <w:sz w:val="18"/>
          <w:szCs w:val="18"/>
          <w:color w:val="auto"/>
        </w:rPr>
        <w:t>Date:</w:t>
        <w:tab/>
        <w:t>March 17,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J.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14605</wp:posOffset>
            </wp:positionV>
            <wp:extent cx="31299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spacing w:after="0" w:line="43"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Name:  Robert J. Olson</w:t>
      </w:r>
    </w:p>
    <w:p>
      <w:pPr>
        <w:spacing w:after="0" w:line="63" w:lineRule="exact"/>
        <w:rPr>
          <w:sz w:val="20"/>
          <w:szCs w:val="20"/>
          <w:color w:val="auto"/>
        </w:rPr>
      </w:pPr>
    </w:p>
    <w:p>
      <w:pPr>
        <w:ind w:left="3460"/>
        <w:spacing w:after="0"/>
        <w:tabs>
          <w:tab w:leader="none" w:pos="4100" w:val="left"/>
        </w:tabs>
        <w:rPr>
          <w:sz w:val="20"/>
          <w:szCs w:val="20"/>
          <w:color w:val="auto"/>
        </w:rPr>
      </w:pPr>
      <w:r>
        <w:rPr>
          <w:rFonts w:ascii="Arial" w:cs="Arial" w:eastAsia="Arial" w:hAnsi="Arial"/>
          <w:sz w:val="18"/>
          <w:szCs w:val="18"/>
          <w:color w:val="auto"/>
        </w:rPr>
        <w:t>Title:</w:t>
        <w:tab/>
        <w:t>Chairman of the Board and Chief Executive Officer</w:t>
      </w:r>
    </w:p>
    <w:p>
      <w:pPr>
        <w:sectPr>
          <w:pgSz w:w="11900" w:h="16838" w:orient="portrait"/>
          <w:cols w:equalWidth="0" w:num="1">
            <w:col w:w="11120"/>
          </w:cols>
          <w:pgMar w:left="240" w:top="620" w:right="539" w:bottom="1440" w:gutter="0" w:footer="0" w:header="0"/>
        </w:sectPr>
      </w:pPr>
    </w:p>
    <w:bookmarkStart w:id="3" w:name="page4"/>
    <w:bookmarkEnd w:id="3"/>
    <w:p>
      <w:pPr>
        <w:ind w:left="4300"/>
        <w:spacing w:after="0"/>
        <w:rPr>
          <w:sz w:val="20"/>
          <w:szCs w:val="20"/>
          <w:color w:val="auto"/>
        </w:rPr>
      </w:pPr>
      <w:r>
        <w:rPr>
          <w:rFonts w:ascii="Arial" w:cs="Arial" w:eastAsia="Arial" w:hAnsi="Arial"/>
          <w:sz w:val="22"/>
          <w:szCs w:val="22"/>
          <w:b w:val="1"/>
          <w:bCs w:val="1"/>
          <w:color w:val="auto"/>
        </w:rPr>
        <w:t>EXHIBIT INDEX</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18"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306" w:lineRule="exact"/>
        <w:rPr>
          <w:sz w:val="20"/>
          <w:szCs w:val="20"/>
          <w:color w:val="auto"/>
        </w:rPr>
      </w:pPr>
    </w:p>
    <w:p>
      <w:pPr>
        <w:ind w:left="200"/>
        <w:spacing w:after="0"/>
        <w:tabs>
          <w:tab w:leader="none" w:pos="12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Press release of Winnebago Industries, Inc. dated March 17, 2011.</w:t>
      </w:r>
    </w:p>
    <w:p>
      <w:pPr>
        <w:sectPr>
          <w:pgSz w:w="11900" w:h="16838" w:orient="portrait"/>
          <w:cols w:equalWidth="0" w:num="1">
            <w:col w:w="9599"/>
          </w:cols>
          <w:pgMar w:left="860" w:top="620" w:right="1440" w:bottom="1440" w:gutter="0" w:footer="0" w:header="0"/>
        </w:sectPr>
      </w:pPr>
    </w:p>
    <w:bookmarkStart w:id="4" w:name="page5"/>
    <w:bookmarkEnd w:id="4"/>
    <w:p>
      <w:pPr>
        <w:spacing w:after="0"/>
        <w:rPr>
          <w:sz w:val="20"/>
          <w:szCs w:val="20"/>
          <w:color w:val="auto"/>
        </w:rPr>
      </w:pPr>
      <w:r>
        <w:rPr>
          <w:rFonts w:ascii="Arial" w:cs="Arial" w:eastAsia="Arial" w:hAnsi="Arial"/>
          <w:sz w:val="16"/>
          <w:szCs w:val="16"/>
          <w:color w:val="auto"/>
        </w:rPr>
        <w:t>Contact: Sheila Davis - PR/IR Mgr. - 641-585-6803 - sdavis@winnebagoind.com</w:t>
      </w: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WINNEBAGO INDUSTRIES REPORTS RESULTS FOR</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SECOND QUARTER FISCAL 2011</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 Net income of $3.3 million --</w:t>
      </w:r>
    </w:p>
    <w:p>
      <w:pPr>
        <w:spacing w:after="0" w:line="200" w:lineRule="exact"/>
        <w:rPr>
          <w:sz w:val="20"/>
          <w:szCs w:val="20"/>
          <w:color w:val="auto"/>
        </w:rPr>
      </w:pPr>
    </w:p>
    <w:p>
      <w:pPr>
        <w:spacing w:after="0" w:line="318"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FOREST CITY, IOWA, March 17, 2011 - Winnebago Industries, Inc. (NYSE:WGO), one of the leading United States (U.S.) recreation vehicle manufacturers, today reported results for the Company's second quarter and first six months of Fiscal 2011.</w:t>
      </w:r>
    </w:p>
    <w:p>
      <w:pPr>
        <w:spacing w:after="0" w:line="236"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Revenues for the second quarter of Fiscal 2011 ended February 26, 2011 were $106.6 million, a decrease of 3.6 percent, versus $110.5 million for the second quarter of Fiscal 2010. The Company reported an operating profit of $4.1 million for the quarter, versus an operating loss of $1.9 million for the second quarter of Fiscal 2010. Net income for the second quarter was $3.3 million versus net income of $706,000 for the second quarter of Fiscal 2010. On a diluted per share basis, the Company had net income of $0.11 for the second quarter of Fiscal 2011 versus net income of $0.02 for the second quarter of Fiscal 2010. The net income for the second quarter of Fiscal 2010 reflected the positive impact of $2.2 million in tax benefits associated with various tax planning initiatives and tax settlements.</w:t>
      </w:r>
    </w:p>
    <w:p>
      <w:pPr>
        <w:spacing w:after="0" w:line="246"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Most notably, the second quarter of Fiscal 2011 was positively impacted by the results of the the annual physical inventory of work-in-process recorded during the quarter, due to lower actual inventory scrap and production loss than recent historical experience, which had the effect of increasing gross profit and inventories by $3.5 million. The quarter was also favorably impacted by higher average selling prices due to mix and less promotional incentives as compared to the second quarter of Fiscal 2010.</w:t>
      </w:r>
    </w:p>
    <w:p>
      <w:pPr>
        <w:spacing w:after="0" w:line="243"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auto"/>
        </w:rPr>
        <w:t>Revenues for the first six months of Fiscal 2011 were $230.3 million, an increase of 20.2 percent, compared to $191.5 million for the first six months of Fiscal 2010. The Company reported an operating profit of $9.0 million for the first six months of Fiscal 2011, compared to an operating loss of $7.8 million for the same period of Fiscal 2010. The net income for the first six months of Fiscal 2011 was $7.1 million, or $0.24 per diluted share, versus a net loss of $638,000, or $.02 per diluted share, for the first six months of the last fiscal year.</w:t>
      </w:r>
    </w:p>
    <w:p>
      <w:pPr>
        <w:spacing w:after="0" w:line="243"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"I am very pleased with our results given the continuing challenges with the U.S. economy and our ability to overcome very tough shipment comparisons with the second quarter last fiscal year," said Winnebago Industries' Chairman and CEO Bob Olson. "During the second quarter last year, we had significantly ramped up our production to meet our dealers' increased demands for product as they grew their inventories from the lows experienced during the depths of the recession. Increased show traffic and retail sales within the past few months are indicative of an improved economy and consumer confidence level within the U.S. We are very pleased to see this positive dynamic in the marketplace as we enter the important spring market. We remain cautious, however, in light of the volatility of fuel prices due primarily to the violence and turmoil in the Middle East, as well as increasing commodity costs."</w:t>
      </w:r>
    </w:p>
    <w:p>
      <w:pPr>
        <w:spacing w:after="0" w:line="246"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According to Winnebago Industries' President Randy Potts, the integration of SunnyBrook RV into Winnebago Industries' operations is progressing according to schedule. "SunnyBrook RV is now operating as Winnebago Industries Towables and is a separate subsidiary of the Company," said Potts. "We have been adding staff strategically within Winnebago Industries Towables to strengthen the SunnyBrook brand, while creating a separate and unique Winnebago brand. We plan to introduce new Winnebago towable products this summer and will soon begin to market these products to our Winnebago brand dealers. On the motorized side, we are seeing continued strength in our Class A gas and diesel products in the marketplace. We have also experienced a great deal of interest in our newly redesigned Class B ERA and will begin shipping them within the next few weeks."</w:t>
      </w:r>
    </w:p>
    <w:p>
      <w:pPr>
        <w:spacing w:after="0" w:line="246" w:lineRule="exact"/>
        <w:rPr>
          <w:sz w:val="20"/>
          <w:szCs w:val="20"/>
          <w:color w:val="auto"/>
        </w:rPr>
      </w:pPr>
    </w:p>
    <w:p>
      <w:pPr>
        <w:ind w:right="60"/>
        <w:spacing w:after="0" w:line="246" w:lineRule="auto"/>
        <w:rPr>
          <w:sz w:val="20"/>
          <w:szCs w:val="20"/>
          <w:color w:val="auto"/>
        </w:rPr>
      </w:pPr>
      <w:r>
        <w:rPr>
          <w:rFonts w:ascii="Arial" w:cs="Arial" w:eastAsia="Arial" w:hAnsi="Arial"/>
          <w:sz w:val="16"/>
          <w:szCs w:val="16"/>
          <w:color w:val="auto"/>
        </w:rPr>
        <w:t>Winnebago Industries' dealer inventory increased 7.8 percent compared to the end of the second quarter of Fiscal 2010, with 2,179 of the Company's Class A, B and C motor homes on dealers' lots at the end of the second quarter of Fiscal 2011. While Winnebago Industries' sales order backlog was 957 Class A, B and C motor homes at the end of the second quarter of Fiscal 2011, a decrease of 17.4 percent compared to the end of the second quarter of Fiscal 2010, the backlog was up 37.1 percent</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sequentially over the 698 units reported for the first quarter of Fiscal 2011.</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Conference Call</w:t>
      </w:r>
    </w:p>
    <w:p>
      <w:pPr>
        <w:spacing w:after="0" w:line="25"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 xml:space="preserve">Winnebago Industries, Inc. will conduct a conference call in conjunction with this release at 9 a.m. Central Time today, Thursday, March 17, 2011. Members of the news media, investors and the general public are invited to access a live broadcast of the conference call via the Investor Relations page of the Company's website at </w:t>
      </w:r>
      <w:r>
        <w:rPr>
          <w:rFonts w:ascii="Arial" w:cs="Arial" w:eastAsia="Arial" w:hAnsi="Arial"/>
          <w:sz w:val="16"/>
          <w:szCs w:val="16"/>
          <w:u w:val="single" w:color="auto"/>
          <w:color w:val="auto"/>
        </w:rPr>
        <w:t>http://www.winnebagoind.com/investor.html</w:t>
      </w:r>
      <w:r>
        <w:rPr>
          <w:rFonts w:ascii="Arial" w:cs="Arial" w:eastAsia="Arial" w:hAnsi="Arial"/>
          <w:sz w:val="16"/>
          <w:szCs w:val="16"/>
          <w:color w:val="auto"/>
        </w:rPr>
        <w:t>. The event will be archived and available for replay for the next 90 days.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Winnebago Industries</w:t>
      </w:r>
    </w:p>
    <w:p>
      <w:pPr>
        <w:spacing w:after="0" w:line="39" w:lineRule="exact"/>
        <w:rPr>
          <w:sz w:val="20"/>
          <w:szCs w:val="20"/>
          <w:color w:val="auto"/>
        </w:rPr>
      </w:pPr>
    </w:p>
    <w:p>
      <w:pPr>
        <w:jc w:val="both"/>
        <w:ind w:right="100"/>
        <w:spacing w:after="0" w:line="286" w:lineRule="auto"/>
        <w:rPr>
          <w:sz w:val="20"/>
          <w:szCs w:val="20"/>
          <w:color w:val="auto"/>
        </w:rPr>
      </w:pPr>
      <w:r>
        <w:rPr>
          <w:rFonts w:ascii="Arial" w:cs="Arial" w:eastAsia="Arial" w:hAnsi="Arial"/>
          <w:sz w:val="16"/>
          <w:szCs w:val="16"/>
          <w:color w:val="auto"/>
        </w:rPr>
        <w:t>Winnebago Industries, Inc., The Most Recognized Name In Motor Homes</w:t>
      </w:r>
      <w:r>
        <w:rPr>
          <w:rFonts w:ascii="Arial" w:cs="Arial" w:eastAsia="Arial" w:hAnsi="Arial"/>
          <w:sz w:val="12"/>
          <w:szCs w:val="12"/>
          <w:color w:val="auto"/>
        </w:rPr>
        <w:t>®</w:t>
      </w:r>
      <w:r>
        <w:rPr>
          <w:rFonts w:ascii="Arial" w:cs="Arial" w:eastAsia="Arial" w:hAnsi="Arial"/>
          <w:sz w:val="16"/>
          <w:szCs w:val="16"/>
          <w:color w:val="auto"/>
        </w:rPr>
        <w:t>, is a leading U.S. manufacturer of recreation vehicles, which are used primarily in leisure travel and outdoor recreation activities. The Company builds quality motor homes, travel trailers and fifth wheel products under the Winnebago, Itasca, ERA and SunnyBrook brand names. Winnebago Industries has received the Quality Circle Award from the Recreation Vehicle Dealers Association every year since the award's inception in</w:t>
      </w:r>
    </w:p>
    <w:p>
      <w:pPr>
        <w:sectPr>
          <w:pgSz w:w="11900" w:h="16838" w:orient="portrait"/>
          <w:cols w:equalWidth="0" w:num="1">
            <w:col w:w="11400"/>
          </w:cols>
          <w:pgMar w:left="240" w:top="641" w:right="259" w:bottom="1440" w:gutter="0" w:footer="0" w:header="0"/>
        </w:sectPr>
      </w:pPr>
    </w:p>
    <w:bookmarkStart w:id="5" w:name="page6"/>
    <w:bookmarkEnd w:id="5"/>
    <w:p>
      <w:pPr>
        <w:jc w:val="both"/>
        <w:ind w:right="60"/>
        <w:spacing w:after="0" w:line="253" w:lineRule="auto"/>
        <w:rPr>
          <w:sz w:val="20"/>
          <w:szCs w:val="20"/>
          <w:color w:val="auto"/>
        </w:rPr>
      </w:pPr>
      <w:r>
        <w:rPr>
          <w:rFonts w:ascii="Arial" w:cs="Arial" w:eastAsia="Arial" w:hAnsi="Arial"/>
          <w:sz w:val="16"/>
          <w:szCs w:val="16"/>
          <w:color w:val="auto"/>
        </w:rPr>
        <w:t xml:space="preserve">1996. The Company's common stock is listed on the New York and Chicago Stock Exchanges and traded under the symbol WGO. Options for the Company's common stock are traded on the Chicago Board Options Exchange. For access to Winnebago Industries' investor relations material or to add your name to an automatic email list for Company news releases, visit, </w:t>
      </w:r>
      <w:r>
        <w:rPr>
          <w:rFonts w:ascii="Arial" w:cs="Arial" w:eastAsia="Arial" w:hAnsi="Arial"/>
          <w:sz w:val="16"/>
          <w:szCs w:val="16"/>
          <w:u w:val="single" w:color="auto"/>
          <w:color w:val="auto"/>
        </w:rPr>
        <w:t>http://www.winnebagoind.com/investor.html</w:t>
      </w:r>
      <w:r>
        <w:rPr>
          <w:rFonts w:ascii="Arial" w:cs="Arial" w:eastAsia="Arial" w:hAnsi="Arial"/>
          <w:sz w:val="16"/>
          <w:szCs w:val="16"/>
          <w:color w:val="auto"/>
        </w:rPr>
        <w:t>.</w:t>
      </w:r>
    </w:p>
    <w:p>
      <w:pPr>
        <w:spacing w:after="0" w:line="242"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This news release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interest rates and availability of credit, low consumer confidence, significant increase in repurchase obligations, inadequate liquidity or capital resources, availability and price of fuel, a further or continued slowdown in the economy, availability of chassis and other key component parts, sales order cancellations, slower than anticipated sales of new or existing products, new product introductions by competitors, the effect of global tensions, integration of operations relating to mergers and acquisitions activities and other factors.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 The Company disclaims any obligation or undertaking to disseminate any updates or revisions to any forward looking statements contained in this release or to reflect any changes in the Company's expectations after the date of this release or any change in events, conditions or circumstances on which any statement is based, except as required by law.</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 # #</w:t>
      </w:r>
    </w:p>
    <w:p>
      <w:pPr>
        <w:sectPr>
          <w:pgSz w:w="11900" w:h="16838" w:orient="portrait"/>
          <w:cols w:equalWidth="0" w:num="1">
            <w:col w:w="11380"/>
          </w:cols>
          <w:pgMar w:left="240" w:top="641" w:right="27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 thousands, except percent and per share data)</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Quarter Ended</w:t>
            </w:r>
          </w:p>
        </w:tc>
        <w:tc>
          <w:tcPr>
            <w:tcW w:w="8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r>
      <w:tr>
        <w:trPr>
          <w:trHeight w:val="264"/>
        </w:trPr>
        <w:tc>
          <w:tcPr>
            <w:tcW w:w="44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gridSpan w:val="3"/>
          </w:tcPr>
          <w:p>
            <w:pPr>
              <w:ind w:left="580"/>
              <w:spacing w:after="0"/>
              <w:rPr>
                <w:sz w:val="20"/>
                <w:szCs w:val="20"/>
                <w:color w:val="auto"/>
              </w:rPr>
            </w:pPr>
            <w:r>
              <w:rPr>
                <w:rFonts w:ascii="Arial" w:cs="Arial" w:eastAsia="Arial" w:hAnsi="Arial"/>
                <w:sz w:val="16"/>
                <w:szCs w:val="16"/>
                <w:b w:val="1"/>
                <w:bCs w:val="1"/>
                <w:color w:val="auto"/>
              </w:rPr>
              <w:t>February 26, 2011</w:t>
            </w:r>
          </w:p>
        </w:tc>
        <w:tc>
          <w:tcPr>
            <w:tcW w:w="6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4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3"/>
          </w:tcPr>
          <w:p>
            <w:pPr>
              <w:ind w:left="500"/>
              <w:spacing w:after="0"/>
              <w:rPr>
                <w:sz w:val="20"/>
                <w:szCs w:val="20"/>
                <w:color w:val="auto"/>
              </w:rPr>
            </w:pPr>
            <w:r>
              <w:rPr>
                <w:rFonts w:ascii="Arial" w:cs="Arial" w:eastAsia="Arial" w:hAnsi="Arial"/>
                <w:sz w:val="16"/>
                <w:szCs w:val="16"/>
                <w:b w:val="1"/>
                <w:bCs w:val="1"/>
                <w:color w:val="auto"/>
              </w:rPr>
              <w:t>February 27, 2010</w:t>
            </w:r>
          </w:p>
        </w:tc>
        <w:tc>
          <w:tcPr>
            <w:tcW w:w="940" w:type="dxa"/>
            <w:vAlign w:val="bottom"/>
            <w:tcBorders>
              <w:bottom w:val="single" w:sz="8" w:color="auto"/>
            </w:tcBorders>
          </w:tcPr>
          <w:p>
            <w:pPr>
              <w:spacing w:after="0"/>
              <w:rPr>
                <w:sz w:val="22"/>
                <w:szCs w:val="22"/>
                <w:color w:val="auto"/>
              </w:rPr>
            </w:pPr>
          </w:p>
        </w:tc>
      </w:tr>
      <w:tr>
        <w:trPr>
          <w:trHeight w:val="270"/>
        </w:trPr>
        <w:tc>
          <w:tcPr>
            <w:tcW w:w="4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106,593</w:t>
            </w:r>
          </w:p>
        </w:tc>
        <w:tc>
          <w:tcPr>
            <w:tcW w:w="3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2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110,529</w:t>
            </w:r>
          </w:p>
        </w:tc>
        <w:tc>
          <w:tcPr>
            <w:tcW w:w="3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100.0 %</w:t>
            </w:r>
          </w:p>
        </w:tc>
      </w:tr>
      <w:tr>
        <w:trPr>
          <w:trHeight w:val="264"/>
        </w:trPr>
        <w:tc>
          <w:tcPr>
            <w:tcW w:w="44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goods sold</w:t>
            </w:r>
          </w:p>
        </w:tc>
        <w:tc>
          <w:tcPr>
            <w:tcW w:w="3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95,269</w:t>
            </w:r>
          </w:p>
        </w:tc>
        <w:tc>
          <w:tcPr>
            <w:tcW w:w="34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89.4%</w:t>
            </w:r>
          </w:p>
        </w:tc>
        <w:tc>
          <w:tcPr>
            <w:tcW w:w="280" w:type="dxa"/>
            <w:vAlign w:val="bottom"/>
            <w:tcBorders>
              <w:bottom w:val="single" w:sz="8" w:color="auto"/>
            </w:tcBorders>
          </w:tcPr>
          <w:p>
            <w:pPr>
              <w:spacing w:after="0"/>
              <w:rPr>
                <w:sz w:val="22"/>
                <w:szCs w:val="22"/>
                <w:color w:val="auto"/>
              </w:rPr>
            </w:pPr>
          </w:p>
        </w:tc>
        <w:tc>
          <w:tcPr>
            <w:tcW w:w="4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105,745</w:t>
            </w:r>
          </w:p>
        </w:tc>
        <w:tc>
          <w:tcPr>
            <w:tcW w:w="34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95.7 %</w:t>
            </w:r>
          </w:p>
        </w:tc>
      </w:tr>
      <w:tr>
        <w:trPr>
          <w:trHeight w:val="257"/>
        </w:trPr>
        <w:tc>
          <w:tcPr>
            <w:tcW w:w="4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36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11,324</w:t>
            </w:r>
          </w:p>
        </w:tc>
        <w:tc>
          <w:tcPr>
            <w:tcW w:w="340" w:type="dxa"/>
            <w:vAlign w:val="bottom"/>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280" w:type="dxa"/>
            <w:vAlign w:val="bottom"/>
            <w:tcBorders>
              <w:bottom w:val="single" w:sz="8" w:color="auto"/>
            </w:tcBorders>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4,784</w:t>
            </w:r>
          </w:p>
        </w:tc>
        <w:tc>
          <w:tcPr>
            <w:tcW w:w="340" w:type="dxa"/>
            <w:vAlign w:val="bottom"/>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4.3 %</w:t>
            </w:r>
          </w:p>
        </w:tc>
      </w:tr>
      <w:tr>
        <w:trPr>
          <w:trHeight w:val="254"/>
        </w:trPr>
        <w:tc>
          <w:tcPr>
            <w:tcW w:w="440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3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80"/>
        </w:trPr>
        <w:tc>
          <w:tcPr>
            <w:tcW w:w="44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Selling</w:t>
            </w:r>
          </w:p>
        </w:tc>
        <w:tc>
          <w:tcPr>
            <w:tcW w:w="3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3,254</w:t>
            </w:r>
          </w:p>
        </w:tc>
        <w:tc>
          <w:tcPr>
            <w:tcW w:w="3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2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3,102</w:t>
            </w:r>
          </w:p>
        </w:tc>
        <w:tc>
          <w:tcPr>
            <w:tcW w:w="3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2.8 %</w:t>
            </w:r>
          </w:p>
        </w:tc>
      </w:tr>
      <w:tr>
        <w:trPr>
          <w:trHeight w:val="264"/>
        </w:trPr>
        <w:tc>
          <w:tcPr>
            <w:tcW w:w="44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General and administrative</w:t>
            </w:r>
          </w:p>
        </w:tc>
        <w:tc>
          <w:tcPr>
            <w:tcW w:w="3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4,020</w:t>
            </w:r>
          </w:p>
        </w:tc>
        <w:tc>
          <w:tcPr>
            <w:tcW w:w="34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280" w:type="dxa"/>
            <w:vAlign w:val="bottom"/>
            <w:tcBorders>
              <w:bottom w:val="single" w:sz="8" w:color="auto"/>
            </w:tcBorders>
          </w:tcPr>
          <w:p>
            <w:pPr>
              <w:spacing w:after="0"/>
              <w:rPr>
                <w:sz w:val="22"/>
                <w:szCs w:val="22"/>
                <w:color w:val="auto"/>
              </w:rPr>
            </w:pPr>
          </w:p>
        </w:tc>
        <w:tc>
          <w:tcPr>
            <w:tcW w:w="4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3,540</w:t>
            </w:r>
          </w:p>
        </w:tc>
        <w:tc>
          <w:tcPr>
            <w:tcW w:w="34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3.2 %</w:t>
            </w:r>
          </w:p>
        </w:tc>
      </w:tr>
      <w:tr>
        <w:trPr>
          <w:trHeight w:val="250"/>
        </w:trPr>
        <w:tc>
          <w:tcPr>
            <w:tcW w:w="440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operating expenses</w:t>
            </w:r>
          </w:p>
        </w:tc>
        <w:tc>
          <w:tcPr>
            <w:tcW w:w="3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7,274</w:t>
            </w:r>
          </w:p>
        </w:tc>
        <w:tc>
          <w:tcPr>
            <w:tcW w:w="340" w:type="dxa"/>
            <w:vAlign w:val="bottom"/>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280" w:type="dxa"/>
            <w:vAlign w:val="bottom"/>
            <w:tcBorders>
              <w:bottom w:val="single" w:sz="8" w:color="auto"/>
            </w:tcBorders>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6,642</w:t>
            </w:r>
          </w:p>
        </w:tc>
        <w:tc>
          <w:tcPr>
            <w:tcW w:w="340" w:type="dxa"/>
            <w:vAlign w:val="bottom"/>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6.0 %</w:t>
            </w:r>
          </w:p>
        </w:tc>
      </w:tr>
      <w:tr>
        <w:trPr>
          <w:trHeight w:val="247"/>
        </w:trPr>
        <w:tc>
          <w:tcPr>
            <w:tcW w:w="4400" w:type="dxa"/>
            <w:vAlign w:val="bottom"/>
          </w:tcPr>
          <w:p>
            <w:pPr>
              <w:ind w:left="40"/>
              <w:spacing w:after="0"/>
              <w:rPr>
                <w:sz w:val="20"/>
                <w:szCs w:val="20"/>
                <w:color w:val="auto"/>
              </w:rPr>
            </w:pPr>
            <w:r>
              <w:rPr>
                <w:rFonts w:ascii="Arial" w:cs="Arial" w:eastAsia="Arial" w:hAnsi="Arial"/>
                <w:sz w:val="16"/>
                <w:szCs w:val="16"/>
                <w:color w:val="auto"/>
              </w:rPr>
              <w:t>Operating income (loss)</w:t>
            </w:r>
          </w:p>
        </w:tc>
        <w:tc>
          <w:tcPr>
            <w:tcW w:w="36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4,050</w:t>
            </w:r>
          </w:p>
        </w:tc>
        <w:tc>
          <w:tcPr>
            <w:tcW w:w="3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3.8%</w:t>
            </w: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(1,858)</w:t>
            </w:r>
          </w:p>
        </w:tc>
        <w:tc>
          <w:tcPr>
            <w:tcW w:w="3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(1.7)%</w:t>
            </w:r>
          </w:p>
        </w:tc>
      </w:tr>
      <w:tr>
        <w:trPr>
          <w:trHeight w:val="273"/>
        </w:trPr>
        <w:tc>
          <w:tcPr>
            <w:tcW w:w="4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Non-operating income</w:t>
            </w:r>
          </w:p>
        </w:tc>
        <w:tc>
          <w:tcPr>
            <w:tcW w:w="3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322</w:t>
            </w:r>
          </w:p>
        </w:tc>
        <w:tc>
          <w:tcPr>
            <w:tcW w:w="340" w:type="dxa"/>
            <w:vAlign w:val="bottom"/>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280" w:type="dxa"/>
            <w:vAlign w:val="bottom"/>
            <w:tcBorders>
              <w:bottom w:val="single" w:sz="8" w:color="auto"/>
            </w:tcBorders>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364</w:t>
            </w:r>
          </w:p>
        </w:tc>
        <w:tc>
          <w:tcPr>
            <w:tcW w:w="340" w:type="dxa"/>
            <w:vAlign w:val="bottom"/>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0.3 %</w:t>
            </w:r>
          </w:p>
        </w:tc>
      </w:tr>
      <w:tr>
        <w:trPr>
          <w:trHeight w:val="247"/>
        </w:trPr>
        <w:tc>
          <w:tcPr>
            <w:tcW w:w="4400" w:type="dxa"/>
            <w:vAlign w:val="bottom"/>
          </w:tcPr>
          <w:p>
            <w:pPr>
              <w:ind w:left="40"/>
              <w:spacing w:after="0"/>
              <w:rPr>
                <w:sz w:val="20"/>
                <w:szCs w:val="20"/>
                <w:color w:val="auto"/>
              </w:rPr>
            </w:pPr>
            <w:r>
              <w:rPr>
                <w:rFonts w:ascii="Arial" w:cs="Arial" w:eastAsia="Arial" w:hAnsi="Arial"/>
                <w:sz w:val="16"/>
                <w:szCs w:val="16"/>
                <w:color w:val="auto"/>
              </w:rPr>
              <w:t>Income (loss) before taxes</w:t>
            </w:r>
          </w:p>
        </w:tc>
        <w:tc>
          <w:tcPr>
            <w:tcW w:w="36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4,372</w:t>
            </w:r>
          </w:p>
        </w:tc>
        <w:tc>
          <w:tcPr>
            <w:tcW w:w="3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4.1%</w:t>
            </w: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(1,494)</w:t>
            </w:r>
          </w:p>
        </w:tc>
        <w:tc>
          <w:tcPr>
            <w:tcW w:w="3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(1.4)%</w:t>
            </w:r>
          </w:p>
        </w:tc>
      </w:tr>
      <w:tr>
        <w:trPr>
          <w:trHeight w:val="273"/>
        </w:trPr>
        <w:tc>
          <w:tcPr>
            <w:tcW w:w="4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(benefit) for taxes</w:t>
            </w:r>
          </w:p>
        </w:tc>
        <w:tc>
          <w:tcPr>
            <w:tcW w:w="3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1,057</w:t>
            </w:r>
          </w:p>
        </w:tc>
        <w:tc>
          <w:tcPr>
            <w:tcW w:w="340" w:type="dxa"/>
            <w:vAlign w:val="bottom"/>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80" w:type="dxa"/>
            <w:vAlign w:val="bottom"/>
            <w:tcBorders>
              <w:bottom w:val="single" w:sz="8" w:color="auto"/>
            </w:tcBorders>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(2,200)</w:t>
            </w:r>
          </w:p>
        </w:tc>
        <w:tc>
          <w:tcPr>
            <w:tcW w:w="340" w:type="dxa"/>
            <w:vAlign w:val="bottom"/>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(2.0)%</w:t>
            </w:r>
          </w:p>
        </w:tc>
      </w:tr>
      <w:tr>
        <w:trPr>
          <w:trHeight w:val="280"/>
        </w:trPr>
        <w:tc>
          <w:tcPr>
            <w:tcW w:w="440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3,315</w:t>
            </w: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3.1%</w:t>
            </w:r>
          </w:p>
        </w:tc>
        <w:tc>
          <w:tcPr>
            <w:tcW w:w="1220" w:type="dxa"/>
            <w:vAlign w:val="bottom"/>
            <w:gridSpan w:val="3"/>
          </w:tcPr>
          <w:p>
            <w:pPr>
              <w:jc w:val="right"/>
              <w:ind w:right="4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706</w:t>
            </w: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0.6 %</w:t>
            </w:r>
          </w:p>
        </w:tc>
      </w:tr>
      <w:tr>
        <w:trPr>
          <w:trHeight w:val="254"/>
        </w:trPr>
        <w:tc>
          <w:tcPr>
            <w:tcW w:w="44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per common share:</w:t>
            </w:r>
          </w:p>
        </w:tc>
        <w:tc>
          <w:tcPr>
            <w:tcW w:w="36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spacing w:after="0"/>
              <w:rPr>
                <w:sz w:val="22"/>
                <w:szCs w:val="22"/>
                <w:color w:val="auto"/>
              </w:rPr>
            </w:pPr>
          </w:p>
        </w:tc>
        <w:tc>
          <w:tcPr>
            <w:tcW w:w="340" w:type="dxa"/>
            <w:vAlign w:val="bottom"/>
            <w:tcBorders>
              <w:top w:val="single" w:sz="8" w:color="CCEEFF"/>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420" w:type="dxa"/>
            <w:vAlign w:val="bottom"/>
            <w:tcBorders>
              <w:top w:val="single" w:sz="8" w:color="CCEEFF"/>
            </w:tcBorders>
            <w:shd w:val="clear" w:color="auto" w:fill="CCEEFF"/>
          </w:tcPr>
          <w:p>
            <w:pPr>
              <w:spacing w:after="0"/>
              <w:rPr>
                <w:sz w:val="22"/>
                <w:szCs w:val="22"/>
                <w:color w:val="auto"/>
              </w:rPr>
            </w:pPr>
          </w:p>
        </w:tc>
        <w:tc>
          <w:tcPr>
            <w:tcW w:w="52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c>
          <w:tcPr>
            <w:tcW w:w="340" w:type="dxa"/>
            <w:vAlign w:val="bottom"/>
            <w:tcBorders>
              <w:top w:val="single" w:sz="8" w:color="CCEEFF"/>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spacing w:after="0"/>
              <w:rPr>
                <w:sz w:val="22"/>
                <w:szCs w:val="22"/>
                <w:color w:val="auto"/>
              </w:rPr>
            </w:pPr>
          </w:p>
        </w:tc>
      </w:tr>
      <w:tr>
        <w:trPr>
          <w:trHeight w:val="260"/>
        </w:trPr>
        <w:tc>
          <w:tcPr>
            <w:tcW w:w="4400" w:type="dxa"/>
            <w:vAlign w:val="bottom"/>
          </w:tcPr>
          <w:p>
            <w:pPr>
              <w:ind w:left="240"/>
              <w:spacing w:after="0"/>
              <w:rPr>
                <w:sz w:val="20"/>
                <w:szCs w:val="20"/>
                <w:color w:val="auto"/>
              </w:rPr>
            </w:pPr>
            <w:r>
              <w:rPr>
                <w:rFonts w:ascii="Arial" w:cs="Arial" w:eastAsia="Arial" w:hAnsi="Arial"/>
                <w:sz w:val="16"/>
                <w:szCs w:val="16"/>
                <w:color w:val="auto"/>
              </w:rPr>
              <w:t>Basic</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0.11</w:t>
            </w:r>
          </w:p>
        </w:tc>
        <w:tc>
          <w:tcPr>
            <w:tcW w:w="3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20" w:type="dxa"/>
            <w:vAlign w:val="bottom"/>
            <w:gridSpan w:val="3"/>
          </w:tcPr>
          <w:p>
            <w:pPr>
              <w:jc w:val="right"/>
              <w:ind w:right="4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0.02</w:t>
            </w:r>
          </w:p>
        </w:tc>
        <w:tc>
          <w:tcPr>
            <w:tcW w:w="3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80"/>
        </w:trPr>
        <w:tc>
          <w:tcPr>
            <w:tcW w:w="44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0.11</w:t>
            </w:r>
          </w:p>
        </w:tc>
        <w:tc>
          <w:tcPr>
            <w:tcW w:w="3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2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0.02</w:t>
            </w:r>
          </w:p>
        </w:tc>
        <w:tc>
          <w:tcPr>
            <w:tcW w:w="3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60"/>
        </w:trPr>
        <w:tc>
          <w:tcPr>
            <w:tcW w:w="4400" w:type="dxa"/>
            <w:vAlign w:val="bottom"/>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3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80"/>
        </w:trPr>
        <w:tc>
          <w:tcPr>
            <w:tcW w:w="44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3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29,118</w:t>
            </w:r>
          </w:p>
        </w:tc>
        <w:tc>
          <w:tcPr>
            <w:tcW w:w="3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29,080</w:t>
            </w:r>
          </w:p>
        </w:tc>
        <w:tc>
          <w:tcPr>
            <w:tcW w:w="3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51"/>
        </w:trPr>
        <w:tc>
          <w:tcPr>
            <w:tcW w:w="4400" w:type="dxa"/>
            <w:vAlign w:val="bottom"/>
          </w:tcPr>
          <w:p>
            <w:pPr>
              <w:ind w:left="240"/>
              <w:spacing w:after="0"/>
              <w:rPr>
                <w:sz w:val="20"/>
                <w:szCs w:val="20"/>
                <w:color w:val="auto"/>
              </w:rPr>
            </w:pPr>
            <w:r>
              <w:rPr>
                <w:rFonts w:ascii="Arial" w:cs="Arial" w:eastAsia="Arial" w:hAnsi="Arial"/>
                <w:sz w:val="16"/>
                <w:szCs w:val="16"/>
                <w:color w:val="auto"/>
              </w:rPr>
              <w:t>Diluted</w:t>
            </w:r>
          </w:p>
        </w:tc>
        <w:tc>
          <w:tcPr>
            <w:tcW w:w="36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29,120</w:t>
            </w:r>
          </w:p>
        </w:tc>
        <w:tc>
          <w:tcPr>
            <w:tcW w:w="3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29,091</w:t>
            </w:r>
          </w:p>
        </w:tc>
        <w:tc>
          <w:tcPr>
            <w:tcW w:w="3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4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Six Months Ended</w:t>
            </w:r>
          </w:p>
        </w:tc>
        <w:tc>
          <w:tcPr>
            <w:tcW w:w="7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44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gridSpan w:val="3"/>
          </w:tcPr>
          <w:p>
            <w:pPr>
              <w:ind w:left="540"/>
              <w:spacing w:after="0"/>
              <w:rPr>
                <w:sz w:val="20"/>
                <w:szCs w:val="20"/>
                <w:color w:val="auto"/>
              </w:rPr>
            </w:pPr>
            <w:r>
              <w:rPr>
                <w:rFonts w:ascii="Arial" w:cs="Arial" w:eastAsia="Arial" w:hAnsi="Arial"/>
                <w:sz w:val="16"/>
                <w:szCs w:val="16"/>
                <w:b w:val="1"/>
                <w:bCs w:val="1"/>
                <w:color w:val="auto"/>
              </w:rPr>
              <w:t>February 26, 2011</w:t>
            </w:r>
          </w:p>
        </w:tc>
        <w:tc>
          <w:tcPr>
            <w:tcW w:w="840" w:type="dxa"/>
            <w:vAlign w:val="bottom"/>
            <w:tcBorders>
              <w:bottom w:val="single" w:sz="8" w:color="auto"/>
            </w:tcBorders>
          </w:tcPr>
          <w:p>
            <w:pPr>
              <w:spacing w:after="0"/>
              <w:rPr>
                <w:sz w:val="22"/>
                <w:szCs w:val="22"/>
                <w:color w:val="auto"/>
              </w:rPr>
            </w:pPr>
          </w:p>
        </w:tc>
        <w:tc>
          <w:tcPr>
            <w:tcW w:w="44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gridSpan w:val="3"/>
          </w:tcPr>
          <w:p>
            <w:pPr>
              <w:ind w:left="400"/>
              <w:spacing w:after="0"/>
              <w:rPr>
                <w:sz w:val="20"/>
                <w:szCs w:val="20"/>
                <w:color w:val="auto"/>
              </w:rPr>
            </w:pPr>
            <w:r>
              <w:rPr>
                <w:rFonts w:ascii="Arial" w:cs="Arial" w:eastAsia="Arial" w:hAnsi="Arial"/>
                <w:sz w:val="16"/>
                <w:szCs w:val="16"/>
                <w:b w:val="1"/>
                <w:bCs w:val="1"/>
                <w:color w:val="auto"/>
              </w:rPr>
              <w:t>February 27, 2010</w:t>
            </w:r>
          </w:p>
        </w:tc>
        <w:tc>
          <w:tcPr>
            <w:tcW w:w="9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230,304</w:t>
            </w:r>
          </w:p>
        </w:tc>
        <w:tc>
          <w:tcPr>
            <w:tcW w:w="3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100.0 %</w:t>
            </w:r>
          </w:p>
        </w:tc>
        <w:tc>
          <w:tcPr>
            <w:tcW w:w="44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191,546</w:t>
            </w:r>
          </w:p>
        </w:tc>
        <w:tc>
          <w:tcPr>
            <w:tcW w:w="3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64"/>
        </w:trPr>
        <w:tc>
          <w:tcPr>
            <w:tcW w:w="44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goods sold</w:t>
            </w:r>
          </w:p>
        </w:tc>
        <w:tc>
          <w:tcPr>
            <w:tcW w:w="3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207,781</w:t>
            </w:r>
          </w:p>
        </w:tc>
        <w:tc>
          <w:tcPr>
            <w:tcW w:w="32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90.2 %</w:t>
            </w:r>
          </w:p>
        </w:tc>
        <w:tc>
          <w:tcPr>
            <w:tcW w:w="44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186,238</w:t>
            </w:r>
          </w:p>
        </w:tc>
        <w:tc>
          <w:tcPr>
            <w:tcW w:w="32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97.2 %</w:t>
            </w:r>
          </w:p>
        </w:tc>
        <w:tc>
          <w:tcPr>
            <w:tcW w:w="0" w:type="dxa"/>
            <w:vAlign w:val="bottom"/>
          </w:tcPr>
          <w:p>
            <w:pPr>
              <w:spacing w:after="0"/>
              <w:rPr>
                <w:sz w:val="1"/>
                <w:szCs w:val="1"/>
                <w:color w:val="auto"/>
              </w:rPr>
            </w:pPr>
          </w:p>
        </w:tc>
      </w:tr>
      <w:tr>
        <w:trPr>
          <w:trHeight w:val="257"/>
        </w:trPr>
        <w:tc>
          <w:tcPr>
            <w:tcW w:w="4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3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22,523</w:t>
            </w:r>
          </w:p>
        </w:tc>
        <w:tc>
          <w:tcPr>
            <w:tcW w:w="320" w:type="dxa"/>
            <w:vAlign w:val="bottom"/>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9.8 %</w:t>
            </w:r>
          </w:p>
        </w:tc>
        <w:tc>
          <w:tcPr>
            <w:tcW w:w="44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5,308</w:t>
            </w:r>
          </w:p>
        </w:tc>
        <w:tc>
          <w:tcPr>
            <w:tcW w:w="320" w:type="dxa"/>
            <w:vAlign w:val="bottom"/>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2.8 %</w:t>
            </w:r>
          </w:p>
        </w:tc>
        <w:tc>
          <w:tcPr>
            <w:tcW w:w="0" w:type="dxa"/>
            <w:vAlign w:val="bottom"/>
          </w:tcPr>
          <w:p>
            <w:pPr>
              <w:spacing w:after="0"/>
              <w:rPr>
                <w:sz w:val="1"/>
                <w:szCs w:val="1"/>
                <w:color w:val="auto"/>
              </w:rPr>
            </w:pPr>
          </w:p>
        </w:tc>
      </w:tr>
      <w:tr>
        <w:trPr>
          <w:trHeight w:val="254"/>
        </w:trPr>
        <w:tc>
          <w:tcPr>
            <w:tcW w:w="448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3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4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Selling</w:t>
            </w:r>
          </w:p>
        </w:tc>
        <w:tc>
          <w:tcPr>
            <w:tcW w:w="3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6,521</w:t>
            </w:r>
          </w:p>
        </w:tc>
        <w:tc>
          <w:tcPr>
            <w:tcW w:w="3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2.8 %</w:t>
            </w:r>
          </w:p>
        </w:tc>
        <w:tc>
          <w:tcPr>
            <w:tcW w:w="4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6,331</w:t>
            </w:r>
          </w:p>
        </w:tc>
        <w:tc>
          <w:tcPr>
            <w:tcW w:w="3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3.3 %</w:t>
            </w:r>
          </w:p>
        </w:tc>
        <w:tc>
          <w:tcPr>
            <w:tcW w:w="0" w:type="dxa"/>
            <w:vAlign w:val="bottom"/>
          </w:tcPr>
          <w:p>
            <w:pPr>
              <w:spacing w:after="0"/>
              <w:rPr>
                <w:sz w:val="1"/>
                <w:szCs w:val="1"/>
                <w:color w:val="auto"/>
              </w:rPr>
            </w:pPr>
          </w:p>
        </w:tc>
      </w:tr>
      <w:tr>
        <w:trPr>
          <w:trHeight w:val="260"/>
        </w:trPr>
        <w:tc>
          <w:tcPr>
            <w:tcW w:w="4480" w:type="dxa"/>
            <w:vAlign w:val="bottom"/>
          </w:tcPr>
          <w:p>
            <w:pPr>
              <w:ind w:left="240"/>
              <w:spacing w:after="0"/>
              <w:rPr>
                <w:sz w:val="20"/>
                <w:szCs w:val="20"/>
                <w:color w:val="auto"/>
              </w:rPr>
            </w:pPr>
            <w:r>
              <w:rPr>
                <w:rFonts w:ascii="Arial" w:cs="Arial" w:eastAsia="Arial" w:hAnsi="Arial"/>
                <w:sz w:val="16"/>
                <w:szCs w:val="16"/>
                <w:color w:val="auto"/>
              </w:rPr>
              <w:t>General and administrative</w:t>
            </w:r>
          </w:p>
        </w:tc>
        <w:tc>
          <w:tcPr>
            <w:tcW w:w="38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7,671</w:t>
            </w:r>
          </w:p>
        </w:tc>
        <w:tc>
          <w:tcPr>
            <w:tcW w:w="3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40" w:type="dxa"/>
            <w:vAlign w:val="bottom"/>
          </w:tcPr>
          <w:p>
            <w:pPr>
              <w:jc w:val="right"/>
              <w:ind w:right="99"/>
              <w:spacing w:after="0"/>
              <w:rPr>
                <w:sz w:val="20"/>
                <w:szCs w:val="20"/>
                <w:color w:val="auto"/>
              </w:rPr>
            </w:pPr>
            <w:r>
              <w:rPr>
                <w:rFonts w:ascii="Arial" w:cs="Arial" w:eastAsia="Arial" w:hAnsi="Arial"/>
                <w:sz w:val="16"/>
                <w:szCs w:val="16"/>
                <w:color w:val="auto"/>
              </w:rPr>
              <w:t>3.3 %</w:t>
            </w:r>
          </w:p>
        </w:tc>
        <w:tc>
          <w:tcPr>
            <w:tcW w:w="4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6,812</w:t>
            </w: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20" w:type="dxa"/>
            <w:vAlign w:val="bottom"/>
          </w:tcPr>
          <w:p>
            <w:pPr>
              <w:jc w:val="right"/>
              <w:ind w:right="199"/>
              <w:spacing w:after="0"/>
              <w:rPr>
                <w:sz w:val="20"/>
                <w:szCs w:val="20"/>
                <w:color w:val="auto"/>
              </w:rPr>
            </w:pPr>
            <w:r>
              <w:rPr>
                <w:rFonts w:ascii="Arial" w:cs="Arial" w:eastAsia="Arial" w:hAnsi="Arial"/>
                <w:sz w:val="16"/>
                <w:szCs w:val="16"/>
                <w:color w:val="auto"/>
              </w:rPr>
              <w:t>3.6 %</w:t>
            </w:r>
          </w:p>
        </w:tc>
        <w:tc>
          <w:tcPr>
            <w:tcW w:w="0" w:type="dxa"/>
            <w:vAlign w:val="bottom"/>
          </w:tcPr>
          <w:p>
            <w:pPr>
              <w:spacing w:after="0"/>
              <w:rPr>
                <w:sz w:val="1"/>
                <w:szCs w:val="1"/>
                <w:color w:val="auto"/>
              </w:rPr>
            </w:pPr>
          </w:p>
        </w:tc>
      </w:tr>
      <w:tr>
        <w:trPr>
          <w:trHeight w:val="273"/>
        </w:trPr>
        <w:tc>
          <w:tcPr>
            <w:tcW w:w="44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Gain on sale</w:t>
            </w:r>
          </w:p>
        </w:tc>
        <w:tc>
          <w:tcPr>
            <w:tcW w:w="3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w:t>
            </w:r>
          </w:p>
        </w:tc>
        <w:tc>
          <w:tcPr>
            <w:tcW w:w="3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(0.3)%</w:t>
            </w:r>
          </w:p>
        </w:tc>
        <w:tc>
          <w:tcPr>
            <w:tcW w:w="4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800" w:type="dxa"/>
            <w:vAlign w:val="bottom"/>
            <w:gridSpan w:val="3"/>
            <w:shd w:val="clear" w:color="auto" w:fill="CCEEFF"/>
          </w:tcPr>
          <w:p>
            <w:pPr>
              <w:jc w:val="right"/>
              <w:ind w:right="11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tcPr>
          <w:p>
            <w:pPr>
              <w:ind w:left="420"/>
              <w:spacing w:after="0"/>
              <w:rPr>
                <w:sz w:val="20"/>
                <w:szCs w:val="20"/>
                <w:color w:val="auto"/>
              </w:rPr>
            </w:pPr>
            <w:r>
              <w:rPr>
                <w:rFonts w:ascii="Arial" w:cs="Arial" w:eastAsia="Arial" w:hAnsi="Arial"/>
                <w:sz w:val="16"/>
                <w:szCs w:val="16"/>
                <w:color w:val="auto"/>
              </w:rPr>
              <w:t>Total operating expenses</w:t>
            </w:r>
          </w:p>
        </w:tc>
        <w:tc>
          <w:tcPr>
            <w:tcW w:w="38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13,548</w:t>
            </w:r>
          </w:p>
        </w:tc>
        <w:tc>
          <w:tcPr>
            <w:tcW w:w="320" w:type="dxa"/>
            <w:vAlign w:val="bottom"/>
            <w:tcBorders>
              <w:bottom w:val="single" w:sz="8" w:color="CCEEFF"/>
            </w:tcBorders>
          </w:tcPr>
          <w:p>
            <w:pPr>
              <w:spacing w:after="0"/>
              <w:rPr>
                <w:sz w:val="21"/>
                <w:szCs w:val="21"/>
                <w:color w:val="auto"/>
              </w:rPr>
            </w:pPr>
          </w:p>
        </w:tc>
        <w:tc>
          <w:tcPr>
            <w:tcW w:w="72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5.9 %</w:t>
            </w:r>
          </w:p>
        </w:tc>
        <w:tc>
          <w:tcPr>
            <w:tcW w:w="440" w:type="dxa"/>
            <w:vAlign w:val="bottom"/>
            <w:tcBorders>
              <w:bottom w:val="single" w:sz="8" w:color="CCEEFF"/>
            </w:tcBorders>
          </w:tcPr>
          <w:p>
            <w:pPr>
              <w:spacing w:after="0"/>
              <w:rPr>
                <w:sz w:val="21"/>
                <w:szCs w:val="21"/>
                <w:color w:val="auto"/>
              </w:rPr>
            </w:pPr>
          </w:p>
        </w:tc>
        <w:tc>
          <w:tcPr>
            <w:tcW w:w="58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13,143</w:t>
            </w:r>
          </w:p>
        </w:tc>
        <w:tc>
          <w:tcPr>
            <w:tcW w:w="320" w:type="dxa"/>
            <w:vAlign w:val="bottom"/>
            <w:tcBorders>
              <w:bottom w:val="single" w:sz="8" w:color="CCEEFF"/>
            </w:tcBorders>
          </w:tcPr>
          <w:p>
            <w:pPr>
              <w:spacing w:after="0"/>
              <w:rPr>
                <w:sz w:val="21"/>
                <w:szCs w:val="21"/>
                <w:color w:val="auto"/>
              </w:rPr>
            </w:pPr>
          </w:p>
        </w:tc>
        <w:tc>
          <w:tcPr>
            <w:tcW w:w="7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6.9 %</w:t>
            </w:r>
          </w:p>
        </w:tc>
        <w:tc>
          <w:tcPr>
            <w:tcW w:w="0" w:type="dxa"/>
            <w:vAlign w:val="bottom"/>
          </w:tcPr>
          <w:p>
            <w:pPr>
              <w:spacing w:after="0"/>
              <w:rPr>
                <w:sz w:val="1"/>
                <w:szCs w:val="1"/>
                <w:color w:val="auto"/>
              </w:rPr>
            </w:pPr>
          </w:p>
        </w:tc>
      </w:tr>
      <w:tr>
        <w:trPr>
          <w:trHeight w:val="257"/>
        </w:trPr>
        <w:tc>
          <w:tcPr>
            <w:tcW w:w="4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3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8,975</w:t>
            </w:r>
          </w:p>
        </w:tc>
        <w:tc>
          <w:tcPr>
            <w:tcW w:w="3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3.9 %</w:t>
            </w:r>
          </w:p>
        </w:tc>
        <w:tc>
          <w:tcPr>
            <w:tcW w:w="4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(7,835)</w:t>
            </w:r>
          </w:p>
        </w:tc>
        <w:tc>
          <w:tcPr>
            <w:tcW w:w="3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64"/>
        </w:trPr>
        <w:tc>
          <w:tcPr>
            <w:tcW w:w="44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Non-operating income</w:t>
            </w:r>
          </w:p>
        </w:tc>
        <w:tc>
          <w:tcPr>
            <w:tcW w:w="3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474</w:t>
            </w:r>
          </w:p>
        </w:tc>
        <w:tc>
          <w:tcPr>
            <w:tcW w:w="32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0.2 %</w:t>
            </w:r>
          </w:p>
        </w:tc>
        <w:tc>
          <w:tcPr>
            <w:tcW w:w="44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131</w:t>
            </w:r>
          </w:p>
        </w:tc>
        <w:tc>
          <w:tcPr>
            <w:tcW w:w="32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0.1 %</w:t>
            </w:r>
          </w:p>
        </w:tc>
        <w:tc>
          <w:tcPr>
            <w:tcW w:w="0" w:type="dxa"/>
            <w:vAlign w:val="bottom"/>
          </w:tcPr>
          <w:p>
            <w:pPr>
              <w:spacing w:after="0"/>
              <w:rPr>
                <w:sz w:val="1"/>
                <w:szCs w:val="1"/>
                <w:color w:val="auto"/>
              </w:rPr>
            </w:pPr>
          </w:p>
        </w:tc>
      </w:tr>
      <w:tr>
        <w:trPr>
          <w:trHeight w:val="257"/>
        </w:trPr>
        <w:tc>
          <w:tcPr>
            <w:tcW w:w="4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(loss) before income taxes</w:t>
            </w:r>
          </w:p>
        </w:tc>
        <w:tc>
          <w:tcPr>
            <w:tcW w:w="3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9,449</w:t>
            </w:r>
          </w:p>
        </w:tc>
        <w:tc>
          <w:tcPr>
            <w:tcW w:w="3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4.1 %</w:t>
            </w:r>
          </w:p>
        </w:tc>
        <w:tc>
          <w:tcPr>
            <w:tcW w:w="4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(7,704)</w:t>
            </w:r>
          </w:p>
        </w:tc>
        <w:tc>
          <w:tcPr>
            <w:tcW w:w="3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64"/>
        </w:trPr>
        <w:tc>
          <w:tcPr>
            <w:tcW w:w="44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Provision (benefit) for taxes</w:t>
            </w:r>
          </w:p>
        </w:tc>
        <w:tc>
          <w:tcPr>
            <w:tcW w:w="3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2,348</w:t>
            </w:r>
          </w:p>
        </w:tc>
        <w:tc>
          <w:tcPr>
            <w:tcW w:w="32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1.0 %</w:t>
            </w:r>
          </w:p>
        </w:tc>
        <w:tc>
          <w:tcPr>
            <w:tcW w:w="44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(7,066)</w:t>
            </w:r>
          </w:p>
        </w:tc>
        <w:tc>
          <w:tcPr>
            <w:tcW w:w="32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4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7,101</w:t>
            </w:r>
          </w:p>
        </w:tc>
        <w:tc>
          <w:tcPr>
            <w:tcW w:w="3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3.1 %</w:t>
            </w:r>
          </w:p>
        </w:tc>
        <w:tc>
          <w:tcPr>
            <w:tcW w:w="4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(638)</w:t>
            </w:r>
          </w:p>
        </w:tc>
        <w:tc>
          <w:tcPr>
            <w:tcW w:w="3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0"/>
        </w:trPr>
        <w:tc>
          <w:tcPr>
            <w:tcW w:w="4480" w:type="dxa"/>
            <w:vAlign w:val="bottom"/>
            <w:vMerge w:val="restart"/>
          </w:tcPr>
          <w:p>
            <w:pPr>
              <w:ind w:left="40"/>
              <w:spacing w:after="0"/>
              <w:rPr>
                <w:sz w:val="20"/>
                <w:szCs w:val="20"/>
                <w:color w:val="auto"/>
              </w:rPr>
            </w:pPr>
            <w:r>
              <w:rPr>
                <w:rFonts w:ascii="Arial" w:cs="Arial" w:eastAsia="Arial" w:hAnsi="Arial"/>
                <w:sz w:val="16"/>
                <w:szCs w:val="16"/>
                <w:color w:val="auto"/>
              </w:rPr>
              <w:t>Income (loss) per common share:</w:t>
            </w: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480" w:type="dxa"/>
            <w:vAlign w:val="bottom"/>
            <w:vMerge w:val="continue"/>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44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0.24</w:t>
            </w:r>
          </w:p>
        </w:tc>
        <w:tc>
          <w:tcPr>
            <w:tcW w:w="3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3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480" w:type="dxa"/>
            <w:vAlign w:val="bottom"/>
          </w:tcPr>
          <w:p>
            <w:pPr>
              <w:ind w:left="240"/>
              <w:spacing w:after="0"/>
              <w:rPr>
                <w:sz w:val="20"/>
                <w:szCs w:val="20"/>
                <w:color w:val="auto"/>
              </w:rPr>
            </w:pPr>
            <w:r>
              <w:rPr>
                <w:rFonts w:ascii="Arial" w:cs="Arial" w:eastAsia="Arial" w:hAnsi="Arial"/>
                <w:sz w:val="16"/>
                <w:szCs w:val="16"/>
                <w:color w:val="auto"/>
              </w:rPr>
              <w:t>Diluted</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0.24</w:t>
            </w:r>
          </w:p>
        </w:tc>
        <w:tc>
          <w:tcPr>
            <w:tcW w:w="3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(0.02)</w:t>
            </w: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3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480" w:type="dxa"/>
            <w:vAlign w:val="bottom"/>
          </w:tcPr>
          <w:p>
            <w:pPr>
              <w:ind w:left="240"/>
              <w:spacing w:after="0"/>
              <w:rPr>
                <w:sz w:val="20"/>
                <w:szCs w:val="20"/>
                <w:color w:val="auto"/>
              </w:rPr>
            </w:pPr>
            <w:r>
              <w:rPr>
                <w:rFonts w:ascii="Arial" w:cs="Arial" w:eastAsia="Arial" w:hAnsi="Arial"/>
                <w:sz w:val="16"/>
                <w:szCs w:val="16"/>
                <w:color w:val="auto"/>
              </w:rPr>
              <w:t>Basic</w:t>
            </w:r>
          </w:p>
        </w:tc>
        <w:tc>
          <w:tcPr>
            <w:tcW w:w="38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29,115</w:t>
            </w:r>
          </w:p>
        </w:tc>
        <w:tc>
          <w:tcPr>
            <w:tcW w:w="3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29,077</w:t>
            </w: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4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3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29,118</w:t>
            </w:r>
          </w:p>
        </w:tc>
        <w:tc>
          <w:tcPr>
            <w:tcW w:w="3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29,088</w:t>
            </w:r>
          </w:p>
        </w:tc>
        <w:tc>
          <w:tcPr>
            <w:tcW w:w="3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16"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gridSpan w:val="2"/>
          </w:tcPr>
          <w:p>
            <w:pPr>
              <w:ind w:left="80"/>
              <w:spacing w:after="0"/>
              <w:rPr>
                <w:sz w:val="20"/>
                <w:szCs w:val="20"/>
                <w:color w:val="auto"/>
              </w:rPr>
            </w:pPr>
            <w:r>
              <w:rPr>
                <w:rFonts w:ascii="Arial" w:cs="Arial" w:eastAsia="Arial" w:hAnsi="Arial"/>
                <w:sz w:val="16"/>
                <w:szCs w:val="16"/>
                <w:b w:val="1"/>
                <w:bCs w:val="1"/>
                <w:color w:val="auto"/>
              </w:rPr>
              <w:t>February 26,</w:t>
            </w:r>
          </w:p>
        </w:tc>
        <w:tc>
          <w:tcPr>
            <w:tcW w:w="240" w:type="dxa"/>
            <w:vAlign w:val="bottom"/>
          </w:tcPr>
          <w:p>
            <w:pPr>
              <w:spacing w:after="0"/>
              <w:rPr>
                <w:sz w:val="16"/>
                <w:szCs w:val="16"/>
                <w:color w:val="auto"/>
              </w:rPr>
            </w:pPr>
          </w:p>
        </w:tc>
        <w:tc>
          <w:tcPr>
            <w:tcW w:w="1360" w:type="dxa"/>
            <w:vAlign w:val="bottom"/>
          </w:tcPr>
          <w:p>
            <w:pPr>
              <w:jc w:val="right"/>
              <w:ind w:right="319"/>
              <w:spacing w:after="0"/>
              <w:rPr>
                <w:sz w:val="20"/>
                <w:szCs w:val="20"/>
                <w:color w:val="auto"/>
              </w:rPr>
            </w:pPr>
            <w:r>
              <w:rPr>
                <w:rFonts w:ascii="Arial" w:cs="Arial" w:eastAsia="Arial" w:hAnsi="Arial"/>
                <w:sz w:val="16"/>
                <w:szCs w:val="16"/>
                <w:b w:val="1"/>
                <w:bCs w:val="1"/>
                <w:color w:val="auto"/>
              </w:rPr>
              <w:t>August 28,</w:t>
            </w:r>
          </w:p>
        </w:tc>
      </w:tr>
      <w:tr>
        <w:trPr>
          <w:trHeight w:val="228"/>
        </w:trPr>
        <w:tc>
          <w:tcPr>
            <w:tcW w:w="80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2011</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2010</w:t>
            </w:r>
          </w:p>
        </w:tc>
      </w:tr>
      <w:tr>
        <w:trPr>
          <w:trHeight w:val="270"/>
        </w:trPr>
        <w:tc>
          <w:tcPr>
            <w:tcW w:w="8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2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60"/>
        </w:trPr>
        <w:tc>
          <w:tcPr>
            <w:tcW w:w="800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80"/>
        </w:trPr>
        <w:tc>
          <w:tcPr>
            <w:tcW w:w="80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62,787</w:t>
            </w:r>
          </w:p>
        </w:tc>
        <w:tc>
          <w:tcPr>
            <w:tcW w:w="2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74,691</w:t>
            </w:r>
          </w:p>
        </w:tc>
      </w:tr>
      <w:tr>
        <w:trPr>
          <w:trHeight w:val="260"/>
        </w:trPr>
        <w:tc>
          <w:tcPr>
            <w:tcW w:w="8000" w:type="dxa"/>
            <w:vAlign w:val="bottom"/>
          </w:tcPr>
          <w:p>
            <w:pPr>
              <w:ind w:left="280"/>
              <w:spacing w:after="0"/>
              <w:rPr>
                <w:sz w:val="20"/>
                <w:szCs w:val="20"/>
                <w:color w:val="auto"/>
              </w:rPr>
            </w:pPr>
            <w:r>
              <w:rPr>
                <w:rFonts w:ascii="Arial" w:cs="Arial" w:eastAsia="Arial" w:hAnsi="Arial"/>
                <w:sz w:val="16"/>
                <w:szCs w:val="16"/>
                <w:color w:val="auto"/>
              </w:rPr>
              <w:t>Receivables, net</w:t>
            </w:r>
          </w:p>
        </w:tc>
        <w:tc>
          <w:tcPr>
            <w:tcW w:w="220" w:type="dxa"/>
            <w:vAlign w:val="bottom"/>
          </w:tcPr>
          <w:p>
            <w:pPr>
              <w:spacing w:after="0"/>
              <w:rPr>
                <w:sz w:val="22"/>
                <w:szCs w:val="22"/>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20,870</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18,798</w:t>
            </w:r>
          </w:p>
        </w:tc>
      </w:tr>
      <w:tr>
        <w:trPr>
          <w:trHeight w:val="280"/>
        </w:trPr>
        <w:tc>
          <w:tcPr>
            <w:tcW w:w="80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Inventories</w:t>
            </w:r>
          </w:p>
        </w:tc>
        <w:tc>
          <w:tcPr>
            <w:tcW w:w="2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71,655</w:t>
            </w:r>
          </w:p>
        </w:tc>
        <w:tc>
          <w:tcPr>
            <w:tcW w:w="2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43,526</w:t>
            </w:r>
          </w:p>
        </w:tc>
      </w:tr>
      <w:tr>
        <w:trPr>
          <w:trHeight w:val="260"/>
        </w:trPr>
        <w:tc>
          <w:tcPr>
            <w:tcW w:w="8000" w:type="dxa"/>
            <w:vAlign w:val="bottom"/>
          </w:tcPr>
          <w:p>
            <w:pPr>
              <w:ind w:left="280"/>
              <w:spacing w:after="0"/>
              <w:rPr>
                <w:sz w:val="20"/>
                <w:szCs w:val="20"/>
                <w:color w:val="auto"/>
              </w:rPr>
            </w:pPr>
            <w:r>
              <w:rPr>
                <w:rFonts w:ascii="Arial" w:cs="Arial" w:eastAsia="Arial" w:hAnsi="Arial"/>
                <w:sz w:val="16"/>
                <w:szCs w:val="16"/>
                <w:color w:val="auto"/>
              </w:rPr>
              <w:t>Prepaid expenses and other assets</w:t>
            </w:r>
          </w:p>
        </w:tc>
        <w:tc>
          <w:tcPr>
            <w:tcW w:w="220" w:type="dxa"/>
            <w:vAlign w:val="bottom"/>
          </w:tcPr>
          <w:p>
            <w:pPr>
              <w:spacing w:after="0"/>
              <w:rPr>
                <w:sz w:val="22"/>
                <w:szCs w:val="22"/>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4,828</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4,570</w:t>
            </w:r>
          </w:p>
        </w:tc>
      </w:tr>
      <w:tr>
        <w:trPr>
          <w:trHeight w:val="273"/>
        </w:trPr>
        <w:tc>
          <w:tcPr>
            <w:tcW w:w="80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Income taxes receivable</w:t>
            </w:r>
          </w:p>
        </w:tc>
        <w:tc>
          <w:tcPr>
            <w:tcW w:w="22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132</w:t>
            </w:r>
          </w:p>
        </w:tc>
        <w:tc>
          <w:tcPr>
            <w:tcW w:w="2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132</w:t>
            </w:r>
          </w:p>
        </w:tc>
      </w:tr>
      <w:tr>
        <w:trPr>
          <w:trHeight w:val="247"/>
        </w:trPr>
        <w:tc>
          <w:tcPr>
            <w:tcW w:w="8000" w:type="dxa"/>
            <w:vAlign w:val="bottom"/>
          </w:tcPr>
          <w:p>
            <w:pPr>
              <w:ind w:left="500"/>
              <w:spacing w:after="0"/>
              <w:rPr>
                <w:sz w:val="20"/>
                <w:szCs w:val="20"/>
                <w:color w:val="auto"/>
              </w:rPr>
            </w:pPr>
            <w:r>
              <w:rPr>
                <w:rFonts w:ascii="Arial" w:cs="Arial" w:eastAsia="Arial" w:hAnsi="Arial"/>
                <w:sz w:val="16"/>
                <w:szCs w:val="16"/>
                <w:color w:val="auto"/>
              </w:rPr>
              <w:t>Total current assets</w:t>
            </w:r>
          </w:p>
        </w:tc>
        <w:tc>
          <w:tcPr>
            <w:tcW w:w="220" w:type="dxa"/>
            <w:vAlign w:val="bottom"/>
          </w:tcPr>
          <w:p>
            <w:pPr>
              <w:spacing w:after="0"/>
              <w:rPr>
                <w:sz w:val="21"/>
                <w:szCs w:val="21"/>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160,272</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141,717</w:t>
            </w:r>
          </w:p>
        </w:tc>
      </w:tr>
      <w:tr>
        <w:trPr>
          <w:trHeight w:val="280"/>
        </w:trPr>
        <w:tc>
          <w:tcPr>
            <w:tcW w:w="8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Property, plant, and equipment, net</w:t>
            </w:r>
          </w:p>
        </w:tc>
        <w:tc>
          <w:tcPr>
            <w:tcW w:w="2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24,427</w:t>
            </w:r>
          </w:p>
        </w:tc>
        <w:tc>
          <w:tcPr>
            <w:tcW w:w="2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25,677</w:t>
            </w:r>
          </w:p>
        </w:tc>
      </w:tr>
      <w:tr>
        <w:trPr>
          <w:trHeight w:val="260"/>
        </w:trPr>
        <w:tc>
          <w:tcPr>
            <w:tcW w:w="8000" w:type="dxa"/>
            <w:vAlign w:val="bottom"/>
          </w:tcPr>
          <w:p>
            <w:pPr>
              <w:ind w:left="40"/>
              <w:spacing w:after="0"/>
              <w:rPr>
                <w:sz w:val="20"/>
                <w:szCs w:val="20"/>
                <w:color w:val="auto"/>
              </w:rPr>
            </w:pPr>
            <w:r>
              <w:rPr>
                <w:rFonts w:ascii="Arial" w:cs="Arial" w:eastAsia="Arial" w:hAnsi="Arial"/>
                <w:sz w:val="16"/>
                <w:szCs w:val="16"/>
                <w:color w:val="auto"/>
              </w:rPr>
              <w:t>Assets held for sale</w:t>
            </w:r>
          </w:p>
        </w:tc>
        <w:tc>
          <w:tcPr>
            <w:tcW w:w="220" w:type="dxa"/>
            <w:vAlign w:val="bottom"/>
          </w:tcPr>
          <w:p>
            <w:pPr>
              <w:spacing w:after="0"/>
              <w:rPr>
                <w:sz w:val="22"/>
                <w:szCs w:val="22"/>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1,201</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4,254</w:t>
            </w:r>
          </w:p>
        </w:tc>
      </w:tr>
      <w:tr>
        <w:trPr>
          <w:trHeight w:val="280"/>
        </w:trPr>
        <w:tc>
          <w:tcPr>
            <w:tcW w:w="8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Long-term investments</w:t>
            </w:r>
          </w:p>
        </w:tc>
        <w:tc>
          <w:tcPr>
            <w:tcW w:w="2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10,891</w:t>
            </w:r>
          </w:p>
        </w:tc>
        <w:tc>
          <w:tcPr>
            <w:tcW w:w="2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17,785</w:t>
            </w:r>
          </w:p>
        </w:tc>
      </w:tr>
      <w:tr>
        <w:trPr>
          <w:trHeight w:val="260"/>
        </w:trPr>
        <w:tc>
          <w:tcPr>
            <w:tcW w:w="8000" w:type="dxa"/>
            <w:vAlign w:val="bottom"/>
          </w:tcPr>
          <w:p>
            <w:pPr>
              <w:ind w:left="40"/>
              <w:spacing w:after="0"/>
              <w:rPr>
                <w:sz w:val="20"/>
                <w:szCs w:val="20"/>
                <w:color w:val="auto"/>
              </w:rPr>
            </w:pPr>
            <w:r>
              <w:rPr>
                <w:rFonts w:ascii="Arial" w:cs="Arial" w:eastAsia="Arial" w:hAnsi="Arial"/>
                <w:sz w:val="16"/>
                <w:szCs w:val="16"/>
                <w:color w:val="auto"/>
              </w:rPr>
              <w:t>Investment in life insurance</w:t>
            </w:r>
          </w:p>
        </w:tc>
        <w:tc>
          <w:tcPr>
            <w:tcW w:w="220" w:type="dxa"/>
            <w:vAlign w:val="bottom"/>
          </w:tcPr>
          <w:p>
            <w:pPr>
              <w:spacing w:after="0"/>
              <w:rPr>
                <w:sz w:val="22"/>
                <w:szCs w:val="22"/>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23,254</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23,250</w:t>
            </w:r>
          </w:p>
        </w:tc>
      </w:tr>
      <w:tr>
        <w:trPr>
          <w:trHeight w:val="280"/>
        </w:trPr>
        <w:tc>
          <w:tcPr>
            <w:tcW w:w="8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2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1,228</w:t>
            </w:r>
          </w:p>
        </w:tc>
        <w:tc>
          <w:tcPr>
            <w:tcW w:w="2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8000" w:type="dxa"/>
            <w:vAlign w:val="bottom"/>
          </w:tcPr>
          <w:p>
            <w:pPr>
              <w:ind w:left="40"/>
              <w:spacing w:after="0"/>
              <w:rPr>
                <w:sz w:val="20"/>
                <w:szCs w:val="20"/>
                <w:color w:val="auto"/>
              </w:rPr>
            </w:pPr>
            <w:r>
              <w:rPr>
                <w:rFonts w:ascii="Arial" w:cs="Arial" w:eastAsia="Arial" w:hAnsi="Arial"/>
                <w:sz w:val="16"/>
                <w:szCs w:val="16"/>
                <w:color w:val="auto"/>
              </w:rPr>
              <w:t>Amortizable intangible assets</w:t>
            </w:r>
          </w:p>
        </w:tc>
        <w:tc>
          <w:tcPr>
            <w:tcW w:w="220" w:type="dxa"/>
            <w:vAlign w:val="bottom"/>
          </w:tcPr>
          <w:p>
            <w:pPr>
              <w:spacing w:after="0"/>
              <w:rPr>
                <w:sz w:val="22"/>
                <w:szCs w:val="22"/>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759</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3"/>
        </w:trPr>
        <w:tc>
          <w:tcPr>
            <w:tcW w:w="8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22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16,878</w:t>
            </w:r>
          </w:p>
        </w:tc>
        <w:tc>
          <w:tcPr>
            <w:tcW w:w="2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14,674</w:t>
            </w:r>
          </w:p>
        </w:tc>
      </w:tr>
      <w:tr>
        <w:trPr>
          <w:trHeight w:val="280"/>
        </w:trPr>
        <w:tc>
          <w:tcPr>
            <w:tcW w:w="800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238,910</w:t>
            </w:r>
          </w:p>
        </w:tc>
        <w:tc>
          <w:tcPr>
            <w:tcW w:w="2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227,357</w:t>
            </w:r>
          </w:p>
        </w:tc>
      </w:tr>
      <w:tr>
        <w:trPr>
          <w:trHeight w:val="267"/>
        </w:trPr>
        <w:tc>
          <w:tcPr>
            <w:tcW w:w="80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60"/>
        </w:trPr>
        <w:tc>
          <w:tcPr>
            <w:tcW w:w="8000" w:type="dxa"/>
            <w:vAlign w:val="bottom"/>
          </w:tcPr>
          <w:p>
            <w:pPr>
              <w:ind w:left="40"/>
              <w:spacing w:after="0"/>
              <w:rPr>
                <w:sz w:val="20"/>
                <w:szCs w:val="20"/>
                <w:color w:val="auto"/>
              </w:rPr>
            </w:pPr>
            <w:r>
              <w:rPr>
                <w:rFonts w:ascii="Arial" w:cs="Arial" w:eastAsia="Arial" w:hAnsi="Arial"/>
                <w:sz w:val="16"/>
                <w:szCs w:val="16"/>
                <w:color w:val="auto"/>
              </w:rPr>
              <w:t>LIABILITIES AND STOCKHOLDERS' EQUITY</w:t>
            </w:r>
          </w:p>
        </w:tc>
        <w:tc>
          <w:tcPr>
            <w:tcW w:w="2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80"/>
        </w:trPr>
        <w:tc>
          <w:tcPr>
            <w:tcW w:w="8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2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60"/>
        </w:trPr>
        <w:tc>
          <w:tcPr>
            <w:tcW w:w="8000" w:type="dxa"/>
            <w:vAlign w:val="bottom"/>
          </w:tcPr>
          <w:p>
            <w:pPr>
              <w:ind w:left="280"/>
              <w:spacing w:after="0"/>
              <w:rPr>
                <w:sz w:val="20"/>
                <w:szCs w:val="20"/>
                <w:color w:val="auto"/>
              </w:rPr>
            </w:pPr>
            <w:r>
              <w:rPr>
                <w:rFonts w:ascii="Arial" w:cs="Arial" w:eastAsia="Arial" w:hAnsi="Arial"/>
                <w:sz w:val="16"/>
                <w:szCs w:val="16"/>
                <w:color w:val="auto"/>
              </w:rPr>
              <w:t>Accounts payable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20,932</w:t>
            </w:r>
          </w:p>
        </w:tc>
        <w:tc>
          <w:tcPr>
            <w:tcW w:w="20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19,725</w:t>
            </w:r>
          </w:p>
        </w:tc>
      </w:tr>
      <w:tr>
        <w:trPr>
          <w:trHeight w:val="280"/>
        </w:trPr>
        <w:tc>
          <w:tcPr>
            <w:tcW w:w="80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Income taxes payable</w:t>
            </w:r>
          </w:p>
        </w:tc>
        <w:tc>
          <w:tcPr>
            <w:tcW w:w="2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947</w:t>
            </w:r>
          </w:p>
        </w:tc>
        <w:tc>
          <w:tcPr>
            <w:tcW w:w="2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99</w:t>
            </w:r>
          </w:p>
        </w:tc>
      </w:tr>
      <w:tr>
        <w:trPr>
          <w:trHeight w:val="264"/>
        </w:trPr>
        <w:tc>
          <w:tcPr>
            <w:tcW w:w="80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Accrued expenses</w:t>
            </w:r>
          </w:p>
        </w:tc>
        <w:tc>
          <w:tcPr>
            <w:tcW w:w="2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32,225</w:t>
            </w:r>
          </w:p>
        </w:tc>
        <w:tc>
          <w:tcPr>
            <w:tcW w:w="2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30,548</w:t>
            </w:r>
          </w:p>
        </w:tc>
      </w:tr>
      <w:tr>
        <w:trPr>
          <w:trHeight w:val="257"/>
        </w:trPr>
        <w:tc>
          <w:tcPr>
            <w:tcW w:w="800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current liabilities</w:t>
            </w:r>
          </w:p>
        </w:tc>
        <w:tc>
          <w:tcPr>
            <w:tcW w:w="22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54,104</w:t>
            </w:r>
          </w:p>
        </w:tc>
        <w:tc>
          <w:tcPr>
            <w:tcW w:w="2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50,372</w:t>
            </w:r>
          </w:p>
        </w:tc>
      </w:tr>
      <w:tr>
        <w:trPr>
          <w:trHeight w:val="254"/>
        </w:trPr>
        <w:tc>
          <w:tcPr>
            <w:tcW w:w="8000" w:type="dxa"/>
            <w:vAlign w:val="bottom"/>
          </w:tcPr>
          <w:p>
            <w:pPr>
              <w:ind w:left="40"/>
              <w:spacing w:after="0"/>
              <w:rPr>
                <w:sz w:val="20"/>
                <w:szCs w:val="20"/>
                <w:color w:val="auto"/>
              </w:rPr>
            </w:pPr>
            <w:r>
              <w:rPr>
                <w:rFonts w:ascii="Arial" w:cs="Arial" w:eastAsia="Arial" w:hAnsi="Arial"/>
                <w:sz w:val="16"/>
                <w:szCs w:val="16"/>
                <w:color w:val="auto"/>
              </w:rPr>
              <w:t>Long-term liabilities:</w:t>
            </w:r>
          </w:p>
        </w:tc>
        <w:tc>
          <w:tcPr>
            <w:tcW w:w="2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80"/>
        </w:trPr>
        <w:tc>
          <w:tcPr>
            <w:tcW w:w="80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Unrecognized tax benefits</w:t>
            </w:r>
          </w:p>
        </w:tc>
        <w:tc>
          <w:tcPr>
            <w:tcW w:w="2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5,637</w:t>
            </w:r>
          </w:p>
        </w:tc>
        <w:tc>
          <w:tcPr>
            <w:tcW w:w="2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5,877</w:t>
            </w:r>
          </w:p>
        </w:tc>
      </w:tr>
      <w:tr>
        <w:trPr>
          <w:trHeight w:val="264"/>
        </w:trPr>
        <w:tc>
          <w:tcPr>
            <w:tcW w:w="80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Postretirement health care and deferred compensation benefits, net of current portion</w:t>
            </w:r>
          </w:p>
        </w:tc>
        <w:tc>
          <w:tcPr>
            <w:tcW w:w="2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75,840</w:t>
            </w:r>
          </w:p>
        </w:tc>
        <w:tc>
          <w:tcPr>
            <w:tcW w:w="2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73,581</w:t>
            </w:r>
          </w:p>
        </w:tc>
      </w:tr>
      <w:tr>
        <w:trPr>
          <w:trHeight w:val="257"/>
        </w:trPr>
        <w:tc>
          <w:tcPr>
            <w:tcW w:w="800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long-term liabilities</w:t>
            </w:r>
          </w:p>
        </w:tc>
        <w:tc>
          <w:tcPr>
            <w:tcW w:w="22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81,477</w:t>
            </w: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79,458</w:t>
            </w:r>
          </w:p>
        </w:tc>
      </w:tr>
      <w:tr>
        <w:trPr>
          <w:trHeight w:val="264"/>
        </w:trPr>
        <w:tc>
          <w:tcPr>
            <w:tcW w:w="80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Stockholders' equity</w:t>
            </w:r>
          </w:p>
        </w:tc>
        <w:tc>
          <w:tcPr>
            <w:tcW w:w="2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103,329</w:t>
            </w:r>
          </w:p>
        </w:tc>
        <w:tc>
          <w:tcPr>
            <w:tcW w:w="2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97,527</w:t>
            </w:r>
          </w:p>
        </w:tc>
      </w:tr>
      <w:tr>
        <w:trPr>
          <w:trHeight w:val="240"/>
        </w:trPr>
        <w:tc>
          <w:tcPr>
            <w:tcW w:w="8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liabilities and stockholders' equity</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238,910</w:t>
            </w: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227,357</w:t>
            </w:r>
          </w:p>
        </w:tc>
      </w:tr>
      <w:tr>
        <w:trPr>
          <w:trHeight w:val="20"/>
        </w:trPr>
        <w:tc>
          <w:tcPr>
            <w:tcW w:w="8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616"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340" w:type="dxa"/>
            <w:vAlign w:val="bottom"/>
            <w:tcBorders>
              <w:bottom w:val="single" w:sz="8" w:color="auto"/>
            </w:tcBorders>
            <w:gridSpan w:val="4"/>
          </w:tcPr>
          <w:p>
            <w:pPr>
              <w:jc w:val="right"/>
              <w:ind w:right="979"/>
              <w:spacing w:after="0"/>
              <w:rPr>
                <w:sz w:val="20"/>
                <w:szCs w:val="20"/>
                <w:color w:val="auto"/>
              </w:rPr>
            </w:pPr>
            <w:r>
              <w:rPr>
                <w:rFonts w:ascii="Arial" w:cs="Arial" w:eastAsia="Arial" w:hAnsi="Arial"/>
                <w:sz w:val="16"/>
                <w:szCs w:val="16"/>
                <w:b w:val="1"/>
                <w:bCs w:val="1"/>
                <w:color w:val="auto"/>
              </w:rPr>
              <w:t>Six Months Ended</w:t>
            </w:r>
          </w:p>
        </w:tc>
      </w:tr>
      <w:tr>
        <w:trPr>
          <w:trHeight w:val="198"/>
        </w:trPr>
        <w:tc>
          <w:tcPr>
            <w:tcW w:w="7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gridSpan w:val="2"/>
          </w:tcPr>
          <w:p>
            <w:pPr>
              <w:ind w:left="100"/>
              <w:spacing w:after="0"/>
              <w:rPr>
                <w:sz w:val="20"/>
                <w:szCs w:val="20"/>
                <w:color w:val="auto"/>
              </w:rPr>
            </w:pPr>
            <w:r>
              <w:rPr>
                <w:rFonts w:ascii="Arial" w:cs="Arial" w:eastAsia="Arial" w:hAnsi="Arial"/>
                <w:sz w:val="16"/>
                <w:szCs w:val="16"/>
                <w:b w:val="1"/>
                <w:bCs w:val="1"/>
                <w:color w:val="auto"/>
              </w:rPr>
              <w:t>February 26,</w:t>
            </w:r>
          </w:p>
        </w:tc>
        <w:tc>
          <w:tcPr>
            <w:tcW w:w="240" w:type="dxa"/>
            <w:vAlign w:val="bottom"/>
          </w:tcPr>
          <w:p>
            <w:pPr>
              <w:spacing w:after="0"/>
              <w:rPr>
                <w:sz w:val="17"/>
                <w:szCs w:val="17"/>
                <w:color w:val="auto"/>
              </w:rPr>
            </w:pPr>
          </w:p>
        </w:tc>
        <w:tc>
          <w:tcPr>
            <w:tcW w:w="1440" w:type="dxa"/>
            <w:vAlign w:val="bottom"/>
          </w:tcPr>
          <w:p>
            <w:pPr>
              <w:jc w:val="right"/>
              <w:ind w:right="299"/>
              <w:spacing w:after="0"/>
              <w:rPr>
                <w:sz w:val="20"/>
                <w:szCs w:val="20"/>
                <w:color w:val="auto"/>
              </w:rPr>
            </w:pPr>
            <w:r>
              <w:rPr>
                <w:rFonts w:ascii="Arial" w:cs="Arial" w:eastAsia="Arial" w:hAnsi="Arial"/>
                <w:sz w:val="16"/>
                <w:szCs w:val="16"/>
                <w:b w:val="1"/>
                <w:bCs w:val="1"/>
                <w:color w:val="auto"/>
              </w:rPr>
              <w:t>February 27,</w:t>
            </w:r>
          </w:p>
        </w:tc>
      </w:tr>
      <w:tr>
        <w:trPr>
          <w:trHeight w:val="228"/>
        </w:trPr>
        <w:tc>
          <w:tcPr>
            <w:tcW w:w="78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2011</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2010</w:t>
            </w:r>
          </w:p>
        </w:tc>
      </w:tr>
      <w:tr>
        <w:trPr>
          <w:trHeight w:val="270"/>
        </w:trPr>
        <w:tc>
          <w:tcPr>
            <w:tcW w:w="7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2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60"/>
        </w:trPr>
        <w:tc>
          <w:tcPr>
            <w:tcW w:w="7860" w:type="dxa"/>
            <w:vAlign w:val="bottom"/>
          </w:tcPr>
          <w:p>
            <w:pPr>
              <w:ind w:left="280"/>
              <w:spacing w:after="0"/>
              <w:rPr>
                <w:sz w:val="20"/>
                <w:szCs w:val="20"/>
                <w:color w:val="auto"/>
              </w:rPr>
            </w:pPr>
            <w:r>
              <w:rPr>
                <w:rFonts w:ascii="Arial" w:cs="Arial" w:eastAsia="Arial" w:hAnsi="Arial"/>
                <w:sz w:val="16"/>
                <w:szCs w:val="16"/>
                <w:color w:val="auto"/>
              </w:rPr>
              <w:t>Net income (loss)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7,101</w:t>
            </w:r>
          </w:p>
        </w:tc>
        <w:tc>
          <w:tcPr>
            <w:tcW w:w="22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99"/>
              <w:spacing w:after="0"/>
              <w:rPr>
                <w:sz w:val="20"/>
                <w:szCs w:val="20"/>
                <w:color w:val="auto"/>
              </w:rPr>
            </w:pPr>
            <w:r>
              <w:rPr>
                <w:rFonts w:ascii="Arial" w:cs="Arial" w:eastAsia="Arial" w:hAnsi="Arial"/>
                <w:sz w:val="16"/>
                <w:szCs w:val="16"/>
                <w:color w:val="auto"/>
              </w:rPr>
              <w:t>(638)</w:t>
            </w:r>
          </w:p>
        </w:tc>
      </w:tr>
      <w:tr>
        <w:trPr>
          <w:trHeight w:val="280"/>
        </w:trPr>
        <w:tc>
          <w:tcPr>
            <w:tcW w:w="7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2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60"/>
        </w:trPr>
        <w:tc>
          <w:tcPr>
            <w:tcW w:w="786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22"/>
                <w:szCs w:val="22"/>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2,845</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3,296</w:t>
            </w:r>
          </w:p>
        </w:tc>
      </w:tr>
      <w:tr>
        <w:trPr>
          <w:trHeight w:val="280"/>
        </w:trPr>
        <w:tc>
          <w:tcPr>
            <w:tcW w:w="78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Stock-based compensation</w:t>
            </w:r>
          </w:p>
        </w:tc>
        <w:tc>
          <w:tcPr>
            <w:tcW w:w="2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124</w:t>
            </w: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291</w:t>
            </w:r>
          </w:p>
        </w:tc>
      </w:tr>
      <w:tr>
        <w:trPr>
          <w:trHeight w:val="260"/>
        </w:trPr>
        <w:tc>
          <w:tcPr>
            <w:tcW w:w="7860" w:type="dxa"/>
            <w:vAlign w:val="bottom"/>
          </w:tcPr>
          <w:p>
            <w:pPr>
              <w:ind w:left="280"/>
              <w:spacing w:after="0"/>
              <w:rPr>
                <w:sz w:val="20"/>
                <w:szCs w:val="20"/>
                <w:color w:val="auto"/>
              </w:rPr>
            </w:pPr>
            <w:r>
              <w:rPr>
                <w:rFonts w:ascii="Arial" w:cs="Arial" w:eastAsia="Arial" w:hAnsi="Arial"/>
                <w:sz w:val="16"/>
                <w:szCs w:val="16"/>
                <w:color w:val="auto"/>
              </w:rPr>
              <w:t>Deferred income taxes including valuation allowance</w:t>
            </w:r>
          </w:p>
        </w:tc>
        <w:tc>
          <w:tcPr>
            <w:tcW w:w="220" w:type="dxa"/>
            <w:vAlign w:val="bottom"/>
          </w:tcPr>
          <w:p>
            <w:pPr>
              <w:spacing w:after="0"/>
              <w:rPr>
                <w:sz w:val="22"/>
                <w:szCs w:val="22"/>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583</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80"/>
        </w:trPr>
        <w:tc>
          <w:tcPr>
            <w:tcW w:w="78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Postretirement benefit income and deferred compensation expense</w:t>
            </w:r>
          </w:p>
        </w:tc>
        <w:tc>
          <w:tcPr>
            <w:tcW w:w="2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690</w:t>
            </w: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624</w:t>
            </w:r>
          </w:p>
        </w:tc>
      </w:tr>
      <w:tr>
        <w:trPr>
          <w:trHeight w:val="260"/>
        </w:trPr>
        <w:tc>
          <w:tcPr>
            <w:tcW w:w="7860" w:type="dxa"/>
            <w:vAlign w:val="bottom"/>
          </w:tcPr>
          <w:p>
            <w:pPr>
              <w:ind w:left="280"/>
              <w:spacing w:after="0"/>
              <w:rPr>
                <w:sz w:val="20"/>
                <w:szCs w:val="20"/>
                <w:color w:val="auto"/>
              </w:rPr>
            </w:pPr>
            <w:r>
              <w:rPr>
                <w:rFonts w:ascii="Arial" w:cs="Arial" w:eastAsia="Arial" w:hAnsi="Arial"/>
                <w:sz w:val="16"/>
                <w:szCs w:val="16"/>
                <w:color w:val="auto"/>
              </w:rPr>
              <w:t>Reduction for doubtful accounts</w:t>
            </w:r>
          </w:p>
        </w:tc>
        <w:tc>
          <w:tcPr>
            <w:tcW w:w="220" w:type="dxa"/>
            <w:vAlign w:val="bottom"/>
          </w:tcPr>
          <w:p>
            <w:pPr>
              <w:spacing w:after="0"/>
              <w:rPr>
                <w:sz w:val="22"/>
                <w:szCs w:val="22"/>
                <w:color w:val="auto"/>
              </w:rPr>
            </w:pPr>
          </w:p>
        </w:tc>
        <w:tc>
          <w:tcPr>
            <w:tcW w:w="1440" w:type="dxa"/>
            <w:vAlign w:val="bottom"/>
          </w:tcPr>
          <w:p>
            <w:pPr>
              <w:jc w:val="right"/>
              <w:ind w:right="179"/>
              <w:spacing w:after="0"/>
              <w:rPr>
                <w:sz w:val="20"/>
                <w:szCs w:val="20"/>
                <w:color w:val="auto"/>
              </w:rPr>
            </w:pPr>
            <w:r>
              <w:rPr>
                <w:rFonts w:ascii="Arial" w:cs="Arial" w:eastAsia="Arial" w:hAnsi="Arial"/>
                <w:sz w:val="16"/>
                <w:szCs w:val="16"/>
                <w:color w:val="auto"/>
              </w:rPr>
              <w:t>(10)</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tcPr>
          <w:p>
            <w:pPr>
              <w:jc w:val="right"/>
              <w:ind w:right="199"/>
              <w:spacing w:after="0"/>
              <w:rPr>
                <w:sz w:val="20"/>
                <w:szCs w:val="20"/>
                <w:color w:val="auto"/>
              </w:rPr>
            </w:pPr>
            <w:r>
              <w:rPr>
                <w:rFonts w:ascii="Arial" w:cs="Arial" w:eastAsia="Arial" w:hAnsi="Arial"/>
                <w:sz w:val="16"/>
                <w:szCs w:val="16"/>
                <w:color w:val="auto"/>
              </w:rPr>
              <w:t>(60)</w:t>
            </w:r>
          </w:p>
        </w:tc>
      </w:tr>
      <w:tr>
        <w:trPr>
          <w:trHeight w:val="280"/>
        </w:trPr>
        <w:tc>
          <w:tcPr>
            <w:tcW w:w="78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Increase in cash surrender value of life insurance policies</w:t>
            </w:r>
          </w:p>
        </w:tc>
        <w:tc>
          <w:tcPr>
            <w:tcW w:w="2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(300)</w:t>
            </w: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(535)</w:t>
            </w:r>
          </w:p>
        </w:tc>
      </w:tr>
      <w:tr>
        <w:trPr>
          <w:trHeight w:val="260"/>
        </w:trPr>
        <w:tc>
          <w:tcPr>
            <w:tcW w:w="7860" w:type="dxa"/>
            <w:vAlign w:val="bottom"/>
          </w:tcPr>
          <w:p>
            <w:pPr>
              <w:ind w:left="280"/>
              <w:spacing w:after="0"/>
              <w:rPr>
                <w:sz w:val="20"/>
                <w:szCs w:val="20"/>
                <w:color w:val="auto"/>
              </w:rPr>
            </w:pPr>
            <w:r>
              <w:rPr>
                <w:rFonts w:ascii="Arial" w:cs="Arial" w:eastAsia="Arial" w:hAnsi="Arial"/>
                <w:sz w:val="16"/>
                <w:szCs w:val="16"/>
                <w:color w:val="auto"/>
              </w:rPr>
              <w:t>(Gain) loss on the sale or disposal of property</w:t>
            </w:r>
          </w:p>
        </w:tc>
        <w:tc>
          <w:tcPr>
            <w:tcW w:w="220" w:type="dxa"/>
            <w:vAlign w:val="bottom"/>
          </w:tcPr>
          <w:p>
            <w:pPr>
              <w:spacing w:after="0"/>
              <w:rPr>
                <w:sz w:val="22"/>
                <w:szCs w:val="22"/>
                <w:color w:val="auto"/>
              </w:rPr>
            </w:pPr>
          </w:p>
        </w:tc>
        <w:tc>
          <w:tcPr>
            <w:tcW w:w="1440" w:type="dxa"/>
            <w:vAlign w:val="bottom"/>
          </w:tcPr>
          <w:p>
            <w:pPr>
              <w:jc w:val="right"/>
              <w:ind w:right="179"/>
              <w:spacing w:after="0"/>
              <w:rPr>
                <w:sz w:val="20"/>
                <w:szCs w:val="20"/>
                <w:color w:val="auto"/>
              </w:rPr>
            </w:pPr>
            <w:r>
              <w:rPr>
                <w:rFonts w:ascii="Arial" w:cs="Arial" w:eastAsia="Arial" w:hAnsi="Arial"/>
                <w:sz w:val="16"/>
                <w:szCs w:val="16"/>
                <w:color w:val="auto"/>
              </w:rPr>
              <w:t>(708)</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1</w:t>
            </w:r>
          </w:p>
        </w:tc>
      </w:tr>
      <w:tr>
        <w:trPr>
          <w:trHeight w:val="280"/>
        </w:trPr>
        <w:tc>
          <w:tcPr>
            <w:tcW w:w="78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Gain on life insurance</w:t>
            </w:r>
          </w:p>
        </w:tc>
        <w:tc>
          <w:tcPr>
            <w:tcW w:w="2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(372)</w:t>
            </w: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60"/>
        </w:trPr>
        <w:tc>
          <w:tcPr>
            <w:tcW w:w="7860" w:type="dxa"/>
            <w:vAlign w:val="bottom"/>
          </w:tcPr>
          <w:p>
            <w:pPr>
              <w:ind w:left="280"/>
              <w:spacing w:after="0"/>
              <w:rPr>
                <w:sz w:val="20"/>
                <w:szCs w:val="20"/>
                <w:color w:val="auto"/>
              </w:rPr>
            </w:pPr>
            <w:r>
              <w:rPr>
                <w:rFonts w:ascii="Arial" w:cs="Arial" w:eastAsia="Arial" w:hAnsi="Arial"/>
                <w:sz w:val="16"/>
                <w:szCs w:val="16"/>
                <w:color w:val="auto"/>
              </w:rPr>
              <w:t>Other</w:t>
            </w:r>
          </w:p>
        </w:tc>
        <w:tc>
          <w:tcPr>
            <w:tcW w:w="220" w:type="dxa"/>
            <w:vAlign w:val="bottom"/>
          </w:tcPr>
          <w:p>
            <w:pPr>
              <w:spacing w:after="0"/>
              <w:rPr>
                <w:sz w:val="22"/>
                <w:szCs w:val="22"/>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58</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44</w:t>
            </w:r>
          </w:p>
        </w:tc>
      </w:tr>
      <w:tr>
        <w:trPr>
          <w:trHeight w:val="280"/>
        </w:trPr>
        <w:tc>
          <w:tcPr>
            <w:tcW w:w="7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Change in assets and liabilities:</w:t>
            </w:r>
          </w:p>
        </w:tc>
        <w:tc>
          <w:tcPr>
            <w:tcW w:w="2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60"/>
        </w:trPr>
        <w:tc>
          <w:tcPr>
            <w:tcW w:w="7860" w:type="dxa"/>
            <w:vAlign w:val="bottom"/>
          </w:tcPr>
          <w:p>
            <w:pPr>
              <w:ind w:left="280"/>
              <w:spacing w:after="0"/>
              <w:rPr>
                <w:sz w:val="20"/>
                <w:szCs w:val="20"/>
                <w:color w:val="auto"/>
              </w:rPr>
            </w:pPr>
            <w:r>
              <w:rPr>
                <w:rFonts w:ascii="Arial" w:cs="Arial" w:eastAsia="Arial" w:hAnsi="Arial"/>
                <w:sz w:val="16"/>
                <w:szCs w:val="16"/>
                <w:color w:val="auto"/>
              </w:rPr>
              <w:t>Inventories</w:t>
            </w:r>
          </w:p>
        </w:tc>
        <w:tc>
          <w:tcPr>
            <w:tcW w:w="220" w:type="dxa"/>
            <w:vAlign w:val="bottom"/>
          </w:tcPr>
          <w:p>
            <w:pPr>
              <w:spacing w:after="0"/>
              <w:rPr>
                <w:sz w:val="22"/>
                <w:szCs w:val="22"/>
                <w:color w:val="auto"/>
              </w:rPr>
            </w:pPr>
          </w:p>
        </w:tc>
        <w:tc>
          <w:tcPr>
            <w:tcW w:w="1440" w:type="dxa"/>
            <w:vAlign w:val="bottom"/>
          </w:tcPr>
          <w:p>
            <w:pPr>
              <w:jc w:val="right"/>
              <w:ind w:right="179"/>
              <w:spacing w:after="0"/>
              <w:rPr>
                <w:sz w:val="20"/>
                <w:szCs w:val="20"/>
                <w:color w:val="auto"/>
              </w:rPr>
            </w:pPr>
            <w:r>
              <w:rPr>
                <w:rFonts w:ascii="Arial" w:cs="Arial" w:eastAsia="Arial" w:hAnsi="Arial"/>
                <w:sz w:val="16"/>
                <w:szCs w:val="16"/>
                <w:color w:val="auto"/>
              </w:rPr>
              <w:t>(24,207)</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tcPr>
          <w:p>
            <w:pPr>
              <w:jc w:val="right"/>
              <w:ind w:right="199"/>
              <w:spacing w:after="0"/>
              <w:rPr>
                <w:sz w:val="20"/>
                <w:szCs w:val="20"/>
                <w:color w:val="auto"/>
              </w:rPr>
            </w:pPr>
            <w:r>
              <w:rPr>
                <w:rFonts w:ascii="Arial" w:cs="Arial" w:eastAsia="Arial" w:hAnsi="Arial"/>
                <w:sz w:val="16"/>
                <w:szCs w:val="16"/>
                <w:color w:val="auto"/>
              </w:rPr>
              <w:t>(12,974)</w:t>
            </w:r>
          </w:p>
        </w:tc>
      </w:tr>
      <w:tr>
        <w:trPr>
          <w:trHeight w:val="280"/>
        </w:trPr>
        <w:tc>
          <w:tcPr>
            <w:tcW w:w="78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Receivables and prepaid assets</w:t>
            </w:r>
          </w:p>
        </w:tc>
        <w:tc>
          <w:tcPr>
            <w:tcW w:w="2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(1,368)</w:t>
            </w: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(8,347)</w:t>
            </w:r>
          </w:p>
        </w:tc>
      </w:tr>
      <w:tr>
        <w:trPr>
          <w:trHeight w:val="260"/>
        </w:trPr>
        <w:tc>
          <w:tcPr>
            <w:tcW w:w="7860" w:type="dxa"/>
            <w:vAlign w:val="bottom"/>
          </w:tcPr>
          <w:p>
            <w:pPr>
              <w:ind w:left="280"/>
              <w:spacing w:after="0"/>
              <w:rPr>
                <w:sz w:val="20"/>
                <w:szCs w:val="20"/>
                <w:color w:val="auto"/>
              </w:rPr>
            </w:pPr>
            <w:r>
              <w:rPr>
                <w:rFonts w:ascii="Arial" w:cs="Arial" w:eastAsia="Arial" w:hAnsi="Arial"/>
                <w:sz w:val="16"/>
                <w:szCs w:val="16"/>
                <w:color w:val="auto"/>
              </w:rPr>
              <w:t>Income taxes and unrecognized tax benefits</w:t>
            </w:r>
          </w:p>
        </w:tc>
        <w:tc>
          <w:tcPr>
            <w:tcW w:w="220" w:type="dxa"/>
            <w:vAlign w:val="bottom"/>
          </w:tcPr>
          <w:p>
            <w:pPr>
              <w:spacing w:after="0"/>
              <w:rPr>
                <w:sz w:val="22"/>
                <w:szCs w:val="22"/>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610</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15,983</w:t>
            </w:r>
          </w:p>
        </w:tc>
      </w:tr>
      <w:tr>
        <w:trPr>
          <w:trHeight w:val="280"/>
        </w:trPr>
        <w:tc>
          <w:tcPr>
            <w:tcW w:w="78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Accounts payable and accrued expenses</w:t>
            </w:r>
          </w:p>
        </w:tc>
        <w:tc>
          <w:tcPr>
            <w:tcW w:w="2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326</w:t>
            </w: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8,975</w:t>
            </w:r>
          </w:p>
        </w:tc>
      </w:tr>
      <w:tr>
        <w:trPr>
          <w:trHeight w:val="264"/>
        </w:trPr>
        <w:tc>
          <w:tcPr>
            <w:tcW w:w="78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Postretirement and deferred compensation benefits</w:t>
            </w:r>
          </w:p>
        </w:tc>
        <w:tc>
          <w:tcPr>
            <w:tcW w:w="2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(1,854)</w:t>
            </w:r>
          </w:p>
        </w:tc>
        <w:tc>
          <w:tcPr>
            <w:tcW w:w="2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(1,758)</w:t>
            </w:r>
          </w:p>
        </w:tc>
      </w:tr>
      <w:tr>
        <w:trPr>
          <w:trHeight w:val="250"/>
        </w:trPr>
        <w:tc>
          <w:tcPr>
            <w:tcW w:w="7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(used in) provided by operating activities</w:t>
            </w:r>
          </w:p>
        </w:tc>
        <w:tc>
          <w:tcPr>
            <w:tcW w:w="22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(16,482)</w:t>
            </w:r>
          </w:p>
        </w:tc>
        <w:tc>
          <w:tcPr>
            <w:tcW w:w="2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4,902</w:t>
            </w:r>
          </w:p>
        </w:tc>
      </w:tr>
      <w:tr>
        <w:trPr>
          <w:trHeight w:val="284"/>
        </w:trPr>
        <w:tc>
          <w:tcPr>
            <w:tcW w:w="7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70"/>
        </w:trPr>
        <w:tc>
          <w:tcPr>
            <w:tcW w:w="7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Investing activities:</w:t>
            </w:r>
          </w:p>
        </w:tc>
        <w:tc>
          <w:tcPr>
            <w:tcW w:w="2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60"/>
        </w:trPr>
        <w:tc>
          <w:tcPr>
            <w:tcW w:w="7860" w:type="dxa"/>
            <w:vAlign w:val="bottom"/>
          </w:tcPr>
          <w:p>
            <w:pPr>
              <w:ind w:left="280"/>
              <w:spacing w:after="0"/>
              <w:rPr>
                <w:sz w:val="20"/>
                <w:szCs w:val="20"/>
                <w:color w:val="auto"/>
              </w:rPr>
            </w:pPr>
            <w:r>
              <w:rPr>
                <w:rFonts w:ascii="Arial" w:cs="Arial" w:eastAsia="Arial" w:hAnsi="Arial"/>
                <w:sz w:val="16"/>
                <w:szCs w:val="16"/>
                <w:color w:val="auto"/>
              </w:rPr>
              <w:t>Proceeds from the sale of investments at par</w:t>
            </w:r>
          </w:p>
        </w:tc>
        <w:tc>
          <w:tcPr>
            <w:tcW w:w="220" w:type="dxa"/>
            <w:vAlign w:val="bottom"/>
          </w:tcPr>
          <w:p>
            <w:pPr>
              <w:spacing w:after="0"/>
              <w:rPr>
                <w:sz w:val="22"/>
                <w:szCs w:val="22"/>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6,450</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4,700</w:t>
            </w:r>
          </w:p>
        </w:tc>
      </w:tr>
      <w:tr>
        <w:trPr>
          <w:trHeight w:val="280"/>
        </w:trPr>
        <w:tc>
          <w:tcPr>
            <w:tcW w:w="78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Proceeds from life insurance</w:t>
            </w:r>
          </w:p>
        </w:tc>
        <w:tc>
          <w:tcPr>
            <w:tcW w:w="2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659</w:t>
            </w: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60"/>
        </w:trPr>
        <w:tc>
          <w:tcPr>
            <w:tcW w:w="7860" w:type="dxa"/>
            <w:vAlign w:val="bottom"/>
          </w:tcPr>
          <w:p>
            <w:pPr>
              <w:ind w:left="280"/>
              <w:spacing w:after="0"/>
              <w:rPr>
                <w:sz w:val="20"/>
                <w:szCs w:val="20"/>
                <w:color w:val="auto"/>
              </w:rPr>
            </w:pPr>
            <w:r>
              <w:rPr>
                <w:rFonts w:ascii="Arial" w:cs="Arial" w:eastAsia="Arial" w:hAnsi="Arial"/>
                <w:sz w:val="16"/>
                <w:szCs w:val="16"/>
                <w:color w:val="auto"/>
              </w:rPr>
              <w:t>Purchases of property and equipment</w:t>
            </w:r>
          </w:p>
        </w:tc>
        <w:tc>
          <w:tcPr>
            <w:tcW w:w="220" w:type="dxa"/>
            <w:vAlign w:val="bottom"/>
          </w:tcPr>
          <w:p>
            <w:pPr>
              <w:spacing w:after="0"/>
              <w:rPr>
                <w:sz w:val="22"/>
                <w:szCs w:val="22"/>
                <w:color w:val="auto"/>
              </w:rPr>
            </w:pPr>
          </w:p>
        </w:tc>
        <w:tc>
          <w:tcPr>
            <w:tcW w:w="1440" w:type="dxa"/>
            <w:vAlign w:val="bottom"/>
          </w:tcPr>
          <w:p>
            <w:pPr>
              <w:jc w:val="right"/>
              <w:ind w:right="179"/>
              <w:spacing w:after="0"/>
              <w:rPr>
                <w:sz w:val="20"/>
                <w:szCs w:val="20"/>
                <w:color w:val="auto"/>
              </w:rPr>
            </w:pPr>
            <w:r>
              <w:rPr>
                <w:rFonts w:ascii="Arial" w:cs="Arial" w:eastAsia="Arial" w:hAnsi="Arial"/>
                <w:sz w:val="16"/>
                <w:szCs w:val="16"/>
                <w:color w:val="auto"/>
              </w:rPr>
              <w:t>(1,279)</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tcPr>
          <w:p>
            <w:pPr>
              <w:jc w:val="right"/>
              <w:ind w:right="199"/>
              <w:spacing w:after="0"/>
              <w:rPr>
                <w:sz w:val="20"/>
                <w:szCs w:val="20"/>
                <w:color w:val="auto"/>
              </w:rPr>
            </w:pPr>
            <w:r>
              <w:rPr>
                <w:rFonts w:ascii="Arial" w:cs="Arial" w:eastAsia="Arial" w:hAnsi="Arial"/>
                <w:sz w:val="16"/>
                <w:szCs w:val="16"/>
                <w:color w:val="auto"/>
              </w:rPr>
              <w:t>(943)</w:t>
            </w:r>
          </w:p>
        </w:tc>
      </w:tr>
      <w:tr>
        <w:trPr>
          <w:trHeight w:val="280"/>
        </w:trPr>
        <w:tc>
          <w:tcPr>
            <w:tcW w:w="78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Proceeds from the sale of property</w:t>
            </w:r>
          </w:p>
        </w:tc>
        <w:tc>
          <w:tcPr>
            <w:tcW w:w="2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3,793</w:t>
            </w: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46</w:t>
            </w:r>
          </w:p>
        </w:tc>
      </w:tr>
      <w:tr>
        <w:trPr>
          <w:trHeight w:val="260"/>
        </w:trPr>
        <w:tc>
          <w:tcPr>
            <w:tcW w:w="7860" w:type="dxa"/>
            <w:vAlign w:val="bottom"/>
          </w:tcPr>
          <w:p>
            <w:pPr>
              <w:ind w:left="280"/>
              <w:spacing w:after="0"/>
              <w:rPr>
                <w:sz w:val="20"/>
                <w:szCs w:val="20"/>
                <w:color w:val="auto"/>
              </w:rPr>
            </w:pPr>
            <w:r>
              <w:rPr>
                <w:rFonts w:ascii="Arial" w:cs="Arial" w:eastAsia="Arial" w:hAnsi="Arial"/>
                <w:sz w:val="16"/>
                <w:szCs w:val="16"/>
                <w:color w:val="auto"/>
              </w:rPr>
              <w:t>Cash paid for acquisition, net of cash acquired</w:t>
            </w:r>
          </w:p>
        </w:tc>
        <w:tc>
          <w:tcPr>
            <w:tcW w:w="220" w:type="dxa"/>
            <w:vAlign w:val="bottom"/>
          </w:tcPr>
          <w:p>
            <w:pPr>
              <w:spacing w:after="0"/>
              <w:rPr>
                <w:sz w:val="22"/>
                <w:szCs w:val="22"/>
                <w:color w:val="auto"/>
              </w:rPr>
            </w:pPr>
          </w:p>
        </w:tc>
        <w:tc>
          <w:tcPr>
            <w:tcW w:w="1440" w:type="dxa"/>
            <w:vAlign w:val="bottom"/>
          </w:tcPr>
          <w:p>
            <w:pPr>
              <w:jc w:val="right"/>
              <w:ind w:right="179"/>
              <w:spacing w:after="0"/>
              <w:rPr>
                <w:sz w:val="20"/>
                <w:szCs w:val="20"/>
                <w:color w:val="auto"/>
              </w:rPr>
            </w:pPr>
            <w:r>
              <w:rPr>
                <w:rFonts w:ascii="Arial" w:cs="Arial" w:eastAsia="Arial" w:hAnsi="Arial"/>
                <w:sz w:val="16"/>
                <w:szCs w:val="16"/>
                <w:color w:val="auto"/>
              </w:rPr>
              <w:t>(4,694)</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73"/>
        </w:trPr>
        <w:tc>
          <w:tcPr>
            <w:tcW w:w="78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(461)</w:t>
            </w:r>
          </w:p>
        </w:tc>
        <w:tc>
          <w:tcPr>
            <w:tcW w:w="2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(442)</w:t>
            </w:r>
          </w:p>
        </w:tc>
      </w:tr>
      <w:tr>
        <w:trPr>
          <w:trHeight w:val="250"/>
        </w:trPr>
        <w:tc>
          <w:tcPr>
            <w:tcW w:w="78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cash provided by investing activities</w:t>
            </w:r>
          </w:p>
        </w:tc>
        <w:tc>
          <w:tcPr>
            <w:tcW w:w="2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4,468</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3,361</w:t>
            </w:r>
          </w:p>
        </w:tc>
      </w:tr>
      <w:tr>
        <w:trPr>
          <w:trHeight w:val="284"/>
        </w:trPr>
        <w:tc>
          <w:tcPr>
            <w:tcW w:w="78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60"/>
        </w:trPr>
        <w:tc>
          <w:tcPr>
            <w:tcW w:w="7860" w:type="dxa"/>
            <w:vAlign w:val="bottom"/>
          </w:tcPr>
          <w:p>
            <w:pPr>
              <w:ind w:left="40"/>
              <w:spacing w:after="0"/>
              <w:rPr>
                <w:sz w:val="20"/>
                <w:szCs w:val="20"/>
                <w:color w:val="auto"/>
              </w:rPr>
            </w:pPr>
            <w:r>
              <w:rPr>
                <w:rFonts w:ascii="Arial" w:cs="Arial" w:eastAsia="Arial" w:hAnsi="Arial"/>
                <w:sz w:val="16"/>
                <w:szCs w:val="16"/>
                <w:color w:val="auto"/>
              </w:rPr>
              <w:t>Financing activities:</w:t>
            </w:r>
          </w:p>
        </w:tc>
        <w:tc>
          <w:tcPr>
            <w:tcW w:w="2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80"/>
        </w:trPr>
        <w:tc>
          <w:tcPr>
            <w:tcW w:w="78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Payments for purchases of common stock</w:t>
            </w:r>
          </w:p>
        </w:tc>
        <w:tc>
          <w:tcPr>
            <w:tcW w:w="2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(89)</w:t>
            </w: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(249)</w:t>
            </w:r>
          </w:p>
        </w:tc>
      </w:tr>
      <w:tr>
        <w:trPr>
          <w:trHeight w:val="260"/>
        </w:trPr>
        <w:tc>
          <w:tcPr>
            <w:tcW w:w="7860" w:type="dxa"/>
            <w:vAlign w:val="bottom"/>
          </w:tcPr>
          <w:p>
            <w:pPr>
              <w:ind w:left="280"/>
              <w:spacing w:after="0"/>
              <w:rPr>
                <w:sz w:val="20"/>
                <w:szCs w:val="20"/>
                <w:color w:val="auto"/>
              </w:rPr>
            </w:pPr>
            <w:r>
              <w:rPr>
                <w:rFonts w:ascii="Arial" w:cs="Arial" w:eastAsia="Arial" w:hAnsi="Arial"/>
                <w:sz w:val="16"/>
                <w:szCs w:val="16"/>
                <w:color w:val="auto"/>
              </w:rPr>
              <w:t>Payments on ARS portfolio</w:t>
            </w:r>
          </w:p>
        </w:tc>
        <w:tc>
          <w:tcPr>
            <w:tcW w:w="220" w:type="dxa"/>
            <w:vAlign w:val="bottom"/>
          </w:tcPr>
          <w:p>
            <w:pPr>
              <w:spacing w:after="0"/>
              <w:rPr>
                <w:sz w:val="22"/>
                <w:szCs w:val="22"/>
                <w:color w:val="auto"/>
              </w:rPr>
            </w:pPr>
          </w:p>
        </w:tc>
        <w:tc>
          <w:tcPr>
            <w:tcW w:w="166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440" w:type="dxa"/>
            <w:vAlign w:val="bottom"/>
          </w:tcPr>
          <w:p>
            <w:pPr>
              <w:jc w:val="right"/>
              <w:ind w:right="199"/>
              <w:spacing w:after="0"/>
              <w:rPr>
                <w:sz w:val="20"/>
                <w:szCs w:val="20"/>
                <w:color w:val="auto"/>
              </w:rPr>
            </w:pPr>
            <w:r>
              <w:rPr>
                <w:rFonts w:ascii="Arial" w:cs="Arial" w:eastAsia="Arial" w:hAnsi="Arial"/>
                <w:sz w:val="16"/>
                <w:szCs w:val="16"/>
                <w:color w:val="auto"/>
              </w:rPr>
              <w:t>(2,780)</w:t>
            </w:r>
          </w:p>
        </w:tc>
      </w:tr>
      <w:tr>
        <w:trPr>
          <w:trHeight w:val="280"/>
        </w:trPr>
        <w:tc>
          <w:tcPr>
            <w:tcW w:w="78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Proceeds from issuance of stock options</w:t>
            </w:r>
          </w:p>
        </w:tc>
        <w:tc>
          <w:tcPr>
            <w:tcW w:w="2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75</w:t>
            </w: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94</w:t>
            </w:r>
          </w:p>
        </w:tc>
      </w:tr>
      <w:tr>
        <w:trPr>
          <w:trHeight w:val="264"/>
        </w:trPr>
        <w:tc>
          <w:tcPr>
            <w:tcW w:w="78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124</w:t>
            </w:r>
          </w:p>
        </w:tc>
        <w:tc>
          <w:tcPr>
            <w:tcW w:w="2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(285)</w:t>
            </w:r>
          </w:p>
        </w:tc>
      </w:tr>
      <w:tr>
        <w:trPr>
          <w:trHeight w:val="250"/>
        </w:trPr>
        <w:tc>
          <w:tcPr>
            <w:tcW w:w="7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(used in) financing activities</w:t>
            </w:r>
          </w:p>
        </w:tc>
        <w:tc>
          <w:tcPr>
            <w:tcW w:w="22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110</w:t>
            </w:r>
          </w:p>
        </w:tc>
        <w:tc>
          <w:tcPr>
            <w:tcW w:w="2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(3,220)</w:t>
            </w:r>
          </w:p>
        </w:tc>
      </w:tr>
      <w:tr>
        <w:trPr>
          <w:trHeight w:val="284"/>
        </w:trPr>
        <w:tc>
          <w:tcPr>
            <w:tcW w:w="7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70"/>
        </w:trPr>
        <w:tc>
          <w:tcPr>
            <w:tcW w:w="7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(decrease) increase in cash and cash equivalents</w:t>
            </w:r>
          </w:p>
        </w:tc>
        <w:tc>
          <w:tcPr>
            <w:tcW w:w="22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(11,904)</w:t>
            </w:r>
          </w:p>
        </w:tc>
        <w:tc>
          <w:tcPr>
            <w:tcW w:w="2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5,043</w:t>
            </w:r>
          </w:p>
        </w:tc>
      </w:tr>
      <w:tr>
        <w:trPr>
          <w:trHeight w:val="264"/>
        </w:trPr>
        <w:tc>
          <w:tcPr>
            <w:tcW w:w="78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2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74,691</w:t>
            </w:r>
          </w:p>
        </w:tc>
        <w:tc>
          <w:tcPr>
            <w:tcW w:w="2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36,566</w:t>
            </w:r>
          </w:p>
        </w:tc>
      </w:tr>
      <w:tr>
        <w:trPr>
          <w:trHeight w:val="24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62,787</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41,609</w:t>
            </w:r>
          </w:p>
        </w:tc>
      </w:tr>
      <w:tr>
        <w:trPr>
          <w:trHeight w:val="20"/>
        </w:trPr>
        <w:tc>
          <w:tcPr>
            <w:tcW w:w="7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67"/>
        </w:trPr>
        <w:tc>
          <w:tcPr>
            <w:tcW w:w="7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0"/>
        </w:trPr>
        <w:tc>
          <w:tcPr>
            <w:tcW w:w="7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Supplement cash flow disclosure:</w:t>
            </w:r>
          </w:p>
        </w:tc>
        <w:tc>
          <w:tcPr>
            <w:tcW w:w="2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51"/>
        </w:trPr>
        <w:tc>
          <w:tcPr>
            <w:tcW w:w="7860" w:type="dxa"/>
            <w:vAlign w:val="bottom"/>
          </w:tcPr>
          <w:p>
            <w:pPr>
              <w:ind w:left="40"/>
              <w:spacing w:after="0"/>
              <w:rPr>
                <w:sz w:val="20"/>
                <w:szCs w:val="20"/>
                <w:color w:val="auto"/>
              </w:rPr>
            </w:pPr>
            <w:r>
              <w:rPr>
                <w:rFonts w:ascii="Arial" w:cs="Arial" w:eastAsia="Arial" w:hAnsi="Arial"/>
                <w:sz w:val="16"/>
                <w:szCs w:val="16"/>
                <w:color w:val="auto"/>
              </w:rPr>
              <w:t>Income taxes paid</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1,153</w:t>
            </w:r>
          </w:p>
        </w:tc>
        <w:tc>
          <w:tcPr>
            <w:tcW w:w="220" w:type="dxa"/>
            <w:vAlign w:val="bottom"/>
          </w:tcPr>
          <w:p>
            <w:pPr>
              <w:spacing w:after="0"/>
              <w:rPr>
                <w:sz w:val="21"/>
                <w:szCs w:val="21"/>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21</w:t>
            </w:r>
          </w:p>
        </w:tc>
      </w:tr>
    </w:tbl>
    <w:p>
      <w:pPr>
        <w:sectPr>
          <w:pgSz w:w="11900" w:h="16838" w:orient="portrait"/>
          <w:cols w:equalWidth="0" w:num="1">
            <w:col w:w="11420"/>
          </w:cols>
          <w:pgMar w:left="240" w:top="616"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Deliveries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80" w:type="dxa"/>
            <w:vAlign w:val="bottom"/>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3"/>
          </w:tcPr>
          <w:p>
            <w:pPr>
              <w:jc w:val="right"/>
              <w:ind w:right="757"/>
              <w:spacing w:after="0"/>
              <w:rPr>
                <w:sz w:val="20"/>
                <w:szCs w:val="20"/>
                <w:color w:val="auto"/>
              </w:rPr>
            </w:pPr>
            <w:r>
              <w:rPr>
                <w:rFonts w:ascii="Arial" w:cs="Arial" w:eastAsia="Arial" w:hAnsi="Arial"/>
                <w:sz w:val="16"/>
                <w:szCs w:val="16"/>
                <w:b w:val="1"/>
                <w:bCs w:val="1"/>
                <w:color w:val="auto"/>
              </w:rPr>
              <w:t>Quarter Ended</w:t>
            </w:r>
          </w:p>
        </w:tc>
        <w:tc>
          <w:tcPr>
            <w:tcW w:w="12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1019"/>
              <w:spacing w:after="0"/>
              <w:rPr>
                <w:sz w:val="20"/>
                <w:szCs w:val="20"/>
                <w:color w:val="auto"/>
              </w:rPr>
            </w:pPr>
            <w:r>
              <w:rPr>
                <w:rFonts w:ascii="Arial" w:cs="Arial" w:eastAsia="Arial" w:hAnsi="Arial"/>
                <w:sz w:val="16"/>
                <w:szCs w:val="16"/>
                <w:b w:val="1"/>
                <w:bCs w:val="1"/>
                <w:color w:val="auto"/>
              </w:rPr>
              <w:t>Change</w:t>
            </w:r>
          </w:p>
        </w:tc>
      </w:tr>
      <w:tr>
        <w:trPr>
          <w:trHeight w:val="198"/>
        </w:trPr>
        <w:tc>
          <w:tcPr>
            <w:tcW w:w="3080" w:type="dxa"/>
            <w:vAlign w:val="bottom"/>
          </w:tcPr>
          <w:p>
            <w:pPr>
              <w:spacing w:after="0"/>
              <w:rPr>
                <w:sz w:val="17"/>
                <w:szCs w:val="17"/>
                <w:color w:val="auto"/>
              </w:rPr>
            </w:pPr>
          </w:p>
        </w:tc>
        <w:tc>
          <w:tcPr>
            <w:tcW w:w="1380" w:type="dxa"/>
            <w:vAlign w:val="bottom"/>
          </w:tcPr>
          <w:p>
            <w:pPr>
              <w:jc w:val="center"/>
              <w:ind w:right="99"/>
              <w:spacing w:after="0"/>
              <w:rPr>
                <w:sz w:val="20"/>
                <w:szCs w:val="20"/>
                <w:color w:val="auto"/>
              </w:rPr>
            </w:pPr>
            <w:r>
              <w:rPr>
                <w:rFonts w:ascii="Arial" w:cs="Arial" w:eastAsia="Arial" w:hAnsi="Arial"/>
                <w:sz w:val="16"/>
                <w:szCs w:val="16"/>
                <w:b w:val="1"/>
                <w:bCs w:val="1"/>
                <w:color w:val="auto"/>
              </w:rPr>
              <w:t>February 26,</w:t>
            </w: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Product</w:t>
            </w:r>
          </w:p>
        </w:tc>
        <w:tc>
          <w:tcPr>
            <w:tcW w:w="1360" w:type="dxa"/>
            <w:vAlign w:val="bottom"/>
          </w:tcPr>
          <w:p>
            <w:pPr>
              <w:jc w:val="center"/>
              <w:ind w:right="117"/>
              <w:spacing w:after="0"/>
              <w:rPr>
                <w:sz w:val="20"/>
                <w:szCs w:val="20"/>
                <w:color w:val="auto"/>
              </w:rPr>
            </w:pPr>
            <w:r>
              <w:rPr>
                <w:rFonts w:ascii="Arial" w:cs="Arial" w:eastAsia="Arial" w:hAnsi="Arial"/>
                <w:sz w:val="16"/>
                <w:szCs w:val="16"/>
                <w:b w:val="1"/>
                <w:bCs w:val="1"/>
                <w:color w:val="auto"/>
              </w:rPr>
              <w:t>February 27,</w:t>
            </w: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Product</w:t>
            </w:r>
          </w:p>
        </w:tc>
        <w:tc>
          <w:tcPr>
            <w:tcW w:w="1080" w:type="dxa"/>
            <w:vAlign w:val="bottom"/>
          </w:tcPr>
          <w:p>
            <w:pPr>
              <w:spacing w:after="0"/>
              <w:rPr>
                <w:sz w:val="17"/>
                <w:szCs w:val="17"/>
                <w:color w:val="auto"/>
              </w:rPr>
            </w:pPr>
          </w:p>
        </w:tc>
        <w:tc>
          <w:tcPr>
            <w:tcW w:w="1740" w:type="dxa"/>
            <w:vAlign w:val="bottom"/>
          </w:tcPr>
          <w:p>
            <w:pPr>
              <w:jc w:val="center"/>
              <w:ind w:left="159"/>
              <w:spacing w:after="0"/>
              <w:rPr>
                <w:sz w:val="20"/>
                <w:szCs w:val="20"/>
                <w:color w:val="auto"/>
              </w:rPr>
            </w:pPr>
            <w:r>
              <w:rPr>
                <w:rFonts w:ascii="Arial" w:cs="Arial" w:eastAsia="Arial" w:hAnsi="Arial"/>
                <w:sz w:val="16"/>
                <w:szCs w:val="16"/>
                <w:b w:val="1"/>
                <w:bCs w:val="1"/>
                <w:color w:val="auto"/>
                <w:w w:val="98"/>
              </w:rPr>
              <w:t>%</w:t>
            </w:r>
          </w:p>
        </w:tc>
      </w:tr>
      <w:tr>
        <w:trPr>
          <w:trHeight w:val="228"/>
        </w:trPr>
        <w:tc>
          <w:tcPr>
            <w:tcW w:w="3080" w:type="dxa"/>
            <w:vAlign w:val="bottom"/>
          </w:tcPr>
          <w:p>
            <w:pPr>
              <w:ind w:left="40"/>
              <w:spacing w:after="0"/>
              <w:rPr>
                <w:sz w:val="20"/>
                <w:szCs w:val="20"/>
                <w:color w:val="auto"/>
              </w:rPr>
            </w:pPr>
            <w:r>
              <w:rPr>
                <w:rFonts w:ascii="Arial" w:cs="Arial" w:eastAsia="Arial" w:hAnsi="Arial"/>
                <w:sz w:val="16"/>
                <w:szCs w:val="16"/>
                <w:b w:val="1"/>
                <w:bCs w:val="1"/>
                <w:color w:val="auto"/>
              </w:rPr>
              <w:t>(In units)</w:t>
            </w:r>
          </w:p>
        </w:tc>
        <w:tc>
          <w:tcPr>
            <w:tcW w:w="1380" w:type="dxa"/>
            <w:vAlign w:val="bottom"/>
          </w:tcPr>
          <w:p>
            <w:pPr>
              <w:jc w:val="center"/>
              <w:ind w:right="59"/>
              <w:spacing w:after="0"/>
              <w:rPr>
                <w:sz w:val="20"/>
                <w:szCs w:val="20"/>
                <w:color w:val="auto"/>
              </w:rPr>
            </w:pPr>
            <w:r>
              <w:rPr>
                <w:rFonts w:ascii="Arial" w:cs="Arial" w:eastAsia="Arial" w:hAnsi="Arial"/>
                <w:sz w:val="16"/>
                <w:szCs w:val="16"/>
                <w:b w:val="1"/>
                <w:bCs w:val="1"/>
                <w:color w:val="auto"/>
              </w:rPr>
              <w:t>2011</w:t>
            </w:r>
          </w:p>
        </w:tc>
        <w:tc>
          <w:tcPr>
            <w:tcW w:w="13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Mix %</w:t>
            </w:r>
          </w:p>
        </w:tc>
        <w:tc>
          <w:tcPr>
            <w:tcW w:w="1360" w:type="dxa"/>
            <w:vAlign w:val="bottom"/>
          </w:tcPr>
          <w:p>
            <w:pPr>
              <w:jc w:val="center"/>
              <w:ind w:right="57"/>
              <w:spacing w:after="0"/>
              <w:rPr>
                <w:sz w:val="20"/>
                <w:szCs w:val="20"/>
                <w:color w:val="auto"/>
              </w:rPr>
            </w:pPr>
            <w:r>
              <w:rPr>
                <w:rFonts w:ascii="Arial" w:cs="Arial" w:eastAsia="Arial" w:hAnsi="Arial"/>
                <w:sz w:val="16"/>
                <w:szCs w:val="16"/>
                <w:b w:val="1"/>
                <w:bCs w:val="1"/>
                <w:color w:val="auto"/>
              </w:rPr>
              <w:t>2010</w:t>
            </w: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Mix %</w:t>
            </w:r>
          </w:p>
        </w:tc>
        <w:tc>
          <w:tcPr>
            <w:tcW w:w="1080" w:type="dxa"/>
            <w:vAlign w:val="bottom"/>
          </w:tcPr>
          <w:p>
            <w:pPr>
              <w:jc w:val="right"/>
              <w:ind w:right="139"/>
              <w:spacing w:after="0"/>
              <w:rPr>
                <w:sz w:val="20"/>
                <w:szCs w:val="20"/>
                <w:color w:val="auto"/>
              </w:rPr>
            </w:pPr>
            <w:r>
              <w:rPr>
                <w:rFonts w:ascii="Arial" w:cs="Arial" w:eastAsia="Arial" w:hAnsi="Arial"/>
                <w:sz w:val="16"/>
                <w:szCs w:val="16"/>
                <w:b w:val="1"/>
                <w:bCs w:val="1"/>
                <w:color w:val="auto"/>
              </w:rPr>
              <w:t>Units</w:t>
            </w:r>
          </w:p>
        </w:tc>
        <w:tc>
          <w:tcPr>
            <w:tcW w:w="1740" w:type="dxa"/>
            <w:vAlign w:val="bottom"/>
          </w:tcPr>
          <w:p>
            <w:pPr>
              <w:jc w:val="center"/>
              <w:ind w:left="159"/>
              <w:spacing w:after="0"/>
              <w:rPr>
                <w:sz w:val="20"/>
                <w:szCs w:val="20"/>
                <w:color w:val="auto"/>
              </w:rPr>
            </w:pPr>
            <w:r>
              <w:rPr>
                <w:rFonts w:ascii="Arial" w:cs="Arial" w:eastAsia="Arial" w:hAnsi="Arial"/>
                <w:sz w:val="16"/>
                <w:szCs w:val="16"/>
                <w:b w:val="1"/>
                <w:bCs w:val="1"/>
                <w:color w:val="auto"/>
                <w:w w:val="98"/>
              </w:rPr>
              <w:t>Change</w:t>
            </w:r>
          </w:p>
        </w:tc>
      </w:tr>
      <w:tr>
        <w:trPr>
          <w:trHeight w:val="257"/>
        </w:trPr>
        <w:tc>
          <w:tcPr>
            <w:tcW w:w="30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Class A gas</w:t>
            </w:r>
          </w:p>
        </w:tc>
        <w:tc>
          <w:tcPr>
            <w:tcW w:w="138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331</w:t>
            </w:r>
          </w:p>
        </w:tc>
        <w:tc>
          <w:tcPr>
            <w:tcW w:w="128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36.4%</w:t>
            </w:r>
          </w:p>
        </w:tc>
        <w:tc>
          <w:tcPr>
            <w:tcW w:w="100" w:type="dxa"/>
            <w:vAlign w:val="bottom"/>
            <w:tcBorders>
              <w:top w:val="single" w:sz="8" w:color="CCEEFF"/>
            </w:tcBorders>
            <w:shd w:val="clear" w:color="auto" w:fill="CCEEFF"/>
          </w:tcPr>
          <w:p>
            <w:pPr>
              <w:spacing w:after="0"/>
              <w:rPr>
                <w:sz w:val="22"/>
                <w:szCs w:val="22"/>
                <w:color w:val="auto"/>
              </w:rPr>
            </w:pPr>
          </w:p>
        </w:tc>
        <w:tc>
          <w:tcPr>
            <w:tcW w:w="1360" w:type="dxa"/>
            <w:vAlign w:val="bottom"/>
            <w:tcBorders>
              <w:top w:val="single" w:sz="8" w:color="auto"/>
            </w:tcBorders>
            <w:shd w:val="clear" w:color="auto" w:fill="CCEEFF"/>
          </w:tcPr>
          <w:p>
            <w:pPr>
              <w:jc w:val="right"/>
              <w:ind w:right="177"/>
              <w:spacing w:after="0"/>
              <w:rPr>
                <w:sz w:val="20"/>
                <w:szCs w:val="20"/>
                <w:color w:val="auto"/>
              </w:rPr>
            </w:pPr>
            <w:r>
              <w:rPr>
                <w:rFonts w:ascii="Arial" w:cs="Arial" w:eastAsia="Arial" w:hAnsi="Arial"/>
                <w:sz w:val="16"/>
                <w:szCs w:val="16"/>
                <w:color w:val="auto"/>
              </w:rPr>
              <w:t>378</w:t>
            </w:r>
          </w:p>
        </w:tc>
        <w:tc>
          <w:tcPr>
            <w:tcW w:w="128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34.1%</w:t>
            </w:r>
          </w:p>
        </w:tc>
        <w:tc>
          <w:tcPr>
            <w:tcW w:w="120" w:type="dxa"/>
            <w:vAlign w:val="bottom"/>
            <w:tcBorders>
              <w:top w:val="single" w:sz="8" w:color="CCEEFF"/>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74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(12.4)%</w:t>
            </w:r>
          </w:p>
        </w:tc>
      </w:tr>
      <w:tr>
        <w:trPr>
          <w:trHeight w:val="264"/>
        </w:trPr>
        <w:tc>
          <w:tcPr>
            <w:tcW w:w="30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Class A diesel</w:t>
            </w:r>
          </w:p>
        </w:tc>
        <w:tc>
          <w:tcPr>
            <w:tcW w:w="1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218</w:t>
            </w:r>
          </w:p>
        </w:tc>
        <w:tc>
          <w:tcPr>
            <w:tcW w:w="12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24.0%</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177"/>
              <w:spacing w:after="0"/>
              <w:rPr>
                <w:sz w:val="20"/>
                <w:szCs w:val="20"/>
                <w:color w:val="auto"/>
              </w:rPr>
            </w:pPr>
            <w:r>
              <w:rPr>
                <w:rFonts w:ascii="Arial" w:cs="Arial" w:eastAsia="Arial" w:hAnsi="Arial"/>
                <w:sz w:val="16"/>
                <w:szCs w:val="16"/>
                <w:color w:val="auto"/>
              </w:rPr>
              <w:t>254</w:t>
            </w: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22.9%</w:t>
            </w:r>
          </w:p>
        </w:tc>
        <w:tc>
          <w:tcPr>
            <w:tcW w:w="12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7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(14.2)%</w:t>
            </w:r>
          </w:p>
        </w:tc>
      </w:tr>
      <w:tr>
        <w:trPr>
          <w:trHeight w:val="257"/>
        </w:trPr>
        <w:tc>
          <w:tcPr>
            <w:tcW w:w="30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Class A</w:t>
            </w:r>
          </w:p>
        </w:tc>
        <w:tc>
          <w:tcPr>
            <w:tcW w:w="1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549</w:t>
            </w:r>
          </w:p>
        </w:tc>
        <w:tc>
          <w:tcPr>
            <w:tcW w:w="12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60.4%</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177"/>
              <w:spacing w:after="0"/>
              <w:rPr>
                <w:sz w:val="20"/>
                <w:szCs w:val="20"/>
                <w:color w:val="auto"/>
              </w:rPr>
            </w:pPr>
            <w:r>
              <w:rPr>
                <w:rFonts w:ascii="Arial" w:cs="Arial" w:eastAsia="Arial" w:hAnsi="Arial"/>
                <w:sz w:val="16"/>
                <w:szCs w:val="16"/>
                <w:color w:val="auto"/>
              </w:rPr>
              <w:t>632</w:t>
            </w:r>
          </w:p>
        </w:tc>
        <w:tc>
          <w:tcPr>
            <w:tcW w:w="12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57.0%</w:t>
            </w:r>
          </w:p>
        </w:tc>
        <w:tc>
          <w:tcPr>
            <w:tcW w:w="1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7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(13.1)%</w:t>
            </w:r>
          </w:p>
        </w:tc>
      </w:tr>
      <w:tr>
        <w:trPr>
          <w:trHeight w:val="260"/>
        </w:trPr>
        <w:tc>
          <w:tcPr>
            <w:tcW w:w="3080" w:type="dxa"/>
            <w:vAlign w:val="bottom"/>
          </w:tcPr>
          <w:p>
            <w:pPr>
              <w:ind w:left="40"/>
              <w:spacing w:after="0"/>
              <w:rPr>
                <w:sz w:val="20"/>
                <w:szCs w:val="20"/>
                <w:color w:val="auto"/>
              </w:rPr>
            </w:pPr>
            <w:r>
              <w:rPr>
                <w:rFonts w:ascii="Arial" w:cs="Arial" w:eastAsia="Arial" w:hAnsi="Arial"/>
                <w:sz w:val="16"/>
                <w:szCs w:val="16"/>
                <w:color w:val="auto"/>
              </w:rPr>
              <w:t>Class B</w:t>
            </w:r>
          </w:p>
        </w:tc>
        <w:tc>
          <w:tcPr>
            <w:tcW w:w="1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77"/>
              <w:spacing w:after="0"/>
              <w:rPr>
                <w:sz w:val="20"/>
                <w:szCs w:val="20"/>
                <w:color w:val="auto"/>
              </w:rPr>
            </w:pPr>
            <w:r>
              <w:rPr>
                <w:rFonts w:ascii="Arial" w:cs="Arial" w:eastAsia="Arial" w:hAnsi="Arial"/>
                <w:sz w:val="16"/>
                <w:szCs w:val="16"/>
                <w:color w:val="auto"/>
              </w:rPr>
              <w:t>64</w:t>
            </w: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(64)</w:t>
            </w:r>
          </w:p>
        </w:tc>
        <w:tc>
          <w:tcPr>
            <w:tcW w:w="1740" w:type="dxa"/>
            <w:vAlign w:val="bottom"/>
          </w:tcPr>
          <w:p>
            <w:pPr>
              <w:jc w:val="right"/>
              <w:ind w:right="199"/>
              <w:spacing w:after="0"/>
              <w:rPr>
                <w:sz w:val="20"/>
                <w:szCs w:val="20"/>
                <w:color w:val="auto"/>
              </w:rPr>
            </w:pPr>
            <w:r>
              <w:rPr>
                <w:rFonts w:ascii="Arial" w:cs="Arial" w:eastAsia="Arial" w:hAnsi="Arial"/>
                <w:sz w:val="16"/>
                <w:szCs w:val="16"/>
                <w:color w:val="auto"/>
              </w:rPr>
              <w:t>(100.0)%</w:t>
            </w:r>
          </w:p>
        </w:tc>
      </w:tr>
      <w:tr>
        <w:trPr>
          <w:trHeight w:val="273"/>
        </w:trPr>
        <w:tc>
          <w:tcPr>
            <w:tcW w:w="3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1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360</w:t>
            </w:r>
          </w:p>
        </w:tc>
        <w:tc>
          <w:tcPr>
            <w:tcW w:w="12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39.6%</w:t>
            </w:r>
          </w:p>
        </w:tc>
        <w:tc>
          <w:tcPr>
            <w:tcW w:w="100" w:type="dxa"/>
            <w:vAlign w:val="bottom"/>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6"/>
                <w:szCs w:val="16"/>
                <w:color w:val="auto"/>
              </w:rPr>
              <w:t>413</w:t>
            </w:r>
          </w:p>
        </w:tc>
        <w:tc>
          <w:tcPr>
            <w:tcW w:w="12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37.2%</w:t>
            </w:r>
          </w:p>
        </w:tc>
        <w:tc>
          <w:tcPr>
            <w:tcW w:w="120" w:type="dxa"/>
            <w:vAlign w:val="bottom"/>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7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(12.8)%</w:t>
            </w:r>
          </w:p>
        </w:tc>
      </w:tr>
      <w:tr>
        <w:trPr>
          <w:trHeight w:val="280"/>
        </w:trPr>
        <w:tc>
          <w:tcPr>
            <w:tcW w:w="30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 motor homes</w:t>
            </w:r>
          </w:p>
        </w:tc>
        <w:tc>
          <w:tcPr>
            <w:tcW w:w="1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909</w:t>
            </w:r>
          </w:p>
        </w:tc>
        <w:tc>
          <w:tcPr>
            <w:tcW w:w="12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jc w:val="right"/>
              <w:ind w:right="177"/>
              <w:spacing w:after="0"/>
              <w:rPr>
                <w:sz w:val="20"/>
                <w:szCs w:val="20"/>
                <w:color w:val="auto"/>
              </w:rPr>
            </w:pPr>
            <w:r>
              <w:rPr>
                <w:rFonts w:ascii="Arial" w:cs="Arial" w:eastAsia="Arial" w:hAnsi="Arial"/>
                <w:sz w:val="16"/>
                <w:szCs w:val="16"/>
                <w:color w:val="auto"/>
              </w:rPr>
              <w:t>1,109</w:t>
            </w: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w:t>
            </w:r>
          </w:p>
        </w:tc>
        <w:tc>
          <w:tcPr>
            <w:tcW w:w="17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(18.0)%</w:t>
            </w:r>
          </w:p>
        </w:tc>
      </w:tr>
      <w:tr>
        <w:trPr>
          <w:trHeight w:val="267"/>
        </w:trPr>
        <w:tc>
          <w:tcPr>
            <w:tcW w:w="308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r>
      <w:tr>
        <w:trPr>
          <w:trHeight w:val="263"/>
        </w:trPr>
        <w:tc>
          <w:tcPr>
            <w:tcW w:w="3080" w:type="dxa"/>
            <w:vAlign w:val="bottom"/>
          </w:tcPr>
          <w:p>
            <w:pPr>
              <w:ind w:left="40"/>
              <w:spacing w:after="0"/>
              <w:rPr>
                <w:sz w:val="20"/>
                <w:szCs w:val="20"/>
                <w:color w:val="auto"/>
              </w:rPr>
            </w:pPr>
            <w:r>
              <w:rPr>
                <w:rFonts w:ascii="Arial" w:cs="Arial" w:eastAsia="Arial" w:hAnsi="Arial"/>
                <w:sz w:val="16"/>
                <w:szCs w:val="16"/>
                <w:color w:val="auto"/>
              </w:rPr>
              <w:t>Fifth wheel</w:t>
            </w:r>
          </w:p>
        </w:tc>
        <w:tc>
          <w:tcPr>
            <w:tcW w:w="1380" w:type="dxa"/>
            <w:vAlign w:val="bottom"/>
          </w:tcPr>
          <w:p>
            <w:pPr>
              <w:jc w:val="right"/>
              <w:ind w:right="179"/>
              <w:spacing w:after="0"/>
              <w:rPr>
                <w:sz w:val="20"/>
                <w:szCs w:val="20"/>
                <w:color w:val="auto"/>
              </w:rPr>
            </w:pPr>
            <w:r>
              <w:rPr>
                <w:rFonts w:ascii="Arial" w:cs="Arial" w:eastAsia="Arial" w:hAnsi="Arial"/>
                <w:sz w:val="16"/>
                <w:szCs w:val="16"/>
                <w:color w:val="auto"/>
              </w:rPr>
              <w:t>21</w:t>
            </w:r>
          </w:p>
        </w:tc>
        <w:tc>
          <w:tcPr>
            <w:tcW w:w="1280" w:type="dxa"/>
            <w:vAlign w:val="bottom"/>
          </w:tcPr>
          <w:p>
            <w:pPr>
              <w:jc w:val="right"/>
              <w:ind w:right="199"/>
              <w:spacing w:after="0"/>
              <w:rPr>
                <w:sz w:val="20"/>
                <w:szCs w:val="20"/>
                <w:color w:val="auto"/>
              </w:rPr>
            </w:pPr>
            <w:r>
              <w:rPr>
                <w:rFonts w:ascii="Arial" w:cs="Arial" w:eastAsia="Arial" w:hAnsi="Arial"/>
                <w:sz w:val="16"/>
                <w:szCs w:val="16"/>
                <w:color w:val="auto"/>
              </w:rPr>
              <w:t>24.7%</w:t>
            </w:r>
          </w:p>
        </w:tc>
        <w:tc>
          <w:tcPr>
            <w:tcW w:w="100" w:type="dxa"/>
            <w:vAlign w:val="bottom"/>
          </w:tcPr>
          <w:p>
            <w:pPr>
              <w:spacing w:after="0"/>
              <w:rPr>
                <w:sz w:val="22"/>
                <w:szCs w:val="22"/>
                <w:color w:val="auto"/>
              </w:rPr>
            </w:pPr>
          </w:p>
        </w:tc>
        <w:tc>
          <w:tcPr>
            <w:tcW w:w="1360" w:type="dxa"/>
            <w:vAlign w:val="bottom"/>
          </w:tcPr>
          <w:p>
            <w:pPr>
              <w:jc w:val="right"/>
              <w:ind w:right="177"/>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21</w:t>
            </w:r>
          </w:p>
        </w:tc>
        <w:tc>
          <w:tcPr>
            <w:tcW w:w="1740" w:type="dxa"/>
            <w:vAlign w:val="bottom"/>
          </w:tcPr>
          <w:p>
            <w:pPr>
              <w:spacing w:after="0"/>
              <w:rPr>
                <w:sz w:val="22"/>
                <w:szCs w:val="22"/>
                <w:color w:val="auto"/>
              </w:rPr>
            </w:pPr>
          </w:p>
        </w:tc>
      </w:tr>
      <w:tr>
        <w:trPr>
          <w:trHeight w:val="270"/>
        </w:trPr>
        <w:tc>
          <w:tcPr>
            <w:tcW w:w="3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Travel trailer</w:t>
            </w:r>
          </w:p>
        </w:tc>
        <w:tc>
          <w:tcPr>
            <w:tcW w:w="1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64</w:t>
            </w:r>
          </w:p>
        </w:tc>
        <w:tc>
          <w:tcPr>
            <w:tcW w:w="12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75.3%</w:t>
            </w:r>
          </w:p>
        </w:tc>
        <w:tc>
          <w:tcPr>
            <w:tcW w:w="100" w:type="dxa"/>
            <w:vAlign w:val="bottom"/>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740" w:type="dxa"/>
            <w:vAlign w:val="bottom"/>
            <w:tcBorders>
              <w:bottom w:val="single" w:sz="8" w:color="auto"/>
            </w:tcBorders>
            <w:shd w:val="clear" w:color="auto" w:fill="CCEEFF"/>
          </w:tcPr>
          <w:p>
            <w:pPr>
              <w:spacing w:after="0"/>
              <w:rPr>
                <w:sz w:val="23"/>
                <w:szCs w:val="23"/>
                <w:color w:val="auto"/>
              </w:rPr>
            </w:pPr>
          </w:p>
        </w:tc>
      </w:tr>
      <w:tr>
        <w:trPr>
          <w:trHeight w:val="267"/>
        </w:trPr>
        <w:tc>
          <w:tcPr>
            <w:tcW w:w="3080" w:type="dxa"/>
            <w:vAlign w:val="bottom"/>
          </w:tcPr>
          <w:p>
            <w:pPr>
              <w:ind w:left="220"/>
              <w:spacing w:after="0"/>
              <w:rPr>
                <w:sz w:val="20"/>
                <w:szCs w:val="20"/>
                <w:color w:val="auto"/>
              </w:rPr>
            </w:pPr>
            <w:r>
              <w:rPr>
                <w:rFonts w:ascii="Arial" w:cs="Arial" w:eastAsia="Arial" w:hAnsi="Arial"/>
                <w:sz w:val="16"/>
                <w:szCs w:val="16"/>
                <w:color w:val="auto"/>
              </w:rPr>
              <w:t>Total towables</w:t>
            </w:r>
          </w:p>
        </w:tc>
        <w:tc>
          <w:tcPr>
            <w:tcW w:w="1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85</w:t>
            </w:r>
          </w:p>
        </w:tc>
        <w:tc>
          <w:tcPr>
            <w:tcW w:w="12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3"/>
                <w:szCs w:val="23"/>
                <w:color w:val="auto"/>
              </w:rPr>
            </w:pPr>
          </w:p>
        </w:tc>
        <w:tc>
          <w:tcPr>
            <w:tcW w:w="1360" w:type="dxa"/>
            <w:vAlign w:val="bottom"/>
            <w:tcBorders>
              <w:bottom w:val="single" w:sz="8" w:color="auto"/>
            </w:tcBorders>
          </w:tcPr>
          <w:p>
            <w:pPr>
              <w:jc w:val="right"/>
              <w:ind w:right="177"/>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w:t>
            </w:r>
          </w:p>
        </w:tc>
        <w:tc>
          <w:tcPr>
            <w:tcW w:w="1740" w:type="dxa"/>
            <w:vAlign w:val="bottom"/>
            <w:tcBorders>
              <w:bottom w:val="single" w:sz="8" w:color="auto"/>
            </w:tcBorders>
          </w:tcPr>
          <w:p>
            <w:pPr>
              <w:spacing w:after="0"/>
              <w:rPr>
                <w:sz w:val="23"/>
                <w:szCs w:val="23"/>
                <w:color w:val="auto"/>
              </w:rPr>
            </w:pPr>
          </w:p>
        </w:tc>
      </w:tr>
      <w:tr>
        <w:trPr>
          <w:trHeight w:val="20"/>
        </w:trPr>
        <w:tc>
          <w:tcPr>
            <w:tcW w:w="30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490"/>
        </w:trPr>
        <w:tc>
          <w:tcPr>
            <w:tcW w:w="308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3"/>
          </w:tcPr>
          <w:p>
            <w:pPr>
              <w:jc w:val="right"/>
              <w:ind w:right="617"/>
              <w:spacing w:after="0"/>
              <w:rPr>
                <w:sz w:val="20"/>
                <w:szCs w:val="20"/>
                <w:color w:val="auto"/>
              </w:rPr>
            </w:pPr>
            <w:r>
              <w:rPr>
                <w:rFonts w:ascii="Arial" w:cs="Arial" w:eastAsia="Arial" w:hAnsi="Arial"/>
                <w:sz w:val="16"/>
                <w:szCs w:val="16"/>
                <w:b w:val="1"/>
                <w:bCs w:val="1"/>
                <w:color w:val="auto"/>
              </w:rPr>
              <w:t>Six Months Ended</w:t>
            </w:r>
          </w:p>
        </w:tc>
        <w:tc>
          <w:tcPr>
            <w:tcW w:w="12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1019"/>
              <w:spacing w:after="0"/>
              <w:rPr>
                <w:sz w:val="20"/>
                <w:szCs w:val="20"/>
                <w:color w:val="auto"/>
              </w:rPr>
            </w:pPr>
            <w:r>
              <w:rPr>
                <w:rFonts w:ascii="Arial" w:cs="Arial" w:eastAsia="Arial" w:hAnsi="Arial"/>
                <w:sz w:val="16"/>
                <w:szCs w:val="16"/>
                <w:b w:val="1"/>
                <w:bCs w:val="1"/>
                <w:color w:val="auto"/>
              </w:rPr>
              <w:t>Change</w:t>
            </w:r>
          </w:p>
        </w:tc>
      </w:tr>
      <w:tr>
        <w:trPr>
          <w:trHeight w:val="198"/>
        </w:trPr>
        <w:tc>
          <w:tcPr>
            <w:tcW w:w="3080" w:type="dxa"/>
            <w:vAlign w:val="bottom"/>
          </w:tcPr>
          <w:p>
            <w:pPr>
              <w:spacing w:after="0"/>
              <w:rPr>
                <w:sz w:val="17"/>
                <w:szCs w:val="17"/>
                <w:color w:val="auto"/>
              </w:rPr>
            </w:pPr>
          </w:p>
        </w:tc>
        <w:tc>
          <w:tcPr>
            <w:tcW w:w="1380" w:type="dxa"/>
            <w:vAlign w:val="bottom"/>
          </w:tcPr>
          <w:p>
            <w:pPr>
              <w:jc w:val="center"/>
              <w:ind w:right="99"/>
              <w:spacing w:after="0"/>
              <w:rPr>
                <w:sz w:val="20"/>
                <w:szCs w:val="20"/>
                <w:color w:val="auto"/>
              </w:rPr>
            </w:pPr>
            <w:r>
              <w:rPr>
                <w:rFonts w:ascii="Arial" w:cs="Arial" w:eastAsia="Arial" w:hAnsi="Arial"/>
                <w:sz w:val="16"/>
                <w:szCs w:val="16"/>
                <w:b w:val="1"/>
                <w:bCs w:val="1"/>
                <w:color w:val="auto"/>
              </w:rPr>
              <w:t>February 26,</w:t>
            </w: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Product</w:t>
            </w:r>
          </w:p>
        </w:tc>
        <w:tc>
          <w:tcPr>
            <w:tcW w:w="1360" w:type="dxa"/>
            <w:vAlign w:val="bottom"/>
          </w:tcPr>
          <w:p>
            <w:pPr>
              <w:jc w:val="center"/>
              <w:ind w:right="117"/>
              <w:spacing w:after="0"/>
              <w:rPr>
                <w:sz w:val="20"/>
                <w:szCs w:val="20"/>
                <w:color w:val="auto"/>
              </w:rPr>
            </w:pPr>
            <w:r>
              <w:rPr>
                <w:rFonts w:ascii="Arial" w:cs="Arial" w:eastAsia="Arial" w:hAnsi="Arial"/>
                <w:sz w:val="16"/>
                <w:szCs w:val="16"/>
                <w:b w:val="1"/>
                <w:bCs w:val="1"/>
                <w:color w:val="auto"/>
              </w:rPr>
              <w:t>February 27,</w:t>
            </w: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Product</w:t>
            </w:r>
          </w:p>
        </w:tc>
        <w:tc>
          <w:tcPr>
            <w:tcW w:w="1080" w:type="dxa"/>
            <w:vAlign w:val="bottom"/>
          </w:tcPr>
          <w:p>
            <w:pPr>
              <w:spacing w:after="0"/>
              <w:rPr>
                <w:sz w:val="17"/>
                <w:szCs w:val="17"/>
                <w:color w:val="auto"/>
              </w:rPr>
            </w:pPr>
          </w:p>
        </w:tc>
        <w:tc>
          <w:tcPr>
            <w:tcW w:w="1740" w:type="dxa"/>
            <w:vAlign w:val="bottom"/>
          </w:tcPr>
          <w:p>
            <w:pPr>
              <w:jc w:val="center"/>
              <w:ind w:left="159"/>
              <w:spacing w:after="0"/>
              <w:rPr>
                <w:sz w:val="20"/>
                <w:szCs w:val="20"/>
                <w:color w:val="auto"/>
              </w:rPr>
            </w:pPr>
            <w:r>
              <w:rPr>
                <w:rFonts w:ascii="Arial" w:cs="Arial" w:eastAsia="Arial" w:hAnsi="Arial"/>
                <w:sz w:val="16"/>
                <w:szCs w:val="16"/>
                <w:b w:val="1"/>
                <w:bCs w:val="1"/>
                <w:color w:val="auto"/>
                <w:w w:val="98"/>
              </w:rPr>
              <w:t>%</w:t>
            </w:r>
          </w:p>
        </w:tc>
      </w:tr>
      <w:tr>
        <w:trPr>
          <w:trHeight w:val="228"/>
        </w:trPr>
        <w:tc>
          <w:tcPr>
            <w:tcW w:w="3080" w:type="dxa"/>
            <w:vAlign w:val="bottom"/>
          </w:tcPr>
          <w:p>
            <w:pPr>
              <w:ind w:left="40"/>
              <w:spacing w:after="0"/>
              <w:rPr>
                <w:sz w:val="20"/>
                <w:szCs w:val="20"/>
                <w:color w:val="auto"/>
              </w:rPr>
            </w:pPr>
            <w:r>
              <w:rPr>
                <w:rFonts w:ascii="Arial" w:cs="Arial" w:eastAsia="Arial" w:hAnsi="Arial"/>
                <w:sz w:val="16"/>
                <w:szCs w:val="16"/>
                <w:b w:val="1"/>
                <w:bCs w:val="1"/>
                <w:color w:val="auto"/>
              </w:rPr>
              <w:t>(In units)</w:t>
            </w:r>
          </w:p>
        </w:tc>
        <w:tc>
          <w:tcPr>
            <w:tcW w:w="1380" w:type="dxa"/>
            <w:vAlign w:val="bottom"/>
          </w:tcPr>
          <w:p>
            <w:pPr>
              <w:jc w:val="center"/>
              <w:ind w:right="59"/>
              <w:spacing w:after="0"/>
              <w:rPr>
                <w:sz w:val="20"/>
                <w:szCs w:val="20"/>
                <w:color w:val="auto"/>
              </w:rPr>
            </w:pPr>
            <w:r>
              <w:rPr>
                <w:rFonts w:ascii="Arial" w:cs="Arial" w:eastAsia="Arial" w:hAnsi="Arial"/>
                <w:sz w:val="16"/>
                <w:szCs w:val="16"/>
                <w:b w:val="1"/>
                <w:bCs w:val="1"/>
                <w:color w:val="auto"/>
              </w:rPr>
              <w:t>2011</w:t>
            </w:r>
          </w:p>
        </w:tc>
        <w:tc>
          <w:tcPr>
            <w:tcW w:w="13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Mix %</w:t>
            </w:r>
          </w:p>
        </w:tc>
        <w:tc>
          <w:tcPr>
            <w:tcW w:w="1360" w:type="dxa"/>
            <w:vAlign w:val="bottom"/>
          </w:tcPr>
          <w:p>
            <w:pPr>
              <w:jc w:val="center"/>
              <w:ind w:right="57"/>
              <w:spacing w:after="0"/>
              <w:rPr>
                <w:sz w:val="20"/>
                <w:szCs w:val="20"/>
                <w:color w:val="auto"/>
              </w:rPr>
            </w:pPr>
            <w:r>
              <w:rPr>
                <w:rFonts w:ascii="Arial" w:cs="Arial" w:eastAsia="Arial" w:hAnsi="Arial"/>
                <w:sz w:val="16"/>
                <w:szCs w:val="16"/>
                <w:b w:val="1"/>
                <w:bCs w:val="1"/>
                <w:color w:val="auto"/>
              </w:rPr>
              <w:t>2010</w:t>
            </w: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Mix %</w:t>
            </w:r>
          </w:p>
        </w:tc>
        <w:tc>
          <w:tcPr>
            <w:tcW w:w="1080" w:type="dxa"/>
            <w:vAlign w:val="bottom"/>
          </w:tcPr>
          <w:p>
            <w:pPr>
              <w:jc w:val="right"/>
              <w:ind w:right="139"/>
              <w:spacing w:after="0"/>
              <w:rPr>
                <w:sz w:val="20"/>
                <w:szCs w:val="20"/>
                <w:color w:val="auto"/>
              </w:rPr>
            </w:pPr>
            <w:r>
              <w:rPr>
                <w:rFonts w:ascii="Arial" w:cs="Arial" w:eastAsia="Arial" w:hAnsi="Arial"/>
                <w:sz w:val="16"/>
                <w:szCs w:val="16"/>
                <w:b w:val="1"/>
                <w:bCs w:val="1"/>
                <w:color w:val="auto"/>
              </w:rPr>
              <w:t>Units</w:t>
            </w:r>
          </w:p>
        </w:tc>
        <w:tc>
          <w:tcPr>
            <w:tcW w:w="1740" w:type="dxa"/>
            <w:vAlign w:val="bottom"/>
          </w:tcPr>
          <w:p>
            <w:pPr>
              <w:jc w:val="center"/>
              <w:ind w:left="159"/>
              <w:spacing w:after="0"/>
              <w:rPr>
                <w:sz w:val="20"/>
                <w:szCs w:val="20"/>
                <w:color w:val="auto"/>
              </w:rPr>
            </w:pPr>
            <w:r>
              <w:rPr>
                <w:rFonts w:ascii="Arial" w:cs="Arial" w:eastAsia="Arial" w:hAnsi="Arial"/>
                <w:sz w:val="16"/>
                <w:szCs w:val="16"/>
                <w:b w:val="1"/>
                <w:bCs w:val="1"/>
                <w:color w:val="auto"/>
                <w:w w:val="98"/>
              </w:rPr>
              <w:t>Change</w:t>
            </w:r>
          </w:p>
        </w:tc>
      </w:tr>
      <w:tr>
        <w:trPr>
          <w:trHeight w:val="257"/>
        </w:trPr>
        <w:tc>
          <w:tcPr>
            <w:tcW w:w="30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Class A gas</w:t>
            </w:r>
          </w:p>
        </w:tc>
        <w:tc>
          <w:tcPr>
            <w:tcW w:w="138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720</w:t>
            </w:r>
          </w:p>
        </w:tc>
        <w:tc>
          <w:tcPr>
            <w:tcW w:w="128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35.6%</w:t>
            </w:r>
          </w:p>
        </w:tc>
        <w:tc>
          <w:tcPr>
            <w:tcW w:w="100" w:type="dxa"/>
            <w:vAlign w:val="bottom"/>
            <w:tcBorders>
              <w:top w:val="single" w:sz="8" w:color="CCEEFF"/>
            </w:tcBorders>
            <w:shd w:val="clear" w:color="auto" w:fill="CCEEFF"/>
          </w:tcPr>
          <w:p>
            <w:pPr>
              <w:spacing w:after="0"/>
              <w:rPr>
                <w:sz w:val="22"/>
                <w:szCs w:val="22"/>
                <w:color w:val="auto"/>
              </w:rPr>
            </w:pPr>
          </w:p>
        </w:tc>
        <w:tc>
          <w:tcPr>
            <w:tcW w:w="1360" w:type="dxa"/>
            <w:vAlign w:val="bottom"/>
            <w:tcBorders>
              <w:top w:val="single" w:sz="8" w:color="auto"/>
            </w:tcBorders>
            <w:shd w:val="clear" w:color="auto" w:fill="CCEEFF"/>
          </w:tcPr>
          <w:p>
            <w:pPr>
              <w:jc w:val="right"/>
              <w:ind w:right="177"/>
              <w:spacing w:after="0"/>
              <w:rPr>
                <w:sz w:val="20"/>
                <w:szCs w:val="20"/>
                <w:color w:val="auto"/>
              </w:rPr>
            </w:pPr>
            <w:r>
              <w:rPr>
                <w:rFonts w:ascii="Arial" w:cs="Arial" w:eastAsia="Arial" w:hAnsi="Arial"/>
                <w:sz w:val="16"/>
                <w:szCs w:val="16"/>
                <w:color w:val="auto"/>
              </w:rPr>
              <w:t>613</w:t>
            </w:r>
          </w:p>
        </w:tc>
        <w:tc>
          <w:tcPr>
            <w:tcW w:w="128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32.2%</w:t>
            </w:r>
          </w:p>
        </w:tc>
        <w:tc>
          <w:tcPr>
            <w:tcW w:w="120" w:type="dxa"/>
            <w:vAlign w:val="bottom"/>
            <w:tcBorders>
              <w:top w:val="single" w:sz="8" w:color="CCEEFF"/>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74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17.5 %</w:t>
            </w:r>
          </w:p>
        </w:tc>
      </w:tr>
      <w:tr>
        <w:trPr>
          <w:trHeight w:val="264"/>
        </w:trPr>
        <w:tc>
          <w:tcPr>
            <w:tcW w:w="30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Class A diesel</w:t>
            </w:r>
          </w:p>
        </w:tc>
        <w:tc>
          <w:tcPr>
            <w:tcW w:w="1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488</w:t>
            </w:r>
          </w:p>
        </w:tc>
        <w:tc>
          <w:tcPr>
            <w:tcW w:w="12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24.1%</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177"/>
              <w:spacing w:after="0"/>
              <w:rPr>
                <w:sz w:val="20"/>
                <w:szCs w:val="20"/>
                <w:color w:val="auto"/>
              </w:rPr>
            </w:pPr>
            <w:r>
              <w:rPr>
                <w:rFonts w:ascii="Arial" w:cs="Arial" w:eastAsia="Arial" w:hAnsi="Arial"/>
                <w:sz w:val="16"/>
                <w:szCs w:val="16"/>
                <w:color w:val="auto"/>
              </w:rPr>
              <w:t>434</w:t>
            </w: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22.8%</w:t>
            </w:r>
          </w:p>
        </w:tc>
        <w:tc>
          <w:tcPr>
            <w:tcW w:w="12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17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12.4 %</w:t>
            </w:r>
          </w:p>
        </w:tc>
      </w:tr>
      <w:tr>
        <w:trPr>
          <w:trHeight w:val="257"/>
        </w:trPr>
        <w:tc>
          <w:tcPr>
            <w:tcW w:w="30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Class A</w:t>
            </w:r>
          </w:p>
        </w:tc>
        <w:tc>
          <w:tcPr>
            <w:tcW w:w="1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1,208</w:t>
            </w:r>
          </w:p>
        </w:tc>
        <w:tc>
          <w:tcPr>
            <w:tcW w:w="12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59.7%</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177"/>
              <w:spacing w:after="0"/>
              <w:rPr>
                <w:sz w:val="20"/>
                <w:szCs w:val="20"/>
                <w:color w:val="auto"/>
              </w:rPr>
            </w:pPr>
            <w:r>
              <w:rPr>
                <w:rFonts w:ascii="Arial" w:cs="Arial" w:eastAsia="Arial" w:hAnsi="Arial"/>
                <w:sz w:val="16"/>
                <w:szCs w:val="16"/>
                <w:color w:val="auto"/>
              </w:rPr>
              <w:t>1,047</w:t>
            </w:r>
          </w:p>
        </w:tc>
        <w:tc>
          <w:tcPr>
            <w:tcW w:w="12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55.0%</w:t>
            </w:r>
          </w:p>
        </w:tc>
        <w:tc>
          <w:tcPr>
            <w:tcW w:w="1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7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15.4 %</w:t>
            </w:r>
          </w:p>
        </w:tc>
      </w:tr>
      <w:tr>
        <w:trPr>
          <w:trHeight w:val="260"/>
        </w:trPr>
        <w:tc>
          <w:tcPr>
            <w:tcW w:w="3080" w:type="dxa"/>
            <w:vAlign w:val="bottom"/>
          </w:tcPr>
          <w:p>
            <w:pPr>
              <w:ind w:left="40"/>
              <w:spacing w:after="0"/>
              <w:rPr>
                <w:sz w:val="20"/>
                <w:szCs w:val="20"/>
                <w:color w:val="auto"/>
              </w:rPr>
            </w:pPr>
            <w:r>
              <w:rPr>
                <w:rFonts w:ascii="Arial" w:cs="Arial" w:eastAsia="Arial" w:hAnsi="Arial"/>
                <w:sz w:val="16"/>
                <w:szCs w:val="16"/>
                <w:color w:val="auto"/>
              </w:rPr>
              <w:t>Class B</w:t>
            </w:r>
          </w:p>
        </w:tc>
        <w:tc>
          <w:tcPr>
            <w:tcW w:w="1380" w:type="dxa"/>
            <w:vAlign w:val="bottom"/>
          </w:tcPr>
          <w:p>
            <w:pPr>
              <w:jc w:val="right"/>
              <w:ind w:right="179"/>
              <w:spacing w:after="0"/>
              <w:rPr>
                <w:sz w:val="20"/>
                <w:szCs w:val="20"/>
                <w:color w:val="auto"/>
              </w:rPr>
            </w:pPr>
            <w:r>
              <w:rPr>
                <w:rFonts w:ascii="Arial" w:cs="Arial" w:eastAsia="Arial" w:hAnsi="Arial"/>
                <w:sz w:val="16"/>
                <w:szCs w:val="16"/>
                <w:color w:val="auto"/>
              </w:rPr>
              <w:t>1</w:t>
            </w:r>
          </w:p>
        </w:tc>
        <w:tc>
          <w:tcPr>
            <w:tcW w:w="1280" w:type="dxa"/>
            <w:vAlign w:val="bottom"/>
          </w:tcPr>
          <w:p>
            <w:pPr>
              <w:jc w:val="right"/>
              <w:ind w:right="199"/>
              <w:spacing w:after="0"/>
              <w:rPr>
                <w:sz w:val="20"/>
                <w:szCs w:val="20"/>
                <w:color w:val="auto"/>
              </w:rPr>
            </w:pPr>
            <w:r>
              <w:rPr>
                <w:rFonts w:ascii="Arial" w:cs="Arial" w:eastAsia="Arial" w:hAnsi="Arial"/>
                <w:sz w:val="16"/>
                <w:szCs w:val="16"/>
                <w:color w:val="auto"/>
              </w:rPr>
              <w:t>0.0%</w:t>
            </w:r>
          </w:p>
        </w:tc>
        <w:tc>
          <w:tcPr>
            <w:tcW w:w="100" w:type="dxa"/>
            <w:vAlign w:val="bottom"/>
          </w:tcPr>
          <w:p>
            <w:pPr>
              <w:spacing w:after="0"/>
              <w:rPr>
                <w:sz w:val="22"/>
                <w:szCs w:val="22"/>
                <w:color w:val="auto"/>
              </w:rPr>
            </w:pPr>
          </w:p>
        </w:tc>
        <w:tc>
          <w:tcPr>
            <w:tcW w:w="1360" w:type="dxa"/>
            <w:vAlign w:val="bottom"/>
          </w:tcPr>
          <w:p>
            <w:pPr>
              <w:jc w:val="right"/>
              <w:ind w:right="177"/>
              <w:spacing w:after="0"/>
              <w:rPr>
                <w:sz w:val="20"/>
                <w:szCs w:val="20"/>
                <w:color w:val="auto"/>
              </w:rPr>
            </w:pPr>
            <w:r>
              <w:rPr>
                <w:rFonts w:ascii="Arial" w:cs="Arial" w:eastAsia="Arial" w:hAnsi="Arial"/>
                <w:sz w:val="16"/>
                <w:szCs w:val="16"/>
                <w:color w:val="auto"/>
              </w:rPr>
              <w:t>126</w:t>
            </w: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(125)</w:t>
            </w:r>
          </w:p>
        </w:tc>
        <w:tc>
          <w:tcPr>
            <w:tcW w:w="1740" w:type="dxa"/>
            <w:vAlign w:val="bottom"/>
          </w:tcPr>
          <w:p>
            <w:pPr>
              <w:jc w:val="right"/>
              <w:ind w:right="199"/>
              <w:spacing w:after="0"/>
              <w:rPr>
                <w:sz w:val="20"/>
                <w:szCs w:val="20"/>
                <w:color w:val="auto"/>
              </w:rPr>
            </w:pPr>
            <w:r>
              <w:rPr>
                <w:rFonts w:ascii="Arial" w:cs="Arial" w:eastAsia="Arial" w:hAnsi="Arial"/>
                <w:sz w:val="16"/>
                <w:szCs w:val="16"/>
                <w:color w:val="auto"/>
              </w:rPr>
              <w:t>(99.2)%</w:t>
            </w:r>
          </w:p>
        </w:tc>
      </w:tr>
      <w:tr>
        <w:trPr>
          <w:trHeight w:val="273"/>
        </w:trPr>
        <w:tc>
          <w:tcPr>
            <w:tcW w:w="3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1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815</w:t>
            </w:r>
          </w:p>
        </w:tc>
        <w:tc>
          <w:tcPr>
            <w:tcW w:w="12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40.3%</w:t>
            </w:r>
          </w:p>
        </w:tc>
        <w:tc>
          <w:tcPr>
            <w:tcW w:w="100" w:type="dxa"/>
            <w:vAlign w:val="bottom"/>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6"/>
                <w:szCs w:val="16"/>
                <w:color w:val="auto"/>
              </w:rPr>
              <w:t>730</w:t>
            </w:r>
          </w:p>
        </w:tc>
        <w:tc>
          <w:tcPr>
            <w:tcW w:w="12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38.4%</w:t>
            </w:r>
          </w:p>
        </w:tc>
        <w:tc>
          <w:tcPr>
            <w:tcW w:w="120" w:type="dxa"/>
            <w:vAlign w:val="bottom"/>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7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11.6 %</w:t>
            </w:r>
          </w:p>
        </w:tc>
      </w:tr>
      <w:tr>
        <w:trPr>
          <w:trHeight w:val="280"/>
        </w:trPr>
        <w:tc>
          <w:tcPr>
            <w:tcW w:w="30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 motor homes</w:t>
            </w:r>
          </w:p>
        </w:tc>
        <w:tc>
          <w:tcPr>
            <w:tcW w:w="1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2,024</w:t>
            </w:r>
          </w:p>
        </w:tc>
        <w:tc>
          <w:tcPr>
            <w:tcW w:w="12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jc w:val="right"/>
              <w:ind w:right="177"/>
              <w:spacing w:after="0"/>
              <w:rPr>
                <w:sz w:val="20"/>
                <w:szCs w:val="20"/>
                <w:color w:val="auto"/>
              </w:rPr>
            </w:pPr>
            <w:r>
              <w:rPr>
                <w:rFonts w:ascii="Arial" w:cs="Arial" w:eastAsia="Arial" w:hAnsi="Arial"/>
                <w:sz w:val="16"/>
                <w:szCs w:val="16"/>
                <w:color w:val="auto"/>
              </w:rPr>
              <w:t>1,903</w:t>
            </w: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w:t>
            </w:r>
          </w:p>
        </w:tc>
        <w:tc>
          <w:tcPr>
            <w:tcW w:w="17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6.4 %</w:t>
            </w:r>
          </w:p>
        </w:tc>
      </w:tr>
      <w:tr>
        <w:trPr>
          <w:trHeight w:val="267"/>
        </w:trPr>
        <w:tc>
          <w:tcPr>
            <w:tcW w:w="308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r>
      <w:tr>
        <w:trPr>
          <w:trHeight w:val="263"/>
        </w:trPr>
        <w:tc>
          <w:tcPr>
            <w:tcW w:w="3080" w:type="dxa"/>
            <w:vAlign w:val="bottom"/>
          </w:tcPr>
          <w:p>
            <w:pPr>
              <w:ind w:left="40"/>
              <w:spacing w:after="0"/>
              <w:rPr>
                <w:sz w:val="20"/>
                <w:szCs w:val="20"/>
                <w:color w:val="auto"/>
              </w:rPr>
            </w:pPr>
            <w:r>
              <w:rPr>
                <w:rFonts w:ascii="Arial" w:cs="Arial" w:eastAsia="Arial" w:hAnsi="Arial"/>
                <w:sz w:val="16"/>
                <w:szCs w:val="16"/>
                <w:color w:val="auto"/>
              </w:rPr>
              <w:t>Fifth wheel</w:t>
            </w:r>
          </w:p>
        </w:tc>
        <w:tc>
          <w:tcPr>
            <w:tcW w:w="1380" w:type="dxa"/>
            <w:vAlign w:val="bottom"/>
          </w:tcPr>
          <w:p>
            <w:pPr>
              <w:jc w:val="right"/>
              <w:ind w:right="179"/>
              <w:spacing w:after="0"/>
              <w:rPr>
                <w:sz w:val="20"/>
                <w:szCs w:val="20"/>
                <w:color w:val="auto"/>
              </w:rPr>
            </w:pPr>
            <w:r>
              <w:rPr>
                <w:rFonts w:ascii="Arial" w:cs="Arial" w:eastAsia="Arial" w:hAnsi="Arial"/>
                <w:sz w:val="16"/>
                <w:szCs w:val="16"/>
                <w:color w:val="auto"/>
              </w:rPr>
              <w:t>21</w:t>
            </w:r>
          </w:p>
        </w:tc>
        <w:tc>
          <w:tcPr>
            <w:tcW w:w="1280" w:type="dxa"/>
            <w:vAlign w:val="bottom"/>
          </w:tcPr>
          <w:p>
            <w:pPr>
              <w:jc w:val="right"/>
              <w:ind w:right="199"/>
              <w:spacing w:after="0"/>
              <w:rPr>
                <w:sz w:val="20"/>
                <w:szCs w:val="20"/>
                <w:color w:val="auto"/>
              </w:rPr>
            </w:pPr>
            <w:r>
              <w:rPr>
                <w:rFonts w:ascii="Arial" w:cs="Arial" w:eastAsia="Arial" w:hAnsi="Arial"/>
                <w:sz w:val="16"/>
                <w:szCs w:val="16"/>
                <w:color w:val="auto"/>
              </w:rPr>
              <w:t>24.7%</w:t>
            </w:r>
          </w:p>
        </w:tc>
        <w:tc>
          <w:tcPr>
            <w:tcW w:w="100" w:type="dxa"/>
            <w:vAlign w:val="bottom"/>
          </w:tcPr>
          <w:p>
            <w:pPr>
              <w:spacing w:after="0"/>
              <w:rPr>
                <w:sz w:val="22"/>
                <w:szCs w:val="22"/>
                <w:color w:val="auto"/>
              </w:rPr>
            </w:pPr>
          </w:p>
        </w:tc>
        <w:tc>
          <w:tcPr>
            <w:tcW w:w="1360" w:type="dxa"/>
            <w:vAlign w:val="bottom"/>
          </w:tcPr>
          <w:p>
            <w:pPr>
              <w:jc w:val="right"/>
              <w:ind w:right="177"/>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21</w:t>
            </w:r>
          </w:p>
        </w:tc>
        <w:tc>
          <w:tcPr>
            <w:tcW w:w="1740" w:type="dxa"/>
            <w:vAlign w:val="bottom"/>
          </w:tcPr>
          <w:p>
            <w:pPr>
              <w:spacing w:after="0"/>
              <w:rPr>
                <w:sz w:val="22"/>
                <w:szCs w:val="22"/>
                <w:color w:val="auto"/>
              </w:rPr>
            </w:pPr>
          </w:p>
        </w:tc>
      </w:tr>
      <w:tr>
        <w:trPr>
          <w:trHeight w:val="270"/>
        </w:trPr>
        <w:tc>
          <w:tcPr>
            <w:tcW w:w="3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Travel trailer</w:t>
            </w:r>
          </w:p>
        </w:tc>
        <w:tc>
          <w:tcPr>
            <w:tcW w:w="1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64</w:t>
            </w:r>
          </w:p>
        </w:tc>
        <w:tc>
          <w:tcPr>
            <w:tcW w:w="12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75.3%</w:t>
            </w:r>
          </w:p>
        </w:tc>
        <w:tc>
          <w:tcPr>
            <w:tcW w:w="100" w:type="dxa"/>
            <w:vAlign w:val="bottom"/>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740" w:type="dxa"/>
            <w:vAlign w:val="bottom"/>
            <w:tcBorders>
              <w:bottom w:val="single" w:sz="8" w:color="auto"/>
            </w:tcBorders>
            <w:shd w:val="clear" w:color="auto" w:fill="CCEEFF"/>
          </w:tcPr>
          <w:p>
            <w:pPr>
              <w:spacing w:after="0"/>
              <w:rPr>
                <w:sz w:val="23"/>
                <w:szCs w:val="23"/>
                <w:color w:val="auto"/>
              </w:rPr>
            </w:pPr>
          </w:p>
        </w:tc>
      </w:tr>
      <w:tr>
        <w:trPr>
          <w:trHeight w:val="267"/>
        </w:trPr>
        <w:tc>
          <w:tcPr>
            <w:tcW w:w="3080" w:type="dxa"/>
            <w:vAlign w:val="bottom"/>
          </w:tcPr>
          <w:p>
            <w:pPr>
              <w:ind w:left="220"/>
              <w:spacing w:after="0"/>
              <w:rPr>
                <w:sz w:val="20"/>
                <w:szCs w:val="20"/>
                <w:color w:val="auto"/>
              </w:rPr>
            </w:pPr>
            <w:r>
              <w:rPr>
                <w:rFonts w:ascii="Arial" w:cs="Arial" w:eastAsia="Arial" w:hAnsi="Arial"/>
                <w:sz w:val="16"/>
                <w:szCs w:val="16"/>
                <w:color w:val="auto"/>
              </w:rPr>
              <w:t>Total towables</w:t>
            </w:r>
          </w:p>
        </w:tc>
        <w:tc>
          <w:tcPr>
            <w:tcW w:w="1380" w:type="dxa"/>
            <w:vAlign w:val="bottom"/>
          </w:tcPr>
          <w:p>
            <w:pPr>
              <w:jc w:val="right"/>
              <w:ind w:right="179"/>
              <w:spacing w:after="0"/>
              <w:rPr>
                <w:sz w:val="20"/>
                <w:szCs w:val="20"/>
                <w:color w:val="auto"/>
              </w:rPr>
            </w:pPr>
            <w:r>
              <w:rPr>
                <w:rFonts w:ascii="Arial" w:cs="Arial" w:eastAsia="Arial" w:hAnsi="Arial"/>
                <w:sz w:val="16"/>
                <w:szCs w:val="16"/>
                <w:color w:val="auto"/>
              </w:rPr>
              <w:t>85</w:t>
            </w:r>
          </w:p>
        </w:tc>
        <w:tc>
          <w:tcPr>
            <w:tcW w:w="1280" w:type="dxa"/>
            <w:vAlign w:val="bottom"/>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3"/>
                <w:szCs w:val="23"/>
                <w:color w:val="auto"/>
              </w:rPr>
            </w:pPr>
          </w:p>
        </w:tc>
        <w:tc>
          <w:tcPr>
            <w:tcW w:w="1360" w:type="dxa"/>
            <w:vAlign w:val="bottom"/>
          </w:tcPr>
          <w:p>
            <w:pPr>
              <w:jc w:val="right"/>
              <w:ind w:right="177"/>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85</w:t>
            </w:r>
          </w:p>
        </w:tc>
        <w:tc>
          <w:tcPr>
            <w:tcW w:w="1740" w:type="dxa"/>
            <w:vAlign w:val="bottom"/>
          </w:tcPr>
          <w:p>
            <w:pPr>
              <w:spacing w:after="0"/>
              <w:rPr>
                <w:sz w:val="23"/>
                <w:szCs w:val="23"/>
                <w:color w:val="auto"/>
              </w:rPr>
            </w:pPr>
          </w:p>
        </w:tc>
      </w:tr>
      <w:tr>
        <w:trPr>
          <w:trHeight w:val="20"/>
        </w:trPr>
        <w:tc>
          <w:tcPr>
            <w:tcW w:w="30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Backlog and Dealer Inventory</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As Of</w:t>
            </w:r>
          </w:p>
        </w:tc>
        <w:tc>
          <w:tcPr>
            <w:tcW w:w="9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r>
      <w:tr>
        <w:trPr>
          <w:trHeight w:val="264"/>
        </w:trPr>
        <w:tc>
          <w:tcPr>
            <w:tcW w:w="4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20" w:type="dxa"/>
            <w:vAlign w:val="bottom"/>
            <w:gridSpan w:val="2"/>
          </w:tcPr>
          <w:p>
            <w:pPr>
              <w:jc w:val="right"/>
              <w:ind w:right="142"/>
              <w:spacing w:after="0"/>
              <w:rPr>
                <w:sz w:val="20"/>
                <w:szCs w:val="20"/>
                <w:color w:val="auto"/>
              </w:rPr>
            </w:pPr>
            <w:r>
              <w:rPr>
                <w:rFonts w:ascii="Arial" w:cs="Arial" w:eastAsia="Arial" w:hAnsi="Arial"/>
                <w:sz w:val="16"/>
                <w:szCs w:val="16"/>
                <w:b w:val="1"/>
                <w:bCs w:val="1"/>
                <w:color w:val="auto"/>
              </w:rPr>
              <w:t>February 26, 2011</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120" w:type="dxa"/>
            <w:vAlign w:val="bottom"/>
            <w:gridSpan w:val="3"/>
          </w:tcPr>
          <w:p>
            <w:pPr>
              <w:ind w:left="220"/>
              <w:spacing w:after="0"/>
              <w:rPr>
                <w:sz w:val="20"/>
                <w:szCs w:val="20"/>
                <w:color w:val="auto"/>
              </w:rPr>
            </w:pPr>
            <w:r>
              <w:rPr>
                <w:rFonts w:ascii="Arial" w:cs="Arial" w:eastAsia="Arial" w:hAnsi="Arial"/>
                <w:sz w:val="16"/>
                <w:szCs w:val="16"/>
                <w:b w:val="1"/>
                <w:bCs w:val="1"/>
                <w:color w:val="auto"/>
              </w:rPr>
              <w:t>February 27, 2010</w:t>
            </w:r>
          </w:p>
        </w:tc>
        <w:tc>
          <w:tcPr>
            <w:tcW w:w="2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6"/>
                <w:szCs w:val="16"/>
                <w:b w:val="1"/>
                <w:bCs w:val="1"/>
                <w:color w:val="auto"/>
              </w:rPr>
              <w:t>Increase</w:t>
            </w:r>
          </w:p>
        </w:tc>
        <w:tc>
          <w:tcPr>
            <w:tcW w:w="780" w:type="dxa"/>
            <w:vAlign w:val="bottom"/>
          </w:tcPr>
          <w:p>
            <w:pPr>
              <w:spacing w:after="0"/>
              <w:rPr>
                <w:sz w:val="22"/>
                <w:szCs w:val="22"/>
                <w:color w:val="auto"/>
              </w:rPr>
            </w:pPr>
          </w:p>
        </w:tc>
      </w:tr>
      <w:tr>
        <w:trPr>
          <w:trHeight w:val="257"/>
        </w:trPr>
        <w:tc>
          <w:tcPr>
            <w:tcW w:w="4280" w:type="dxa"/>
            <w:vAlign w:val="bottom"/>
            <w:tcBorders>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Units</w:t>
            </w:r>
          </w:p>
        </w:tc>
        <w:tc>
          <w:tcPr>
            <w:tcW w:w="880" w:type="dxa"/>
            <w:vAlign w:val="bottom"/>
            <w:tcBorders>
              <w:top w:val="single" w:sz="8" w:color="auto"/>
              <w:bottom w:val="single" w:sz="8" w:color="auto"/>
            </w:tcBorders>
          </w:tcPr>
          <w:p>
            <w:pPr>
              <w:jc w:val="right"/>
              <w:ind w:right="182"/>
              <w:spacing w:after="0" w:line="256" w:lineRule="exact"/>
              <w:rPr>
                <w:sz w:val="20"/>
                <w:szCs w:val="20"/>
                <w:color w:val="auto"/>
              </w:rPr>
            </w:pPr>
            <w:r>
              <w:rPr>
                <w:rFonts w:ascii="Arial" w:cs="Arial" w:eastAsia="Arial" w:hAnsi="Arial"/>
                <w:sz w:val="29"/>
                <w:szCs w:val="29"/>
                <w:b w:val="1"/>
                <w:bCs w:val="1"/>
                <w:color w:val="auto"/>
                <w:vertAlign w:val="subscript"/>
              </w:rPr>
              <w:t>%</w:t>
            </w:r>
            <w:r>
              <w:rPr>
                <w:rFonts w:ascii="Arial" w:cs="Arial" w:eastAsia="Arial" w:hAnsi="Arial"/>
                <w:sz w:val="10"/>
                <w:szCs w:val="10"/>
                <w:b w:val="1"/>
                <w:bCs w:val="1"/>
                <w:color w:val="auto"/>
              </w:rPr>
              <w:t xml:space="preserve"> (1)</w:t>
            </w:r>
          </w:p>
        </w:tc>
        <w:tc>
          <w:tcPr>
            <w:tcW w:w="220" w:type="dxa"/>
            <w:vAlign w:val="bottom"/>
            <w:tcBorders>
              <w:top w:val="single" w:sz="8" w:color="auto"/>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78"/>
              <w:spacing w:after="0"/>
              <w:rPr>
                <w:sz w:val="20"/>
                <w:szCs w:val="20"/>
                <w:color w:val="auto"/>
              </w:rPr>
            </w:pPr>
            <w:r>
              <w:rPr>
                <w:rFonts w:ascii="Arial" w:cs="Arial" w:eastAsia="Arial" w:hAnsi="Arial"/>
                <w:sz w:val="16"/>
                <w:szCs w:val="16"/>
                <w:b w:val="1"/>
                <w:bCs w:val="1"/>
                <w:color w:val="auto"/>
              </w:rPr>
              <w:t>Units</w:t>
            </w:r>
          </w:p>
        </w:tc>
        <w:tc>
          <w:tcPr>
            <w:tcW w:w="1100" w:type="dxa"/>
            <w:vAlign w:val="bottom"/>
            <w:tcBorders>
              <w:top w:val="single" w:sz="8" w:color="auto"/>
              <w:bottom w:val="single" w:sz="8" w:color="auto"/>
            </w:tcBorders>
          </w:tcPr>
          <w:p>
            <w:pPr>
              <w:jc w:val="right"/>
              <w:ind w:right="402"/>
              <w:spacing w:after="0" w:line="256" w:lineRule="exact"/>
              <w:rPr>
                <w:sz w:val="20"/>
                <w:szCs w:val="20"/>
                <w:color w:val="auto"/>
              </w:rPr>
            </w:pPr>
            <w:r>
              <w:rPr>
                <w:rFonts w:ascii="Arial" w:cs="Arial" w:eastAsia="Arial" w:hAnsi="Arial"/>
                <w:sz w:val="29"/>
                <w:szCs w:val="29"/>
                <w:b w:val="1"/>
                <w:bCs w:val="1"/>
                <w:color w:val="auto"/>
                <w:vertAlign w:val="subscript"/>
              </w:rPr>
              <w:t>%</w:t>
            </w:r>
            <w:r>
              <w:rPr>
                <w:rFonts w:ascii="Arial" w:cs="Arial" w:eastAsia="Arial" w:hAnsi="Arial"/>
                <w:sz w:val="10"/>
                <w:szCs w:val="10"/>
                <w:b w:val="1"/>
                <w:bCs w:val="1"/>
                <w:color w:val="auto"/>
              </w:rPr>
              <w:t xml:space="preserve"> (1)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(Decrease)</w:t>
            </w:r>
          </w:p>
        </w:tc>
        <w:tc>
          <w:tcPr>
            <w:tcW w:w="780" w:type="dxa"/>
            <w:vAlign w:val="bottom"/>
            <w:tcBorders>
              <w:bottom w:val="single" w:sz="8" w:color="auto"/>
            </w:tcBorders>
          </w:tcPr>
          <w:p>
            <w:pPr>
              <w:spacing w:after="0"/>
              <w:rPr>
                <w:sz w:val="22"/>
                <w:szCs w:val="22"/>
                <w:color w:val="auto"/>
              </w:rPr>
            </w:pPr>
          </w:p>
        </w:tc>
      </w:tr>
      <w:tr>
        <w:trPr>
          <w:trHeight w:val="250"/>
        </w:trPr>
        <w:tc>
          <w:tcPr>
            <w:tcW w:w="4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A gas</w:t>
            </w: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253</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78"/>
              <w:spacing w:after="0"/>
              <w:rPr>
                <w:sz w:val="20"/>
                <w:szCs w:val="20"/>
                <w:color w:val="auto"/>
              </w:rPr>
            </w:pPr>
            <w:r>
              <w:rPr>
                <w:rFonts w:ascii="Arial" w:cs="Arial" w:eastAsia="Arial" w:hAnsi="Arial"/>
                <w:sz w:val="16"/>
                <w:szCs w:val="16"/>
                <w:color w:val="auto"/>
              </w:rPr>
              <w:t>372</w:t>
            </w:r>
          </w:p>
        </w:tc>
        <w:tc>
          <w:tcPr>
            <w:tcW w:w="110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32.1%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(119)</w:t>
            </w:r>
          </w:p>
        </w:tc>
        <w:tc>
          <w:tcPr>
            <w:tcW w:w="7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(32.0)%</w:t>
            </w:r>
          </w:p>
        </w:tc>
      </w:tr>
      <w:tr>
        <w:trPr>
          <w:trHeight w:val="264"/>
        </w:trPr>
        <w:tc>
          <w:tcPr>
            <w:tcW w:w="42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Class A diesel</w:t>
            </w: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157</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w:t>
            </w:r>
          </w:p>
        </w:tc>
        <w:tc>
          <w:tcPr>
            <w:tcW w:w="2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color w:val="auto"/>
              </w:rPr>
              <w:t>263</w:t>
            </w:r>
          </w:p>
        </w:tc>
        <w:tc>
          <w:tcPr>
            <w:tcW w:w="110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22.7%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rPr>
              <w:t>(106)</w:t>
            </w:r>
          </w:p>
        </w:tc>
        <w:tc>
          <w:tcPr>
            <w:tcW w:w="7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(40.3)%</w:t>
            </w:r>
          </w:p>
        </w:tc>
      </w:tr>
      <w:tr>
        <w:trPr>
          <w:trHeight w:val="257"/>
        </w:trPr>
        <w:tc>
          <w:tcPr>
            <w:tcW w:w="4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Class A</w:t>
            </w:r>
          </w:p>
        </w:tc>
        <w:tc>
          <w:tcPr>
            <w:tcW w:w="2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410</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78"/>
              <w:spacing w:after="0"/>
              <w:rPr>
                <w:sz w:val="20"/>
                <w:szCs w:val="20"/>
                <w:color w:val="auto"/>
              </w:rPr>
            </w:pPr>
            <w:r>
              <w:rPr>
                <w:rFonts w:ascii="Arial" w:cs="Arial" w:eastAsia="Arial" w:hAnsi="Arial"/>
                <w:sz w:val="16"/>
                <w:szCs w:val="16"/>
                <w:color w:val="auto"/>
              </w:rPr>
              <w:t>635</w:t>
            </w:r>
          </w:p>
        </w:tc>
        <w:tc>
          <w:tcPr>
            <w:tcW w:w="110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54.8%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(225)</w:t>
            </w:r>
          </w:p>
        </w:tc>
        <w:tc>
          <w:tcPr>
            <w:tcW w:w="7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(35.4)%</w:t>
            </w:r>
          </w:p>
        </w:tc>
      </w:tr>
      <w:tr>
        <w:trPr>
          <w:trHeight w:val="260"/>
        </w:trPr>
        <w:tc>
          <w:tcPr>
            <w:tcW w:w="4280" w:type="dxa"/>
            <w:vAlign w:val="bottom"/>
          </w:tcPr>
          <w:p>
            <w:pPr>
              <w:ind w:left="40"/>
              <w:spacing w:after="0"/>
              <w:rPr>
                <w:sz w:val="20"/>
                <w:szCs w:val="20"/>
                <w:color w:val="auto"/>
              </w:rPr>
            </w:pPr>
            <w:r>
              <w:rPr>
                <w:rFonts w:ascii="Arial" w:cs="Arial" w:eastAsia="Arial" w:hAnsi="Arial"/>
                <w:sz w:val="16"/>
                <w:szCs w:val="16"/>
                <w:color w:val="auto"/>
              </w:rPr>
              <w:t>Class B</w:t>
            </w:r>
          </w:p>
        </w:tc>
        <w:tc>
          <w:tcPr>
            <w:tcW w:w="220" w:type="dxa"/>
            <w:vAlign w:val="bottom"/>
          </w:tcPr>
          <w:p>
            <w:pPr>
              <w:spacing w:after="0"/>
              <w:rPr>
                <w:sz w:val="22"/>
                <w:szCs w:val="22"/>
                <w:color w:val="auto"/>
              </w:rPr>
            </w:pP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82</w:t>
            </w:r>
          </w:p>
        </w:tc>
        <w:tc>
          <w:tcPr>
            <w:tcW w:w="880" w:type="dxa"/>
            <w:vAlign w:val="bottom"/>
          </w:tcPr>
          <w:p>
            <w:pPr>
              <w:jc w:val="right"/>
              <w:spacing w:after="0"/>
              <w:rPr>
                <w:sz w:val="20"/>
                <w:szCs w:val="20"/>
                <w:color w:val="auto"/>
              </w:rPr>
            </w:pPr>
            <w:r>
              <w:rPr>
                <w:rFonts w:ascii="Arial" w:cs="Arial" w:eastAsia="Arial" w:hAnsi="Arial"/>
                <w:sz w:val="16"/>
                <w:szCs w:val="16"/>
                <w:color w:val="auto"/>
              </w:rPr>
              <w:t>8.6%</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ind w:right="178"/>
              <w:spacing w:after="0"/>
              <w:rPr>
                <w:sz w:val="20"/>
                <w:szCs w:val="20"/>
                <w:color w:val="auto"/>
              </w:rPr>
            </w:pPr>
            <w:r>
              <w:rPr>
                <w:rFonts w:ascii="Arial" w:cs="Arial" w:eastAsia="Arial" w:hAnsi="Arial"/>
                <w:sz w:val="16"/>
                <w:szCs w:val="16"/>
                <w:color w:val="auto"/>
              </w:rPr>
              <w:t>16</w:t>
            </w:r>
          </w:p>
        </w:tc>
        <w:tc>
          <w:tcPr>
            <w:tcW w:w="1100" w:type="dxa"/>
            <w:vAlign w:val="bottom"/>
          </w:tcPr>
          <w:p>
            <w:pPr>
              <w:jc w:val="right"/>
              <w:ind w:right="202"/>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0" w:type="dxa"/>
            <w:vAlign w:val="bottom"/>
          </w:tcPr>
          <w:p>
            <w:pPr>
              <w:jc w:val="right"/>
              <w:ind w:right="659"/>
              <w:spacing w:after="0"/>
              <w:rPr>
                <w:sz w:val="20"/>
                <w:szCs w:val="20"/>
                <w:color w:val="auto"/>
              </w:rPr>
            </w:pPr>
            <w:r>
              <w:rPr>
                <w:rFonts w:ascii="Arial" w:cs="Arial" w:eastAsia="Arial" w:hAnsi="Arial"/>
                <w:sz w:val="16"/>
                <w:szCs w:val="16"/>
                <w:color w:val="auto"/>
              </w:rPr>
              <w:t>66</w:t>
            </w:r>
          </w:p>
        </w:tc>
        <w:tc>
          <w:tcPr>
            <w:tcW w:w="780" w:type="dxa"/>
            <w:vAlign w:val="bottom"/>
          </w:tcPr>
          <w:p>
            <w:pPr>
              <w:jc w:val="right"/>
              <w:ind w:right="99"/>
              <w:spacing w:after="0"/>
              <w:rPr>
                <w:sz w:val="20"/>
                <w:szCs w:val="20"/>
                <w:color w:val="auto"/>
              </w:rPr>
            </w:pPr>
            <w:r>
              <w:rPr>
                <w:rFonts w:ascii="Arial" w:cs="Arial" w:eastAsia="Arial" w:hAnsi="Arial"/>
                <w:sz w:val="16"/>
                <w:szCs w:val="16"/>
                <w:color w:val="auto"/>
                <w:w w:val="98"/>
              </w:rPr>
              <w:t>412.5 %</w:t>
            </w:r>
          </w:p>
        </w:tc>
      </w:tr>
      <w:tr>
        <w:trPr>
          <w:trHeight w:val="273"/>
        </w:trPr>
        <w:tc>
          <w:tcPr>
            <w:tcW w:w="4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Class C</w:t>
            </w:r>
          </w:p>
        </w:tc>
        <w:tc>
          <w:tcPr>
            <w:tcW w:w="2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465</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48.6%</w:t>
            </w:r>
          </w:p>
        </w:tc>
        <w:tc>
          <w:tcPr>
            <w:tcW w:w="2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16"/>
                <w:szCs w:val="16"/>
                <w:color w:val="auto"/>
              </w:rPr>
              <w:t>508</w:t>
            </w:r>
          </w:p>
        </w:tc>
        <w:tc>
          <w:tcPr>
            <w:tcW w:w="110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rPr>
              <w:t>43.8%</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color w:val="auto"/>
              </w:rPr>
              <w:t>(43)</w:t>
            </w:r>
          </w:p>
        </w:tc>
        <w:tc>
          <w:tcPr>
            <w:tcW w:w="7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(8.5)%</w:t>
            </w:r>
          </w:p>
        </w:tc>
      </w:tr>
      <w:tr>
        <w:trPr>
          <w:trHeight w:val="280"/>
        </w:trPr>
        <w:tc>
          <w:tcPr>
            <w:tcW w:w="42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motor home backlog</w:t>
            </w: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957</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color w:val="auto"/>
              </w:rPr>
              <w:t>1,159</w:t>
            </w:r>
          </w:p>
        </w:tc>
        <w:tc>
          <w:tcPr>
            <w:tcW w:w="110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rPr>
              <w:t>(202)</w:t>
            </w:r>
          </w:p>
        </w:tc>
        <w:tc>
          <w:tcPr>
            <w:tcW w:w="7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(17.4)%</w:t>
            </w:r>
          </w:p>
        </w:tc>
      </w:tr>
      <w:tr>
        <w:trPr>
          <w:trHeight w:val="267"/>
        </w:trPr>
        <w:tc>
          <w:tcPr>
            <w:tcW w:w="42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r>
      <w:tr>
        <w:trPr>
          <w:trHeight w:val="270"/>
        </w:trPr>
        <w:tc>
          <w:tcPr>
            <w:tcW w:w="4280" w:type="dxa"/>
            <w:vAlign w:val="bottom"/>
          </w:tcPr>
          <w:p>
            <w:pPr>
              <w:ind w:left="40"/>
              <w:spacing w:after="0"/>
              <w:rPr>
                <w:sz w:val="20"/>
                <w:szCs w:val="20"/>
                <w:color w:val="auto"/>
              </w:rPr>
            </w:pPr>
            <w:r>
              <w:rPr>
                <w:rFonts w:ascii="Arial" w:cs="Arial" w:eastAsia="Arial" w:hAnsi="Arial"/>
                <w:sz w:val="16"/>
                <w:szCs w:val="16"/>
                <w:color w:val="auto"/>
                <w:w w:val="99"/>
              </w:rPr>
              <w:t xml:space="preserve">Total approximate motor home revenue dollars (in 000's) </w:t>
            </w:r>
            <w:r>
              <w:rPr>
                <w:rFonts w:ascii="Arial" w:cs="Arial" w:eastAsia="Arial" w:hAnsi="Arial"/>
                <w:sz w:val="21"/>
                <w:szCs w:val="21"/>
                <w:color w:val="auto"/>
                <w:w w:val="99"/>
                <w:vertAlign w:val="superscript"/>
              </w:rPr>
              <w:t>(2)</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92,782</w:t>
            </w:r>
          </w:p>
        </w:tc>
        <w:tc>
          <w:tcPr>
            <w:tcW w:w="880" w:type="dxa"/>
            <w:vAlign w:val="bottom"/>
          </w:tcPr>
          <w:p>
            <w:pPr>
              <w:spacing w:after="0"/>
              <w:rPr>
                <w:sz w:val="23"/>
                <w:szCs w:val="23"/>
                <w:color w:val="auto"/>
              </w:rPr>
            </w:pPr>
          </w:p>
        </w:tc>
        <w:tc>
          <w:tcPr>
            <w:tcW w:w="56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78"/>
              <w:spacing w:after="0"/>
              <w:rPr>
                <w:sz w:val="20"/>
                <w:szCs w:val="20"/>
                <w:color w:val="auto"/>
              </w:rPr>
            </w:pPr>
            <w:r>
              <w:rPr>
                <w:rFonts w:ascii="Arial" w:cs="Arial" w:eastAsia="Arial" w:hAnsi="Arial"/>
                <w:sz w:val="16"/>
                <w:szCs w:val="16"/>
                <w:color w:val="auto"/>
              </w:rPr>
              <w:t>110,916</w:t>
            </w: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619"/>
              <w:spacing w:after="0"/>
              <w:rPr>
                <w:sz w:val="20"/>
                <w:szCs w:val="20"/>
                <w:color w:val="auto"/>
              </w:rPr>
            </w:pPr>
            <w:r>
              <w:rPr>
                <w:rFonts w:ascii="Arial" w:cs="Arial" w:eastAsia="Arial" w:hAnsi="Arial"/>
                <w:sz w:val="16"/>
                <w:szCs w:val="16"/>
                <w:color w:val="auto"/>
              </w:rPr>
              <w:t>(18,134)</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(16.3)%</w:t>
            </w:r>
          </w:p>
        </w:tc>
      </w:tr>
      <w:tr>
        <w:trPr>
          <w:trHeight w:val="270"/>
        </w:trPr>
        <w:tc>
          <w:tcPr>
            <w:tcW w:w="4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Motor home dealer inventory (units)</w:t>
            </w: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2,179</w:t>
            </w:r>
          </w:p>
        </w:tc>
        <w:tc>
          <w:tcPr>
            <w:tcW w:w="8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78"/>
              <w:spacing w:after="0"/>
              <w:rPr>
                <w:sz w:val="20"/>
                <w:szCs w:val="20"/>
                <w:color w:val="auto"/>
              </w:rPr>
            </w:pPr>
            <w:r>
              <w:rPr>
                <w:rFonts w:ascii="Arial" w:cs="Arial" w:eastAsia="Arial" w:hAnsi="Arial"/>
                <w:sz w:val="16"/>
                <w:szCs w:val="16"/>
                <w:color w:val="auto"/>
              </w:rPr>
              <w:t>2,022</w:t>
            </w: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157</w:t>
            </w:r>
          </w:p>
        </w:tc>
        <w:tc>
          <w:tcPr>
            <w:tcW w:w="7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7.8 %</w:t>
            </w:r>
          </w:p>
        </w:tc>
      </w:tr>
      <w:tr>
        <w:trPr>
          <w:trHeight w:val="284"/>
        </w:trPr>
        <w:tc>
          <w:tcPr>
            <w:tcW w:w="4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0"/>
        </w:trPr>
        <w:tc>
          <w:tcPr>
            <w:tcW w:w="4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Fifth wheel</w:t>
            </w: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87</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w:t>
            </w: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87</w:t>
            </w:r>
          </w:p>
        </w:tc>
        <w:tc>
          <w:tcPr>
            <w:tcW w:w="780" w:type="dxa"/>
            <w:vAlign w:val="bottom"/>
            <w:shd w:val="clear" w:color="auto" w:fill="CCEEFF"/>
          </w:tcPr>
          <w:p>
            <w:pPr>
              <w:spacing w:after="0"/>
              <w:rPr>
                <w:sz w:val="23"/>
                <w:szCs w:val="23"/>
                <w:color w:val="auto"/>
              </w:rPr>
            </w:pPr>
          </w:p>
        </w:tc>
      </w:tr>
      <w:tr>
        <w:trPr>
          <w:trHeight w:val="264"/>
        </w:trPr>
        <w:tc>
          <w:tcPr>
            <w:tcW w:w="42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Travel trailer</w:t>
            </w: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64</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w:t>
            </w:r>
          </w:p>
        </w:tc>
        <w:tc>
          <w:tcPr>
            <w:tcW w:w="2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78"/>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rPr>
              <w:t>64</w:t>
            </w:r>
          </w:p>
        </w:tc>
        <w:tc>
          <w:tcPr>
            <w:tcW w:w="780" w:type="dxa"/>
            <w:vAlign w:val="bottom"/>
            <w:tcBorders>
              <w:bottom w:val="single" w:sz="8" w:color="auto"/>
            </w:tcBorders>
          </w:tcPr>
          <w:p>
            <w:pPr>
              <w:spacing w:after="0"/>
              <w:rPr>
                <w:sz w:val="22"/>
                <w:szCs w:val="22"/>
                <w:color w:val="auto"/>
              </w:rPr>
            </w:pPr>
          </w:p>
        </w:tc>
      </w:tr>
      <w:tr>
        <w:trPr>
          <w:trHeight w:val="267"/>
        </w:trPr>
        <w:tc>
          <w:tcPr>
            <w:tcW w:w="4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towable backlog</w:t>
            </w: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151</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78"/>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151</w:t>
            </w:r>
          </w:p>
        </w:tc>
        <w:tc>
          <w:tcPr>
            <w:tcW w:w="780" w:type="dxa"/>
            <w:vAlign w:val="bottom"/>
            <w:shd w:val="clear" w:color="auto" w:fill="CCEEFF"/>
          </w:tcPr>
          <w:p>
            <w:pPr>
              <w:spacing w:after="0"/>
              <w:rPr>
                <w:sz w:val="23"/>
                <w:szCs w:val="23"/>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267"/>
        </w:trPr>
        <w:tc>
          <w:tcPr>
            <w:tcW w:w="4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70"/>
        </w:trPr>
        <w:tc>
          <w:tcPr>
            <w:tcW w:w="4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Total approximate towable revenue dollars (in 000's) </w:t>
            </w:r>
            <w:r>
              <w:rPr>
                <w:rFonts w:ascii="Arial" w:cs="Arial" w:eastAsia="Arial" w:hAnsi="Arial"/>
                <w:sz w:val="21"/>
                <w:szCs w:val="21"/>
                <w:color w:val="auto"/>
                <w:vertAlign w:val="superscript"/>
              </w:rPr>
              <w:t>(2)</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3,551</w:t>
            </w:r>
          </w:p>
        </w:tc>
        <w:tc>
          <w:tcPr>
            <w:tcW w:w="880" w:type="dxa"/>
            <w:vAlign w:val="bottom"/>
            <w:shd w:val="clear" w:color="auto" w:fill="CCEEFF"/>
          </w:tcPr>
          <w:p>
            <w:pPr>
              <w:spacing w:after="0"/>
              <w:rPr>
                <w:sz w:val="23"/>
                <w:szCs w:val="23"/>
                <w:color w:val="auto"/>
              </w:rPr>
            </w:pPr>
          </w:p>
        </w:tc>
        <w:tc>
          <w:tcPr>
            <w:tcW w:w="5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78"/>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3,551</w:t>
            </w:r>
          </w:p>
        </w:tc>
        <w:tc>
          <w:tcPr>
            <w:tcW w:w="7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98"/>
              </w:rPr>
              <w:t>100.0 %</w:t>
            </w:r>
          </w:p>
        </w:tc>
      </w:tr>
      <w:tr>
        <w:trPr>
          <w:trHeight w:val="260"/>
        </w:trPr>
        <w:tc>
          <w:tcPr>
            <w:tcW w:w="4280" w:type="dxa"/>
            <w:vAlign w:val="bottom"/>
          </w:tcPr>
          <w:p>
            <w:pPr>
              <w:ind w:left="40"/>
              <w:spacing w:after="0"/>
              <w:rPr>
                <w:sz w:val="20"/>
                <w:szCs w:val="20"/>
                <w:color w:val="auto"/>
              </w:rPr>
            </w:pPr>
            <w:r>
              <w:rPr>
                <w:rFonts w:ascii="Arial" w:cs="Arial" w:eastAsia="Arial" w:hAnsi="Arial"/>
                <w:sz w:val="16"/>
                <w:szCs w:val="16"/>
                <w:color w:val="auto"/>
              </w:rPr>
              <w:t>Towable dealer inventory (units)</w:t>
            </w:r>
          </w:p>
        </w:tc>
        <w:tc>
          <w:tcPr>
            <w:tcW w:w="220" w:type="dxa"/>
            <w:vAlign w:val="bottom"/>
          </w:tcPr>
          <w:p>
            <w:pPr>
              <w:spacing w:after="0"/>
              <w:rPr>
                <w:sz w:val="22"/>
                <w:szCs w:val="22"/>
                <w:color w:val="auto"/>
              </w:rPr>
            </w:pP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905</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ind w:right="178"/>
              <w:spacing w:after="0"/>
              <w:rPr>
                <w:sz w:val="20"/>
                <w:szCs w:val="20"/>
                <w:color w:val="auto"/>
              </w:rPr>
            </w:pPr>
            <w:r>
              <w:rPr>
                <w:rFonts w:ascii="Arial" w:cs="Arial" w:eastAsia="Arial" w:hAnsi="Arial"/>
                <w:sz w:val="16"/>
                <w:szCs w:val="16"/>
                <w:color w:val="auto"/>
              </w:rPr>
              <w:t>—</w:t>
            </w: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0" w:type="dxa"/>
            <w:vAlign w:val="bottom"/>
          </w:tcPr>
          <w:p>
            <w:pPr>
              <w:jc w:val="right"/>
              <w:ind w:right="659"/>
              <w:spacing w:after="0"/>
              <w:rPr>
                <w:sz w:val="20"/>
                <w:szCs w:val="20"/>
                <w:color w:val="auto"/>
              </w:rPr>
            </w:pPr>
            <w:r>
              <w:rPr>
                <w:rFonts w:ascii="Arial" w:cs="Arial" w:eastAsia="Arial" w:hAnsi="Arial"/>
                <w:sz w:val="16"/>
                <w:szCs w:val="16"/>
                <w:color w:val="auto"/>
              </w:rPr>
              <w:t>905</w:t>
            </w:r>
          </w:p>
        </w:tc>
        <w:tc>
          <w:tcPr>
            <w:tcW w:w="780" w:type="dxa"/>
            <w:vAlign w:val="bottom"/>
          </w:tcPr>
          <w:p>
            <w:pPr>
              <w:jc w:val="right"/>
              <w:ind w:right="99"/>
              <w:spacing w:after="0"/>
              <w:rPr>
                <w:sz w:val="20"/>
                <w:szCs w:val="20"/>
                <w:color w:val="auto"/>
              </w:rPr>
            </w:pPr>
            <w:r>
              <w:rPr>
                <w:rFonts w:ascii="Arial" w:cs="Arial" w:eastAsia="Arial" w:hAnsi="Arial"/>
                <w:sz w:val="16"/>
                <w:szCs w:val="16"/>
                <w:color w:val="auto"/>
                <w:w w:val="98"/>
              </w:rPr>
              <w:t>100.0 %</w:t>
            </w:r>
          </w:p>
        </w:tc>
      </w:tr>
      <w:tr>
        <w:trPr>
          <w:trHeight w:val="293"/>
        </w:trPr>
        <w:tc>
          <w:tcPr>
            <w:tcW w:w="42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bl>
    <w:p>
      <w:pPr>
        <w:spacing w:after="0" w:line="32" w:lineRule="exact"/>
        <w:rPr>
          <w:sz w:val="20"/>
          <w:szCs w:val="20"/>
          <w:color w:val="auto"/>
        </w:rPr>
      </w:pPr>
    </w:p>
    <w:p>
      <w:pPr>
        <w:ind w:left="260" w:hanging="225"/>
        <w:spacing w:after="0"/>
        <w:tabs>
          <w:tab w:leader="none" w:pos="260" w:val="left"/>
        </w:tabs>
        <w:numPr>
          <w:ilvl w:val="0"/>
          <w:numId w:val="3"/>
        </w:numPr>
        <w:rPr>
          <w:rFonts w:ascii="Arial" w:cs="Arial" w:eastAsia="Arial" w:hAnsi="Arial"/>
          <w:sz w:val="14"/>
          <w:szCs w:val="14"/>
          <w:color w:val="auto"/>
        </w:rPr>
      </w:pPr>
      <w:r>
        <w:rPr>
          <w:rFonts w:ascii="Arial" w:cs="Arial" w:eastAsia="Arial" w:hAnsi="Arial"/>
          <w:sz w:val="14"/>
          <w:szCs w:val="14"/>
          <w:color w:val="auto"/>
        </w:rPr>
        <w:t>Percentages may not add due to rounding differences.</w:t>
      </w:r>
    </w:p>
    <w:p>
      <w:pPr>
        <w:spacing w:after="0" w:line="55" w:lineRule="exact"/>
        <w:rPr>
          <w:rFonts w:ascii="Arial" w:cs="Arial" w:eastAsia="Arial" w:hAnsi="Arial"/>
          <w:sz w:val="14"/>
          <w:szCs w:val="14"/>
          <w:color w:val="auto"/>
        </w:rPr>
      </w:pPr>
    </w:p>
    <w:p>
      <w:pPr>
        <w:ind w:left="40" w:right="40" w:hanging="5"/>
        <w:spacing w:after="0" w:line="258" w:lineRule="auto"/>
        <w:tabs>
          <w:tab w:leader="none" w:pos="256"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include in our backlog all accepted purchase orders from dealers to be shipped within the next six months. Orders in backlog can be canceled or postponed at the option of the purchaser at any time without penalty and, therefore, backlog may not necessarily be an accurate measure of future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246620" cy="2400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sectPr>
      <w:pgSz w:w="11900" w:h="16838" w:orient="portrait"/>
      <w:cols w:equalWidth="0" w:num="1">
        <w:col w:w="11420"/>
      </w:cols>
      <w:pgMar w:left="240" w:top="778" w:right="239" w:bottom="671"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2019-12-10T03:36:03Z</dcterms:created>
  <dcterms:modified xsi:type="dcterms:W3CDTF">2019-12-10T03:36:03Z</dcterms:modified>
</cp:coreProperties>
</file>