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9"/>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157480</wp:posOffset>
            </wp:positionH>
            <wp:positionV relativeFrom="page">
              <wp:posOffset>346075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243205</wp:posOffset>
            </wp:positionV>
            <wp:extent cx="7246620" cy="2603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26035"/>
                    </a:xfrm>
                    <a:prstGeom prst="rect">
                      <a:avLst/>
                    </a:prstGeom>
                    <a:noFill/>
                  </pic:spPr>
                </pic:pic>
              </a:graphicData>
            </a:graphic>
          </wp:anchor>
        </w:drawing>
        <w:t>UNITED STATES</w:t>
      </w:r>
    </w:p>
    <w:p>
      <w:pPr>
        <w:spacing w:after="0" w:line="29" w:lineRule="exact"/>
        <w:rPr>
          <w:sz w:val="24"/>
          <w:szCs w:val="24"/>
          <w:color w:val="auto"/>
        </w:rPr>
      </w:pPr>
    </w:p>
    <w:p>
      <w:pPr>
        <w:jc w:val="center"/>
        <w:ind w:right="-39"/>
        <w:spacing w:after="0"/>
        <w:rPr>
          <w:sz w:val="20"/>
          <w:szCs w:val="20"/>
          <w:color w:val="auto"/>
        </w:rPr>
      </w:pPr>
      <w:r>
        <w:rPr>
          <w:rFonts w:ascii="Arial" w:cs="Arial" w:eastAsia="Arial" w:hAnsi="Arial"/>
          <w:sz w:val="22"/>
          <w:szCs w:val="22"/>
          <w:b w:val="1"/>
          <w:bCs w:val="1"/>
          <w:color w:val="auto"/>
        </w:rPr>
        <w:t>SECURITIES AND EXCHANGE COMMISSION</w:t>
      </w:r>
    </w:p>
    <w:p>
      <w:pPr>
        <w:jc w:val="center"/>
        <w:ind w:right="-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229235</wp:posOffset>
            </wp:positionV>
            <wp:extent cx="12350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347" w:lineRule="exact"/>
        <w:rPr>
          <w:sz w:val="24"/>
          <w:szCs w:val="24"/>
          <w:color w:val="auto"/>
        </w:rPr>
      </w:pPr>
    </w:p>
    <w:p>
      <w:pPr>
        <w:jc w:val="center"/>
        <w:ind w:right="80"/>
        <w:spacing w:after="0"/>
        <w:rPr>
          <w:sz w:val="20"/>
          <w:szCs w:val="20"/>
          <w:color w:val="auto"/>
        </w:rPr>
      </w:pPr>
      <w:r>
        <w:rPr>
          <w:rFonts w:ascii="Arial" w:cs="Arial" w:eastAsia="Arial" w:hAnsi="Arial"/>
          <w:sz w:val="25"/>
          <w:szCs w:val="25"/>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2980690</wp:posOffset>
            </wp:positionH>
            <wp:positionV relativeFrom="paragraph">
              <wp:posOffset>45085</wp:posOffset>
            </wp:positionV>
            <wp:extent cx="12350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35075" cy="8890"/>
                    </a:xfrm>
                    <a:prstGeom prst="rect">
                      <a:avLst/>
                    </a:prstGeom>
                    <a:noFill/>
                  </pic:spPr>
                </pic:pic>
              </a:graphicData>
            </a:graphic>
          </wp:anchor>
        </w:drawing>
      </w:r>
    </w:p>
    <w:p>
      <w:pPr>
        <w:spacing w:after="0" w:line="200" w:lineRule="exact"/>
        <w:rPr>
          <w:sz w:val="24"/>
          <w:szCs w:val="24"/>
          <w:color w:val="auto"/>
        </w:rPr>
      </w:pPr>
    </w:p>
    <w:p>
      <w:pPr>
        <w:spacing w:after="0" w:line="292" w:lineRule="exact"/>
        <w:rPr>
          <w:sz w:val="24"/>
          <w:szCs w:val="24"/>
          <w:color w:val="auto"/>
        </w:rPr>
      </w:pPr>
    </w:p>
    <w:p>
      <w:pPr>
        <w:ind w:left="40"/>
        <w:spacing w:after="0"/>
        <w:rPr>
          <w:sz w:val="20"/>
          <w:szCs w:val="20"/>
          <w:color w:val="auto"/>
        </w:rPr>
      </w:pPr>
      <w:r>
        <w:rPr>
          <w:rFonts w:ascii="Arial" w:cs="Arial" w:eastAsia="Arial" w:hAnsi="Arial"/>
          <w:sz w:val="16"/>
          <w:szCs w:val="16"/>
          <w:color w:val="auto"/>
        </w:rPr>
        <w:t>(Mark One)</w:t>
      </w:r>
    </w:p>
    <w:p>
      <w:pPr>
        <w:spacing w:after="0" w:line="206" w:lineRule="exact"/>
        <w:rPr>
          <w:sz w:val="24"/>
          <w:szCs w:val="24"/>
          <w:color w:val="auto"/>
        </w:rPr>
      </w:pPr>
    </w:p>
    <w:p>
      <w:pPr>
        <w:ind w:left="500" w:hanging="465"/>
        <w:spacing w:after="0"/>
        <w:tabs>
          <w:tab w:leader="none" w:pos="500" w:val="left"/>
        </w:tabs>
        <w:numPr>
          <w:ilvl w:val="0"/>
          <w:numId w:val="1"/>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QUARTERLY REPORT PURSUANT TO SECTION 13 OR 15(d) OF THE SECURITIES EXCHANGE ACT OF 1934</w:t>
      </w:r>
    </w:p>
    <w:p>
      <w:pPr>
        <w:spacing w:after="0" w:line="209"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For the quarterly period ended May 27, 2017</w:t>
      </w:r>
    </w:p>
    <w:p>
      <w:pPr>
        <w:spacing w:after="0" w:line="86"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or</w:t>
      </w:r>
    </w:p>
    <w:p>
      <w:pPr>
        <w:spacing w:after="0" w:line="206" w:lineRule="exact"/>
        <w:rPr>
          <w:sz w:val="24"/>
          <w:szCs w:val="24"/>
          <w:color w:val="auto"/>
        </w:rPr>
      </w:pPr>
    </w:p>
    <w:p>
      <w:pPr>
        <w:ind w:left="3020" w:right="2600" w:hanging="2985"/>
        <w:spacing w:after="0" w:line="509" w:lineRule="auto"/>
        <w:tabs>
          <w:tab w:leader="none" w:pos="501" w:val="left"/>
        </w:tabs>
        <w:numPr>
          <w:ilvl w:val="0"/>
          <w:numId w:val="2"/>
        </w:numPr>
        <w:rPr>
          <w:rFonts w:ascii="Times New Roman" w:cs="Times New Roman" w:eastAsia="Times New Roman" w:hAnsi="Times New Roman"/>
          <w:sz w:val="16"/>
          <w:szCs w:val="16"/>
          <w:color w:val="auto"/>
        </w:rPr>
      </w:pPr>
      <w:r>
        <w:rPr>
          <w:rFonts w:ascii="Arial" w:cs="Arial" w:eastAsia="Arial" w:hAnsi="Arial"/>
          <w:sz w:val="16"/>
          <w:szCs w:val="16"/>
          <w:b w:val="1"/>
          <w:bCs w:val="1"/>
          <w:color w:val="auto"/>
        </w:rPr>
        <w:t xml:space="preserve">TRANSITION REPORT PURSUANT TO SECTION 13 OR 15(d) OF THE SECURITIES EXCHANGE ACT OF 1934 </w:t>
      </w:r>
      <w:r>
        <w:rPr>
          <w:rFonts w:ascii="Arial" w:cs="Arial" w:eastAsia="Arial" w:hAnsi="Arial"/>
          <w:sz w:val="16"/>
          <w:szCs w:val="16"/>
          <w:color w:val="auto"/>
        </w:rPr>
        <w:t>For the transition period from _________________ to _________________</w:t>
      </w:r>
    </w:p>
    <w:p>
      <w:pPr>
        <w:spacing w:after="0" w:line="1" w:lineRule="exact"/>
        <w:rPr>
          <w:rFonts w:ascii="Times New Roman" w:cs="Times New Roman" w:eastAsia="Times New Roman" w:hAnsi="Times New Roman"/>
          <w:sz w:val="16"/>
          <w:szCs w:val="16"/>
          <w:color w:val="auto"/>
        </w:rPr>
      </w:pPr>
    </w:p>
    <w:p>
      <w:pPr>
        <w:ind w:left="4380"/>
        <w:spacing w:after="0"/>
        <w:rPr>
          <w:rFonts w:ascii="Times New Roman" w:cs="Times New Roman" w:eastAsia="Times New Roman" w:hAnsi="Times New Roman"/>
          <w:sz w:val="16"/>
          <w:szCs w:val="16"/>
          <w:color w:val="auto"/>
        </w:rPr>
      </w:pPr>
      <w:r>
        <w:rPr>
          <w:rFonts w:ascii="Arial" w:cs="Arial" w:eastAsia="Arial" w:hAnsi="Arial"/>
          <w:sz w:val="16"/>
          <w:szCs w:val="16"/>
          <w:color w:val="auto"/>
        </w:rPr>
        <w:t xml:space="preserve">Commission File Number: </w:t>
      </w:r>
      <w:r>
        <w:rPr>
          <w:rFonts w:ascii="Arial" w:cs="Arial" w:eastAsia="Arial" w:hAnsi="Arial"/>
          <w:sz w:val="16"/>
          <w:szCs w:val="16"/>
          <w:b w:val="1"/>
          <w:bCs w:val="1"/>
          <w:color w:val="auto"/>
        </w:rPr>
        <w:t>001-06403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2063115</wp:posOffset>
            </wp:positionH>
            <wp:positionV relativeFrom="paragraph">
              <wp:posOffset>144780</wp:posOffset>
            </wp:positionV>
            <wp:extent cx="3129915" cy="4286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129915" cy="42862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3"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WINNEBAGO INDUSTRIES, INC.</w:t>
      </w:r>
    </w:p>
    <w:p>
      <w:pPr>
        <w:spacing w:after="0" w:line="9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(Exact name of registrant as specified in its charter)</w:t>
      </w:r>
    </w:p>
    <w:p>
      <w:pPr>
        <w:spacing w:after="0" w:line="216" w:lineRule="exact"/>
        <w:rPr>
          <w:sz w:val="24"/>
          <w:szCs w:val="24"/>
          <w:color w:val="auto"/>
        </w:rPr>
      </w:pPr>
    </w:p>
    <w:tbl>
      <w:tblPr>
        <w:tblLayout w:type="fixed"/>
        <w:tblInd w:w="1020" w:type="dxa"/>
        <w:tblCellMar>
          <w:top w:w="0" w:type="dxa"/>
          <w:left w:w="0" w:type="dxa"/>
          <w:bottom w:w="0" w:type="dxa"/>
          <w:right w:w="0" w:type="dxa"/>
        </w:tblCellMar>
      </w:tblPr>
      <w:tr>
        <w:trPr>
          <w:trHeight w:val="232"/>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Iowa</w:t>
            </w:r>
          </w:p>
        </w:tc>
        <w:tc>
          <w:tcPr>
            <w:tcW w:w="760" w:type="dxa"/>
            <w:vAlign w:val="bottom"/>
          </w:tcPr>
          <w:p>
            <w:pPr>
              <w:spacing w:after="0"/>
              <w:rPr>
                <w:sz w:val="20"/>
                <w:szCs w:val="20"/>
                <w:color w:val="auto"/>
              </w:rPr>
            </w:pPr>
          </w:p>
        </w:tc>
        <w:tc>
          <w:tcPr>
            <w:tcW w:w="4340" w:type="dxa"/>
            <w:vAlign w:val="bottom"/>
            <w:tcBorders>
              <w:bottom w:val="single" w:sz="8" w:color="auto"/>
            </w:tcBorders>
          </w:tcPr>
          <w:p>
            <w:pPr>
              <w:jc w:val="right"/>
              <w:ind w:right="1659"/>
              <w:spacing w:after="0"/>
              <w:rPr>
                <w:sz w:val="20"/>
                <w:szCs w:val="20"/>
                <w:color w:val="auto"/>
              </w:rPr>
            </w:pPr>
            <w:r>
              <w:rPr>
                <w:rFonts w:ascii="Arial" w:cs="Arial" w:eastAsia="Arial" w:hAnsi="Arial"/>
                <w:sz w:val="16"/>
                <w:szCs w:val="16"/>
                <w:b w:val="1"/>
                <w:bCs w:val="1"/>
                <w:color w:val="auto"/>
              </w:rPr>
              <w:t>42-0802678</w:t>
            </w:r>
          </w:p>
        </w:tc>
      </w:tr>
      <w:tr>
        <w:trPr>
          <w:trHeight w:val="238"/>
        </w:trPr>
        <w:tc>
          <w:tcPr>
            <w:tcW w:w="5060" w:type="dxa"/>
            <w:vAlign w:val="bottom"/>
            <w:gridSpan w:val="2"/>
          </w:tcPr>
          <w:p>
            <w:pPr>
              <w:ind w:left="20"/>
              <w:spacing w:after="0"/>
              <w:rPr>
                <w:sz w:val="20"/>
                <w:szCs w:val="20"/>
                <w:color w:val="auto"/>
              </w:rPr>
            </w:pPr>
            <w:r>
              <w:rPr>
                <w:rFonts w:ascii="Arial" w:cs="Arial" w:eastAsia="Arial" w:hAnsi="Arial"/>
                <w:sz w:val="16"/>
                <w:szCs w:val="16"/>
                <w:color w:val="auto"/>
              </w:rPr>
              <w:t>(State or other jurisdiction of incorporation or organization)</w:t>
            </w:r>
          </w:p>
        </w:tc>
        <w:tc>
          <w:tcPr>
            <w:tcW w:w="4340" w:type="dxa"/>
            <w:vAlign w:val="bottom"/>
          </w:tcPr>
          <w:p>
            <w:pPr>
              <w:jc w:val="center"/>
              <w:spacing w:after="0"/>
              <w:rPr>
                <w:sz w:val="20"/>
                <w:szCs w:val="20"/>
                <w:color w:val="auto"/>
              </w:rPr>
            </w:pPr>
            <w:r>
              <w:rPr>
                <w:rFonts w:ascii="Arial" w:cs="Arial" w:eastAsia="Arial" w:hAnsi="Arial"/>
                <w:sz w:val="16"/>
                <w:szCs w:val="16"/>
                <w:color w:val="auto"/>
              </w:rPr>
              <w:t>(I.R.S. Employer Identification No.)</w:t>
            </w:r>
          </w:p>
        </w:tc>
      </w:tr>
      <w:tr>
        <w:trPr>
          <w:trHeight w:val="579"/>
        </w:trPr>
        <w:tc>
          <w:tcPr>
            <w:tcW w:w="43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P. O. Box 152, Forest City, Iowa</w:t>
            </w:r>
          </w:p>
        </w:tc>
        <w:tc>
          <w:tcPr>
            <w:tcW w:w="760" w:type="dxa"/>
            <w:vAlign w:val="bottom"/>
          </w:tcPr>
          <w:p>
            <w:pPr>
              <w:spacing w:after="0"/>
              <w:rPr>
                <w:sz w:val="24"/>
                <w:szCs w:val="24"/>
                <w:color w:val="auto"/>
              </w:rPr>
            </w:pPr>
          </w:p>
        </w:tc>
        <w:tc>
          <w:tcPr>
            <w:tcW w:w="4340" w:type="dxa"/>
            <w:vAlign w:val="bottom"/>
            <w:tcBorders>
              <w:bottom w:val="single" w:sz="8" w:color="auto"/>
            </w:tcBorders>
          </w:tcPr>
          <w:p>
            <w:pPr>
              <w:jc w:val="right"/>
              <w:ind w:right="1879"/>
              <w:spacing w:after="0"/>
              <w:rPr>
                <w:sz w:val="20"/>
                <w:szCs w:val="20"/>
                <w:color w:val="auto"/>
              </w:rPr>
            </w:pPr>
            <w:r>
              <w:rPr>
                <w:rFonts w:ascii="Arial" w:cs="Arial" w:eastAsia="Arial" w:hAnsi="Arial"/>
                <w:sz w:val="16"/>
                <w:szCs w:val="16"/>
                <w:b w:val="1"/>
                <w:bCs w:val="1"/>
                <w:color w:val="auto"/>
              </w:rPr>
              <w:t>50436</w:t>
            </w:r>
          </w:p>
        </w:tc>
      </w:tr>
      <w:tr>
        <w:trPr>
          <w:trHeight w:val="238"/>
        </w:trPr>
        <w:tc>
          <w:tcPr>
            <w:tcW w:w="5060" w:type="dxa"/>
            <w:vAlign w:val="bottom"/>
            <w:gridSpan w:val="2"/>
          </w:tcPr>
          <w:p>
            <w:pPr>
              <w:jc w:val="center"/>
              <w:ind w:right="760"/>
              <w:spacing w:after="0"/>
              <w:rPr>
                <w:sz w:val="20"/>
                <w:szCs w:val="20"/>
                <w:color w:val="auto"/>
              </w:rPr>
            </w:pPr>
            <w:r>
              <w:rPr>
                <w:rFonts w:ascii="Arial" w:cs="Arial" w:eastAsia="Arial" w:hAnsi="Arial"/>
                <w:sz w:val="16"/>
                <w:szCs w:val="16"/>
                <w:color w:val="auto"/>
              </w:rPr>
              <w:t>(Address of principal executive offices)</w:t>
            </w:r>
          </w:p>
        </w:tc>
        <w:tc>
          <w:tcPr>
            <w:tcW w:w="4340" w:type="dxa"/>
            <w:vAlign w:val="bottom"/>
          </w:tcPr>
          <w:p>
            <w:pPr>
              <w:jc w:val="center"/>
              <w:spacing w:after="0"/>
              <w:rPr>
                <w:sz w:val="20"/>
                <w:szCs w:val="20"/>
                <w:color w:val="auto"/>
              </w:rPr>
            </w:pPr>
            <w:r>
              <w:rPr>
                <w:rFonts w:ascii="Arial" w:cs="Arial" w:eastAsia="Arial" w:hAnsi="Arial"/>
                <w:sz w:val="16"/>
                <w:szCs w:val="16"/>
                <w:color w:val="auto"/>
              </w:rPr>
              <w:t>(Zip Code)</w:t>
            </w:r>
          </w:p>
        </w:tc>
      </w:tr>
    </w:tbl>
    <w:p>
      <w:pPr>
        <w:spacing w:after="0" w:line="320"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(641) 585-3535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2414905</wp:posOffset>
            </wp:positionH>
            <wp:positionV relativeFrom="paragraph">
              <wp:posOffset>33020</wp:posOffset>
            </wp:positionV>
            <wp:extent cx="241808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2418080" cy="8890"/>
                    </a:xfrm>
                    <a:prstGeom prst="rect">
                      <a:avLst/>
                    </a:prstGeom>
                    <a:noFill/>
                  </pic:spPr>
                </pic:pic>
              </a:graphicData>
            </a:graphic>
          </wp:anchor>
        </w:drawing>
      </w:r>
    </w:p>
    <w:p>
      <w:pPr>
        <w:spacing w:after="0" w:line="41" w:lineRule="exact"/>
        <w:rPr>
          <w:sz w:val="24"/>
          <w:szCs w:val="24"/>
          <w:color w:val="auto"/>
        </w:rPr>
      </w:pPr>
    </w:p>
    <w:p>
      <w:pPr>
        <w:jc w:val="center"/>
        <w:ind w:right="-39"/>
        <w:spacing w:after="0"/>
        <w:rPr>
          <w:sz w:val="20"/>
          <w:szCs w:val="20"/>
          <w:color w:val="auto"/>
        </w:rPr>
      </w:pPr>
      <w:r>
        <w:rPr>
          <w:rFonts w:ascii="Arial" w:cs="Arial" w:eastAsia="Arial" w:hAnsi="Arial"/>
          <w:sz w:val="16"/>
          <w:szCs w:val="16"/>
          <w:color w:val="auto"/>
        </w:rPr>
        <w:t>(Registrant's telephone number, including area code)</w:t>
      </w:r>
    </w:p>
    <w:p>
      <w:pPr>
        <w:spacing w:after="0" w:line="35" w:lineRule="exact"/>
        <w:rPr>
          <w:sz w:val="24"/>
          <w:szCs w:val="24"/>
          <w:color w:val="auto"/>
        </w:rPr>
      </w:pPr>
    </w:p>
    <w:p>
      <w:pPr>
        <w:jc w:val="both"/>
        <w:ind w:right="120"/>
        <w:spacing w:after="0" w:line="267" w:lineRule="auto"/>
        <w:rPr>
          <w:sz w:val="20"/>
          <w:szCs w:val="20"/>
          <w:color w:val="auto"/>
        </w:rPr>
      </w:pPr>
      <w:r>
        <w:rPr>
          <w:rFonts w:ascii="Arial" w:cs="Arial" w:eastAsia="Arial" w:hAnsi="Arial"/>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spacing w:after="0" w:line="268" w:lineRule="auto"/>
        <w:rPr>
          <w:sz w:val="20"/>
          <w:szCs w:val="20"/>
          <w:color w:val="auto"/>
        </w:rPr>
      </w:pPr>
      <w:r>
        <w:rPr>
          <w:rFonts w:ascii="Arial" w:cs="Arial" w:eastAsia="Arial" w:hAnsi="Arial"/>
          <w:sz w:val="16"/>
          <w:szCs w:val="16"/>
          <w:color w:val="auto"/>
        </w:rPr>
        <w:t xml:space="preserve">Indicate by check mark whether the registrant has submitted electronically and posted on its corporate Web Site, if any, every Interactive Data File required to be submitted and posted pursuant to Rule 405 of Regulation S-T (§ 232.405 of this chapter) during the preceding 12 months (or for such shorter period that the registrant was required to submit and post such files). Yes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o</w:t>
      </w:r>
    </w:p>
    <w:p>
      <w:pPr>
        <w:spacing w:after="0" w:line="220" w:lineRule="exact"/>
        <w:rPr>
          <w:sz w:val="24"/>
          <w:szCs w:val="24"/>
          <w:color w:val="auto"/>
        </w:rPr>
      </w:pPr>
    </w:p>
    <w:p>
      <w:pPr>
        <w:ind w:right="180"/>
        <w:spacing w:after="0" w:line="269" w:lineRule="auto"/>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400"/>
          </w:cols>
          <w:pgMar w:left="240" w:top="751" w:right="259" w:bottom="1440" w:gutter="0" w:footer="0" w:header="0"/>
        </w:sectPr>
      </w:pPr>
    </w:p>
    <w:p>
      <w:pPr>
        <w:spacing w:after="0" w:line="138" w:lineRule="exact"/>
        <w:rPr>
          <w:sz w:val="24"/>
          <w:szCs w:val="24"/>
          <w:color w:val="auto"/>
        </w:rPr>
      </w:pPr>
    </w:p>
    <w:p>
      <w:pPr>
        <w:ind w:left="40"/>
        <w:spacing w:after="0"/>
        <w:rPr>
          <w:sz w:val="20"/>
          <w:szCs w:val="20"/>
          <w:color w:val="auto"/>
        </w:rPr>
      </w:pPr>
      <w:r>
        <w:rPr>
          <w:rFonts w:ascii="Arial" w:cs="Arial" w:eastAsia="Arial" w:hAnsi="Arial"/>
          <w:sz w:val="16"/>
          <w:szCs w:val="16"/>
          <w:color w:val="auto"/>
        </w:rPr>
        <w:t>Large 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x</w:t>
      </w:r>
    </w:p>
    <w:p>
      <w:pPr>
        <w:spacing w:after="0" w:line="20" w:lineRule="exact"/>
        <w:rPr>
          <w:sz w:val="24"/>
          <w:szCs w:val="24"/>
          <w:color w:val="auto"/>
        </w:rPr>
      </w:pPr>
      <w:r>
        <w:rPr>
          <w:sz w:val="24"/>
          <w:szCs w:val="24"/>
          <w:color w:val="auto"/>
        </w:rPr>
        <w:br w:type="column"/>
      </w:r>
    </w:p>
    <w:p>
      <w:pPr>
        <w:spacing w:after="0" w:line="118" w:lineRule="exact"/>
        <w:rPr>
          <w:sz w:val="24"/>
          <w:szCs w:val="24"/>
          <w:color w:val="auto"/>
        </w:rPr>
      </w:pPr>
    </w:p>
    <w:p>
      <w:pPr>
        <w:spacing w:after="0"/>
        <w:rPr>
          <w:sz w:val="20"/>
          <w:szCs w:val="20"/>
          <w:color w:val="auto"/>
        </w:rPr>
      </w:pPr>
      <w:r>
        <w:rPr>
          <w:rFonts w:ascii="Arial" w:cs="Arial" w:eastAsia="Arial" w:hAnsi="Arial"/>
          <w:sz w:val="16"/>
          <w:szCs w:val="16"/>
          <w:color w:val="auto"/>
        </w:rPr>
        <w:t>Non-accelerated filer</w:t>
      </w:r>
    </w:p>
    <w:p>
      <w:pPr>
        <w:spacing w:after="0" w:line="20" w:lineRule="exact"/>
        <w:rPr>
          <w:sz w:val="24"/>
          <w:szCs w:val="24"/>
          <w:color w:val="auto"/>
        </w:rPr>
      </w:pPr>
      <w:r>
        <w:rPr>
          <w:sz w:val="24"/>
          <w:szCs w:val="24"/>
          <w:color w:val="auto"/>
        </w:rPr>
        <w:br w:type="column"/>
      </w:r>
    </w:p>
    <w:p>
      <w:pPr>
        <w:spacing w:after="0" w:line="104"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w:t>
      </w:r>
    </w:p>
    <w:p>
      <w:pPr>
        <w:spacing w:after="0" w:line="104" w:lineRule="exact"/>
        <w:rPr>
          <w:sz w:val="24"/>
          <w:szCs w:val="24"/>
          <w:color w:val="auto"/>
        </w:rPr>
      </w:pPr>
    </w:p>
    <w:p>
      <w:pPr>
        <w:sectPr>
          <w:pgSz w:w="11900" w:h="16838" w:orient="portrait"/>
          <w:cols w:equalWidth="0" w:num="6">
            <w:col w:w="1640" w:space="60"/>
            <w:col w:w="820" w:space="720"/>
            <w:col w:w="1160" w:space="100"/>
            <w:col w:w="1540" w:space="720"/>
            <w:col w:w="1500" w:space="60"/>
            <w:col w:w="3080"/>
          </w:cols>
          <w:pgMar w:left="240" w:top="751" w:right="259" w:bottom="1440" w:gutter="0" w:footer="0" w:header="0"/>
          <w:type w:val="continuous"/>
        </w:sectPr>
      </w:pPr>
    </w:p>
    <w:p>
      <w:pPr>
        <w:spacing w:after="0" w:line="13" w:lineRule="exact"/>
        <w:rPr>
          <w:sz w:val="24"/>
          <w:szCs w:val="24"/>
          <w:color w:val="auto"/>
        </w:rPr>
      </w:pPr>
    </w:p>
    <w:p>
      <w:pPr>
        <w:ind w:left="40"/>
        <w:spacing w:after="0"/>
        <w:rPr>
          <w:sz w:val="20"/>
          <w:szCs w:val="20"/>
          <w:color w:val="auto"/>
        </w:rPr>
      </w:pPr>
      <w:r>
        <w:rPr>
          <w:rFonts w:ascii="Arial" w:cs="Arial" w:eastAsia="Arial" w:hAnsi="Arial"/>
          <w:sz w:val="16"/>
          <w:szCs w:val="16"/>
          <w:color w:val="auto"/>
        </w:rPr>
        <w:t>Smaller reporting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6"/>
          <w:szCs w:val="16"/>
          <w:color w:val="auto"/>
        </w:rPr>
        <w:t>o</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6"/>
          <w:szCs w:val="16"/>
          <w:color w:val="auto"/>
        </w:rPr>
        <w:t>Emerging growth company</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Times New Roman" w:cs="Times New Roman" w:eastAsia="Times New Roman" w:hAnsi="Times New Roman"/>
          <w:sz w:val="18"/>
          <w:szCs w:val="18"/>
          <w:color w:val="auto"/>
        </w:rPr>
        <w:t>o</w:t>
      </w:r>
    </w:p>
    <w:p>
      <w:pPr>
        <w:spacing w:after="0" w:line="144" w:lineRule="exact"/>
        <w:rPr>
          <w:sz w:val="24"/>
          <w:szCs w:val="24"/>
          <w:color w:val="auto"/>
        </w:rPr>
      </w:pPr>
    </w:p>
    <w:p>
      <w:pPr>
        <w:sectPr>
          <w:pgSz w:w="11900" w:h="16838" w:orient="portrait"/>
          <w:cols w:equalWidth="0" w:num="4">
            <w:col w:w="1980" w:space="60"/>
            <w:col w:w="480" w:space="720"/>
            <w:col w:w="1920" w:space="60"/>
            <w:col w:w="6180"/>
          </w:cols>
          <w:pgMar w:left="240" w:top="751" w:right="259" w:bottom="1440" w:gutter="0" w:footer="0" w:header="0"/>
          <w:type w:val="continuous"/>
        </w:sectPr>
      </w:pPr>
    </w:p>
    <w:p>
      <w:pPr>
        <w:ind w:right="280"/>
        <w:spacing w:after="0" w:line="290" w:lineRule="auto"/>
        <w:rPr>
          <w:sz w:val="20"/>
          <w:szCs w:val="20"/>
          <w:color w:val="auto"/>
        </w:rPr>
      </w:pPr>
      <w:r>
        <w:rPr>
          <w:rFonts w:ascii="Arial" w:cs="Arial" w:eastAsia="Arial" w:hAnsi="Arial"/>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Times New Roman" w:cs="Times New Roman" w:eastAsia="Times New Roman" w:hAnsi="Times New Roman"/>
          <w:sz w:val="16"/>
          <w:szCs w:val="16"/>
          <w:color w:val="auto"/>
        </w:rPr>
        <w:t>o</w:t>
      </w:r>
    </w:p>
    <w:p>
      <w:pPr>
        <w:spacing w:after="0" w:line="95" w:lineRule="exact"/>
        <w:rPr>
          <w:sz w:val="24"/>
          <w:szCs w:val="24"/>
          <w:color w:val="auto"/>
        </w:rPr>
      </w:pPr>
    </w:p>
    <w:p>
      <w:pPr>
        <w:ind w:right="2480"/>
        <w:spacing w:after="0" w:line="502" w:lineRule="auto"/>
        <w:rPr>
          <w:sz w:val="20"/>
          <w:szCs w:val="20"/>
          <w:color w:val="auto"/>
        </w:rPr>
      </w:pPr>
      <w:r>
        <w:rPr>
          <w:rFonts w:ascii="Arial" w:cs="Arial" w:eastAsia="Arial" w:hAnsi="Arial"/>
          <w:sz w:val="16"/>
          <w:szCs w:val="16"/>
          <w:color w:val="auto"/>
        </w:rPr>
        <w:t xml:space="preserve">Indicate by check mark whether the registrant is a shell company (as defined in Rule 12b-2 of the Exchange Act). Yes </w:t>
      </w:r>
      <w:r>
        <w:rPr>
          <w:rFonts w:ascii="Times New Roman" w:cs="Times New Roman" w:eastAsia="Times New Roman" w:hAnsi="Times New Roman"/>
          <w:sz w:val="16"/>
          <w:szCs w:val="16"/>
          <w:color w:val="auto"/>
        </w:rPr>
        <w:t>o</w:t>
      </w:r>
      <w:r>
        <w:rPr>
          <w:rFonts w:ascii="Arial" w:cs="Arial" w:eastAsia="Arial" w:hAnsi="Arial"/>
          <w:sz w:val="16"/>
          <w:szCs w:val="16"/>
          <w:color w:val="auto"/>
        </w:rPr>
        <w:t xml:space="preserve"> No </w:t>
      </w:r>
      <w:r>
        <w:rPr>
          <w:rFonts w:ascii="Times New Roman" w:cs="Times New Roman" w:eastAsia="Times New Roman" w:hAnsi="Times New Roman"/>
          <w:sz w:val="16"/>
          <w:szCs w:val="16"/>
          <w:color w:val="auto"/>
        </w:rPr>
        <w:t>x</w:t>
      </w:r>
      <w:r>
        <w:rPr>
          <w:rFonts w:ascii="Arial" w:cs="Arial" w:eastAsia="Arial" w:hAnsi="Arial"/>
          <w:sz w:val="16"/>
          <w:szCs w:val="16"/>
          <w:color w:val="auto"/>
        </w:rPr>
        <w:t xml:space="preserve"> The number of shares of common stock, par value $0.50 per share, outstanding June 22, 2017 was 31,587,651.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173355</wp:posOffset>
            </wp:positionV>
            <wp:extent cx="7246620" cy="260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87630</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751" w:right="259" w:bottom="1440" w:gutter="0" w:footer="0" w:header="0"/>
          <w:type w:val="continuous"/>
        </w:sectPr>
      </w:pPr>
    </w:p>
    <w:bookmarkStart w:id="1" w:name="page2"/>
    <w:bookmarkEnd w:id="1"/>
    <w:p>
      <w:pPr>
        <w:jc w:val="center"/>
        <w:ind w:left="880"/>
        <w:spacing w:after="0"/>
        <w:rPr>
          <w:sz w:val="20"/>
          <w:szCs w:val="20"/>
          <w:color w:val="auto"/>
        </w:rPr>
      </w:pPr>
      <w:r>
        <w:rPr>
          <w:rFonts w:ascii="Arial" w:cs="Arial" w:eastAsia="Arial" w:hAnsi="Arial"/>
          <w:sz w:val="22"/>
          <w:szCs w:val="22"/>
          <w:b w:val="1"/>
          <w:bCs w:val="1"/>
          <w:color w:val="auto"/>
        </w:rPr>
        <w:t>Winnebago Industries, Inc.</w:t>
      </w:r>
    </w:p>
    <w:p>
      <w:pPr>
        <w:spacing w:after="0" w:line="34" w:lineRule="exact"/>
        <w:rPr>
          <w:sz w:val="20"/>
          <w:szCs w:val="20"/>
          <w:color w:val="auto"/>
        </w:rPr>
      </w:pPr>
    </w:p>
    <w:p>
      <w:pPr>
        <w:jc w:val="center"/>
        <w:ind w:left="880"/>
        <w:spacing w:after="0"/>
        <w:rPr>
          <w:sz w:val="20"/>
          <w:szCs w:val="20"/>
          <w:color w:val="auto"/>
        </w:rPr>
      </w:pPr>
      <w:r>
        <w:rPr>
          <w:rFonts w:ascii="Arial" w:cs="Arial" w:eastAsia="Arial" w:hAnsi="Arial"/>
          <w:sz w:val="22"/>
          <w:szCs w:val="22"/>
          <w:b w:val="1"/>
          <w:bCs w:val="1"/>
          <w:color w:val="auto"/>
        </w:rPr>
        <w:t>Table of Contents</w:t>
      </w:r>
    </w:p>
    <w:p>
      <w:pPr>
        <w:spacing w:after="0" w:line="357" w:lineRule="exact"/>
        <w:rPr>
          <w:sz w:val="20"/>
          <w:szCs w:val="20"/>
          <w:color w:val="auto"/>
        </w:rPr>
      </w:pPr>
    </w:p>
    <w:p>
      <w:pPr>
        <w:spacing w:after="0"/>
        <w:rPr>
          <w:rFonts w:ascii="Arial" w:cs="Arial" w:eastAsia="Arial" w:hAnsi="Arial"/>
          <w:sz w:val="16"/>
          <w:szCs w:val="16"/>
          <w:u w:val="single" w:color="auto"/>
          <w:color w:val="0000EE"/>
        </w:rPr>
      </w:pPr>
      <w:hyperlink w:anchor="page3">
        <w:r>
          <w:rPr>
            <w:rFonts w:ascii="Arial" w:cs="Arial" w:eastAsia="Arial" w:hAnsi="Arial"/>
            <w:sz w:val="16"/>
            <w:szCs w:val="16"/>
            <w:u w:val="single" w:color="auto"/>
            <w:color w:val="0000EE"/>
          </w:rPr>
          <w:t>Glossary</w:t>
        </w:r>
      </w:hyperlink>
    </w:p>
    <w:p>
      <w:pPr>
        <w:spacing w:after="0" w:line="354" w:lineRule="exact"/>
        <w:rPr>
          <w:sz w:val="20"/>
          <w:szCs w:val="20"/>
          <w:color w:val="auto"/>
        </w:rPr>
      </w:pPr>
    </w:p>
    <w:p>
      <w:pPr>
        <w:spacing w:after="0"/>
        <w:tabs>
          <w:tab w:leader="none" w:pos="900" w:val="left"/>
        </w:tabs>
        <w:rPr>
          <w:rFonts w:ascii="Arial" w:cs="Arial" w:eastAsia="Arial" w:hAnsi="Arial"/>
          <w:sz w:val="16"/>
          <w:szCs w:val="16"/>
          <w:b w:val="1"/>
          <w:bCs w:val="1"/>
          <w:u w:val="single" w:color="auto"/>
          <w:color w:val="0000EE"/>
        </w:rPr>
      </w:pPr>
      <w:hyperlink w:anchor="page4">
        <w:r>
          <w:rPr>
            <w:rFonts w:ascii="Arial" w:cs="Arial" w:eastAsia="Arial" w:hAnsi="Arial"/>
            <w:sz w:val="16"/>
            <w:szCs w:val="16"/>
            <w:b w:val="1"/>
            <w:bCs w:val="1"/>
            <w:u w:val="single" w:color="auto"/>
            <w:color w:val="0000EE"/>
          </w:rPr>
          <w:t>PART I</w:t>
        </w:r>
      </w:hyperlink>
      <w:r>
        <w:rPr>
          <w:rFonts w:ascii="Arial" w:cs="Arial" w:eastAsia="Arial" w:hAnsi="Arial"/>
          <w:sz w:val="16"/>
          <w:szCs w:val="16"/>
          <w:b w:val="1"/>
          <w:bCs w:val="1"/>
          <w:u w:val="single" w:color="auto"/>
          <w:color w:val="0000EE"/>
        </w:rPr>
        <w:tab/>
      </w:r>
      <w:hyperlink w:anchor="page4">
        <w:r>
          <w:rPr>
            <w:rFonts w:ascii="Arial" w:cs="Arial" w:eastAsia="Arial" w:hAnsi="Arial"/>
            <w:sz w:val="16"/>
            <w:szCs w:val="16"/>
            <w:b w:val="1"/>
            <w:bCs w:val="1"/>
            <w:u w:val="single" w:color="auto"/>
            <w:color w:val="0000EE"/>
          </w:rPr>
          <w:t>FINANCIAL INFORMATION</w:t>
        </w:r>
      </w:hyperlink>
    </w:p>
    <w:p>
      <w:pPr>
        <w:spacing w:after="0" w:line="61" w:lineRule="exact"/>
        <w:rPr>
          <w:sz w:val="20"/>
          <w:szCs w:val="20"/>
          <w:color w:val="auto"/>
        </w:rPr>
      </w:pPr>
    </w:p>
    <w:p>
      <w:pPr>
        <w:ind w:left="920" w:right="4660" w:hanging="1161"/>
        <w:spacing w:after="0" w:line="352" w:lineRule="auto"/>
        <w:tabs>
          <w:tab w:leader="none" w:pos="900" w:val="left"/>
        </w:tabs>
        <w:rPr>
          <w:rFonts w:ascii="Arial" w:cs="Arial" w:eastAsia="Arial" w:hAnsi="Arial"/>
          <w:sz w:val="16"/>
          <w:szCs w:val="16"/>
          <w:u w:val="single" w:color="auto"/>
          <w:color w:val="0000EE"/>
        </w:rPr>
      </w:pPr>
      <w:r>
        <w:rPr>
          <w:rFonts w:ascii="Arial" w:cs="Arial" w:eastAsia="Arial" w:hAnsi="Arial"/>
          <w:sz w:val="16"/>
          <w:szCs w:val="16"/>
          <w:color w:val="auto"/>
        </w:rPr>
        <w:t>Item 1.</w:t>
      </w:r>
      <w:r>
        <w:rPr>
          <w:sz w:val="20"/>
          <w:szCs w:val="20"/>
          <w:color w:val="auto"/>
        </w:rPr>
        <w:tab/>
      </w:r>
      <w:hyperlink w:anchor="page4">
        <w:r>
          <w:rPr>
            <w:rFonts w:ascii="Arial" w:cs="Arial" w:eastAsia="Arial" w:hAnsi="Arial"/>
            <w:sz w:val="16"/>
            <w:szCs w:val="16"/>
            <w:u w:val="single" w:color="auto"/>
            <w:color w:val="0000EE"/>
          </w:rPr>
          <w:t>Condensed Consolidated Financial Statements (Unaudited)</w:t>
        </w:r>
      </w:hyperlink>
      <w:r>
        <w:rPr>
          <w:rFonts w:ascii="Arial" w:cs="Arial" w:eastAsia="Arial" w:hAnsi="Arial"/>
          <w:sz w:val="16"/>
          <w:szCs w:val="16"/>
          <w:u w:val="single" w:color="auto"/>
          <w:color w:val="0000EE"/>
        </w:rPr>
        <w:t xml:space="preserve"> </w:t>
      </w:r>
      <w:hyperlink w:anchor="page4">
        <w:r>
          <w:rPr>
            <w:rFonts w:ascii="Arial" w:cs="Arial" w:eastAsia="Arial" w:hAnsi="Arial"/>
            <w:sz w:val="16"/>
            <w:szCs w:val="16"/>
            <w:u w:val="single" w:color="auto"/>
            <w:color w:val="0000EE"/>
          </w:rPr>
          <w:t>Consolidated Statements of Income and Comprehensive Income</w:t>
        </w:r>
      </w:hyperlink>
      <w:r>
        <w:rPr>
          <w:rFonts w:ascii="Arial" w:cs="Arial" w:eastAsia="Arial" w:hAnsi="Arial"/>
          <w:sz w:val="16"/>
          <w:szCs w:val="16"/>
          <w:u w:val="single" w:color="auto"/>
          <w:color w:val="0000EE"/>
        </w:rPr>
        <w:t xml:space="preserve"> </w:t>
      </w:r>
      <w:hyperlink w:anchor="page5">
        <w:r>
          <w:rPr>
            <w:rFonts w:ascii="Arial" w:cs="Arial" w:eastAsia="Arial" w:hAnsi="Arial"/>
            <w:sz w:val="16"/>
            <w:szCs w:val="16"/>
            <w:u w:val="single" w:color="auto"/>
            <w:color w:val="0000EE"/>
          </w:rPr>
          <w:t>Consolidated Balance Sheets</w:t>
        </w:r>
      </w:hyperlink>
    </w:p>
    <w:p>
      <w:pPr>
        <w:spacing w:after="0" w:line="1"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6">
        <w:r>
          <w:rPr>
            <w:rFonts w:ascii="Arial" w:cs="Arial" w:eastAsia="Arial" w:hAnsi="Arial"/>
            <w:sz w:val="16"/>
            <w:szCs w:val="16"/>
            <w:u w:val="single" w:color="auto"/>
            <w:color w:val="0000EE"/>
          </w:rPr>
          <w:t>Consolidated Statements of Cash Flows</w:t>
        </w:r>
      </w:hyperlink>
    </w:p>
    <w:p>
      <w:pPr>
        <w:spacing w:after="0" w:line="86" w:lineRule="exact"/>
        <w:rPr>
          <w:rFonts w:ascii="Arial" w:cs="Arial" w:eastAsia="Arial" w:hAnsi="Arial"/>
          <w:sz w:val="16"/>
          <w:szCs w:val="16"/>
          <w:u w:val="single" w:color="auto"/>
          <w:color w:val="0000EE"/>
        </w:rPr>
      </w:pPr>
    </w:p>
    <w:p>
      <w:pPr>
        <w:ind w:left="1160"/>
        <w:spacing w:after="0"/>
        <w:rPr>
          <w:rFonts w:ascii="Arial" w:cs="Arial" w:eastAsia="Arial" w:hAnsi="Arial"/>
          <w:sz w:val="16"/>
          <w:szCs w:val="16"/>
          <w:u w:val="single" w:color="auto"/>
          <w:color w:val="0000EE"/>
        </w:rPr>
      </w:pPr>
      <w:hyperlink w:anchor="page7">
        <w:r>
          <w:rPr>
            <w:rFonts w:ascii="Arial" w:cs="Arial" w:eastAsia="Arial" w:hAnsi="Arial"/>
            <w:sz w:val="16"/>
            <w:szCs w:val="16"/>
            <w:u w:val="single" w:color="auto"/>
            <w:color w:val="0000EE"/>
          </w:rPr>
          <w:t>Notes to Condensed Consolidated Financial Statements</w:t>
        </w:r>
      </w:hyperlink>
    </w:p>
    <w:p>
      <w:pPr>
        <w:spacing w:after="0" w:line="82" w:lineRule="exact"/>
        <w:rPr>
          <w:rFonts w:ascii="Arial" w:cs="Arial" w:eastAsia="Arial" w:hAnsi="Arial"/>
          <w:sz w:val="16"/>
          <w:szCs w:val="16"/>
          <w:u w:val="single" w:color="auto"/>
          <w:color w:val="0000EE"/>
        </w:rPr>
      </w:pPr>
    </w:p>
    <w:tbl>
      <w:tblPr>
        <w:tblLayout w:type="fixed"/>
        <w:tblInd w:w="0" w:type="dxa"/>
        <w:tblCellMar>
          <w:top w:w="0" w:type="dxa"/>
          <w:left w:w="0" w:type="dxa"/>
          <w:bottom w:w="0" w:type="dxa"/>
          <w:right w:w="0" w:type="dxa"/>
        </w:tblCellMar>
      </w:tblPr>
      <w:tr>
        <w:trPr>
          <w:trHeight w:val="184"/>
        </w:trPr>
        <w:tc>
          <w:tcPr>
            <w:tcW w:w="56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100" w:type="dxa"/>
            <w:vAlign w:val="bottom"/>
            <w:tcBorders>
              <w:bottom w:val="single" w:sz="8" w:color="0000EE"/>
            </w:tcBorders>
            <w:gridSpan w:val="12"/>
          </w:tcPr>
          <w:p>
            <w:pPr>
              <w:spacing w:after="0"/>
              <w:rPr>
                <w:rFonts w:ascii="Arial" w:cs="Arial" w:eastAsia="Arial" w:hAnsi="Arial"/>
                <w:sz w:val="16"/>
                <w:szCs w:val="16"/>
                <w:color w:val="0000EE"/>
              </w:rPr>
            </w:pPr>
            <w:hyperlink w:anchor="page7">
              <w:r>
                <w:rPr>
                  <w:rFonts w:ascii="Arial" w:cs="Arial" w:eastAsia="Arial" w:hAnsi="Arial"/>
                  <w:sz w:val="16"/>
                  <w:szCs w:val="16"/>
                  <w:color w:val="0000EE"/>
                </w:rPr>
                <w:t>Note 1: Basis of Presentation</w:t>
              </w:r>
            </w:hyperlink>
          </w:p>
        </w:tc>
        <w:tc>
          <w:tcPr>
            <w:tcW w:w="3800" w:type="dxa"/>
            <w:vAlign w:val="bottom"/>
            <w:gridSpan w:val="10"/>
          </w:tcPr>
          <w:p>
            <w:pPr>
              <w:spacing w:after="0"/>
              <w:rPr>
                <w:sz w:val="16"/>
                <w:szCs w:val="16"/>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9">
              <w:r>
                <w:rPr>
                  <w:rFonts w:ascii="Arial" w:cs="Arial" w:eastAsia="Arial" w:hAnsi="Arial"/>
                  <w:sz w:val="16"/>
                  <w:szCs w:val="16"/>
                  <w:color w:val="0000EE"/>
                </w:rPr>
                <w:t>Note 2: Business Combination, Goodwill and Other Intangible Assets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000" w:type="dxa"/>
            <w:vAlign w:val="bottom"/>
            <w:tcBorders>
              <w:top w:val="single" w:sz="8" w:color="0000EE"/>
              <w:bottom w:val="single" w:sz="8" w:color="0000EE"/>
            </w:tcBorders>
            <w:gridSpan w:val="10"/>
          </w:tcPr>
          <w:p>
            <w:pPr>
              <w:spacing w:after="0"/>
              <w:rPr>
                <w:rFonts w:ascii="Arial" w:cs="Arial" w:eastAsia="Arial" w:hAnsi="Arial"/>
                <w:sz w:val="16"/>
                <w:szCs w:val="16"/>
                <w:color w:val="0000EE"/>
              </w:rPr>
            </w:pPr>
            <w:hyperlink w:anchor="page12">
              <w:r>
                <w:rPr>
                  <w:rFonts w:ascii="Arial" w:cs="Arial" w:eastAsia="Arial" w:hAnsi="Arial"/>
                  <w:sz w:val="16"/>
                  <w:szCs w:val="16"/>
                  <w:color w:val="0000EE"/>
                </w:rPr>
                <w:t>Note 3: Business Segments</w:t>
              </w:r>
            </w:hyperlink>
          </w:p>
        </w:tc>
        <w:tc>
          <w:tcPr>
            <w:tcW w:w="2920" w:type="dxa"/>
            <w:vAlign w:val="bottom"/>
            <w:tcBorders>
              <w:top w:val="single" w:sz="8" w:color="0000EE"/>
            </w:tcBorders>
            <w:gridSpan w:val="11"/>
          </w:tcPr>
          <w:p>
            <w:pPr>
              <w:spacing w:after="0"/>
              <w:rPr>
                <w:sz w:val="21"/>
                <w:szCs w:val="21"/>
                <w:color w:val="auto"/>
              </w:rPr>
            </w:pPr>
          </w:p>
        </w:tc>
        <w:tc>
          <w:tcPr>
            <w:tcW w:w="980" w:type="dxa"/>
            <w:vAlign w:val="bottom"/>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4: Concentration Risk</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60" w:type="dxa"/>
            <w:vAlign w:val="bottom"/>
            <w:tcBorders>
              <w:right w:val="single" w:sz="8" w:color="0000EE"/>
            </w:tcBorders>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3">
              <w:r>
                <w:rPr>
                  <w:rFonts w:ascii="Arial" w:cs="Arial" w:eastAsia="Arial" w:hAnsi="Arial"/>
                  <w:sz w:val="16"/>
                  <w:szCs w:val="16"/>
                  <w:color w:val="0000EE"/>
                </w:rPr>
                <w:t>Note 5: Derivatives, Investments and Fair Value Measurements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360" w:type="dxa"/>
            <w:vAlign w:val="bottom"/>
            <w:tcBorders>
              <w:top w:val="single" w:sz="8" w:color="0000EE"/>
              <w:bottom w:val="single" w:sz="8" w:color="0000EE"/>
            </w:tcBorders>
            <w:gridSpan w:val="7"/>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6: Inventories</w:t>
              </w:r>
            </w:hyperlink>
          </w:p>
        </w:tc>
        <w:tc>
          <w:tcPr>
            <w:tcW w:w="3160" w:type="dxa"/>
            <w:vAlign w:val="bottom"/>
            <w:tcBorders>
              <w:top w:val="single" w:sz="8" w:color="0000EE"/>
            </w:tcBorders>
            <w:gridSpan w:val="13"/>
          </w:tcPr>
          <w:p>
            <w:pPr>
              <w:spacing w:after="0"/>
              <w:rPr>
                <w:sz w:val="21"/>
                <w:szCs w:val="21"/>
                <w:color w:val="auto"/>
              </w:rPr>
            </w:pPr>
          </w:p>
        </w:tc>
        <w:tc>
          <w:tcPr>
            <w:tcW w:w="1380" w:type="dxa"/>
            <w:vAlign w:val="bottom"/>
            <w:gridSpan w:val="2"/>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760" w:type="dxa"/>
            <w:vAlign w:val="bottom"/>
            <w:tcBorders>
              <w:bottom w:val="single" w:sz="8" w:color="0000EE"/>
            </w:tcBorders>
            <w:gridSpan w:val="14"/>
          </w:tcPr>
          <w:p>
            <w:pPr>
              <w:spacing w:after="0"/>
              <w:rPr>
                <w:rFonts w:ascii="Arial" w:cs="Arial" w:eastAsia="Arial" w:hAnsi="Arial"/>
                <w:sz w:val="16"/>
                <w:szCs w:val="16"/>
                <w:color w:val="0000EE"/>
              </w:rPr>
            </w:pPr>
            <w:hyperlink w:anchor="page15">
              <w:r>
                <w:rPr>
                  <w:rFonts w:ascii="Arial" w:cs="Arial" w:eastAsia="Arial" w:hAnsi="Arial"/>
                  <w:sz w:val="16"/>
                  <w:szCs w:val="16"/>
                  <w:color w:val="0000EE"/>
                </w:rPr>
                <w:t>Note 7: Property, Plant and Equipment</w:t>
              </w:r>
            </w:hyperlink>
          </w:p>
        </w:tc>
        <w:tc>
          <w:tcPr>
            <w:tcW w:w="3140" w:type="dxa"/>
            <w:vAlign w:val="bottom"/>
            <w:gridSpan w:val="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22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15">
              <w:r>
                <w:rPr>
                  <w:rFonts w:ascii="Arial" w:cs="Arial" w:eastAsia="Arial" w:hAnsi="Arial"/>
                  <w:sz w:val="16"/>
                  <w:szCs w:val="16"/>
                  <w:color w:val="0000EE"/>
                  <w:w w:val="99"/>
                </w:rPr>
                <w:t>Note 8: Warranty</w:t>
              </w:r>
            </w:hyperlink>
          </w:p>
        </w:tc>
        <w:tc>
          <w:tcPr>
            <w:tcW w:w="4680" w:type="dxa"/>
            <w:vAlign w:val="bottom"/>
            <w:gridSpan w:val="18"/>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6">
              <w:r>
                <w:rPr>
                  <w:rFonts w:ascii="Arial" w:cs="Arial" w:eastAsia="Arial" w:hAnsi="Arial"/>
                  <w:sz w:val="16"/>
                  <w:szCs w:val="16"/>
                  <w:color w:val="0000EE"/>
                </w:rPr>
                <w:t>Note 9: Long-Term Debt</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76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7">
              <w:r>
                <w:rPr>
                  <w:rFonts w:ascii="Arial" w:cs="Arial" w:eastAsia="Arial" w:hAnsi="Arial"/>
                  <w:sz w:val="16"/>
                  <w:szCs w:val="16"/>
                  <w:color w:val="0000EE"/>
                </w:rPr>
                <w:t>Note 10: Employee and Retiree Benefits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2880" w:type="dxa"/>
            <w:vAlign w:val="bottom"/>
            <w:tcBorders>
              <w:top w:val="single" w:sz="8" w:color="0000EE"/>
            </w:tcBorders>
            <w:gridSpan w:val="15"/>
          </w:tcPr>
          <w:p>
            <w:pPr>
              <w:spacing w:after="0"/>
              <w:rPr>
                <w:rFonts w:ascii="Arial" w:cs="Arial" w:eastAsia="Arial" w:hAnsi="Arial"/>
                <w:sz w:val="16"/>
                <w:szCs w:val="16"/>
                <w:color w:val="0000EE"/>
              </w:rPr>
            </w:pPr>
            <w:hyperlink w:anchor="page18">
              <w:r>
                <w:rPr>
                  <w:rFonts w:ascii="Arial" w:cs="Arial" w:eastAsia="Arial" w:hAnsi="Arial"/>
                  <w:sz w:val="16"/>
                  <w:szCs w:val="16"/>
                  <w:color w:val="0000EE"/>
                </w:rPr>
                <w:t>Note 11: Shareholders' Equity</w:t>
              </w:r>
            </w:hyperlink>
          </w:p>
        </w:tc>
        <w:tc>
          <w:tcPr>
            <w:tcW w:w="3020" w:type="dxa"/>
            <w:vAlign w:val="bottom"/>
            <w:gridSpan w:val="7"/>
          </w:tcPr>
          <w:p>
            <w:pPr>
              <w:spacing w:after="0"/>
              <w:rPr>
                <w:sz w:val="21"/>
                <w:szCs w:val="21"/>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0" w:type="dxa"/>
            <w:vAlign w:val="bottom"/>
            <w:tcBorders>
              <w:right w:val="single" w:sz="8" w:color="0000EE"/>
            </w:tcBorders>
            <w:gridSpan w:val="2"/>
            <w:shd w:val="clear" w:color="auto" w:fill="0000EE"/>
          </w:tcPr>
          <w:p>
            <w:pPr>
              <w:spacing w:after="0" w:line="20" w:lineRule="exact"/>
              <w:rPr>
                <w:sz w:val="1"/>
                <w:szCs w:val="1"/>
                <w:color w:val="auto"/>
              </w:rPr>
            </w:pPr>
          </w:p>
        </w:tc>
        <w:tc>
          <w:tcPr>
            <w:tcW w:w="340" w:type="dxa"/>
            <w:vAlign w:val="bottom"/>
            <w:gridSpan w:val="3"/>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1380" w:type="dxa"/>
            <w:vAlign w:val="bottom"/>
            <w:gridSpan w:val="3"/>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19">
              <w:r>
                <w:rPr>
                  <w:rFonts w:ascii="Arial" w:cs="Arial" w:eastAsia="Arial" w:hAnsi="Arial"/>
                  <w:sz w:val="16"/>
                  <w:szCs w:val="16"/>
                  <w:color w:val="0000EE"/>
                </w:rPr>
                <w:t>Note 12: Contingent Liabilities and Commitments</w:t>
              </w:r>
            </w:hyperlink>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720" w:type="dxa"/>
            <w:vAlign w:val="bottom"/>
            <w:tcBorders>
              <w:top w:val="single" w:sz="8" w:color="0000EE"/>
              <w:bottom w:val="single" w:sz="8" w:color="0000EE"/>
            </w:tcBorders>
            <w:gridSpan w:val="8"/>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13: Income Taxes</w:t>
              </w:r>
            </w:hyperlink>
          </w:p>
        </w:tc>
        <w:tc>
          <w:tcPr>
            <w:tcW w:w="1780" w:type="dxa"/>
            <w:vAlign w:val="bottom"/>
            <w:tcBorders>
              <w:top w:val="single" w:sz="8" w:color="0000EE"/>
            </w:tcBorders>
            <w:gridSpan w:val="8"/>
          </w:tcPr>
          <w:p>
            <w:pPr>
              <w:spacing w:after="0"/>
              <w:rPr>
                <w:sz w:val="21"/>
                <w:szCs w:val="21"/>
                <w:color w:val="auto"/>
              </w:rPr>
            </w:pPr>
          </w:p>
        </w:tc>
        <w:tc>
          <w:tcPr>
            <w:tcW w:w="2400" w:type="dxa"/>
            <w:vAlign w:val="bottom"/>
            <w:gridSpan w:val="6"/>
          </w:tcPr>
          <w:p>
            <w:pPr>
              <w:spacing w:after="0"/>
              <w:rPr>
                <w:sz w:val="21"/>
                <w:szCs w:val="2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20">
              <w:r>
                <w:rPr>
                  <w:rFonts w:ascii="Arial" w:cs="Arial" w:eastAsia="Arial" w:hAnsi="Arial"/>
                  <w:sz w:val="16"/>
                  <w:szCs w:val="16"/>
                  <w:color w:val="0000EE"/>
                </w:rPr>
                <w:t>Note 14: Earnings Per Share</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740" w:type="dxa"/>
            <w:vAlign w:val="bottom"/>
            <w:gridSpan w:val="5"/>
            <w:shd w:val="clear" w:color="auto" w:fill="0000EE"/>
          </w:tcPr>
          <w:p>
            <w:pPr>
              <w:spacing w:after="0" w:line="20" w:lineRule="exact"/>
              <w:rPr>
                <w:sz w:val="1"/>
                <w:szCs w:val="1"/>
                <w:color w:val="auto"/>
              </w:rPr>
            </w:pPr>
          </w:p>
        </w:tc>
        <w:tc>
          <w:tcPr>
            <w:tcW w:w="1720" w:type="dxa"/>
            <w:vAlign w:val="bottom"/>
            <w:gridSpan w:val="6"/>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56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5900" w:type="dxa"/>
            <w:vAlign w:val="bottom"/>
            <w:gridSpan w:val="22"/>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Note 15: Accumulated Other Comprehensive Income (Loss)</w:t>
              </w:r>
            </w:hyperlink>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4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460" w:type="dxa"/>
            <w:vAlign w:val="bottom"/>
            <w:gridSpan w:val="11"/>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20" w:type="dxa"/>
            <w:vAlign w:val="bottom"/>
            <w:gridSpan w:val="3"/>
          </w:tcPr>
          <w:p>
            <w:pPr>
              <w:spacing w:after="0" w:line="20" w:lineRule="exact"/>
              <w:rPr>
                <w:sz w:val="1"/>
                <w:szCs w:val="1"/>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tcBorders>
              <w:bottom w:val="single" w:sz="8" w:color="0000EE"/>
            </w:tcBorders>
            <w:gridSpan w:val="23"/>
          </w:tcPr>
          <w:p>
            <w:pPr>
              <w:spacing w:after="0"/>
              <w:rPr>
                <w:rFonts w:ascii="Arial" w:cs="Arial" w:eastAsia="Arial" w:hAnsi="Arial"/>
                <w:sz w:val="16"/>
                <w:szCs w:val="16"/>
                <w:color w:val="0000EE"/>
              </w:rPr>
            </w:pPr>
            <w:hyperlink w:anchor="page21">
              <w:r>
                <w:rPr>
                  <w:rFonts w:ascii="Arial" w:cs="Arial" w:eastAsia="Arial" w:hAnsi="Arial"/>
                  <w:sz w:val="16"/>
                  <w:szCs w:val="16"/>
                  <w:color w:val="0000EE"/>
                </w:rPr>
                <w:t>Management's Discussion and Analysis of Financial Condition and Results of Operations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3.</w:t>
            </w:r>
          </w:p>
        </w:tc>
        <w:tc>
          <w:tcPr>
            <w:tcW w:w="4240" w:type="dxa"/>
            <w:vAlign w:val="bottom"/>
            <w:tcBorders>
              <w:bottom w:val="single" w:sz="8" w:color="0000EE"/>
            </w:tcBorders>
            <w:gridSpan w:val="18"/>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Quantitative and Qualitative Disclosures About Market Risk</w:t>
              </w:r>
            </w:hyperlink>
          </w:p>
        </w:tc>
        <w:tc>
          <w:tcPr>
            <w:tcW w:w="2120" w:type="dxa"/>
            <w:vAlign w:val="bottom"/>
            <w:gridSpan w:val="5"/>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4.</w:t>
            </w:r>
          </w:p>
        </w:tc>
        <w:tc>
          <w:tcPr>
            <w:tcW w:w="6360" w:type="dxa"/>
            <w:vAlign w:val="bottom"/>
            <w:gridSpan w:val="23"/>
          </w:tcPr>
          <w:p>
            <w:pPr>
              <w:spacing w:after="0"/>
              <w:rPr>
                <w:rFonts w:ascii="Arial" w:cs="Arial" w:eastAsia="Arial" w:hAnsi="Arial"/>
                <w:sz w:val="16"/>
                <w:szCs w:val="16"/>
                <w:color w:val="0000EE"/>
              </w:rPr>
            </w:pPr>
            <w:hyperlink w:anchor="page34">
              <w:r>
                <w:rPr>
                  <w:rFonts w:ascii="Arial" w:cs="Arial" w:eastAsia="Arial" w:hAnsi="Arial"/>
                  <w:sz w:val="16"/>
                  <w:szCs w:val="16"/>
                  <w:color w:val="0000EE"/>
                </w:rPr>
                <w:t>Controls and Procedures</w:t>
              </w:r>
            </w:hyperlink>
          </w:p>
        </w:tc>
      </w:tr>
      <w:tr>
        <w:trPr>
          <w:trHeight w:val="520"/>
        </w:trPr>
        <w:tc>
          <w:tcPr>
            <w:tcW w:w="560" w:type="dxa"/>
            <w:vAlign w:val="bottom"/>
            <w:tcBorders>
              <w:bottom w:val="single" w:sz="8" w:color="0000EE"/>
            </w:tcBorders>
          </w:tcPr>
          <w:p>
            <w:pPr>
              <w:spacing w:after="0"/>
              <w:rPr>
                <w:rFonts w:ascii="Arial" w:cs="Arial" w:eastAsia="Arial" w:hAnsi="Arial"/>
                <w:sz w:val="16"/>
                <w:szCs w:val="16"/>
                <w:b w:val="1"/>
                <w:bCs w:val="1"/>
                <w:color w:val="0000EE"/>
                <w:w w:val="94"/>
              </w:rPr>
            </w:pPr>
            <w:hyperlink w:anchor="page35">
              <w:r>
                <w:rPr>
                  <w:rFonts w:ascii="Arial" w:cs="Arial" w:eastAsia="Arial" w:hAnsi="Arial"/>
                  <w:sz w:val="16"/>
                  <w:szCs w:val="16"/>
                  <w:b w:val="1"/>
                  <w:bCs w:val="1"/>
                  <w:color w:val="0000EE"/>
                  <w:w w:val="94"/>
                </w:rPr>
                <w:t>PART II</w:t>
              </w:r>
            </w:hyperlink>
          </w:p>
        </w:tc>
        <w:tc>
          <w:tcPr>
            <w:tcW w:w="360" w:type="dxa"/>
            <w:vAlign w:val="bottom"/>
          </w:tcPr>
          <w:p>
            <w:pPr>
              <w:spacing w:after="0"/>
              <w:rPr>
                <w:sz w:val="24"/>
                <w:szCs w:val="24"/>
                <w:color w:val="auto"/>
              </w:rPr>
            </w:pPr>
          </w:p>
        </w:tc>
        <w:tc>
          <w:tcPr>
            <w:tcW w:w="1740" w:type="dxa"/>
            <w:vAlign w:val="bottom"/>
            <w:tcBorders>
              <w:top w:val="single" w:sz="8" w:color="0000EE"/>
              <w:bottom w:val="single" w:sz="8" w:color="0000EE"/>
            </w:tcBorders>
            <w:gridSpan w:val="6"/>
          </w:tcPr>
          <w:p>
            <w:pPr>
              <w:spacing w:after="0"/>
              <w:rPr>
                <w:rFonts w:ascii="Arial" w:cs="Arial" w:eastAsia="Arial" w:hAnsi="Arial"/>
                <w:sz w:val="16"/>
                <w:szCs w:val="16"/>
                <w:b w:val="1"/>
                <w:bCs w:val="1"/>
                <w:color w:val="0000EE"/>
                <w:w w:val="99"/>
              </w:rPr>
            </w:pPr>
            <w:hyperlink w:anchor="page35">
              <w:r>
                <w:rPr>
                  <w:rFonts w:ascii="Arial" w:cs="Arial" w:eastAsia="Arial" w:hAnsi="Arial"/>
                  <w:sz w:val="16"/>
                  <w:szCs w:val="16"/>
                  <w:b w:val="1"/>
                  <w:bCs w:val="1"/>
                  <w:color w:val="0000EE"/>
                  <w:w w:val="99"/>
                </w:rPr>
                <w:t>OTHER INFORMATION</w:t>
              </w:r>
            </w:hyperlink>
          </w:p>
        </w:tc>
        <w:tc>
          <w:tcPr>
            <w:tcW w:w="40" w:type="dxa"/>
            <w:vAlign w:val="bottom"/>
            <w:tcBorders>
              <w:top w:val="single" w:sz="8" w:color="0000EE"/>
            </w:tcBorders>
          </w:tcPr>
          <w:p>
            <w:pPr>
              <w:spacing w:after="0"/>
              <w:rPr>
                <w:sz w:val="24"/>
                <w:szCs w:val="24"/>
                <w:color w:val="auto"/>
              </w:rPr>
            </w:pPr>
          </w:p>
        </w:tc>
        <w:tc>
          <w:tcPr>
            <w:tcW w:w="4580" w:type="dxa"/>
            <w:vAlign w:val="bottom"/>
            <w:gridSpan w:val="16"/>
          </w:tcPr>
          <w:p>
            <w:pPr>
              <w:spacing w:after="0"/>
              <w:rPr>
                <w:sz w:val="24"/>
                <w:szCs w:val="24"/>
                <w:color w:val="auto"/>
              </w:rPr>
            </w:pPr>
          </w:p>
        </w:tc>
      </w:tr>
      <w:tr>
        <w:trPr>
          <w:trHeight w:val="250"/>
        </w:trPr>
        <w:tc>
          <w:tcPr>
            <w:tcW w:w="920" w:type="dxa"/>
            <w:vAlign w:val="bottom"/>
            <w:gridSpan w:val="2"/>
          </w:tcPr>
          <w:p>
            <w:pPr>
              <w:spacing w:after="0"/>
              <w:rPr>
                <w:sz w:val="20"/>
                <w:szCs w:val="20"/>
                <w:color w:val="auto"/>
              </w:rPr>
            </w:pPr>
            <w:r>
              <w:rPr>
                <w:rFonts w:ascii="Arial" w:cs="Arial" w:eastAsia="Arial" w:hAnsi="Arial"/>
                <w:sz w:val="16"/>
                <w:szCs w:val="16"/>
                <w:color w:val="auto"/>
              </w:rPr>
              <w:t>Item 1.</w:t>
            </w:r>
          </w:p>
        </w:tc>
        <w:tc>
          <w:tcPr>
            <w:tcW w:w="1340" w:type="dxa"/>
            <w:vAlign w:val="bottom"/>
            <w:tcBorders>
              <w:bottom w:val="single" w:sz="8" w:color="0000EE"/>
            </w:tcBorders>
            <w:gridSpan w:val="4"/>
          </w:tcPr>
          <w:p>
            <w:pPr>
              <w:spacing w:after="0"/>
              <w:rPr>
                <w:rFonts w:ascii="Arial" w:cs="Arial" w:eastAsia="Arial" w:hAnsi="Arial"/>
                <w:sz w:val="16"/>
                <w:szCs w:val="16"/>
                <w:color w:val="0000EE"/>
                <w:w w:val="99"/>
              </w:rPr>
            </w:pPr>
            <w:hyperlink w:anchor="page35">
              <w:r>
                <w:rPr>
                  <w:rFonts w:ascii="Arial" w:cs="Arial" w:eastAsia="Arial" w:hAnsi="Arial"/>
                  <w:sz w:val="16"/>
                  <w:szCs w:val="16"/>
                  <w:color w:val="0000EE"/>
                  <w:w w:val="99"/>
                </w:rPr>
                <w:t>Legal Proceedings</w:t>
              </w:r>
            </w:hyperlink>
          </w:p>
        </w:tc>
        <w:tc>
          <w:tcPr>
            <w:tcW w:w="5020" w:type="dxa"/>
            <w:vAlign w:val="bottom"/>
            <w:gridSpan w:val="19"/>
          </w:tcPr>
          <w:p>
            <w:pPr>
              <w:spacing w:after="0"/>
              <w:rPr>
                <w:sz w:val="21"/>
                <w:szCs w:val="21"/>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1A</w:t>
            </w:r>
          </w:p>
        </w:tc>
        <w:tc>
          <w:tcPr>
            <w:tcW w:w="900" w:type="dxa"/>
            <w:vAlign w:val="bottom"/>
            <w:tcBorders>
              <w:bottom w:val="single" w:sz="8" w:color="0000EE"/>
            </w:tcBorders>
            <w:gridSpan w:val="3"/>
          </w:tcPr>
          <w:p>
            <w:pPr>
              <w:spacing w:after="0"/>
              <w:rPr>
                <w:rFonts w:ascii="Arial" w:cs="Arial" w:eastAsia="Arial" w:hAnsi="Arial"/>
                <w:sz w:val="16"/>
                <w:szCs w:val="16"/>
                <w:color w:val="0000EE"/>
                <w:w w:val="98"/>
              </w:rPr>
            </w:pPr>
            <w:hyperlink w:anchor="page35">
              <w:r>
                <w:rPr>
                  <w:rFonts w:ascii="Arial" w:cs="Arial" w:eastAsia="Arial" w:hAnsi="Arial"/>
                  <w:sz w:val="16"/>
                  <w:szCs w:val="16"/>
                  <w:color w:val="0000EE"/>
                  <w:w w:val="98"/>
                </w:rPr>
                <w:t>Risk Factors</w:t>
              </w:r>
            </w:hyperlink>
          </w:p>
        </w:tc>
        <w:tc>
          <w:tcPr>
            <w:tcW w:w="5460" w:type="dxa"/>
            <w:vAlign w:val="bottom"/>
            <w:gridSpan w:val="20"/>
          </w:tcPr>
          <w:p>
            <w:pPr>
              <w:spacing w:after="0"/>
              <w:rPr>
                <w:sz w:val="19"/>
                <w:szCs w:val="19"/>
                <w:color w:val="auto"/>
              </w:rPr>
            </w:pPr>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2.</w:t>
            </w:r>
          </w:p>
        </w:tc>
        <w:tc>
          <w:tcPr>
            <w:tcW w:w="6360" w:type="dxa"/>
            <w:vAlign w:val="bottom"/>
            <w:gridSpan w:val="23"/>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Unregistered Sales of Equity Securities and Use of Proceeds</w:t>
              </w:r>
            </w:hyperlink>
          </w:p>
        </w:tc>
      </w:tr>
      <w:tr>
        <w:trPr>
          <w:trHeight w:val="223"/>
        </w:trPr>
        <w:tc>
          <w:tcPr>
            <w:tcW w:w="920" w:type="dxa"/>
            <w:vAlign w:val="bottom"/>
            <w:gridSpan w:val="2"/>
          </w:tcPr>
          <w:p>
            <w:pPr>
              <w:spacing w:after="0"/>
              <w:rPr>
                <w:sz w:val="20"/>
                <w:szCs w:val="20"/>
                <w:color w:val="auto"/>
              </w:rPr>
            </w:pPr>
            <w:r>
              <w:rPr>
                <w:rFonts w:ascii="Arial" w:cs="Arial" w:eastAsia="Arial" w:hAnsi="Arial"/>
                <w:sz w:val="16"/>
                <w:szCs w:val="16"/>
                <w:color w:val="auto"/>
              </w:rPr>
              <w:t>Item 6.</w:t>
            </w:r>
          </w:p>
        </w:tc>
        <w:tc>
          <w:tcPr>
            <w:tcW w:w="4360" w:type="dxa"/>
            <w:vAlign w:val="bottom"/>
            <w:tcBorders>
              <w:top w:val="single" w:sz="8" w:color="0000EE"/>
            </w:tcBorders>
            <w:gridSpan w:val="19"/>
          </w:tcPr>
          <w:p>
            <w:pPr>
              <w:spacing w:after="0"/>
              <w:rPr>
                <w:rFonts w:ascii="Arial" w:cs="Arial" w:eastAsia="Arial" w:hAnsi="Arial"/>
                <w:sz w:val="16"/>
                <w:szCs w:val="16"/>
                <w:color w:val="0000EE"/>
              </w:rPr>
            </w:pPr>
            <w:hyperlink w:anchor="page35">
              <w:r>
                <w:rPr>
                  <w:rFonts w:ascii="Arial" w:cs="Arial" w:eastAsia="Arial" w:hAnsi="Arial"/>
                  <w:sz w:val="16"/>
                  <w:szCs w:val="16"/>
                  <w:color w:val="0000EE"/>
                </w:rPr>
                <w:t>Exhibits</w:t>
              </w:r>
            </w:hyperlink>
          </w:p>
        </w:tc>
        <w:tc>
          <w:tcPr>
            <w:tcW w:w="2000" w:type="dxa"/>
            <w:vAlign w:val="bottom"/>
            <w:gridSpan w:val="4"/>
          </w:tcPr>
          <w:p>
            <w:pPr>
              <w:spacing w:after="0"/>
              <w:rPr>
                <w:sz w:val="19"/>
                <w:szCs w:val="19"/>
                <w:color w:val="auto"/>
              </w:rPr>
            </w:pPr>
          </w:p>
        </w:tc>
      </w:tr>
      <w:tr>
        <w:trPr>
          <w:trHeight w:val="20"/>
        </w:trPr>
        <w:tc>
          <w:tcPr>
            <w:tcW w:w="56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bl>
    <w:p>
      <w:pPr>
        <w:spacing w:after="0" w:line="345" w:lineRule="exact"/>
        <w:rPr>
          <w:sz w:val="20"/>
          <w:szCs w:val="20"/>
          <w:color w:val="auto"/>
        </w:rPr>
      </w:pPr>
    </w:p>
    <w:p>
      <w:pPr>
        <w:spacing w:after="0"/>
        <w:rPr>
          <w:rFonts w:ascii="Arial" w:cs="Arial" w:eastAsia="Arial" w:hAnsi="Arial"/>
          <w:sz w:val="16"/>
          <w:szCs w:val="16"/>
          <w:b w:val="1"/>
          <w:bCs w:val="1"/>
          <w:u w:val="single" w:color="auto"/>
          <w:color w:val="0000EE"/>
        </w:rPr>
      </w:pPr>
      <w:hyperlink w:anchor="page36">
        <w:r>
          <w:rPr>
            <w:rFonts w:ascii="Arial" w:cs="Arial" w:eastAsia="Arial" w:hAnsi="Arial"/>
            <w:sz w:val="16"/>
            <w:szCs w:val="16"/>
            <w:b w:val="1"/>
            <w:bCs w:val="1"/>
            <w:u w:val="single" w:color="auto"/>
            <w:color w:val="0000EE"/>
          </w:rPr>
          <w:t>SIGNATURES</w:t>
        </w:r>
      </w:hyperlink>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right"/>
        <w:spacing w:after="0"/>
        <w:rPr>
          <w:rFonts w:ascii="Arial" w:cs="Arial" w:eastAsia="Arial" w:hAnsi="Arial"/>
          <w:sz w:val="16"/>
          <w:szCs w:val="16"/>
          <w:color w:val="0000EE"/>
        </w:rPr>
      </w:pPr>
      <w:hyperlink w:anchor="page3">
        <w:r>
          <w:rPr>
            <w:rFonts w:ascii="Arial" w:cs="Arial" w:eastAsia="Arial" w:hAnsi="Arial"/>
            <w:sz w:val="16"/>
            <w:szCs w:val="16"/>
            <w:color w:val="0000EE"/>
          </w:rPr>
          <w:t>1</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356" w:lineRule="exact"/>
        <w:rPr>
          <w:sz w:val="20"/>
          <w:szCs w:val="20"/>
          <w:color w:val="auto"/>
        </w:rPr>
      </w:pPr>
    </w:p>
    <w:p>
      <w:pPr>
        <w:jc w:val="right"/>
        <w:spacing w:after="0"/>
        <w:rPr>
          <w:rFonts w:ascii="Arial" w:cs="Arial" w:eastAsia="Arial" w:hAnsi="Arial"/>
          <w:sz w:val="16"/>
          <w:szCs w:val="16"/>
          <w:color w:val="0000EE"/>
        </w:rPr>
      </w:pPr>
      <w:hyperlink w:anchor="page4">
        <w:r>
          <w:rPr>
            <w:rFonts w:ascii="Arial" w:cs="Arial" w:eastAsia="Arial" w:hAnsi="Arial"/>
            <w:sz w:val="16"/>
            <w:szCs w:val="16"/>
            <w:color w:val="0000EE"/>
          </w:rPr>
          <w:t>2</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5">
        <w:r>
          <w:rPr>
            <w:rFonts w:ascii="Arial" w:cs="Arial" w:eastAsia="Arial" w:hAnsi="Arial"/>
            <w:sz w:val="16"/>
            <w:szCs w:val="16"/>
            <w:color w:val="0000EE"/>
          </w:rPr>
          <w:t>3</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6">
        <w:r>
          <w:rPr>
            <w:rFonts w:ascii="Arial" w:cs="Arial" w:eastAsia="Arial" w:hAnsi="Arial"/>
            <w:sz w:val="16"/>
            <w:szCs w:val="16"/>
            <w:color w:val="0000EE"/>
          </w:rPr>
          <w:t>4</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7">
        <w:r>
          <w:rPr>
            <w:rFonts w:ascii="Arial" w:cs="Arial" w:eastAsia="Arial" w:hAnsi="Arial"/>
            <w:sz w:val="16"/>
            <w:szCs w:val="16"/>
            <w:color w:val="0000EE"/>
          </w:rPr>
          <w:t>5</w:t>
        </w:r>
      </w:hyperlink>
    </w:p>
    <w:p>
      <w:pPr>
        <w:spacing w:after="0" w:line="86" w:lineRule="exact"/>
        <w:rPr>
          <w:sz w:val="20"/>
          <w:szCs w:val="20"/>
          <w:color w:val="auto"/>
        </w:rPr>
      </w:pPr>
    </w:p>
    <w:p>
      <w:pPr>
        <w:jc w:val="right"/>
        <w:spacing w:after="0"/>
        <w:rPr>
          <w:rFonts w:ascii="Arial" w:cs="Arial" w:eastAsia="Arial" w:hAnsi="Arial"/>
          <w:sz w:val="16"/>
          <w:szCs w:val="16"/>
          <w:color w:val="0000EE"/>
        </w:rPr>
      </w:pPr>
      <w:hyperlink w:anchor="page9">
        <w:r>
          <w:rPr>
            <w:rFonts w:ascii="Arial" w:cs="Arial" w:eastAsia="Arial" w:hAnsi="Arial"/>
            <w:sz w:val="16"/>
            <w:szCs w:val="16"/>
            <w:color w:val="0000EE"/>
          </w:rPr>
          <w:t>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2">
        <w:r>
          <w:rPr>
            <w:rFonts w:ascii="Arial" w:cs="Arial" w:eastAsia="Arial" w:hAnsi="Arial"/>
            <w:sz w:val="16"/>
            <w:szCs w:val="16"/>
            <w:color w:val="0000EE"/>
          </w:rPr>
          <w:t>10</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3">
        <w:r>
          <w:rPr>
            <w:rFonts w:ascii="Arial" w:cs="Arial" w:eastAsia="Arial" w:hAnsi="Arial"/>
            <w:sz w:val="16"/>
            <w:szCs w:val="16"/>
            <w:color w:val="0000EE"/>
          </w:rPr>
          <w:t>11</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5">
        <w:r>
          <w:rPr>
            <w:rFonts w:ascii="Arial" w:cs="Arial" w:eastAsia="Arial" w:hAnsi="Arial"/>
            <w:sz w:val="16"/>
            <w:szCs w:val="16"/>
            <w:color w:val="0000EE"/>
          </w:rPr>
          <w:t>13</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6">
        <w:r>
          <w:rPr>
            <w:rFonts w:ascii="Arial" w:cs="Arial" w:eastAsia="Arial" w:hAnsi="Arial"/>
            <w:sz w:val="16"/>
            <w:szCs w:val="16"/>
            <w:color w:val="0000EE"/>
          </w:rPr>
          <w:t>14</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7">
        <w:r>
          <w:rPr>
            <w:rFonts w:ascii="Arial" w:cs="Arial" w:eastAsia="Arial" w:hAnsi="Arial"/>
            <w:sz w:val="16"/>
            <w:szCs w:val="16"/>
            <w:color w:val="0000EE"/>
          </w:rPr>
          <w:t>15</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8">
        <w:r>
          <w:rPr>
            <w:rFonts w:ascii="Arial" w:cs="Arial" w:eastAsia="Arial" w:hAnsi="Arial"/>
            <w:sz w:val="16"/>
            <w:szCs w:val="16"/>
            <w:color w:val="0000EE"/>
          </w:rPr>
          <w:t>16</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19">
        <w:r>
          <w:rPr>
            <w:rFonts w:ascii="Arial" w:cs="Arial" w:eastAsia="Arial" w:hAnsi="Arial"/>
            <w:sz w:val="16"/>
            <w:szCs w:val="16"/>
            <w:color w:val="0000EE"/>
          </w:rPr>
          <w:t>17</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0">
        <w:r>
          <w:rPr>
            <w:rFonts w:ascii="Arial" w:cs="Arial" w:eastAsia="Arial" w:hAnsi="Arial"/>
            <w:sz w:val="16"/>
            <w:szCs w:val="16"/>
            <w:color w:val="0000EE"/>
          </w:rPr>
          <w:t>18</w:t>
        </w:r>
      </w:hyperlink>
    </w:p>
    <w:p>
      <w:pPr>
        <w:spacing w:after="0" w:line="86"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21">
        <w:r>
          <w:rPr>
            <w:rFonts w:ascii="Arial" w:cs="Arial" w:eastAsia="Arial" w:hAnsi="Arial"/>
            <w:sz w:val="16"/>
            <w:szCs w:val="16"/>
            <w:color w:val="0000EE"/>
          </w:rPr>
          <w:t>19</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4">
        <w:r>
          <w:rPr>
            <w:rFonts w:ascii="Arial" w:cs="Arial" w:eastAsia="Arial" w:hAnsi="Arial"/>
            <w:sz w:val="16"/>
            <w:szCs w:val="16"/>
            <w:color w:val="0000EE"/>
          </w:rPr>
          <w:t>32</w:t>
        </w:r>
      </w:hyperlink>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p>
      <w:pPr>
        <w:spacing w:after="0" w:line="59" w:lineRule="exact"/>
        <w:rPr>
          <w:sz w:val="20"/>
          <w:szCs w:val="20"/>
          <w:color w:val="auto"/>
        </w:rPr>
      </w:pPr>
    </w:p>
    <w:p>
      <w:pPr>
        <w:spacing w:after="0"/>
        <w:rPr>
          <w:rFonts w:ascii="Arial" w:cs="Arial" w:eastAsia="Arial" w:hAnsi="Arial"/>
          <w:sz w:val="16"/>
          <w:szCs w:val="16"/>
          <w:color w:val="0000EE"/>
        </w:rPr>
      </w:pPr>
      <w:hyperlink w:anchor="page35">
        <w:r>
          <w:rPr>
            <w:rFonts w:ascii="Arial" w:cs="Arial" w:eastAsia="Arial" w:hAnsi="Arial"/>
            <w:sz w:val="16"/>
            <w:szCs w:val="16"/>
            <w:color w:val="0000EE"/>
          </w:rPr>
          <w:t>33</w:t>
        </w:r>
      </w:hyperlink>
    </w:p>
    <w:p>
      <w:pPr>
        <w:spacing w:after="0" w:line="356" w:lineRule="exact"/>
        <w:rPr>
          <w:sz w:val="20"/>
          <w:szCs w:val="20"/>
          <w:color w:val="auto"/>
        </w:rPr>
      </w:pPr>
    </w:p>
    <w:p>
      <w:pPr>
        <w:spacing w:after="0"/>
        <w:rPr>
          <w:rFonts w:ascii="Arial" w:cs="Arial" w:eastAsia="Arial" w:hAnsi="Arial"/>
          <w:sz w:val="16"/>
          <w:szCs w:val="16"/>
          <w:color w:val="0000EE"/>
        </w:rPr>
      </w:pPr>
      <w:hyperlink w:anchor="page36">
        <w:r>
          <w:rPr>
            <w:rFonts w:ascii="Arial" w:cs="Arial" w:eastAsia="Arial" w:hAnsi="Arial"/>
            <w:sz w:val="16"/>
            <w:szCs w:val="16"/>
            <w:color w:val="0000EE"/>
          </w:rPr>
          <w:t>34</w:t>
        </w:r>
      </w:hyperlink>
    </w:p>
    <w:p>
      <w:pPr>
        <w:sectPr>
          <w:pgSz w:w="11900" w:h="16838" w:orient="portrait"/>
          <w:cols w:equalWidth="0" w:num="2">
            <w:col w:w="10460" w:space="720"/>
            <w:col w:w="180"/>
          </w:cols>
          <w:pgMar w:left="280" w:top="360" w:right="259" w:bottom="1440" w:gutter="0" w:footer="0" w:header="0"/>
        </w:sectPr>
      </w:pPr>
    </w:p>
    <w:bookmarkStart w:id="2" w:name="page3"/>
    <w:bookmarkEnd w:id="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Glossary</w:t>
      </w:r>
    </w:p>
    <w:p>
      <w:pPr>
        <w:spacing w:after="0" w:line="385"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terms and abbreviations appear in the text of this report and are defined as follows: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19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November 8, 2016 among Winnebago Industries, Inc., Winnebago of Indiana, LLC,</w:t>
            </w:r>
          </w:p>
        </w:tc>
      </w:tr>
      <w:tr>
        <w:trPr>
          <w:trHeight w:val="234"/>
        </w:trPr>
        <w:tc>
          <w:tcPr>
            <w:tcW w:w="2520" w:type="dxa"/>
            <w:vAlign w:val="bottom"/>
            <w:shd w:val="clear" w:color="auto" w:fill="CCEEFF"/>
          </w:tcPr>
          <w:p>
            <w:pPr>
              <w:spacing w:after="0"/>
              <w:rPr>
                <w:sz w:val="20"/>
                <w:szCs w:val="20"/>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Grand Design RV, LLC, the Other Loan Parties thereto and JPMorgan Chase Bank, N.A. as Administrative Agent</w:t>
            </w:r>
          </w:p>
        </w:tc>
      </w:tr>
      <w:tr>
        <w:trPr>
          <w:trHeight w:val="235"/>
        </w:trPr>
        <w:tc>
          <w:tcPr>
            <w:tcW w:w="2520" w:type="dxa"/>
            <w:vAlign w:val="bottom"/>
          </w:tcPr>
          <w:p>
            <w:pPr>
              <w:ind w:left="40"/>
              <w:spacing w:after="0"/>
              <w:rPr>
                <w:sz w:val="20"/>
                <w:szCs w:val="20"/>
                <w:color w:val="auto"/>
              </w:rPr>
            </w:pPr>
            <w:r>
              <w:rPr>
                <w:rFonts w:ascii="Arial" w:cs="Arial" w:eastAsia="Arial" w:hAnsi="Arial"/>
                <w:sz w:val="16"/>
                <w:szCs w:val="16"/>
                <w:color w:val="auto"/>
              </w:rPr>
              <w:t>AOCI</w:t>
            </w:r>
          </w:p>
        </w:tc>
        <w:tc>
          <w:tcPr>
            <w:tcW w:w="8900" w:type="dxa"/>
            <w:vAlign w:val="bottom"/>
          </w:tcPr>
          <w:p>
            <w:pPr>
              <w:ind w:left="480"/>
              <w:spacing w:after="0"/>
              <w:rPr>
                <w:sz w:val="20"/>
                <w:szCs w:val="20"/>
                <w:color w:val="auto"/>
              </w:rPr>
            </w:pPr>
            <w:r>
              <w:rPr>
                <w:rFonts w:ascii="Arial" w:cs="Arial" w:eastAsia="Arial" w:hAnsi="Arial"/>
                <w:sz w:val="16"/>
                <w:szCs w:val="16"/>
                <w:color w:val="auto"/>
              </w:rPr>
              <w:t>Accumulated Other Comprehensive Income (Loss)</w:t>
            </w:r>
          </w:p>
        </w:tc>
      </w:tr>
      <w:tr>
        <w:trPr>
          <w:trHeight w:val="206"/>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Amended Credit Agreement</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Credit Agreement dated as of May 28, 2014 by and between Winnebago Industries, Inc. and Winnebago of Indiana,</w:t>
            </w:r>
          </w:p>
        </w:tc>
      </w:tr>
      <w:tr>
        <w:trPr>
          <w:trHeight w:val="219"/>
        </w:trPr>
        <w:tc>
          <w:tcPr>
            <w:tcW w:w="2520" w:type="dxa"/>
            <w:vAlign w:val="bottom"/>
            <w:shd w:val="clear" w:color="auto" w:fill="CCEEFF"/>
          </w:tcPr>
          <w:p>
            <w:pPr>
              <w:spacing w:after="0"/>
              <w:rPr>
                <w:sz w:val="19"/>
                <w:szCs w:val="19"/>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LLC, as Borrowers, and Wells Fargo Capital Finance, as Agent; terminated on November 8, 2016</w:t>
            </w:r>
          </w:p>
        </w:tc>
      </w:tr>
      <w:tr>
        <w:trPr>
          <w:trHeight w:val="70"/>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ASC</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Codification</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ASP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Average Sales Price</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ASU</w:t>
            </w:r>
          </w:p>
        </w:tc>
        <w:tc>
          <w:tcPr>
            <w:tcW w:w="8900" w:type="dxa"/>
            <w:vAlign w:val="bottom"/>
          </w:tcPr>
          <w:p>
            <w:pPr>
              <w:ind w:left="480"/>
              <w:spacing w:after="0"/>
              <w:rPr>
                <w:sz w:val="20"/>
                <w:szCs w:val="20"/>
                <w:color w:val="auto"/>
              </w:rPr>
            </w:pPr>
            <w:r>
              <w:rPr>
                <w:rFonts w:ascii="Arial" w:cs="Arial" w:eastAsia="Arial" w:hAnsi="Arial"/>
                <w:sz w:val="16"/>
                <w:szCs w:val="16"/>
                <w:color w:val="auto"/>
              </w:rPr>
              <w:t>Accounting Standards Update</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Credit Facility</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Collective reference to the ABL and Term Loan</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EBITDA</w:t>
            </w:r>
          </w:p>
        </w:tc>
        <w:tc>
          <w:tcPr>
            <w:tcW w:w="8900" w:type="dxa"/>
            <w:vAlign w:val="bottom"/>
          </w:tcPr>
          <w:p>
            <w:pPr>
              <w:ind w:left="480"/>
              <w:spacing w:after="0"/>
              <w:rPr>
                <w:sz w:val="20"/>
                <w:szCs w:val="20"/>
                <w:color w:val="auto"/>
              </w:rPr>
            </w:pPr>
            <w:r>
              <w:rPr>
                <w:rFonts w:ascii="Arial" w:cs="Arial" w:eastAsia="Arial" w:hAnsi="Arial"/>
                <w:sz w:val="16"/>
                <w:szCs w:val="16"/>
                <w:color w:val="auto"/>
              </w:rPr>
              <w:t>Earnings Before Interest, Tax, Depreciation and Amortization</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EPS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Earnings Per Share</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ERP</w:t>
            </w:r>
          </w:p>
        </w:tc>
        <w:tc>
          <w:tcPr>
            <w:tcW w:w="8900" w:type="dxa"/>
            <w:vAlign w:val="bottom"/>
          </w:tcPr>
          <w:p>
            <w:pPr>
              <w:ind w:left="480"/>
              <w:spacing w:after="0"/>
              <w:rPr>
                <w:sz w:val="20"/>
                <w:szCs w:val="20"/>
                <w:color w:val="auto"/>
              </w:rPr>
            </w:pPr>
            <w:r>
              <w:rPr>
                <w:rFonts w:ascii="Arial" w:cs="Arial" w:eastAsia="Arial" w:hAnsi="Arial"/>
                <w:sz w:val="16"/>
                <w:szCs w:val="16"/>
                <w:color w:val="auto"/>
              </w:rPr>
              <w:t>Enterprise Resource Planning</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FASB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Financial Accounting Standards Board</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FIFO</w:t>
            </w:r>
          </w:p>
        </w:tc>
        <w:tc>
          <w:tcPr>
            <w:tcW w:w="8900" w:type="dxa"/>
            <w:vAlign w:val="bottom"/>
          </w:tcPr>
          <w:p>
            <w:pPr>
              <w:ind w:left="480"/>
              <w:spacing w:after="0"/>
              <w:rPr>
                <w:sz w:val="20"/>
                <w:szCs w:val="20"/>
                <w:color w:val="auto"/>
              </w:rPr>
            </w:pPr>
            <w:r>
              <w:rPr>
                <w:rFonts w:ascii="Arial" w:cs="Arial" w:eastAsia="Arial" w:hAnsi="Arial"/>
                <w:sz w:val="16"/>
                <w:szCs w:val="16"/>
                <w:color w:val="auto"/>
              </w:rPr>
              <w:t>First In, First Out</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GAAP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Generally Accepted Accounting Principles</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Grand Design</w:t>
            </w:r>
          </w:p>
        </w:tc>
        <w:tc>
          <w:tcPr>
            <w:tcW w:w="8900" w:type="dxa"/>
            <w:vAlign w:val="bottom"/>
          </w:tcPr>
          <w:p>
            <w:pPr>
              <w:ind w:left="480"/>
              <w:spacing w:after="0"/>
              <w:rPr>
                <w:sz w:val="20"/>
                <w:szCs w:val="20"/>
                <w:color w:val="auto"/>
              </w:rPr>
            </w:pPr>
            <w:r>
              <w:rPr>
                <w:rFonts w:ascii="Arial" w:cs="Arial" w:eastAsia="Arial" w:hAnsi="Arial"/>
                <w:sz w:val="16"/>
                <w:szCs w:val="16"/>
                <w:color w:val="auto"/>
              </w:rPr>
              <w:t>Grand Design RV, LLC</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IRS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Internal Revenue Service</w:t>
            </w:r>
          </w:p>
        </w:tc>
      </w:tr>
      <w:tr>
        <w:trPr>
          <w:trHeight w:val="228"/>
        </w:trPr>
        <w:tc>
          <w:tcPr>
            <w:tcW w:w="2520" w:type="dxa"/>
            <w:vAlign w:val="bottom"/>
          </w:tcPr>
          <w:p>
            <w:pPr>
              <w:ind w:left="40"/>
              <w:spacing w:after="0"/>
              <w:rPr>
                <w:sz w:val="20"/>
                <w:szCs w:val="20"/>
                <w:color w:val="auto"/>
              </w:rPr>
            </w:pPr>
            <w:r>
              <w:rPr>
                <w:rFonts w:ascii="Arial" w:cs="Arial" w:eastAsia="Arial" w:hAnsi="Arial"/>
                <w:sz w:val="16"/>
                <w:szCs w:val="16"/>
                <w:color w:val="auto"/>
              </w:rPr>
              <w:t>LIFO</w:t>
            </w:r>
          </w:p>
        </w:tc>
        <w:tc>
          <w:tcPr>
            <w:tcW w:w="8900" w:type="dxa"/>
            <w:vAlign w:val="bottom"/>
          </w:tcPr>
          <w:p>
            <w:pPr>
              <w:ind w:left="480"/>
              <w:spacing w:after="0"/>
              <w:rPr>
                <w:sz w:val="20"/>
                <w:szCs w:val="20"/>
                <w:color w:val="auto"/>
              </w:rPr>
            </w:pPr>
            <w:r>
              <w:rPr>
                <w:rFonts w:ascii="Arial" w:cs="Arial" w:eastAsia="Arial" w:hAnsi="Arial"/>
                <w:sz w:val="16"/>
                <w:szCs w:val="16"/>
                <w:color w:val="auto"/>
              </w:rPr>
              <w:t>Last In, First Out</w:t>
            </w:r>
          </w:p>
        </w:tc>
      </w:tr>
      <w:tr>
        <w:trPr>
          <w:trHeight w:val="70"/>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r>
      <w:tr>
        <w:trPr>
          <w:trHeight w:val="297"/>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LIBOR</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London Interbank Offered Rate</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Motorized</w:t>
            </w:r>
          </w:p>
        </w:tc>
        <w:tc>
          <w:tcPr>
            <w:tcW w:w="8900" w:type="dxa"/>
            <w:vAlign w:val="bottom"/>
          </w:tcPr>
          <w:p>
            <w:pPr>
              <w:ind w:left="480"/>
              <w:spacing w:after="0"/>
              <w:rPr>
                <w:sz w:val="20"/>
                <w:szCs w:val="20"/>
                <w:color w:val="auto"/>
              </w:rPr>
            </w:pPr>
            <w:r>
              <w:rPr>
                <w:rFonts w:ascii="Arial" w:cs="Arial" w:eastAsia="Arial" w:hAnsi="Arial"/>
                <w:sz w:val="16"/>
                <w:szCs w:val="16"/>
                <w:color w:val="auto"/>
              </w:rPr>
              <w:t>Business segment including motorhomes and other related manufactured products</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NYFRB</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New York Federal Reserve Bank</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NYSE</w:t>
            </w:r>
          </w:p>
        </w:tc>
        <w:tc>
          <w:tcPr>
            <w:tcW w:w="8900" w:type="dxa"/>
            <w:vAlign w:val="bottom"/>
          </w:tcPr>
          <w:p>
            <w:pPr>
              <w:ind w:left="480"/>
              <w:spacing w:after="0"/>
              <w:rPr>
                <w:sz w:val="20"/>
                <w:szCs w:val="20"/>
                <w:color w:val="auto"/>
              </w:rPr>
            </w:pPr>
            <w:r>
              <w:rPr>
                <w:rFonts w:ascii="Arial" w:cs="Arial" w:eastAsia="Arial" w:hAnsi="Arial"/>
                <w:sz w:val="16"/>
                <w:szCs w:val="16"/>
                <w:color w:val="auto"/>
              </w:rPr>
              <w:t>New York Stock Exchange</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OCI</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Other Comprehensive Income</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RV</w:t>
            </w:r>
          </w:p>
        </w:tc>
        <w:tc>
          <w:tcPr>
            <w:tcW w:w="8900" w:type="dxa"/>
            <w:vAlign w:val="bottom"/>
          </w:tcPr>
          <w:p>
            <w:pPr>
              <w:ind w:left="480"/>
              <w:spacing w:after="0"/>
              <w:rPr>
                <w:sz w:val="20"/>
                <w:szCs w:val="20"/>
                <w:color w:val="auto"/>
              </w:rPr>
            </w:pPr>
            <w:r>
              <w:rPr>
                <w:rFonts w:ascii="Arial" w:cs="Arial" w:eastAsia="Arial" w:hAnsi="Arial"/>
                <w:sz w:val="16"/>
                <w:szCs w:val="16"/>
                <w:color w:val="auto"/>
              </w:rPr>
              <w:t>Recreation Vehicle</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RVIA</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Recreation Vehicle Industry Association</w:t>
            </w:r>
          </w:p>
        </w:tc>
      </w:tr>
      <w:tr>
        <w:trPr>
          <w:trHeight w:val="289"/>
        </w:trPr>
        <w:tc>
          <w:tcPr>
            <w:tcW w:w="2520" w:type="dxa"/>
            <w:vAlign w:val="bottom"/>
          </w:tcPr>
          <w:p>
            <w:pPr>
              <w:ind w:left="40"/>
              <w:spacing w:after="0"/>
              <w:rPr>
                <w:sz w:val="20"/>
                <w:szCs w:val="20"/>
                <w:color w:val="auto"/>
              </w:rPr>
            </w:pPr>
            <w:r>
              <w:rPr>
                <w:rFonts w:ascii="Arial" w:cs="Arial" w:eastAsia="Arial" w:hAnsi="Arial"/>
                <w:sz w:val="16"/>
                <w:szCs w:val="16"/>
                <w:color w:val="auto"/>
              </w:rPr>
              <w:t>SEC</w:t>
            </w:r>
          </w:p>
        </w:tc>
        <w:tc>
          <w:tcPr>
            <w:tcW w:w="8900" w:type="dxa"/>
            <w:vAlign w:val="bottom"/>
          </w:tcPr>
          <w:p>
            <w:pPr>
              <w:ind w:left="480"/>
              <w:spacing w:after="0"/>
              <w:rPr>
                <w:sz w:val="20"/>
                <w:szCs w:val="20"/>
                <w:color w:val="auto"/>
              </w:rPr>
            </w:pPr>
            <w:r>
              <w:rPr>
                <w:rFonts w:ascii="Arial" w:cs="Arial" w:eastAsia="Arial" w:hAnsi="Arial"/>
                <w:sz w:val="16"/>
                <w:szCs w:val="16"/>
                <w:color w:val="auto"/>
              </w:rPr>
              <w:t>U.S. Securities and Exchange Commission</w:t>
            </w:r>
          </w:p>
        </w:tc>
      </w:tr>
      <w:tr>
        <w:trPr>
          <w:trHeight w:val="305"/>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SERP</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Supplemental Executive Retirement Plan</w:t>
            </w:r>
          </w:p>
        </w:tc>
      </w:tr>
      <w:tr>
        <w:trPr>
          <w:trHeight w:val="228"/>
        </w:trPr>
        <w:tc>
          <w:tcPr>
            <w:tcW w:w="2520" w:type="dxa"/>
            <w:vAlign w:val="bottom"/>
          </w:tcPr>
          <w:p>
            <w:pPr>
              <w:ind w:left="40"/>
              <w:spacing w:after="0"/>
              <w:rPr>
                <w:sz w:val="20"/>
                <w:szCs w:val="20"/>
                <w:color w:val="auto"/>
              </w:rPr>
            </w:pPr>
            <w:r>
              <w:rPr>
                <w:rFonts w:ascii="Arial" w:cs="Arial" w:eastAsia="Arial" w:hAnsi="Arial"/>
                <w:sz w:val="16"/>
                <w:szCs w:val="16"/>
                <w:color w:val="auto"/>
              </w:rPr>
              <w:t>Stat Surveys</w:t>
            </w:r>
          </w:p>
        </w:tc>
        <w:tc>
          <w:tcPr>
            <w:tcW w:w="8900" w:type="dxa"/>
            <w:vAlign w:val="bottom"/>
          </w:tcPr>
          <w:p>
            <w:pPr>
              <w:ind w:left="480"/>
              <w:spacing w:after="0"/>
              <w:rPr>
                <w:sz w:val="20"/>
                <w:szCs w:val="20"/>
                <w:color w:val="auto"/>
              </w:rPr>
            </w:pPr>
            <w:r>
              <w:rPr>
                <w:rFonts w:ascii="Arial" w:cs="Arial" w:eastAsia="Arial" w:hAnsi="Arial"/>
                <w:sz w:val="16"/>
                <w:szCs w:val="16"/>
                <w:color w:val="auto"/>
              </w:rPr>
              <w:t>Statistical Surveys, Inc.</w:t>
            </w:r>
          </w:p>
        </w:tc>
      </w:tr>
      <w:tr>
        <w:trPr>
          <w:trHeight w:val="70"/>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r>
      <w:tr>
        <w:trPr>
          <w:trHeight w:val="19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Term Loan</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Agreement dated as of November 8, 2016 among Winnebago Industries, Inc., Octavius Corporation, the other</w:t>
            </w:r>
          </w:p>
        </w:tc>
      </w:tr>
      <w:tr>
        <w:trPr>
          <w:trHeight w:val="219"/>
        </w:trPr>
        <w:tc>
          <w:tcPr>
            <w:tcW w:w="2520" w:type="dxa"/>
            <w:vAlign w:val="bottom"/>
            <w:shd w:val="clear" w:color="auto" w:fill="CCEEFF"/>
          </w:tcPr>
          <w:p>
            <w:pPr>
              <w:spacing w:after="0"/>
              <w:rPr>
                <w:sz w:val="19"/>
                <w:szCs w:val="19"/>
                <w:color w:val="auto"/>
              </w:rPr>
            </w:pP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loan parties thereto and JPMorgan Chase Bank, N.A. as Administrative Agent</w:t>
            </w:r>
          </w:p>
        </w:tc>
      </w:tr>
      <w:tr>
        <w:trPr>
          <w:trHeight w:val="70"/>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r>
      <w:tr>
        <w:trPr>
          <w:trHeight w:val="228"/>
        </w:trPr>
        <w:tc>
          <w:tcPr>
            <w:tcW w:w="2520" w:type="dxa"/>
            <w:vAlign w:val="bottom"/>
          </w:tcPr>
          <w:p>
            <w:pPr>
              <w:ind w:left="40"/>
              <w:spacing w:after="0"/>
              <w:rPr>
                <w:sz w:val="20"/>
                <w:szCs w:val="20"/>
                <w:color w:val="auto"/>
              </w:rPr>
            </w:pPr>
            <w:r>
              <w:rPr>
                <w:rFonts w:ascii="Arial" w:cs="Arial" w:eastAsia="Arial" w:hAnsi="Arial"/>
                <w:sz w:val="16"/>
                <w:szCs w:val="16"/>
                <w:color w:val="auto"/>
              </w:rPr>
              <w:t>Towable</w:t>
            </w:r>
          </w:p>
        </w:tc>
        <w:tc>
          <w:tcPr>
            <w:tcW w:w="8900" w:type="dxa"/>
            <w:vAlign w:val="bottom"/>
          </w:tcPr>
          <w:p>
            <w:pPr>
              <w:ind w:left="480"/>
              <w:spacing w:after="0"/>
              <w:rPr>
                <w:sz w:val="20"/>
                <w:szCs w:val="20"/>
                <w:color w:val="auto"/>
              </w:rPr>
            </w:pPr>
            <w:r>
              <w:rPr>
                <w:rFonts w:ascii="Arial" w:cs="Arial" w:eastAsia="Arial" w:hAnsi="Arial"/>
                <w:sz w:val="16"/>
                <w:szCs w:val="16"/>
                <w:color w:val="auto"/>
              </w:rPr>
              <w:t>Business segment including products which are not motorized and are towable by another vehicle</w:t>
            </w:r>
          </w:p>
        </w:tc>
      </w:tr>
      <w:tr>
        <w:trPr>
          <w:trHeight w:val="70"/>
        </w:trPr>
        <w:tc>
          <w:tcPr>
            <w:tcW w:w="2520" w:type="dxa"/>
            <w:vAlign w:val="bottom"/>
          </w:tcPr>
          <w:p>
            <w:pPr>
              <w:spacing w:after="0"/>
              <w:rPr>
                <w:sz w:val="6"/>
                <w:szCs w:val="6"/>
                <w:color w:val="auto"/>
              </w:rPr>
            </w:pPr>
          </w:p>
        </w:tc>
        <w:tc>
          <w:tcPr>
            <w:tcW w:w="8900" w:type="dxa"/>
            <w:vAlign w:val="bottom"/>
          </w:tcPr>
          <w:p>
            <w:pPr>
              <w:spacing w:after="0"/>
              <w:rPr>
                <w:sz w:val="6"/>
                <w:szCs w:val="6"/>
                <w:color w:val="auto"/>
              </w:rPr>
            </w:pPr>
          </w:p>
        </w:tc>
      </w:tr>
      <w:tr>
        <w:trPr>
          <w:trHeight w:val="228"/>
        </w:trPr>
        <w:tc>
          <w:tcPr>
            <w:tcW w:w="2520" w:type="dxa"/>
            <w:vAlign w:val="bottom"/>
            <w:shd w:val="clear" w:color="auto" w:fill="CCEEFF"/>
          </w:tcPr>
          <w:p>
            <w:pPr>
              <w:ind w:left="40"/>
              <w:spacing w:after="0"/>
              <w:rPr>
                <w:sz w:val="20"/>
                <w:szCs w:val="20"/>
                <w:color w:val="auto"/>
              </w:rPr>
            </w:pPr>
            <w:r>
              <w:rPr>
                <w:rFonts w:ascii="Arial" w:cs="Arial" w:eastAsia="Arial" w:hAnsi="Arial"/>
                <w:sz w:val="16"/>
                <w:szCs w:val="16"/>
                <w:color w:val="auto"/>
              </w:rPr>
              <w:t>US</w:t>
            </w:r>
          </w:p>
        </w:tc>
        <w:tc>
          <w:tcPr>
            <w:tcW w:w="8900" w:type="dxa"/>
            <w:vAlign w:val="bottom"/>
            <w:shd w:val="clear" w:color="auto" w:fill="CCEEFF"/>
          </w:tcPr>
          <w:p>
            <w:pPr>
              <w:ind w:left="480"/>
              <w:spacing w:after="0"/>
              <w:rPr>
                <w:sz w:val="20"/>
                <w:szCs w:val="20"/>
                <w:color w:val="auto"/>
              </w:rPr>
            </w:pPr>
            <w:r>
              <w:rPr>
                <w:rFonts w:ascii="Arial" w:cs="Arial" w:eastAsia="Arial" w:hAnsi="Arial"/>
                <w:sz w:val="16"/>
                <w:szCs w:val="16"/>
                <w:color w:val="auto"/>
              </w:rPr>
              <w:t>United States of America</w:t>
            </w:r>
          </w:p>
        </w:tc>
      </w:tr>
      <w:tr>
        <w:trPr>
          <w:trHeight w:val="70"/>
        </w:trPr>
        <w:tc>
          <w:tcPr>
            <w:tcW w:w="2520" w:type="dxa"/>
            <w:vAlign w:val="bottom"/>
            <w:shd w:val="clear" w:color="auto" w:fill="CCEEFF"/>
          </w:tcPr>
          <w:p>
            <w:pPr>
              <w:spacing w:after="0"/>
              <w:rPr>
                <w:sz w:val="6"/>
                <w:szCs w:val="6"/>
                <w:color w:val="auto"/>
              </w:rPr>
            </w:pPr>
          </w:p>
        </w:tc>
        <w:tc>
          <w:tcPr>
            <w:tcW w:w="8900" w:type="dxa"/>
            <w:vAlign w:val="bottom"/>
            <w:shd w:val="clear" w:color="auto" w:fill="CCEEFF"/>
          </w:tcPr>
          <w:p>
            <w:pPr>
              <w:spacing w:after="0"/>
              <w:rPr>
                <w:sz w:val="6"/>
                <w:szCs w:val="6"/>
                <w:color w:val="auto"/>
              </w:rPr>
            </w:pPr>
          </w:p>
        </w:tc>
      </w:tr>
      <w:tr>
        <w:trPr>
          <w:trHeight w:val="228"/>
        </w:trPr>
        <w:tc>
          <w:tcPr>
            <w:tcW w:w="2520" w:type="dxa"/>
            <w:vAlign w:val="bottom"/>
          </w:tcPr>
          <w:p>
            <w:pPr>
              <w:ind w:left="40"/>
              <w:spacing w:after="0"/>
              <w:rPr>
                <w:sz w:val="20"/>
                <w:szCs w:val="20"/>
                <w:color w:val="auto"/>
              </w:rPr>
            </w:pPr>
            <w:r>
              <w:rPr>
                <w:rFonts w:ascii="Arial" w:cs="Arial" w:eastAsia="Arial" w:hAnsi="Arial"/>
                <w:sz w:val="16"/>
                <w:szCs w:val="16"/>
                <w:color w:val="auto"/>
              </w:rPr>
              <w:t>XBRL</w:t>
            </w:r>
          </w:p>
        </w:tc>
        <w:tc>
          <w:tcPr>
            <w:tcW w:w="8900" w:type="dxa"/>
            <w:vAlign w:val="bottom"/>
          </w:tcPr>
          <w:p>
            <w:pPr>
              <w:ind w:left="480"/>
              <w:spacing w:after="0"/>
              <w:rPr>
                <w:sz w:val="20"/>
                <w:szCs w:val="20"/>
                <w:color w:val="auto"/>
              </w:rPr>
            </w:pPr>
            <w:r>
              <w:rPr>
                <w:rFonts w:ascii="Arial" w:cs="Arial" w:eastAsia="Arial" w:hAnsi="Arial"/>
                <w:sz w:val="16"/>
                <w:szCs w:val="16"/>
                <w:color w:val="auto"/>
              </w:rPr>
              <w:t>eXtensible Business Reporting Language</w:t>
            </w:r>
          </w:p>
        </w:tc>
      </w:tr>
      <w:tr>
        <w:trPr>
          <w:trHeight w:val="918"/>
        </w:trPr>
        <w:tc>
          <w:tcPr>
            <w:tcW w:w="2520" w:type="dxa"/>
            <w:vAlign w:val="bottom"/>
          </w:tcPr>
          <w:p>
            <w:pPr>
              <w:spacing w:after="0"/>
              <w:rPr>
                <w:sz w:val="24"/>
                <w:szCs w:val="24"/>
                <w:color w:val="auto"/>
              </w:rPr>
            </w:pPr>
          </w:p>
        </w:tc>
        <w:tc>
          <w:tcPr>
            <w:tcW w:w="8900" w:type="dxa"/>
            <w:vAlign w:val="bottom"/>
          </w:tcPr>
          <w:p>
            <w:pPr>
              <w:ind w:left="3140"/>
              <w:spacing w:after="0"/>
              <w:rPr>
                <w:sz w:val="20"/>
                <w:szCs w:val="20"/>
                <w:color w:val="auto"/>
              </w:rPr>
            </w:pPr>
            <w:r>
              <w:rPr>
                <w:rFonts w:ascii="Arial" w:cs="Arial" w:eastAsia="Arial" w:hAnsi="Arial"/>
                <w:sz w:val="16"/>
                <w:szCs w:val="16"/>
                <w:color w:val="auto"/>
              </w:rPr>
              <w:t>1</w:t>
            </w:r>
          </w:p>
        </w:tc>
      </w:tr>
    </w:tbl>
    <w:p>
      <w:pPr>
        <w:sectPr>
          <w:pgSz w:w="11900" w:h="16838" w:orient="portrait"/>
          <w:cols w:equalWidth="0" w:num="1">
            <w:col w:w="11420"/>
          </w:cols>
          <w:pgMar w:left="240" w:top="121" w:right="239" w:bottom="1440" w:gutter="0" w:footer="0" w:header="0"/>
        </w:sectPr>
      </w:pPr>
    </w:p>
    <w:bookmarkStart w:id="3" w:name="page4"/>
    <w:bookmarkEnd w:id="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 FINANCIAL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1. Condensed Consolidated Financial Statements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ind w:right="5520"/>
        <w:spacing w:after="0" w:line="276" w:lineRule="auto"/>
        <w:rPr>
          <w:sz w:val="20"/>
          <w:szCs w:val="20"/>
          <w:color w:val="auto"/>
        </w:rPr>
      </w:pPr>
      <w:r>
        <w:rPr>
          <w:rFonts w:ascii="Arial" w:cs="Arial" w:eastAsia="Arial" w:hAnsi="Arial"/>
          <w:sz w:val="16"/>
          <w:szCs w:val="16"/>
          <w:b w:val="1"/>
          <w:bCs w:val="1"/>
          <w:color w:val="auto"/>
        </w:rPr>
        <w:t>Condensed Consolidated Statements of Income and Comprehensive Income (Unaudited)</w:t>
      </w:r>
    </w:p>
    <w:p>
      <w:pPr>
        <w:spacing w:after="0" w:line="338"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5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3200" w:type="dxa"/>
            <w:vAlign w:val="bottom"/>
            <w:tcBorders>
              <w:bottom w:val="single" w:sz="8" w:color="auto"/>
            </w:tcBorders>
            <w:gridSpan w:val="4"/>
          </w:tcPr>
          <w:p>
            <w:pPr>
              <w:jc w:val="right"/>
              <w:ind w:right="859"/>
              <w:spacing w:after="0"/>
              <w:rPr>
                <w:sz w:val="20"/>
                <w:szCs w:val="20"/>
                <w:color w:val="auto"/>
              </w:rPr>
            </w:pPr>
            <w:r>
              <w:rPr>
                <w:rFonts w:ascii="Arial" w:cs="Arial" w:eastAsia="Arial" w:hAnsi="Arial"/>
                <w:sz w:val="16"/>
                <w:szCs w:val="16"/>
                <w:b w:val="1"/>
                <w:bCs w:val="1"/>
                <w:color w:val="auto"/>
              </w:rPr>
              <w:t>Three Months Ended</w:t>
            </w: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60" w:type="dxa"/>
            <w:vAlign w:val="bottom"/>
            <w:tcBorders>
              <w:bottom w:val="single" w:sz="8" w:color="auto"/>
            </w:tcBorders>
            <w:gridSpan w:val="4"/>
          </w:tcPr>
          <w:p>
            <w:pPr>
              <w:jc w:val="right"/>
              <w:ind w:right="71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5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0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6"/>
                <w:szCs w:val="16"/>
                <w:color w:val="auto"/>
              </w:rPr>
            </w:pPr>
          </w:p>
        </w:tc>
        <w:tc>
          <w:tcPr>
            <w:tcW w:w="150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4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28,</w:t>
            </w:r>
          </w:p>
        </w:tc>
      </w:tr>
      <w:tr>
        <w:trPr>
          <w:trHeight w:val="232"/>
        </w:trPr>
        <w:tc>
          <w:tcPr>
            <w:tcW w:w="45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0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2016</w:t>
            </w:r>
          </w:p>
        </w:tc>
      </w:tr>
      <w:tr>
        <w:trPr>
          <w:trHeight w:val="254"/>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476,364</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272,077</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1,092,183</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711,972</w:t>
            </w:r>
          </w:p>
        </w:tc>
      </w:tr>
      <w:tr>
        <w:trPr>
          <w:trHeight w:val="264"/>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34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405,560</w:t>
            </w:r>
          </w:p>
        </w:tc>
        <w:tc>
          <w:tcPr>
            <w:tcW w:w="12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241,820</w:t>
            </w:r>
          </w:p>
        </w:tc>
        <w:tc>
          <w:tcPr>
            <w:tcW w:w="12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943,188</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631,191</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34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70,804</w:t>
            </w:r>
          </w:p>
        </w:tc>
        <w:tc>
          <w:tcPr>
            <w:tcW w:w="120" w:type="dxa"/>
            <w:vAlign w:val="bottom"/>
            <w:shd w:val="clear" w:color="auto" w:fill="CCEEFF"/>
          </w:tcPr>
          <w:p>
            <w:pPr>
              <w:spacing w:after="0"/>
              <w:rPr>
                <w:sz w:val="22"/>
                <w:szCs w:val="22"/>
                <w:color w:val="auto"/>
              </w:rPr>
            </w:pPr>
          </w:p>
        </w:tc>
        <w:tc>
          <w:tcPr>
            <w:tcW w:w="320" w:type="dxa"/>
            <w:vAlign w:val="bottom"/>
            <w:tcBorders>
              <w:bottom w:val="single" w:sz="8" w:color="auto"/>
            </w:tcBorders>
            <w:shd w:val="clear" w:color="auto" w:fill="CCEEFF"/>
          </w:tcPr>
          <w:p>
            <w:pPr>
              <w:spacing w:after="0"/>
              <w:rPr>
                <w:sz w:val="22"/>
                <w:szCs w:val="22"/>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30,257</w:t>
            </w:r>
          </w:p>
        </w:tc>
        <w:tc>
          <w:tcPr>
            <w:tcW w:w="12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148,995</w:t>
            </w:r>
          </w:p>
        </w:tc>
        <w:tc>
          <w:tcPr>
            <w:tcW w:w="100" w:type="dxa"/>
            <w:vAlign w:val="bottom"/>
            <w:shd w:val="clear" w:color="auto" w:fill="CCEEFF"/>
          </w:tcPr>
          <w:p>
            <w:pPr>
              <w:spacing w:after="0"/>
              <w:rPr>
                <w:sz w:val="22"/>
                <w:szCs w:val="22"/>
                <w:color w:val="auto"/>
              </w:rPr>
            </w:pPr>
          </w:p>
        </w:tc>
        <w:tc>
          <w:tcPr>
            <w:tcW w:w="280" w:type="dxa"/>
            <w:vAlign w:val="bottom"/>
            <w:tcBorders>
              <w:bottom w:val="single" w:sz="8" w:color="auto"/>
            </w:tcBorders>
            <w:shd w:val="clear" w:color="auto" w:fill="CCEEFF"/>
          </w:tcPr>
          <w:p>
            <w:pPr>
              <w:spacing w:after="0"/>
              <w:rPr>
                <w:sz w:val="22"/>
                <w:szCs w:val="22"/>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80,781</w:t>
            </w:r>
          </w:p>
        </w:tc>
      </w:tr>
      <w:tr>
        <w:trPr>
          <w:trHeight w:val="256"/>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Operating expenses:</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Selling</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10,141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4,770</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25,564</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14,714</w:t>
            </w:r>
          </w:p>
        </w:tc>
      </w:tr>
      <w:tr>
        <w:trPr>
          <w:trHeight w:val="262"/>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General and administrative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15,194</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6,487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37,640</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23,743</w:t>
            </w:r>
          </w:p>
        </w:tc>
      </w:tr>
      <w:tr>
        <w:trPr>
          <w:trHeight w:val="27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Postretirement health care benefit income</w:t>
            </w:r>
          </w:p>
        </w:tc>
        <w:tc>
          <w:tcPr>
            <w:tcW w:w="340" w:type="dxa"/>
            <w:vAlign w:val="bottom"/>
            <w:shd w:val="clear" w:color="auto" w:fill="CCEEFF"/>
          </w:tcPr>
          <w:p>
            <w:pPr>
              <w:spacing w:after="0"/>
              <w:rPr>
                <w:sz w:val="24"/>
                <w:szCs w:val="24"/>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(1,593)</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(24,796)</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(4,531)</w:t>
            </w:r>
          </w:p>
        </w:tc>
      </w:tr>
      <w:tr>
        <w:trPr>
          <w:trHeight w:val="262"/>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Transaction costs</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450</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6,374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10,159</w:t>
            </w:r>
          </w:p>
        </w:tc>
        <w:tc>
          <w:tcPr>
            <w:tcW w:w="12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operating expenses</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35,944</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9,664</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67,360</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33,926</w:t>
            </w:r>
          </w:p>
        </w:tc>
      </w:tr>
      <w:tr>
        <w:trPr>
          <w:trHeight w:val="257"/>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income</w:t>
            </w:r>
          </w:p>
        </w:tc>
        <w:tc>
          <w:tcPr>
            <w:tcW w:w="34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34,860</w:t>
            </w:r>
          </w:p>
        </w:tc>
        <w:tc>
          <w:tcPr>
            <w:tcW w:w="12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20,593</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81,635</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46,855</w:t>
            </w:r>
          </w:p>
        </w:tc>
      </w:tr>
      <w:tr>
        <w:trPr>
          <w:trHeight w:val="262"/>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11,571</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Non-operating income</w:t>
            </w: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(54)</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(77)</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(137)</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(194)</w:t>
            </w:r>
          </w:p>
        </w:tc>
      </w:tr>
      <w:tr>
        <w:trPr>
          <w:trHeight w:val="249"/>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Income before income taxes</w:t>
            </w:r>
          </w:p>
        </w:tc>
        <w:tc>
          <w:tcPr>
            <w:tcW w:w="340" w:type="dxa"/>
            <w:vAlign w:val="bottom"/>
          </w:tcPr>
          <w:p>
            <w:pPr>
              <w:spacing w:after="0"/>
              <w:rPr>
                <w:sz w:val="21"/>
                <w:szCs w:val="21"/>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29,649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20,670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70,201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47,049</w:t>
            </w:r>
          </w:p>
        </w:tc>
      </w:tr>
      <w:tr>
        <w:trPr>
          <w:trHeight w:val="271"/>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Provision for income taxes</w:t>
            </w:r>
          </w:p>
        </w:tc>
        <w:tc>
          <w:tcPr>
            <w:tcW w:w="34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10,258</w:t>
            </w:r>
          </w:p>
        </w:tc>
        <w:tc>
          <w:tcPr>
            <w:tcW w:w="12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6,232</w:t>
            </w:r>
          </w:p>
        </w:tc>
        <w:tc>
          <w:tcPr>
            <w:tcW w:w="12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23,794</w:t>
            </w:r>
          </w:p>
        </w:tc>
        <w:tc>
          <w:tcPr>
            <w:tcW w:w="100" w:type="dxa"/>
            <w:vAlign w:val="bottom"/>
            <w:shd w:val="clear" w:color="auto" w:fill="CCEEFF"/>
          </w:tcPr>
          <w:p>
            <w:pPr>
              <w:spacing w:after="0"/>
              <w:rPr>
                <w:sz w:val="23"/>
                <w:szCs w:val="23"/>
                <w:color w:val="auto"/>
              </w:rPr>
            </w:pPr>
          </w:p>
        </w:tc>
        <w:tc>
          <w:tcPr>
            <w:tcW w:w="28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14,699</w:t>
            </w:r>
          </w:p>
        </w:tc>
      </w:tr>
      <w:tr>
        <w:trPr>
          <w:trHeight w:val="282"/>
        </w:trPr>
        <w:tc>
          <w:tcPr>
            <w:tcW w:w="4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19,391</w:t>
            </w:r>
          </w:p>
        </w:tc>
        <w:tc>
          <w:tcPr>
            <w:tcW w:w="120" w:type="dxa"/>
            <w:vAlign w:val="bottom"/>
            <w:tcBorders>
              <w:bottom w:val="single" w:sz="8" w:color="CCEEFF"/>
            </w:tcBorders>
          </w:tcPr>
          <w:p>
            <w:pPr>
              <w:spacing w:after="0"/>
              <w:rPr>
                <w:sz w:val="24"/>
                <w:szCs w:val="24"/>
                <w:color w:val="auto"/>
              </w:rPr>
            </w:pPr>
          </w:p>
        </w:tc>
        <w:tc>
          <w:tcPr>
            <w:tcW w:w="32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14,438</w:t>
            </w:r>
          </w:p>
        </w:tc>
        <w:tc>
          <w:tcPr>
            <w:tcW w:w="12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46,407</w:t>
            </w:r>
          </w:p>
        </w:tc>
        <w:tc>
          <w:tcPr>
            <w:tcW w:w="100" w:type="dxa"/>
            <w:vAlign w:val="bottom"/>
            <w:tcBorders>
              <w:bottom w:val="single" w:sz="8" w:color="CCEEFF"/>
            </w:tcBorders>
          </w:tcPr>
          <w:p>
            <w:pPr>
              <w:spacing w:after="0"/>
              <w:rPr>
                <w:sz w:val="24"/>
                <w:szCs w:val="24"/>
                <w:color w:val="auto"/>
              </w:rPr>
            </w:pP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32,350</w:t>
            </w:r>
          </w:p>
        </w:tc>
      </w:tr>
      <w:tr>
        <w:trPr>
          <w:trHeight w:val="279"/>
        </w:trPr>
        <w:tc>
          <w:tcPr>
            <w:tcW w:w="4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Income per common share:</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0.61</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0.54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1.20</w:t>
            </w:r>
          </w:p>
        </w:tc>
      </w:tr>
      <w:tr>
        <w:trPr>
          <w:trHeight w:val="262"/>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0.53</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1.52</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1.20</w:t>
            </w:r>
          </w:p>
        </w:tc>
      </w:tr>
      <w:tr>
        <w:trPr>
          <w:trHeight w:val="305"/>
        </w:trPr>
        <w:tc>
          <w:tcPr>
            <w:tcW w:w="4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Weighted average common shares outstanding:</w:t>
            </w:r>
          </w:p>
        </w:tc>
        <w:tc>
          <w:tcPr>
            <w:tcW w:w="34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spacing w:after="0"/>
              <w:rPr>
                <w:sz w:val="22"/>
                <w:szCs w:val="22"/>
                <w:color w:val="auto"/>
              </w:rPr>
            </w:pPr>
          </w:p>
        </w:tc>
      </w:tr>
      <w:tr>
        <w:trPr>
          <w:trHeight w:val="278"/>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Basic</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31,587</w:t>
            </w: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26,892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30,333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26,935</w:t>
            </w:r>
          </w:p>
        </w:tc>
      </w:tr>
      <w:tr>
        <w:trPr>
          <w:trHeight w:val="262"/>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Diluted</w:t>
            </w:r>
          </w:p>
        </w:tc>
        <w:tc>
          <w:tcPr>
            <w:tcW w:w="34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31,691</w:t>
            </w: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27,004</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30,448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27,029</w:t>
            </w:r>
          </w:p>
        </w:tc>
      </w:tr>
      <w:tr>
        <w:trPr>
          <w:trHeight w:val="305"/>
        </w:trPr>
        <w:tc>
          <w:tcPr>
            <w:tcW w:w="4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Dividends paid per common share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0.10</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0.30</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0.30</w:t>
            </w:r>
          </w:p>
        </w:tc>
      </w:tr>
      <w:tr>
        <w:trPr>
          <w:trHeight w:val="305"/>
        </w:trPr>
        <w:tc>
          <w:tcPr>
            <w:tcW w:w="45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262"/>
        </w:trPr>
        <w:tc>
          <w:tcPr>
            <w:tcW w:w="462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19,391</w:t>
            </w:r>
          </w:p>
        </w:tc>
        <w:tc>
          <w:tcPr>
            <w:tcW w:w="120" w:type="dxa"/>
            <w:vAlign w:val="bottom"/>
          </w:tcPr>
          <w:p>
            <w:pPr>
              <w:spacing w:after="0"/>
              <w:rPr>
                <w:sz w:val="22"/>
                <w:szCs w:val="22"/>
                <w:color w:val="auto"/>
              </w:rPr>
            </w:pPr>
          </w:p>
        </w:tc>
        <w:tc>
          <w:tcPr>
            <w:tcW w:w="320" w:type="dxa"/>
            <w:vAlign w:val="bottom"/>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Pr>
          <w:p>
            <w:pPr>
              <w:jc w:val="right"/>
              <w:ind w:right="239"/>
              <w:spacing w:after="0"/>
              <w:rPr>
                <w:sz w:val="20"/>
                <w:szCs w:val="20"/>
                <w:color w:val="auto"/>
              </w:rPr>
            </w:pPr>
            <w:r>
              <w:rPr>
                <w:rFonts w:ascii="Arial" w:cs="Arial" w:eastAsia="Arial" w:hAnsi="Arial"/>
                <w:sz w:val="16"/>
                <w:szCs w:val="16"/>
                <w:color w:val="auto"/>
              </w:rPr>
              <w:t>14,438</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46,407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32,350</w:t>
            </w:r>
          </w:p>
        </w:tc>
      </w:tr>
      <w:tr>
        <w:trPr>
          <w:trHeight w:val="278"/>
        </w:trPr>
        <w:tc>
          <w:tcPr>
            <w:tcW w:w="4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comprehensive income (loss):</w:t>
            </w:r>
          </w:p>
        </w:tc>
        <w:tc>
          <w:tcPr>
            <w:tcW w:w="34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r>
      <w:tr>
        <w:trPr>
          <w:trHeight w:val="198"/>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Amortization of prior service credit</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4620" w:type="dxa"/>
            <w:vAlign w:val="bottom"/>
            <w:gridSpan w:val="2"/>
          </w:tcPr>
          <w:p>
            <w:pPr>
              <w:ind w:left="360"/>
              <w:spacing w:after="0"/>
              <w:rPr>
                <w:sz w:val="20"/>
                <w:szCs w:val="20"/>
                <w:color w:val="auto"/>
              </w:rPr>
            </w:pPr>
            <w:r>
              <w:rPr>
                <w:rFonts w:ascii="Arial" w:cs="Arial" w:eastAsia="Arial" w:hAnsi="Arial"/>
                <w:sz w:val="16"/>
                <w:szCs w:val="16"/>
                <w:color w:val="auto"/>
              </w:rPr>
              <w:t>(net of tax of $0, $765, $15,409 and $2,182)</w:t>
            </w:r>
          </w:p>
        </w:tc>
        <w:tc>
          <w:tcPr>
            <w:tcW w:w="34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380" w:type="dxa"/>
            <w:vAlign w:val="bottom"/>
          </w:tcPr>
          <w:p>
            <w:pPr>
              <w:jc w:val="right"/>
              <w:ind w:right="179"/>
              <w:spacing w:after="0"/>
              <w:rPr>
                <w:sz w:val="20"/>
                <w:szCs w:val="20"/>
                <w:color w:val="auto"/>
              </w:rPr>
            </w:pPr>
            <w:r>
              <w:rPr>
                <w:rFonts w:ascii="Arial" w:cs="Arial" w:eastAsia="Arial" w:hAnsi="Arial"/>
                <w:sz w:val="16"/>
                <w:szCs w:val="16"/>
                <w:color w:val="auto"/>
              </w:rPr>
              <w:t>(1,243)</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(25,035)</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(3,545)</w:t>
            </w:r>
          </w:p>
        </w:tc>
      </w:tr>
      <w:tr>
        <w:trPr>
          <w:trHeight w:val="206"/>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Amortization of net actuarial loss</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34"/>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$3, $160, $5,971 and $462)</w:t>
            </w:r>
          </w:p>
        </w:tc>
        <w:tc>
          <w:tcPr>
            <w:tcW w:w="34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3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260</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9,702</w:t>
            </w: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751</w:t>
            </w:r>
          </w:p>
        </w:tc>
      </w:tr>
      <w:tr>
        <w:trPr>
          <w:trHeight w:val="198"/>
        </w:trPr>
        <w:tc>
          <w:tcPr>
            <w:tcW w:w="4620" w:type="dxa"/>
            <w:vAlign w:val="bottom"/>
            <w:gridSpan w:val="2"/>
          </w:tcPr>
          <w:p>
            <w:pPr>
              <w:ind w:left="280"/>
              <w:spacing w:after="0"/>
              <w:rPr>
                <w:sz w:val="20"/>
                <w:szCs w:val="20"/>
                <w:color w:val="auto"/>
              </w:rPr>
            </w:pPr>
            <w:r>
              <w:rPr>
                <w:rFonts w:ascii="Arial" w:cs="Arial" w:eastAsia="Arial" w:hAnsi="Arial"/>
                <w:sz w:val="16"/>
                <w:szCs w:val="16"/>
                <w:color w:val="auto"/>
              </w:rPr>
              <w:t>Plan amendment</w:t>
            </w:r>
          </w:p>
        </w:tc>
        <w:tc>
          <w:tcPr>
            <w:tcW w:w="34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240" w:type="dxa"/>
            <w:vAlign w:val="bottom"/>
          </w:tcPr>
          <w:p>
            <w:pPr>
              <w:spacing w:after="0"/>
              <w:rPr>
                <w:sz w:val="17"/>
                <w:szCs w:val="17"/>
                <w:color w:val="auto"/>
              </w:rPr>
            </w:pPr>
          </w:p>
        </w:tc>
      </w:tr>
      <w:tr>
        <w:trPr>
          <w:trHeight w:val="226"/>
        </w:trPr>
        <w:tc>
          <w:tcPr>
            <w:tcW w:w="4620" w:type="dxa"/>
            <w:vAlign w:val="bottom"/>
            <w:gridSpan w:val="2"/>
          </w:tcPr>
          <w:p>
            <w:pPr>
              <w:ind w:left="360"/>
              <w:spacing w:after="0"/>
              <w:rPr>
                <w:sz w:val="20"/>
                <w:szCs w:val="20"/>
                <w:color w:val="auto"/>
              </w:rPr>
            </w:pPr>
            <w:r>
              <w:rPr>
                <w:rFonts w:ascii="Arial" w:cs="Arial" w:eastAsia="Arial" w:hAnsi="Arial"/>
                <w:sz w:val="16"/>
                <w:szCs w:val="16"/>
                <w:color w:val="auto"/>
              </w:rPr>
              <w:t>(net of tax of $0, $0, $2,402 and $10,895)</w:t>
            </w:r>
          </w:p>
        </w:tc>
        <w:tc>
          <w:tcPr>
            <w:tcW w:w="34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20" w:type="dxa"/>
            <w:vAlign w:val="bottom"/>
          </w:tcPr>
          <w:p>
            <w:pPr>
              <w:spacing w:after="0"/>
              <w:rPr>
                <w:sz w:val="19"/>
                <w:szCs w:val="19"/>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3,903</w:t>
            </w: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17,701</w:t>
            </w:r>
          </w:p>
        </w:tc>
      </w:tr>
      <w:tr>
        <w:trPr>
          <w:trHeight w:val="206"/>
        </w:trPr>
        <w:tc>
          <w:tcPr>
            <w:tcW w:w="46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Change in fair value of interest rate swap</w:t>
            </w:r>
          </w:p>
        </w:tc>
        <w:tc>
          <w:tcPr>
            <w:tcW w:w="34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r>
      <w:tr>
        <w:trPr>
          <w:trHeight w:val="228"/>
        </w:trPr>
        <w:tc>
          <w:tcPr>
            <w:tcW w:w="4620" w:type="dxa"/>
            <w:vAlign w:val="bottom"/>
            <w:gridSpan w:val="2"/>
            <w:shd w:val="clear" w:color="auto" w:fill="CCEEFF"/>
          </w:tcPr>
          <w:p>
            <w:pPr>
              <w:ind w:left="360"/>
              <w:spacing w:after="0"/>
              <w:rPr>
                <w:sz w:val="20"/>
                <w:szCs w:val="20"/>
                <w:color w:val="auto"/>
              </w:rPr>
            </w:pPr>
            <w:r>
              <w:rPr>
                <w:rFonts w:ascii="Arial" w:cs="Arial" w:eastAsia="Arial" w:hAnsi="Arial"/>
                <w:sz w:val="16"/>
                <w:szCs w:val="16"/>
                <w:color w:val="auto"/>
              </w:rPr>
              <w:t>(net of tax of $36, $0, $306 and $0)</w:t>
            </w:r>
          </w:p>
        </w:tc>
        <w:tc>
          <w:tcPr>
            <w:tcW w:w="340" w:type="dxa"/>
            <w:vAlign w:val="bottom"/>
            <w:shd w:val="clear" w:color="auto" w:fill="CCEEFF"/>
          </w:tcPr>
          <w:p>
            <w:pPr>
              <w:spacing w:after="0"/>
              <w:rPr>
                <w:sz w:val="19"/>
                <w:szCs w:val="19"/>
                <w:color w:val="auto"/>
              </w:rPr>
            </w:pPr>
          </w:p>
        </w:tc>
        <w:tc>
          <w:tcPr>
            <w:tcW w:w="1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(58)</w:t>
            </w:r>
          </w:p>
        </w:tc>
        <w:tc>
          <w:tcPr>
            <w:tcW w:w="120" w:type="dxa"/>
            <w:vAlign w:val="bottom"/>
            <w:shd w:val="clear" w:color="auto" w:fill="CCEEFF"/>
          </w:tcPr>
          <w:p>
            <w:pPr>
              <w:spacing w:after="0"/>
              <w:rPr>
                <w:sz w:val="19"/>
                <w:szCs w:val="19"/>
                <w:color w:val="auto"/>
              </w:rPr>
            </w:pPr>
          </w:p>
        </w:tc>
        <w:tc>
          <w:tcPr>
            <w:tcW w:w="320" w:type="dxa"/>
            <w:vAlign w:val="bottom"/>
            <w:shd w:val="clear" w:color="auto" w:fill="CCEEFF"/>
          </w:tcPr>
          <w:p>
            <w:pPr>
              <w:spacing w:after="0"/>
              <w:rPr>
                <w:sz w:val="19"/>
                <w:szCs w:val="19"/>
                <w:color w:val="auto"/>
              </w:rPr>
            </w:pPr>
          </w:p>
        </w:tc>
        <w:tc>
          <w:tcPr>
            <w:tcW w:w="150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19"/>
                <w:szCs w:val="19"/>
                <w:color w:val="auto"/>
              </w:rPr>
            </w:pPr>
          </w:p>
        </w:tc>
        <w:tc>
          <w:tcPr>
            <w:tcW w:w="280" w:type="dxa"/>
            <w:vAlign w:val="bottom"/>
            <w:shd w:val="clear" w:color="auto" w:fill="CCEEFF"/>
          </w:tcPr>
          <w:p>
            <w:pPr>
              <w:spacing w:after="0"/>
              <w:rPr>
                <w:sz w:val="19"/>
                <w:szCs w:val="19"/>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50"/>
        </w:trPr>
        <w:tc>
          <w:tcPr>
            <w:tcW w:w="462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Total other comprehensive (loss) income</w:t>
            </w:r>
          </w:p>
        </w:tc>
        <w:tc>
          <w:tcPr>
            <w:tcW w:w="34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(52)</w:t>
            </w:r>
          </w:p>
        </w:tc>
        <w:tc>
          <w:tcPr>
            <w:tcW w:w="120" w:type="dxa"/>
            <w:vAlign w:val="bottom"/>
            <w:tcBorders>
              <w:bottom w:val="single" w:sz="8" w:color="CCEEFF"/>
            </w:tcBorders>
          </w:tcPr>
          <w:p>
            <w:pPr>
              <w:spacing w:after="0"/>
              <w:rPr>
                <w:sz w:val="21"/>
                <w:szCs w:val="21"/>
                <w:color w:val="auto"/>
              </w:rPr>
            </w:pPr>
          </w:p>
        </w:tc>
        <w:tc>
          <w:tcPr>
            <w:tcW w:w="320" w:type="dxa"/>
            <w:vAlign w:val="bottom"/>
            <w:tcBorders>
              <w:top w:val="single" w:sz="8" w:color="auto"/>
              <w:bottom w:val="single" w:sz="8" w:color="auto"/>
            </w:tcBorders>
          </w:tcPr>
          <w:p>
            <w:pPr>
              <w:spacing w:after="0"/>
              <w:rPr>
                <w:sz w:val="21"/>
                <w:szCs w:val="21"/>
                <w:color w:val="auto"/>
              </w:rPr>
            </w:pPr>
          </w:p>
        </w:tc>
        <w:tc>
          <w:tcPr>
            <w:tcW w:w="138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(11,927)</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239"/>
              <w:spacing w:after="0"/>
              <w:rPr>
                <w:sz w:val="20"/>
                <w:szCs w:val="20"/>
                <w:color w:val="auto"/>
              </w:rPr>
            </w:pPr>
            <w:r>
              <w:rPr>
                <w:rFonts w:ascii="Arial" w:cs="Arial" w:eastAsia="Arial" w:hAnsi="Arial"/>
                <w:sz w:val="16"/>
                <w:szCs w:val="16"/>
                <w:color w:val="auto"/>
              </w:rPr>
              <w:t>14,907</w:t>
            </w:r>
          </w:p>
        </w:tc>
      </w:tr>
      <w:tr>
        <w:trPr>
          <w:trHeight w:val="242"/>
        </w:trPr>
        <w:tc>
          <w:tcPr>
            <w:tcW w:w="46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Comprehensive income</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19,339</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w w:val="89"/>
              </w:rPr>
              <w:t>$</w:t>
            </w:r>
          </w:p>
        </w:tc>
        <w:tc>
          <w:tcPr>
            <w:tcW w:w="13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13,455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34,480</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47,257</w:t>
            </w:r>
          </w:p>
        </w:tc>
      </w:tr>
      <w:tr>
        <w:trPr>
          <w:trHeight w:val="20"/>
        </w:trPr>
        <w:tc>
          <w:tcPr>
            <w:tcW w:w="4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49"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21" w:right="239" w:bottom="1440" w:gutter="0" w:footer="0" w:header="0"/>
        </w:sectPr>
      </w:pPr>
    </w:p>
    <w:p>
      <w:pPr>
        <w:spacing w:after="0" w:line="200" w:lineRule="exact"/>
        <w:rPr>
          <w:sz w:val="20"/>
          <w:szCs w:val="20"/>
          <w:color w:val="auto"/>
        </w:rPr>
      </w:pPr>
    </w:p>
    <w:p>
      <w:pPr>
        <w:spacing w:after="0" w:line="25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w:t>
      </w:r>
    </w:p>
    <w:p>
      <w:pPr>
        <w:sectPr>
          <w:pgSz w:w="11900" w:h="16838" w:orient="portrait"/>
          <w:cols w:equalWidth="0" w:num="1">
            <w:col w:w="11420"/>
          </w:cols>
          <w:pgMar w:left="240" w:top="121" w:right="239" w:bottom="1440" w:gutter="0" w:footer="0" w:header="0"/>
          <w:type w:val="continuous"/>
        </w:sectPr>
      </w:pPr>
    </w:p>
    <w:bookmarkStart w:id="4" w:name="page5"/>
    <w:bookmarkEnd w:id="4"/>
    <w:tbl>
      <w:tblPr>
        <w:tblLayout w:type="fixed"/>
        <w:tblInd w:w="0" w:type="dxa"/>
        <w:tblCellMar>
          <w:top w:w="0" w:type="dxa"/>
          <w:left w:w="0" w:type="dxa"/>
          <w:bottom w:w="0" w:type="dxa"/>
          <w:right w:w="0" w:type="dxa"/>
        </w:tblCellMar>
      </w:tblPr>
      <w:tr>
        <w:trPr>
          <w:trHeight w:val="184"/>
        </w:trPr>
        <w:tc>
          <w:tcPr>
            <w:tcW w:w="728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r>
      <w:tr>
        <w:trPr>
          <w:trHeight w:val="41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720" w:type="dxa"/>
            <w:vAlign w:val="bottom"/>
          </w:tcPr>
          <w:p>
            <w:pPr>
              <w:spacing w:after="0"/>
              <w:rPr>
                <w:sz w:val="24"/>
                <w:szCs w:val="24"/>
                <w:color w:val="auto"/>
              </w:rPr>
            </w:pPr>
          </w:p>
        </w:tc>
      </w:tr>
      <w:tr>
        <w:trPr>
          <w:trHeight w:val="18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Balance Sheets</w:t>
            </w:r>
          </w:p>
        </w:tc>
        <w:tc>
          <w:tcPr>
            <w:tcW w:w="3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720" w:type="dxa"/>
            <w:vAlign w:val="bottom"/>
          </w:tcPr>
          <w:p>
            <w:pPr>
              <w:spacing w:after="0"/>
              <w:rPr>
                <w:sz w:val="16"/>
                <w:szCs w:val="16"/>
                <w:color w:val="auto"/>
              </w:rPr>
            </w:pPr>
          </w:p>
        </w:tc>
      </w:tr>
      <w:tr>
        <w:trPr>
          <w:trHeight w:val="229"/>
        </w:trPr>
        <w:tc>
          <w:tcPr>
            <w:tcW w:w="728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spacing w:after="0"/>
              <w:rPr>
                <w:sz w:val="19"/>
                <w:szCs w:val="19"/>
                <w:color w:val="auto"/>
              </w:rPr>
            </w:pPr>
          </w:p>
        </w:tc>
      </w:tr>
      <w:tr>
        <w:trPr>
          <w:trHeight w:val="312"/>
        </w:trPr>
        <w:tc>
          <w:tcPr>
            <w:tcW w:w="1260" w:type="dxa"/>
            <w:vAlign w:val="bottom"/>
          </w:tcPr>
          <w:p>
            <w:pPr>
              <w:spacing w:after="0"/>
              <w:rPr>
                <w:sz w:val="24"/>
                <w:szCs w:val="24"/>
                <w:color w:val="auto"/>
              </w:rPr>
            </w:pPr>
          </w:p>
        </w:tc>
        <w:tc>
          <w:tcPr>
            <w:tcW w:w="6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27,</w:t>
            </w:r>
          </w:p>
        </w:tc>
        <w:tc>
          <w:tcPr>
            <w:tcW w:w="360" w:type="dxa"/>
            <w:vAlign w:val="bottom"/>
          </w:tcPr>
          <w:p>
            <w:pPr>
              <w:spacing w:after="0"/>
              <w:rPr>
                <w:sz w:val="24"/>
                <w:szCs w:val="24"/>
                <w:color w:val="auto"/>
              </w:rPr>
            </w:pPr>
          </w:p>
        </w:tc>
        <w:tc>
          <w:tcPr>
            <w:tcW w:w="1720" w:type="dxa"/>
            <w:vAlign w:val="bottom"/>
          </w:tcPr>
          <w:p>
            <w:pPr>
              <w:jc w:val="right"/>
              <w:ind w:right="559"/>
              <w:spacing w:after="0"/>
              <w:rPr>
                <w:sz w:val="20"/>
                <w:szCs w:val="20"/>
                <w:color w:val="auto"/>
              </w:rPr>
            </w:pPr>
            <w:r>
              <w:rPr>
                <w:rFonts w:ascii="Arial" w:cs="Arial" w:eastAsia="Arial" w:hAnsi="Arial"/>
                <w:sz w:val="16"/>
                <w:szCs w:val="16"/>
                <w:b w:val="1"/>
                <w:bCs w:val="1"/>
                <w:color w:val="auto"/>
              </w:rPr>
              <w:t>August 27,</w:t>
            </w:r>
          </w:p>
        </w:tc>
      </w:tr>
      <w:tr>
        <w:trPr>
          <w:trHeight w:val="232"/>
        </w:trPr>
        <w:tc>
          <w:tcPr>
            <w:tcW w:w="7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720" w:type="dxa"/>
            <w:vAlign w:val="bottom"/>
            <w:tcBorders>
              <w:bottom w:val="single" w:sz="8" w:color="auto"/>
            </w:tcBorders>
          </w:tcPr>
          <w:p>
            <w:pPr>
              <w:jc w:val="right"/>
              <w:ind w:right="779"/>
              <w:spacing w:after="0"/>
              <w:rPr>
                <w:sz w:val="20"/>
                <w:szCs w:val="20"/>
                <w:color w:val="auto"/>
              </w:rPr>
            </w:pPr>
            <w:r>
              <w:rPr>
                <w:rFonts w:ascii="Arial" w:cs="Arial" w:eastAsia="Arial" w:hAnsi="Arial"/>
                <w:sz w:val="16"/>
                <w:szCs w:val="16"/>
                <w:b w:val="1"/>
                <w:bCs w:val="1"/>
                <w:color w:val="auto"/>
              </w:rPr>
              <w:t>2016</w:t>
            </w:r>
          </w:p>
        </w:tc>
      </w:tr>
      <w:tr>
        <w:trPr>
          <w:trHeight w:val="267"/>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Assets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assets: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Cash and cash equivalents</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24,369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85,583</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Receivables, less allowance for doubtful accounts ($195 and $278)</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120,998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66,184</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Inventories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144,422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122,522</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Prepaid expenses and 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8,500</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6,300</w:t>
            </w:r>
          </w:p>
        </w:tc>
      </w:tr>
      <w:tr>
        <w:trPr>
          <w:trHeight w:val="250"/>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Total current assets</w:t>
            </w:r>
          </w:p>
        </w:tc>
        <w:tc>
          <w:tcPr>
            <w:tcW w:w="3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298,289</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280,589</w:t>
            </w:r>
          </w:p>
        </w:tc>
      </w:tr>
      <w:tr>
        <w:trPr>
          <w:trHeight w:val="249"/>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Property, plant and equipment, net</w:t>
            </w:r>
          </w:p>
        </w:tc>
        <w:tc>
          <w:tcPr>
            <w:tcW w:w="380" w:type="dxa"/>
            <w:vAlign w:val="bottom"/>
          </w:tcPr>
          <w:p>
            <w:pPr>
              <w:spacing w:after="0"/>
              <w:rPr>
                <w:sz w:val="21"/>
                <w:szCs w:val="21"/>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68,656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55,931</w:t>
            </w:r>
          </w:p>
        </w:tc>
      </w:tr>
      <w:tr>
        <w:trPr>
          <w:trHeight w:val="278"/>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Other assets: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spacing w:after="0"/>
              <w:rPr>
                <w:sz w:val="24"/>
                <w:szCs w:val="24"/>
                <w:color w:val="auto"/>
              </w:rPr>
            </w:pPr>
          </w:p>
        </w:tc>
      </w:tr>
      <w:tr>
        <w:trPr>
          <w:trHeight w:val="262"/>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Goodwill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245,393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1,228</w:t>
            </w:r>
          </w:p>
        </w:tc>
      </w:tr>
      <w:tr>
        <w:trPr>
          <w:trHeight w:val="278"/>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 intangible assets, net</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230,522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62"/>
        </w:trPr>
        <w:tc>
          <w:tcPr>
            <w:tcW w:w="7280" w:type="dxa"/>
            <w:vAlign w:val="bottom"/>
            <w:gridSpan w:val="2"/>
          </w:tcPr>
          <w:p>
            <w:pPr>
              <w:ind w:left="180"/>
              <w:spacing w:after="0"/>
              <w:rPr>
                <w:sz w:val="20"/>
                <w:szCs w:val="20"/>
                <w:color w:val="auto"/>
              </w:rPr>
            </w:pPr>
            <w:r>
              <w:rPr>
                <w:rFonts w:ascii="Arial" w:cs="Arial" w:eastAsia="Arial" w:hAnsi="Arial"/>
                <w:sz w:val="16"/>
                <w:szCs w:val="16"/>
                <w:color w:val="auto"/>
              </w:rPr>
              <w:t>Investment in life insurance</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27,030</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26,492</w:t>
            </w:r>
          </w:p>
        </w:tc>
      </w:tr>
      <w:tr>
        <w:trPr>
          <w:trHeight w:val="278"/>
        </w:trPr>
        <w:tc>
          <w:tcPr>
            <w:tcW w:w="72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14,695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18,753</w:t>
            </w:r>
          </w:p>
        </w:tc>
      </w:tr>
      <w:tr>
        <w:trPr>
          <w:trHeight w:val="264"/>
        </w:trPr>
        <w:tc>
          <w:tcPr>
            <w:tcW w:w="72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 assets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5,766</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7,725</w:t>
            </w:r>
          </w:p>
        </w:tc>
      </w:tr>
      <w:tr>
        <w:trPr>
          <w:trHeight w:val="242"/>
        </w:trPr>
        <w:tc>
          <w:tcPr>
            <w:tcW w:w="7280" w:type="dxa"/>
            <w:vAlign w:val="bottom"/>
            <w:tcBorders>
              <w:bottom w:val="single" w:sz="8" w:color="CCEEFF"/>
            </w:tcBorders>
            <w:gridSpan w:val="2"/>
            <w:shd w:val="clear" w:color="auto" w:fill="CCEEFF"/>
          </w:tcPr>
          <w:p>
            <w:pPr>
              <w:ind w:left="380"/>
              <w:spacing w:after="0"/>
              <w:rPr>
                <w:sz w:val="20"/>
                <w:szCs w:val="20"/>
                <w:color w:val="auto"/>
              </w:rPr>
            </w:pPr>
            <w:r>
              <w:rPr>
                <w:rFonts w:ascii="Arial" w:cs="Arial" w:eastAsia="Arial" w:hAnsi="Arial"/>
                <w:sz w:val="16"/>
                <w:szCs w:val="16"/>
                <w:color w:val="auto"/>
              </w:rPr>
              <w:t>Total assets</w:t>
            </w: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890,351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r>
        <w:trPr>
          <w:trHeight w:val="265"/>
        </w:trPr>
        <w:tc>
          <w:tcPr>
            <w:tcW w:w="1260" w:type="dxa"/>
            <w:vAlign w:val="bottom"/>
          </w:tcPr>
          <w:p>
            <w:pPr>
              <w:spacing w:after="0"/>
              <w:rPr>
                <w:sz w:val="23"/>
                <w:szCs w:val="23"/>
                <w:color w:val="auto"/>
              </w:rPr>
            </w:pPr>
          </w:p>
        </w:tc>
        <w:tc>
          <w:tcPr>
            <w:tcW w:w="60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5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spacing w:after="0"/>
              <w:rPr>
                <w:sz w:val="23"/>
                <w:szCs w:val="23"/>
                <w:color w:val="auto"/>
              </w:rPr>
            </w:pP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Liabilities and Shareholders'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40"/>
              <w:spacing w:after="0"/>
              <w:rPr>
                <w:sz w:val="20"/>
                <w:szCs w:val="20"/>
                <w:color w:val="auto"/>
              </w:rPr>
            </w:pPr>
            <w:r>
              <w:rPr>
                <w:rFonts w:ascii="Arial" w:cs="Arial" w:eastAsia="Arial" w:hAnsi="Arial"/>
                <w:sz w:val="16"/>
                <w:szCs w:val="16"/>
                <w:color w:val="auto"/>
              </w:rPr>
              <w:t>Current liabilities: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Accounts payable</w:t>
            </w: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79,599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44,134</w:t>
            </w:r>
          </w:p>
        </w:tc>
      </w:tr>
      <w:tr>
        <w:trPr>
          <w:trHeight w:val="265"/>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Current maturities of long-term debt</w:t>
            </w:r>
          </w:p>
        </w:tc>
        <w:tc>
          <w:tcPr>
            <w:tcW w:w="380" w:type="dxa"/>
            <w:vAlign w:val="bottom"/>
          </w:tcPr>
          <w:p>
            <w:pPr>
              <w:spacing w:after="0"/>
              <w:rPr>
                <w:sz w:val="23"/>
                <w:szCs w:val="23"/>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12,051</w:t>
            </w: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720" w:type="dxa"/>
            <w:vAlign w:val="bottom"/>
          </w:tcPr>
          <w:p>
            <w:pPr>
              <w:jc w:val="right"/>
              <w:ind w:right="359"/>
              <w:spacing w:after="0"/>
              <w:rPr>
                <w:sz w:val="20"/>
                <w:szCs w:val="20"/>
                <w:color w:val="auto"/>
              </w:rPr>
            </w:pPr>
            <w:r>
              <w:rPr>
                <w:rFonts w:ascii="Arial" w:cs="Arial" w:eastAsia="Arial" w:hAnsi="Arial"/>
                <w:sz w:val="18"/>
                <w:szCs w:val="18"/>
                <w:color w:val="auto"/>
              </w:rPr>
              <w:t>—</w:t>
            </w:r>
          </w:p>
        </w:tc>
      </w:tr>
      <w:tr>
        <w:trPr>
          <w:trHeight w:val="275"/>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Income taxes payable</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6,094</w:t>
            </w: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Accrued expenses:</w:t>
            </w:r>
          </w:p>
        </w:tc>
        <w:tc>
          <w:tcPr>
            <w:tcW w:w="38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spacing w:after="0"/>
              <w:rPr>
                <w:sz w:val="22"/>
                <w:szCs w:val="22"/>
                <w:color w:val="auto"/>
              </w:rPr>
            </w:pPr>
          </w:p>
        </w:tc>
      </w:tr>
      <w:tr>
        <w:trPr>
          <w:trHeight w:val="278"/>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23,135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19,699</w:t>
            </w:r>
          </w:p>
        </w:tc>
      </w:tr>
      <w:tr>
        <w:trPr>
          <w:trHeight w:val="262"/>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Product warranties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28,056</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12,412</w:t>
            </w:r>
          </w:p>
        </w:tc>
      </w:tr>
      <w:tr>
        <w:trPr>
          <w:trHeight w:val="278"/>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Self-insurance</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6,199</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5,812</w:t>
            </w:r>
          </w:p>
        </w:tc>
      </w:tr>
      <w:tr>
        <w:trPr>
          <w:trHeight w:val="262"/>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Promotional</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9,237</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4,756</w:t>
            </w:r>
          </w:p>
        </w:tc>
      </w:tr>
      <w:tr>
        <w:trPr>
          <w:trHeight w:val="278"/>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Accrued interest</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3,213</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15</w:t>
            </w:r>
          </w:p>
        </w:tc>
      </w:tr>
      <w:tr>
        <w:trPr>
          <w:trHeight w:val="262"/>
        </w:trPr>
        <w:tc>
          <w:tcPr>
            <w:tcW w:w="7280" w:type="dxa"/>
            <w:vAlign w:val="bottom"/>
            <w:gridSpan w:val="2"/>
          </w:tcPr>
          <w:p>
            <w:pPr>
              <w:ind w:left="380"/>
              <w:spacing w:after="0"/>
              <w:rPr>
                <w:sz w:val="20"/>
                <w:szCs w:val="20"/>
                <w:color w:val="auto"/>
              </w:rPr>
            </w:pPr>
            <w:r>
              <w:rPr>
                <w:rFonts w:ascii="Arial" w:cs="Arial" w:eastAsia="Arial" w:hAnsi="Arial"/>
                <w:sz w:val="16"/>
                <w:szCs w:val="16"/>
                <w:color w:val="auto"/>
              </w:rPr>
              <w:t>Accrued dividend</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3,184</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1"/>
        </w:trPr>
        <w:tc>
          <w:tcPr>
            <w:tcW w:w="72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6,726</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6,102</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177,494</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92,949</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Non-current liabilities:</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Long-term debt, less current maturities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274,818</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Unrecognized tax benefits</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1,755</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2,461</w:t>
            </w:r>
          </w:p>
        </w:tc>
      </w:tr>
      <w:tr>
        <w:trPr>
          <w:trHeight w:val="19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Deferred compensation and postretirement health care benefits, net of current</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portion</w:t>
            </w:r>
          </w:p>
        </w:tc>
        <w:tc>
          <w:tcPr>
            <w:tcW w:w="380" w:type="dxa"/>
            <w:vAlign w:val="bottom"/>
          </w:tcPr>
          <w:p>
            <w:pPr>
              <w:spacing w:after="0"/>
              <w:rPr>
                <w:sz w:val="19"/>
                <w:szCs w:val="19"/>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18,982</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26,949</w:t>
            </w:r>
          </w:p>
        </w:tc>
      </w:tr>
      <w:tr>
        <w:trPr>
          <w:trHeight w:val="271"/>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auto"/>
            </w:tcBorders>
            <w:shd w:val="clear" w:color="auto" w:fill="CCEEFF"/>
          </w:tcPr>
          <w:p>
            <w:pPr>
              <w:spacing w:after="0"/>
              <w:rPr>
                <w:sz w:val="23"/>
                <w:szCs w:val="23"/>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1,052</w:t>
            </w:r>
          </w:p>
        </w:tc>
        <w:tc>
          <w:tcPr>
            <w:tcW w:w="100" w:type="dxa"/>
            <w:vAlign w:val="bottom"/>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spacing w:after="0"/>
              <w:rPr>
                <w:sz w:val="23"/>
                <w:szCs w:val="23"/>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w:t>
            </w:r>
          </w:p>
        </w:tc>
      </w:tr>
      <w:tr>
        <w:trPr>
          <w:trHeight w:val="250"/>
        </w:trPr>
        <w:tc>
          <w:tcPr>
            <w:tcW w:w="7280" w:type="dxa"/>
            <w:vAlign w:val="bottom"/>
            <w:tcBorders>
              <w:bottom w:val="single" w:sz="8" w:color="CCEEFF"/>
            </w:tcBorders>
            <w:gridSpan w:val="2"/>
          </w:tcPr>
          <w:p>
            <w:pPr>
              <w:ind w:left="500"/>
              <w:spacing w:after="0"/>
              <w:rPr>
                <w:sz w:val="20"/>
                <w:szCs w:val="20"/>
                <w:color w:val="auto"/>
              </w:rPr>
            </w:pPr>
            <w:r>
              <w:rPr>
                <w:rFonts w:ascii="Arial" w:cs="Arial" w:eastAsia="Arial" w:hAnsi="Arial"/>
                <w:sz w:val="16"/>
                <w:szCs w:val="16"/>
                <w:color w:val="auto"/>
              </w:rPr>
              <w:t>Total non-current liabilities</w:t>
            </w:r>
          </w:p>
        </w:tc>
        <w:tc>
          <w:tcPr>
            <w:tcW w:w="380" w:type="dxa"/>
            <w:vAlign w:val="bottom"/>
            <w:tcBorders>
              <w:bottom w:val="single" w:sz="8" w:color="auto"/>
            </w:tcBorders>
          </w:tcPr>
          <w:p>
            <w:pPr>
              <w:spacing w:after="0"/>
              <w:rPr>
                <w:sz w:val="21"/>
                <w:szCs w:val="21"/>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296,607</w:t>
            </w:r>
          </w:p>
        </w:tc>
        <w:tc>
          <w:tcPr>
            <w:tcW w:w="100" w:type="dxa"/>
            <w:vAlign w:val="bottom"/>
            <w:tcBorders>
              <w:bottom w:val="single" w:sz="8" w:color="CCEEFF"/>
            </w:tcBorders>
          </w:tcPr>
          <w:p>
            <w:pPr>
              <w:spacing w:after="0"/>
              <w:rPr>
                <w:sz w:val="21"/>
                <w:szCs w:val="21"/>
                <w:color w:val="auto"/>
              </w:rPr>
            </w:pPr>
          </w:p>
        </w:tc>
        <w:tc>
          <w:tcPr>
            <w:tcW w:w="360" w:type="dxa"/>
            <w:vAlign w:val="bottom"/>
            <w:tcBorders>
              <w:bottom w:val="single" w:sz="8" w:color="auto"/>
            </w:tcBorders>
          </w:tcPr>
          <w:p>
            <w:pPr>
              <w:spacing w:after="0"/>
              <w:rPr>
                <w:sz w:val="21"/>
                <w:szCs w:val="21"/>
                <w:color w:val="auto"/>
              </w:rPr>
            </w:pP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29,410</w:t>
            </w:r>
          </w:p>
        </w:tc>
      </w:tr>
      <w:tr>
        <w:trPr>
          <w:trHeight w:val="270"/>
        </w:trPr>
        <w:tc>
          <w:tcPr>
            <w:tcW w:w="7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Shareholders' equity:</w:t>
            </w:r>
          </w:p>
        </w:tc>
        <w:tc>
          <w:tcPr>
            <w:tcW w:w="38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720" w:type="dxa"/>
            <w:vAlign w:val="bottom"/>
            <w:shd w:val="clear" w:color="auto" w:fill="CCEEFF"/>
          </w:tcPr>
          <w:p>
            <w:pPr>
              <w:spacing w:after="0"/>
              <w:rPr>
                <w:sz w:val="23"/>
                <w:szCs w:val="23"/>
                <w:color w:val="auto"/>
              </w:rPr>
            </w:pPr>
          </w:p>
        </w:tc>
      </w:tr>
      <w:tr>
        <w:trPr>
          <w:trHeight w:val="198"/>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Capital stock common, par value $0.50;</w:t>
            </w:r>
          </w:p>
        </w:tc>
        <w:tc>
          <w:tcPr>
            <w:tcW w:w="380" w:type="dxa"/>
            <w:vAlign w:val="bottom"/>
          </w:tcPr>
          <w:p>
            <w:pPr>
              <w:spacing w:after="0"/>
              <w:rPr>
                <w:sz w:val="17"/>
                <w:szCs w:val="17"/>
                <w:color w:val="auto"/>
              </w:rPr>
            </w:pPr>
          </w:p>
        </w:tc>
        <w:tc>
          <w:tcPr>
            <w:tcW w:w="15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720" w:type="dxa"/>
            <w:vAlign w:val="bottom"/>
          </w:tcPr>
          <w:p>
            <w:pPr>
              <w:spacing w:after="0"/>
              <w:rPr>
                <w:sz w:val="17"/>
                <w:szCs w:val="17"/>
                <w:color w:val="auto"/>
              </w:rPr>
            </w:pPr>
          </w:p>
        </w:tc>
      </w:tr>
      <w:tr>
        <w:trPr>
          <w:trHeight w:val="226"/>
        </w:trPr>
        <w:tc>
          <w:tcPr>
            <w:tcW w:w="7280" w:type="dxa"/>
            <w:vAlign w:val="bottom"/>
            <w:gridSpan w:val="2"/>
          </w:tcPr>
          <w:p>
            <w:pPr>
              <w:ind w:left="420"/>
              <w:spacing w:after="0"/>
              <w:rPr>
                <w:sz w:val="20"/>
                <w:szCs w:val="20"/>
                <w:color w:val="auto"/>
              </w:rPr>
            </w:pPr>
            <w:r>
              <w:rPr>
                <w:rFonts w:ascii="Arial" w:cs="Arial" w:eastAsia="Arial" w:hAnsi="Arial"/>
                <w:sz w:val="16"/>
                <w:szCs w:val="16"/>
                <w:color w:val="auto"/>
              </w:rPr>
              <w:t>authorized 60,000 shares, issued 51,776 shares</w:t>
            </w:r>
          </w:p>
        </w:tc>
        <w:tc>
          <w:tcPr>
            <w:tcW w:w="380" w:type="dxa"/>
            <w:vAlign w:val="bottom"/>
          </w:tcPr>
          <w:p>
            <w:pPr>
              <w:spacing w:after="0"/>
              <w:rPr>
                <w:sz w:val="19"/>
                <w:szCs w:val="19"/>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25,888</w:t>
            </w: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25,888</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Additional paid-in capital</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79,844</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32,717</w:t>
            </w:r>
          </w:p>
        </w:tc>
      </w:tr>
      <w:tr>
        <w:trPr>
          <w:trHeight w:val="262"/>
        </w:trPr>
        <w:tc>
          <w:tcPr>
            <w:tcW w:w="7280" w:type="dxa"/>
            <w:vAlign w:val="bottom"/>
            <w:gridSpan w:val="2"/>
          </w:tcPr>
          <w:p>
            <w:pPr>
              <w:ind w:left="280"/>
              <w:spacing w:after="0"/>
              <w:rPr>
                <w:sz w:val="20"/>
                <w:szCs w:val="20"/>
                <w:color w:val="auto"/>
              </w:rPr>
            </w:pPr>
            <w:r>
              <w:rPr>
                <w:rFonts w:ascii="Arial" w:cs="Arial" w:eastAsia="Arial" w:hAnsi="Arial"/>
                <w:sz w:val="16"/>
                <w:szCs w:val="16"/>
                <w:color w:val="auto"/>
              </w:rPr>
              <w:t>Retained earnings</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654,215</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720" w:type="dxa"/>
            <w:vAlign w:val="bottom"/>
          </w:tcPr>
          <w:p>
            <w:pPr>
              <w:jc w:val="right"/>
              <w:ind w:right="359"/>
              <w:spacing w:after="0"/>
              <w:rPr>
                <w:sz w:val="20"/>
                <w:szCs w:val="20"/>
                <w:color w:val="auto"/>
              </w:rPr>
            </w:pPr>
            <w:r>
              <w:rPr>
                <w:rFonts w:ascii="Arial" w:cs="Arial" w:eastAsia="Arial" w:hAnsi="Arial"/>
                <w:sz w:val="16"/>
                <w:szCs w:val="16"/>
                <w:color w:val="auto"/>
              </w:rPr>
              <w:t>620,546</w:t>
            </w:r>
          </w:p>
        </w:tc>
      </w:tr>
      <w:tr>
        <w:trPr>
          <w:trHeight w:val="278"/>
        </w:trPr>
        <w:tc>
          <w:tcPr>
            <w:tcW w:w="728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Accumulated other comprehensive (loss) income</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(952)</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72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10,975</w:t>
            </w:r>
          </w:p>
        </w:tc>
      </w:tr>
      <w:tr>
        <w:trPr>
          <w:trHeight w:val="264"/>
        </w:trPr>
        <w:tc>
          <w:tcPr>
            <w:tcW w:w="7280" w:type="dxa"/>
            <w:vAlign w:val="bottom"/>
            <w:tcBorders>
              <w:bottom w:val="single" w:sz="8" w:color="CCEEFF"/>
            </w:tcBorders>
            <w:gridSpan w:val="2"/>
          </w:tcPr>
          <w:p>
            <w:pPr>
              <w:ind w:left="280"/>
              <w:spacing w:after="0"/>
              <w:rPr>
                <w:sz w:val="20"/>
                <w:szCs w:val="20"/>
                <w:color w:val="auto"/>
              </w:rPr>
            </w:pPr>
            <w:r>
              <w:rPr>
                <w:rFonts w:ascii="Arial" w:cs="Arial" w:eastAsia="Arial" w:hAnsi="Arial"/>
                <w:sz w:val="16"/>
                <w:szCs w:val="16"/>
                <w:color w:val="auto"/>
              </w:rPr>
              <w:t>Treasury stock, at cost (20,189 and 24,875 shares)</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(342,745)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72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(421,767)</w:t>
            </w:r>
          </w:p>
        </w:tc>
      </w:tr>
      <w:tr>
        <w:trPr>
          <w:trHeight w:val="250"/>
        </w:trPr>
        <w:tc>
          <w:tcPr>
            <w:tcW w:w="7280" w:type="dxa"/>
            <w:vAlign w:val="bottom"/>
            <w:gridSpan w:val="2"/>
            <w:shd w:val="clear" w:color="auto" w:fill="CCEEFF"/>
          </w:tcPr>
          <w:p>
            <w:pPr>
              <w:ind w:left="500"/>
              <w:spacing w:after="0"/>
              <w:rPr>
                <w:sz w:val="20"/>
                <w:szCs w:val="20"/>
                <w:color w:val="auto"/>
              </w:rPr>
            </w:pPr>
            <w:r>
              <w:rPr>
                <w:rFonts w:ascii="Arial" w:cs="Arial" w:eastAsia="Arial" w:hAnsi="Arial"/>
                <w:sz w:val="16"/>
                <w:szCs w:val="16"/>
                <w:color w:val="auto"/>
              </w:rPr>
              <w:t>Total shareholders' equity</w:t>
            </w:r>
          </w:p>
        </w:tc>
        <w:tc>
          <w:tcPr>
            <w:tcW w:w="380" w:type="dxa"/>
            <w:vAlign w:val="bottom"/>
            <w:tcBorders>
              <w:bottom w:val="single" w:sz="8" w:color="auto"/>
            </w:tcBorders>
            <w:shd w:val="clear" w:color="auto" w:fill="CCEEFF"/>
          </w:tcPr>
          <w:p>
            <w:pPr>
              <w:spacing w:after="0"/>
              <w:rPr>
                <w:sz w:val="21"/>
                <w:szCs w:val="21"/>
                <w:color w:val="auto"/>
              </w:rPr>
            </w:pP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416,250</w:t>
            </w:r>
          </w:p>
        </w:tc>
        <w:tc>
          <w:tcPr>
            <w:tcW w:w="100" w:type="dxa"/>
            <w:vAlign w:val="bottom"/>
            <w:shd w:val="clear" w:color="auto" w:fill="CCEEFF"/>
          </w:tcPr>
          <w:p>
            <w:pPr>
              <w:spacing w:after="0"/>
              <w:rPr>
                <w:sz w:val="21"/>
                <w:szCs w:val="21"/>
                <w:color w:val="auto"/>
              </w:rPr>
            </w:pPr>
          </w:p>
        </w:tc>
        <w:tc>
          <w:tcPr>
            <w:tcW w:w="360" w:type="dxa"/>
            <w:vAlign w:val="bottom"/>
            <w:tcBorders>
              <w:bottom w:val="single" w:sz="8" w:color="auto"/>
            </w:tcBorders>
            <w:shd w:val="clear" w:color="auto" w:fill="CCEEFF"/>
          </w:tcPr>
          <w:p>
            <w:pPr>
              <w:spacing w:after="0"/>
              <w:rPr>
                <w:sz w:val="21"/>
                <w:szCs w:val="21"/>
                <w:color w:val="auto"/>
              </w:rPr>
            </w:pPr>
          </w:p>
        </w:tc>
        <w:tc>
          <w:tcPr>
            <w:tcW w:w="172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268,359</w:t>
            </w:r>
          </w:p>
        </w:tc>
      </w:tr>
      <w:tr>
        <w:trPr>
          <w:trHeight w:val="242"/>
        </w:trPr>
        <w:tc>
          <w:tcPr>
            <w:tcW w:w="7280" w:type="dxa"/>
            <w:vAlign w:val="bottom"/>
            <w:gridSpan w:val="2"/>
          </w:tcPr>
          <w:p>
            <w:pPr>
              <w:ind w:left="500"/>
              <w:spacing w:after="0"/>
              <w:rPr>
                <w:sz w:val="20"/>
                <w:szCs w:val="20"/>
                <w:color w:val="auto"/>
              </w:rPr>
            </w:pPr>
            <w:r>
              <w:rPr>
                <w:rFonts w:ascii="Arial" w:cs="Arial" w:eastAsia="Arial" w:hAnsi="Arial"/>
                <w:sz w:val="16"/>
                <w:szCs w:val="16"/>
                <w:color w:val="auto"/>
              </w:rPr>
              <w:t>Total liabilities and shareholders' equity</w:t>
            </w:r>
          </w:p>
        </w:tc>
        <w:tc>
          <w:tcPr>
            <w:tcW w:w="38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w:t>
            </w: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890,351</w:t>
            </w:r>
          </w:p>
        </w:tc>
        <w:tc>
          <w:tcPr>
            <w:tcW w:w="100" w:type="dxa"/>
            <w:vAlign w:val="bottom"/>
          </w:tcPr>
          <w:p>
            <w:pPr>
              <w:spacing w:after="0"/>
              <w:rPr>
                <w:sz w:val="21"/>
                <w:szCs w:val="21"/>
                <w:color w:val="auto"/>
              </w:rPr>
            </w:pPr>
          </w:p>
        </w:tc>
        <w:tc>
          <w:tcPr>
            <w:tcW w:w="36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w:t>
            </w:r>
          </w:p>
        </w:tc>
        <w:tc>
          <w:tcPr>
            <w:tcW w:w="172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390,718</w:t>
            </w:r>
          </w:p>
        </w:tc>
      </w:tr>
      <w:tr>
        <w:trPr>
          <w:trHeight w:val="20"/>
        </w:trPr>
        <w:tc>
          <w:tcPr>
            <w:tcW w:w="1260" w:type="dxa"/>
            <w:vAlign w:val="bottom"/>
          </w:tcPr>
          <w:p>
            <w:pPr>
              <w:spacing w:after="0" w:line="20" w:lineRule="exact"/>
              <w:rPr>
                <w:sz w:val="1"/>
                <w:szCs w:val="1"/>
                <w:color w:val="auto"/>
              </w:rPr>
            </w:pPr>
          </w:p>
        </w:tc>
        <w:tc>
          <w:tcPr>
            <w:tcW w:w="60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720" w:type="dxa"/>
            <w:vAlign w:val="bottom"/>
            <w:tcBorders>
              <w:bottom w:val="single" w:sz="8" w:color="auto"/>
            </w:tcBorders>
          </w:tcPr>
          <w:p>
            <w:pPr>
              <w:spacing w:after="0" w:line="20" w:lineRule="exact"/>
              <w:rPr>
                <w:sz w:val="1"/>
                <w:szCs w:val="1"/>
                <w:color w:val="auto"/>
              </w:rPr>
            </w:pPr>
          </w:p>
        </w:tc>
      </w:tr>
    </w:tbl>
    <w:p>
      <w:pPr>
        <w:spacing w:after="0" w:line="203"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440"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w:t>
      </w:r>
    </w:p>
    <w:p>
      <w:pPr>
        <w:sectPr>
          <w:pgSz w:w="11900" w:h="16838" w:orient="portrait"/>
          <w:cols w:equalWidth="0" w:num="1">
            <w:col w:w="11420"/>
          </w:cols>
          <w:pgMar w:left="240" w:top="118" w:right="239" w:bottom="1440"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184"/>
        </w:trPr>
        <w:tc>
          <w:tcPr>
            <w:tcW w:w="7760" w:type="dxa"/>
            <w:vAlign w:val="bottom"/>
            <w:gridSpan w:val="2"/>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6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419"/>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Winnebago Industries, Inc.</w:t>
            </w: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189"/>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Condensed Consolidated Statements of Cash Flows</w:t>
            </w:r>
          </w:p>
        </w:tc>
        <w:tc>
          <w:tcPr>
            <w:tcW w:w="34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420" w:type="dxa"/>
            <w:vAlign w:val="bottom"/>
          </w:tcPr>
          <w:p>
            <w:pPr>
              <w:spacing w:after="0"/>
              <w:rPr>
                <w:sz w:val="16"/>
                <w:szCs w:val="16"/>
                <w:color w:val="auto"/>
              </w:rPr>
            </w:pPr>
          </w:p>
        </w:tc>
      </w:tr>
      <w:tr>
        <w:trPr>
          <w:trHeight w:val="229"/>
        </w:trPr>
        <w:tc>
          <w:tcPr>
            <w:tcW w:w="7760" w:type="dxa"/>
            <w:vAlign w:val="bottom"/>
            <w:gridSpan w:val="2"/>
          </w:tcPr>
          <w:p>
            <w:pPr>
              <w:spacing w:after="0"/>
              <w:rPr>
                <w:sz w:val="20"/>
                <w:szCs w:val="20"/>
                <w:color w:val="auto"/>
              </w:rPr>
            </w:pPr>
            <w:r>
              <w:rPr>
                <w:rFonts w:ascii="Arial" w:cs="Arial" w:eastAsia="Arial" w:hAnsi="Arial"/>
                <w:sz w:val="16"/>
                <w:szCs w:val="16"/>
                <w:b w:val="1"/>
                <w:bCs w:val="1"/>
                <w:color w:val="auto"/>
              </w:rPr>
              <w:t>(Unaudited)</w:t>
            </w:r>
          </w:p>
        </w:tc>
        <w:tc>
          <w:tcPr>
            <w:tcW w:w="340" w:type="dxa"/>
            <w:vAlign w:val="bottom"/>
          </w:tcPr>
          <w:p>
            <w:pPr>
              <w:spacing w:after="0"/>
              <w:rPr>
                <w:sz w:val="19"/>
                <w:szCs w:val="19"/>
                <w:color w:val="auto"/>
              </w:rPr>
            </w:pPr>
          </w:p>
        </w:tc>
        <w:tc>
          <w:tcPr>
            <w:tcW w:w="14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82"/>
        </w:trPr>
        <w:tc>
          <w:tcPr>
            <w:tcW w:w="1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2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1260" w:type="dxa"/>
            <w:vAlign w:val="bottom"/>
          </w:tcPr>
          <w:p>
            <w:pPr>
              <w:spacing w:after="0"/>
              <w:rPr>
                <w:sz w:val="16"/>
                <w:szCs w:val="16"/>
                <w:color w:val="auto"/>
              </w:rPr>
            </w:pPr>
          </w:p>
        </w:tc>
        <w:tc>
          <w:tcPr>
            <w:tcW w:w="6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6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27,</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77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34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267"/>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Operating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Net income</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46,407</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32,350</w:t>
            </w:r>
          </w:p>
        </w:tc>
      </w:tr>
      <w:tr>
        <w:trPr>
          <w:trHeight w:val="278"/>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Adjustments to reconcile net income to net cash provided by operating activities: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5,287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4,243</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Amortization of debt issuance costs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889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LIFO expense</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1,280</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Stock-based compensation</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2,206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1,818</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Deferred income taxes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2,717</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Postretirement benefit income and deferred compensation expense</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(23,687)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(3,053)</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(946)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(680)</w:t>
            </w:r>
          </w:p>
        </w:tc>
      </w:tr>
      <w:tr>
        <w:trPr>
          <w:trHeight w:val="262"/>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Change in assets and liabilities: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Inventories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(7,497)</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(19,251)</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Receivables, prepaid and other assets</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(21,336)</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1,905</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and unrecognized tax benefits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5,806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(766)</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Accounts payable and accrued expenses</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32,778</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14,345</w:t>
            </w:r>
          </w:p>
        </w:tc>
      </w:tr>
      <w:tr>
        <w:trPr>
          <w:trHeight w:val="271"/>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and deferred compensation benefits</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(2,428)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(3,167)</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67,350</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31,741</w:t>
            </w:r>
          </w:p>
        </w:tc>
      </w:tr>
      <w:tr>
        <w:trPr>
          <w:trHeight w:val="284"/>
        </w:trPr>
        <w:tc>
          <w:tcPr>
            <w:tcW w:w="126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Investing activities:</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Purchases of property, plant and equipment</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(9,740)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(19,928)</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Proceeds from the sale of property</w:t>
            </w:r>
          </w:p>
        </w:tc>
        <w:tc>
          <w:tcPr>
            <w:tcW w:w="340" w:type="dxa"/>
            <w:vAlign w:val="bottom"/>
          </w:tcPr>
          <w:p>
            <w:pPr>
              <w:spacing w:after="0"/>
              <w:rPr>
                <w:sz w:val="22"/>
                <w:szCs w:val="22"/>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219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21</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Acquisition of business, net of cash acquired</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(394,694)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6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tcPr>
          <w:p>
            <w:pPr>
              <w:spacing w:after="0"/>
              <w:rPr>
                <w:sz w:val="22"/>
                <w:szCs w:val="22"/>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684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371</w:t>
            </w:r>
          </w:p>
        </w:tc>
      </w:tr>
      <w:tr>
        <w:trPr>
          <w:trHeight w:val="25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cash used in investing activities</w:t>
            </w:r>
          </w:p>
        </w:tc>
        <w:tc>
          <w:tcPr>
            <w:tcW w:w="340" w:type="dxa"/>
            <w:vAlign w:val="bottom"/>
            <w:tcBorders>
              <w:bottom w:val="single" w:sz="8" w:color="auto"/>
            </w:tcBorders>
            <w:shd w:val="clear" w:color="auto" w:fill="CCEEFF"/>
          </w:tcPr>
          <w:p>
            <w:pPr>
              <w:spacing w:after="0"/>
              <w:rPr>
                <w:sz w:val="21"/>
                <w:szCs w:val="21"/>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(403,531)</w:t>
            </w:r>
          </w:p>
        </w:tc>
        <w:tc>
          <w:tcPr>
            <w:tcW w:w="120" w:type="dxa"/>
            <w:vAlign w:val="bottom"/>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spacing w:after="0"/>
              <w:rPr>
                <w:sz w:val="21"/>
                <w:szCs w:val="21"/>
                <w:color w:val="auto"/>
              </w:rPr>
            </w:pPr>
          </w:p>
        </w:tc>
        <w:tc>
          <w:tcPr>
            <w:tcW w:w="14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(19,536)</w:t>
            </w:r>
          </w:p>
        </w:tc>
      </w:tr>
      <w:tr>
        <w:trPr>
          <w:trHeight w:val="284"/>
        </w:trPr>
        <w:tc>
          <w:tcPr>
            <w:tcW w:w="1260" w:type="dxa"/>
            <w:vAlign w:val="bottom"/>
          </w:tcPr>
          <w:p>
            <w:pPr>
              <w:spacing w:after="0"/>
              <w:rPr>
                <w:sz w:val="24"/>
                <w:szCs w:val="24"/>
                <w:color w:val="auto"/>
              </w:rPr>
            </w:pPr>
          </w:p>
        </w:tc>
        <w:tc>
          <w:tcPr>
            <w:tcW w:w="65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70"/>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Financing activities:</w:t>
            </w: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Payments for repurchases of common stock</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(1,367)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(3,058)</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Payments of cash dividends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(9,554)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(8,173)</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Payments of debt issuance costs</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(11,020)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Borrowings on credit facility</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366,400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Repayments of credit facility</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(69,400)</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1"/>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Other</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(92)</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40</w:t>
            </w:r>
          </w:p>
        </w:tc>
      </w:tr>
      <w:tr>
        <w:trPr>
          <w:trHeight w:val="250"/>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Net cash provided by (used in) financing activities</w:t>
            </w:r>
          </w:p>
        </w:tc>
        <w:tc>
          <w:tcPr>
            <w:tcW w:w="340" w:type="dxa"/>
            <w:vAlign w:val="bottom"/>
            <w:tcBorders>
              <w:bottom w:val="single" w:sz="8" w:color="auto"/>
            </w:tcBorders>
          </w:tcPr>
          <w:p>
            <w:pPr>
              <w:spacing w:after="0"/>
              <w:rPr>
                <w:sz w:val="21"/>
                <w:szCs w:val="21"/>
                <w:color w:val="auto"/>
              </w:rPr>
            </w:pP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274,967</w:t>
            </w:r>
          </w:p>
        </w:tc>
        <w:tc>
          <w:tcPr>
            <w:tcW w:w="120" w:type="dxa"/>
            <w:vAlign w:val="bottom"/>
            <w:tcBorders>
              <w:bottom w:val="single" w:sz="8" w:color="CCEEFF"/>
            </w:tcBorders>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(11,191)</w:t>
            </w:r>
          </w:p>
        </w:tc>
      </w:tr>
      <w:tr>
        <w:trPr>
          <w:trHeight w:val="284"/>
        </w:trPr>
        <w:tc>
          <w:tcPr>
            <w:tcW w:w="1260" w:type="dxa"/>
            <w:vAlign w:val="bottom"/>
            <w:shd w:val="clear" w:color="auto" w:fill="CCEEFF"/>
          </w:tcPr>
          <w:p>
            <w:pPr>
              <w:spacing w:after="0"/>
              <w:rPr>
                <w:sz w:val="24"/>
                <w:szCs w:val="24"/>
                <w:color w:val="auto"/>
              </w:rPr>
            </w:pPr>
          </w:p>
        </w:tc>
        <w:tc>
          <w:tcPr>
            <w:tcW w:w="650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Net (decrease) increase in cash and cash equivalents</w:t>
            </w:r>
          </w:p>
        </w:tc>
        <w:tc>
          <w:tcPr>
            <w:tcW w:w="340" w:type="dxa"/>
            <w:vAlign w:val="bottom"/>
          </w:tcPr>
          <w:p>
            <w:pPr>
              <w:spacing w:after="0"/>
              <w:rPr>
                <w:sz w:val="22"/>
                <w:szCs w:val="22"/>
                <w:color w:val="auto"/>
              </w:rPr>
            </w:pP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(61,214)</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1,014</w:t>
            </w:r>
          </w:p>
        </w:tc>
      </w:tr>
      <w:tr>
        <w:trPr>
          <w:trHeight w:val="271"/>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 and cash equivalents at beginning of period</w:t>
            </w:r>
          </w:p>
        </w:tc>
        <w:tc>
          <w:tcPr>
            <w:tcW w:w="340" w:type="dxa"/>
            <w:vAlign w:val="bottom"/>
            <w:tcBorders>
              <w:bottom w:val="single" w:sz="8" w:color="auto"/>
            </w:tcBorders>
            <w:shd w:val="clear" w:color="auto" w:fill="CCEEFF"/>
          </w:tcPr>
          <w:p>
            <w:pPr>
              <w:spacing w:after="0"/>
              <w:rPr>
                <w:sz w:val="23"/>
                <w:szCs w:val="23"/>
                <w:color w:val="auto"/>
              </w:rPr>
            </w:pPr>
          </w:p>
        </w:tc>
        <w:tc>
          <w:tcPr>
            <w:tcW w:w="144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85,583</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70,239</w:t>
            </w:r>
          </w:p>
        </w:tc>
      </w:tr>
      <w:tr>
        <w:trPr>
          <w:trHeight w:val="282"/>
        </w:trPr>
        <w:tc>
          <w:tcPr>
            <w:tcW w:w="77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Cash and cash equivalents at end of period</w:t>
            </w:r>
          </w:p>
        </w:tc>
        <w:tc>
          <w:tcPr>
            <w:tcW w:w="34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24,369</w:t>
            </w:r>
          </w:p>
        </w:tc>
        <w:tc>
          <w:tcPr>
            <w:tcW w:w="120" w:type="dxa"/>
            <w:vAlign w:val="bottom"/>
            <w:tcBorders>
              <w:bottom w:val="single" w:sz="8" w:color="CCEEFF"/>
            </w:tcBorders>
          </w:tcPr>
          <w:p>
            <w:pPr>
              <w:spacing w:after="0"/>
              <w:rPr>
                <w:sz w:val="24"/>
                <w:szCs w:val="24"/>
                <w:color w:val="auto"/>
              </w:rPr>
            </w:pPr>
          </w:p>
        </w:tc>
        <w:tc>
          <w:tcPr>
            <w:tcW w:w="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71,253</w:t>
            </w:r>
          </w:p>
        </w:tc>
      </w:tr>
      <w:tr>
        <w:trPr>
          <w:trHeight w:val="265"/>
        </w:trPr>
        <w:tc>
          <w:tcPr>
            <w:tcW w:w="1260" w:type="dxa"/>
            <w:vAlign w:val="bottom"/>
            <w:shd w:val="clear" w:color="auto" w:fill="CCEEFF"/>
          </w:tcPr>
          <w:p>
            <w:pPr>
              <w:spacing w:after="0"/>
              <w:rPr>
                <w:sz w:val="23"/>
                <w:szCs w:val="23"/>
                <w:color w:val="auto"/>
              </w:rPr>
            </w:pPr>
          </w:p>
        </w:tc>
        <w:tc>
          <w:tcPr>
            <w:tcW w:w="65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1420" w:type="dxa"/>
            <w:vAlign w:val="bottom"/>
            <w:shd w:val="clear" w:color="auto" w:fill="CCEEFF"/>
          </w:tcPr>
          <w:p>
            <w:pPr>
              <w:spacing w:after="0"/>
              <w:rPr>
                <w:sz w:val="23"/>
                <w:szCs w:val="23"/>
                <w:color w:val="auto"/>
              </w:rPr>
            </w:pPr>
          </w:p>
        </w:tc>
      </w:tr>
      <w:tr>
        <w:trPr>
          <w:trHeight w:val="262"/>
        </w:trPr>
        <w:tc>
          <w:tcPr>
            <w:tcW w:w="7760" w:type="dxa"/>
            <w:vAlign w:val="bottom"/>
            <w:gridSpan w:val="2"/>
          </w:tcPr>
          <w:p>
            <w:pPr>
              <w:ind w:left="40"/>
              <w:spacing w:after="0"/>
              <w:rPr>
                <w:sz w:val="20"/>
                <w:szCs w:val="20"/>
                <w:color w:val="auto"/>
              </w:rPr>
            </w:pPr>
            <w:r>
              <w:rPr>
                <w:rFonts w:ascii="Arial" w:cs="Arial" w:eastAsia="Arial" w:hAnsi="Arial"/>
                <w:sz w:val="16"/>
                <w:szCs w:val="16"/>
                <w:color w:val="auto"/>
              </w:rPr>
              <w:t>Supplemental cash flow disclosure:</w:t>
            </w:r>
          </w:p>
        </w:tc>
        <w:tc>
          <w:tcPr>
            <w:tcW w:w="340" w:type="dxa"/>
            <w:vAlign w:val="bottom"/>
          </w:tcPr>
          <w:p>
            <w:pPr>
              <w:spacing w:after="0"/>
              <w:rPr>
                <w:sz w:val="22"/>
                <w:szCs w:val="22"/>
                <w:color w:val="auto"/>
              </w:rPr>
            </w:pPr>
          </w:p>
        </w:tc>
        <w:tc>
          <w:tcPr>
            <w:tcW w:w="14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spacing w:after="0"/>
              <w:rPr>
                <w:sz w:val="22"/>
                <w:szCs w:val="22"/>
                <w:color w:val="auto"/>
              </w:rPr>
            </w:pP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Income taxes paid, net</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11,811</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13,137</w:t>
            </w: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Interest paid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7,288</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Non-cash transactions:</w:t>
            </w:r>
          </w:p>
        </w:tc>
        <w:tc>
          <w:tcPr>
            <w:tcW w:w="340" w:type="dxa"/>
            <w:vAlign w:val="bottom"/>
            <w:shd w:val="clear" w:color="auto" w:fill="CCEEFF"/>
          </w:tcPr>
          <w:p>
            <w:pPr>
              <w:spacing w:after="0"/>
              <w:rPr>
                <w:sz w:val="24"/>
                <w:szCs w:val="24"/>
                <w:color w:val="auto"/>
              </w:rPr>
            </w:pPr>
          </w:p>
        </w:tc>
        <w:tc>
          <w:tcPr>
            <w:tcW w:w="14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spacing w:after="0"/>
              <w:rPr>
                <w:sz w:val="24"/>
                <w:szCs w:val="24"/>
                <w:color w:val="auto"/>
              </w:rPr>
            </w:pPr>
          </w:p>
        </w:tc>
      </w:tr>
      <w:tr>
        <w:trPr>
          <w:trHeight w:val="262"/>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Issuance of Winnebago common stock for acquisition of business</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124,066</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6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Capital expenditures in accounts payable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279</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397</w:t>
            </w:r>
          </w:p>
        </w:tc>
      </w:tr>
      <w:tr>
        <w:trPr>
          <w:trHeight w:val="255"/>
        </w:trPr>
        <w:tc>
          <w:tcPr>
            <w:tcW w:w="7760" w:type="dxa"/>
            <w:vAlign w:val="bottom"/>
            <w:gridSpan w:val="2"/>
          </w:tcPr>
          <w:p>
            <w:pPr>
              <w:ind w:left="180"/>
              <w:spacing w:after="0"/>
              <w:rPr>
                <w:sz w:val="20"/>
                <w:szCs w:val="20"/>
                <w:color w:val="auto"/>
              </w:rPr>
            </w:pPr>
            <w:r>
              <w:rPr>
                <w:rFonts w:ascii="Arial" w:cs="Arial" w:eastAsia="Arial" w:hAnsi="Arial"/>
                <w:sz w:val="16"/>
                <w:szCs w:val="16"/>
                <w:color w:val="auto"/>
              </w:rPr>
              <w:t>Accrued dividend</w:t>
            </w:r>
          </w:p>
        </w:tc>
        <w:tc>
          <w:tcPr>
            <w:tcW w:w="340" w:type="dxa"/>
            <w:vAlign w:val="bottom"/>
          </w:tcPr>
          <w:p>
            <w:pPr>
              <w:jc w:val="right"/>
              <w:ind w:right="139"/>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239"/>
              <w:spacing w:after="0"/>
              <w:rPr>
                <w:sz w:val="20"/>
                <w:szCs w:val="20"/>
                <w:color w:val="auto"/>
              </w:rPr>
            </w:pPr>
            <w:r>
              <w:rPr>
                <w:rFonts w:ascii="Arial" w:cs="Arial" w:eastAsia="Arial" w:hAnsi="Arial"/>
                <w:sz w:val="16"/>
                <w:szCs w:val="16"/>
                <w:color w:val="auto"/>
              </w:rPr>
              <w:t>3,184</w:t>
            </w:r>
          </w:p>
        </w:tc>
        <w:tc>
          <w:tcPr>
            <w:tcW w:w="120" w:type="dxa"/>
            <w:vAlign w:val="bottom"/>
          </w:tcPr>
          <w:p>
            <w:pPr>
              <w:spacing w:after="0"/>
              <w:rPr>
                <w:sz w:val="22"/>
                <w:szCs w:val="22"/>
                <w:color w:val="auto"/>
              </w:rPr>
            </w:pPr>
          </w:p>
        </w:tc>
        <w:tc>
          <w:tcPr>
            <w:tcW w:w="340" w:type="dxa"/>
            <w:vAlign w:val="bottom"/>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bl>
    <w:p>
      <w:pPr>
        <w:spacing w:after="0" w:line="56" w:lineRule="exact"/>
        <w:rPr>
          <w:sz w:val="20"/>
          <w:szCs w:val="20"/>
          <w:color w:val="auto"/>
        </w:rPr>
      </w:pPr>
    </w:p>
    <w:p>
      <w:pPr>
        <w:spacing w:after="0"/>
        <w:rPr>
          <w:sz w:val="20"/>
          <w:szCs w:val="20"/>
          <w:color w:val="auto"/>
        </w:rPr>
      </w:pPr>
      <w:r>
        <w:rPr>
          <w:rFonts w:ascii="Arial" w:cs="Arial" w:eastAsia="Arial" w:hAnsi="Arial"/>
          <w:sz w:val="14"/>
          <w:szCs w:val="14"/>
          <w:color w:val="auto"/>
        </w:rPr>
        <w:t>See notes to condensed consolidated financial statements.</w:t>
      </w:r>
    </w:p>
    <w:p>
      <w:pPr>
        <w:sectPr>
          <w:pgSz w:w="11900" w:h="16838" w:orient="portrait"/>
          <w:cols w:equalWidth="0" w:num="1">
            <w:col w:w="11420"/>
          </w:cols>
          <w:pgMar w:left="240" w:top="118" w:right="239" w:bottom="1099" w:gutter="0" w:footer="0" w:header="0"/>
        </w:sect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4</w:t>
      </w:r>
    </w:p>
    <w:p>
      <w:pPr>
        <w:sectPr>
          <w:pgSz w:w="11900" w:h="16838" w:orient="portrait"/>
          <w:cols w:equalWidth="0" w:num="1">
            <w:col w:w="11420"/>
          </w:cols>
          <w:pgMar w:left="240" w:top="118" w:right="239" w:bottom="1099" w:gutter="0" w:footer="0" w:header="0"/>
          <w:type w:val="continuous"/>
        </w:sectPr>
      </w:pPr>
    </w:p>
    <w:bookmarkStart w:id="6" w:name="page7"/>
    <w:bookmarkEnd w:id="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Winnebago Industries, Inc.</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Notes to Condensed Consolidated Financial Statements</w:t>
      </w:r>
    </w:p>
    <w:p>
      <w:pPr>
        <w:spacing w:after="0" w:line="5" w:lineRule="exact"/>
        <w:rPr>
          <w:sz w:val="20"/>
          <w:szCs w:val="20"/>
          <w:color w:val="auto"/>
        </w:rPr>
      </w:pPr>
    </w:p>
    <w:p>
      <w:pPr>
        <w:jc w:val="center"/>
        <w:ind w:right="-39"/>
        <w:spacing w:after="0"/>
        <w:rPr>
          <w:sz w:val="20"/>
          <w:szCs w:val="20"/>
          <w:color w:val="auto"/>
        </w:rPr>
      </w:pPr>
      <w:r>
        <w:rPr>
          <w:rFonts w:ascii="Arial" w:cs="Arial" w:eastAsia="Arial" w:hAnsi="Arial"/>
          <w:sz w:val="16"/>
          <w:szCs w:val="16"/>
          <w:b w:val="1"/>
          <w:bCs w:val="1"/>
          <w:color w:val="auto"/>
        </w:rPr>
        <w:t>(Unaudited)</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 Basis of Presentation</w:t>
      </w:r>
    </w:p>
    <w:p>
      <w:pPr>
        <w:spacing w:after="0" w:line="169"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 "Company," "we," "our" and "us" are used interchangeably to refer to Winnebago Industries, Inc. and its wholly-owned subsidiaries, as appropriate in the context.</w:t>
      </w:r>
    </w:p>
    <w:p>
      <w:pPr>
        <w:spacing w:after="0" w:line="121"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We were incorporated under the laws of the state of Iowa on February 12, 1958 and adopted our present name on February 28, 1961. Our primary offices are located at 605 West Crystal Lake Road in Forest City, Iowa. Our telephone number is (641) 585-3535; our website is www.winnebagoind.com. Our common stock trades on the NYSE under the symbol “WGO.”</w:t>
      </w:r>
    </w:p>
    <w:p>
      <w:pPr>
        <w:spacing w:after="0" w:line="138" w:lineRule="exact"/>
        <w:rPr>
          <w:sz w:val="20"/>
          <w:szCs w:val="20"/>
          <w:color w:val="auto"/>
        </w:rPr>
      </w:pPr>
    </w:p>
    <w:p>
      <w:pPr>
        <w:spacing w:after="0" w:line="253" w:lineRule="auto"/>
        <w:rPr>
          <w:sz w:val="20"/>
          <w:szCs w:val="20"/>
          <w:color w:val="auto"/>
        </w:rPr>
      </w:pPr>
      <w:r>
        <w:rPr>
          <w:rFonts w:ascii="Arial" w:cs="Arial" w:eastAsia="Arial" w:hAnsi="Arial"/>
          <w:sz w:val="16"/>
          <w:szCs w:val="16"/>
          <w:color w:val="auto"/>
        </w:rPr>
        <w:t>The accompanying unaudited condensed consolidated financial statements have been prepared in accordance with GAAP for interim financial information and with the instructions to Form 10-Q and Article 10 of Regulation S-X. As permitted under those rules, certain footnotes or other financial information that are normally required by GAAP can be condensed or omitted. In our opinion, the accompanying unaudited condensed consolidated financial statements contain all adjustments, consisting of normal recurring accruals, necessary to present fairly our consolidated financial position as of May 27, 2017 and the consolidated results of income and comprehensive income and consolidated cash flows for the first nine months of Fiscal 2017 and 2016. The consolidated statement of income and comprehensive income for the first nine months of Fiscal 2017 is not necessarily indicative of the results to be expected for the full year. These interim financial statements should be read in conjunction with the audited consolidated financial statements and notes thereto appearing in our Annual Report on Form 10-K for the fiscal year ended August 27, 2016.</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Fiscal Period</w:t>
      </w:r>
    </w:p>
    <w:p>
      <w:pPr>
        <w:spacing w:after="0" w:line="27" w:lineRule="exact"/>
        <w:rPr>
          <w:sz w:val="20"/>
          <w:szCs w:val="20"/>
          <w:color w:val="auto"/>
        </w:rPr>
      </w:pPr>
    </w:p>
    <w:p>
      <w:pPr>
        <w:spacing w:after="0"/>
        <w:rPr>
          <w:sz w:val="20"/>
          <w:szCs w:val="20"/>
          <w:color w:val="auto"/>
        </w:rPr>
      </w:pPr>
      <w:r>
        <w:rPr>
          <w:rFonts w:ascii="Arial" w:cs="Arial" w:eastAsia="Arial" w:hAnsi="Arial"/>
          <w:sz w:val="16"/>
          <w:szCs w:val="16"/>
          <w:color w:val="auto"/>
        </w:rPr>
        <w:t>We follow a 52-/53-week fiscal year, ending the last Saturday in August. Both Fiscal 2017 and Fiscal 2016 are 52-week years.</w:t>
      </w:r>
    </w:p>
    <w:p>
      <w:pPr>
        <w:spacing w:after="0" w:line="17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Goodwill and Indefinite-Lived Intangible Asset</w:t>
      </w:r>
    </w:p>
    <w:p>
      <w:pPr>
        <w:spacing w:after="0" w:line="27" w:lineRule="exact"/>
        <w:rPr>
          <w:sz w:val="20"/>
          <w:szCs w:val="20"/>
          <w:color w:val="auto"/>
        </w:rPr>
      </w:pPr>
    </w:p>
    <w:p>
      <w:pPr>
        <w:ind w:right="40"/>
        <w:spacing w:after="0" w:line="248" w:lineRule="auto"/>
        <w:rPr>
          <w:sz w:val="20"/>
          <w:szCs w:val="20"/>
          <w:color w:val="auto"/>
        </w:rPr>
      </w:pPr>
      <w:r>
        <w:rPr>
          <w:rFonts w:ascii="Arial" w:cs="Arial" w:eastAsia="Arial" w:hAnsi="Arial"/>
          <w:sz w:val="16"/>
          <w:szCs w:val="16"/>
          <w:color w:val="auto"/>
        </w:rPr>
        <w:t>Goodwill resulted primarily from the Grand Design business combination and represents the excess of the purchase price over the fair value of tangible assets and identifiable intangible assets and liabilities assumed. Annually in the fourth quarter, or if conditions indicate an interim review is necessary, we assess qualitative factors to determine if it is more likely than not that the fair value of a reporting unit is less than its carrying amount and if it is necessary to perform the quantitative two-step goodwill impairment test. If we perform the quantitative test, we compare the carrying value of the reporting unit to an estimate of the reporting unit’s fair value to identify potential impairment. The estimate of the reporting unit’s fair value is determined by weighting a discounted cash flow model and a market-related model using current industry information that involve significant unobservable inputs (Level 3 inputs). In determining the estimated future cash flow, we consider and apply certain estimates and judgments, including current and projected future levels of income based on management’s plans, business trends, prospects and market and economic conditions and market-participant considerations. If the estimated fair value of the reporting unit is less than the carrying value, a second step is performed to determine the amount of the potential goodwill impairment. If impaired, goodwill is written down to its estimated implied fair value.</w:t>
      </w:r>
    </w:p>
    <w:p>
      <w:pPr>
        <w:spacing w:after="0" w:line="15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As of May 27, 2017, we had an indefinite-lived intangible asset for the trade name of $148.0 million, from the Grand Design acquisition. Annually in the fourth quarter, or if conditions indicate an interim review is necessary, we assess qualitative factors to determine if it is more likely than not that the fair value of an indefinite-lived intangible asset is less than its carrying amount. If we perform a quantitative test, projections regarding estimated discounted future cash flows and other factors are made to determine if impairment has occurred. These assumptions require significant judgment and actual results may differ from assumed and estimated amounts. If we conclude that there has been impairment, we will write down the carrying value of the asset to its fair value.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Other Intangible and Long-Lived Assets</w:t>
      </w:r>
    </w:p>
    <w:p>
      <w:pPr>
        <w:spacing w:after="0" w:line="27" w:lineRule="exact"/>
        <w:rPr>
          <w:sz w:val="20"/>
          <w:szCs w:val="20"/>
          <w:color w:val="auto"/>
        </w:rPr>
      </w:pPr>
    </w:p>
    <w:p>
      <w:pPr>
        <w:ind w:right="60"/>
        <w:spacing w:after="0" w:line="249" w:lineRule="auto"/>
        <w:rPr>
          <w:sz w:val="20"/>
          <w:szCs w:val="20"/>
          <w:color w:val="auto"/>
        </w:rPr>
      </w:pPr>
      <w:r>
        <w:rPr>
          <w:rFonts w:ascii="Arial" w:cs="Arial" w:eastAsia="Arial" w:hAnsi="Arial"/>
          <w:sz w:val="16"/>
          <w:szCs w:val="16"/>
          <w:color w:val="auto"/>
        </w:rPr>
        <w:t>Long-lived assets, which include property, plant and equipment, and definite-lived intangible assets, primarily the dealer network, are assessed for impairment whenever events or changes in circumstances indicate the carrying amount of the asset may not be recoverable. The impairment testing involves comparing the carrying amount of the asset to the forecasted undiscounted future cash flows generated by that asset. These assumptions require significant judgment and actual results may differ from assumed and estimated amounts. In the event the carrying amount of the asset exceeds the undiscounted future cash flows generated by that asset and the carrying amount is not considered recoverable, an impairment exists. An impairment loss is measured as the excess of the asset’s carrying amount over its fair value and is recognized in the statement of income in the period that the impairment occurs. The dealer network is amortized over its estimated useful life of 12 years. The reasonableness of the useful lives of this asset and other long-lived assets is regularly evaluated.</w:t>
      </w:r>
    </w:p>
    <w:p>
      <w:pPr>
        <w:spacing w:after="0" w:line="156" w:lineRule="exact"/>
        <w:rPr>
          <w:sz w:val="20"/>
          <w:szCs w:val="20"/>
          <w:color w:val="auto"/>
        </w:rPr>
      </w:pPr>
    </w:p>
    <w:p>
      <w:pPr>
        <w:spacing w:after="0"/>
        <w:rPr>
          <w:sz w:val="20"/>
          <w:szCs w:val="20"/>
          <w:color w:val="auto"/>
        </w:rPr>
      </w:pPr>
      <w:r>
        <w:rPr>
          <w:rFonts w:ascii="Arial" w:cs="Arial" w:eastAsia="Arial" w:hAnsi="Arial"/>
          <w:sz w:val="16"/>
          <w:szCs w:val="16"/>
          <w:color w:val="auto"/>
        </w:rPr>
        <w:t>There was no impairment loss for the period ended May 27, 2017 for goodwill, indefinite- or definite-lived intangible assets, or long-lived assets.</w:t>
      </w:r>
    </w:p>
    <w:p>
      <w:pPr>
        <w:spacing w:after="0" w:line="200" w:lineRule="exact"/>
        <w:rPr>
          <w:sz w:val="20"/>
          <w:szCs w:val="20"/>
          <w:color w:val="auto"/>
        </w:rPr>
      </w:pPr>
    </w:p>
    <w:p>
      <w:pPr>
        <w:spacing w:after="0" w:line="237"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5</w:t>
      </w:r>
    </w:p>
    <w:p>
      <w:pPr>
        <w:sectPr>
          <w:pgSz w:w="11900" w:h="16838" w:orient="portrait"/>
          <w:cols w:equalWidth="0" w:num="1">
            <w:col w:w="11380"/>
          </w:cols>
          <w:pgMar w:left="240" w:top="121" w:right="279" w:bottom="1440" w:gutter="0" w:footer="0" w:header="0"/>
        </w:sectPr>
      </w:pPr>
    </w:p>
    <w:bookmarkStart w:id="7" w:name="page8"/>
    <w:bookmarkEnd w:id="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Debt Issuance Costs</w:t>
      </w:r>
    </w:p>
    <w:p>
      <w:pPr>
        <w:spacing w:after="0" w:line="27" w:lineRule="exact"/>
        <w:rPr>
          <w:sz w:val="20"/>
          <w:szCs w:val="20"/>
          <w:color w:val="auto"/>
        </w:rPr>
      </w:pPr>
    </w:p>
    <w:p>
      <w:pPr>
        <w:ind w:right="80"/>
        <w:spacing w:after="0" w:line="250" w:lineRule="auto"/>
        <w:rPr>
          <w:sz w:val="20"/>
          <w:szCs w:val="20"/>
          <w:color w:val="auto"/>
        </w:rPr>
      </w:pPr>
      <w:r>
        <w:rPr>
          <w:rFonts w:ascii="Arial" w:cs="Arial" w:eastAsia="Arial" w:hAnsi="Arial"/>
          <w:sz w:val="16"/>
          <w:szCs w:val="16"/>
          <w:color w:val="auto"/>
        </w:rPr>
        <w:t>We amortize debt issuance costs on a straight-line basis (which is not materially different from an effective interest method) over the term of the associated debt agreement. If early principal payments are made on the Term Loan, a proportional portion of the unamortized issuance costs will be expensed. We incurred $0 and $0.8 million of costs in the three months and the nine months ended May 27, 2017, respectively, related to our revolving credit agreement that are being amortized on a straight-line basis over the five year term of the agreement. We incurred $0 and $10.2 million of costs in the three months and the nine months ended May 27, 2017, respectively, related to the Term Loan that are being amortized on a straight-line basis over the seven year term of the agreement.</w:t>
      </w:r>
    </w:p>
    <w:p>
      <w:pPr>
        <w:spacing w:after="0" w:line="38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Derivative Instruments</w:t>
      </w:r>
    </w:p>
    <w:p>
      <w:pPr>
        <w:spacing w:after="0" w:line="48"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 xml:space="preserve">We use derivative instruments to hedge our floating interest rate exposure. 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We have designated these derivatives as cash flow hedges for accounting purposes. Changes in fair value, for the effective portion of qualifying hedges, are recorded in OCI. We review the effectiveness of our hedging instruments on a quarterly basis, recognize current period hedge ineffectiveness immediately in earnings, and discontinue hedge accounting for any hedge that we no longer consider to be highly effective.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Recently Adopted Accounting Pronouncements</w:t>
      </w:r>
    </w:p>
    <w:p>
      <w:pPr>
        <w:spacing w:after="0" w:line="27" w:lineRule="exact"/>
        <w:rPr>
          <w:sz w:val="20"/>
          <w:szCs w:val="20"/>
          <w:color w:val="auto"/>
        </w:rPr>
      </w:pPr>
    </w:p>
    <w:p>
      <w:pPr>
        <w:jc w:val="both"/>
        <w:ind w:right="60"/>
        <w:spacing w:after="0" w:line="253" w:lineRule="auto"/>
        <w:rPr>
          <w:sz w:val="20"/>
          <w:szCs w:val="20"/>
          <w:color w:val="auto"/>
        </w:rPr>
      </w:pPr>
      <w:r>
        <w:rPr>
          <w:rFonts w:ascii="Arial" w:cs="Arial" w:eastAsia="Arial" w:hAnsi="Arial"/>
          <w:sz w:val="16"/>
          <w:szCs w:val="16"/>
          <w:color w:val="auto"/>
        </w:rPr>
        <w:t xml:space="preserve">In April 2015, the FASB issued ASU 2015-03, </w:t>
      </w:r>
      <w:r>
        <w:rPr>
          <w:rFonts w:ascii="Arial" w:cs="Arial" w:eastAsia="Arial" w:hAnsi="Arial"/>
          <w:sz w:val="16"/>
          <w:szCs w:val="16"/>
          <w:i w:val="1"/>
          <w:iCs w:val="1"/>
          <w:color w:val="auto"/>
        </w:rPr>
        <w:t>Interest - Imputation of Interest (Topic 835)</w:t>
      </w:r>
      <w:r>
        <w:rPr>
          <w:rFonts w:ascii="Arial" w:cs="Arial" w:eastAsia="Arial" w:hAnsi="Arial"/>
          <w:sz w:val="16"/>
          <w:szCs w:val="16"/>
          <w:color w:val="auto"/>
        </w:rPr>
        <w:t>, which requires that debt issuance costs related to a recognized debt liability be presented in the balance sheet as a direct deduction from the carrying amount of that debt liability. We adopted the standard during the first quarter of Fiscal 2017 and, accordingly, have presented unamortized debt issuance costs as a direct reduction allocated between Current maturities of long-term debt and Long-term debt, less current maturities on the Consolidated Balance Sheet as of May 27, 2017.</w:t>
      </w:r>
    </w:p>
    <w:p>
      <w:pPr>
        <w:spacing w:after="0" w:line="150" w:lineRule="exact"/>
        <w:rPr>
          <w:sz w:val="20"/>
          <w:szCs w:val="20"/>
          <w:color w:val="auto"/>
        </w:rPr>
      </w:pPr>
    </w:p>
    <w:p>
      <w:pPr>
        <w:ind w:right="60"/>
        <w:spacing w:after="0" w:line="255" w:lineRule="auto"/>
        <w:rPr>
          <w:sz w:val="20"/>
          <w:szCs w:val="20"/>
          <w:color w:val="auto"/>
        </w:rPr>
      </w:pPr>
      <w:r>
        <w:rPr>
          <w:rFonts w:ascii="Arial" w:cs="Arial" w:eastAsia="Arial" w:hAnsi="Arial"/>
          <w:sz w:val="16"/>
          <w:szCs w:val="16"/>
          <w:color w:val="auto"/>
        </w:rPr>
        <w:t xml:space="preserve">In September 2015, the FASB issued ASU 2015-16, </w:t>
      </w:r>
      <w:r>
        <w:rPr>
          <w:rFonts w:ascii="Arial" w:cs="Arial" w:eastAsia="Arial" w:hAnsi="Arial"/>
          <w:sz w:val="16"/>
          <w:szCs w:val="16"/>
          <w:i w:val="1"/>
          <w:iCs w:val="1"/>
          <w:color w:val="auto"/>
        </w:rPr>
        <w:t>Business Combinations (Topic 805),</w:t>
      </w:r>
      <w:r>
        <w:rPr>
          <w:rFonts w:ascii="Arial" w:cs="Arial" w:eastAsia="Arial" w:hAnsi="Arial"/>
          <w:sz w:val="16"/>
          <w:szCs w:val="16"/>
          <w:color w:val="auto"/>
        </w:rPr>
        <w:t xml:space="preserve"> to simplify the accounting for measurement-period adjustments in a business combination. Under the new standard, an acquirer must recognize adjustments to provisional amounts in a business combination in the reporting period in which the adjustment amounts are determined, rather than retrospectively adjusting the provisional amounts recognized at the acquisition date with a corresponding adjustment to goodwill as under current guidance. ASU 2015-16 is effective prospectively for fiscal years, and the interim periods within those years, beginning after December 15, 2015 (our Fiscal 2017). We adopted this standard on August 28, 2016 and have accounted for all adjustments to provisional amounts in accordance with this guidance.</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New Accounting Pronouncements</w:t>
      </w:r>
    </w:p>
    <w:p>
      <w:pPr>
        <w:spacing w:after="0" w:line="27" w:lineRule="exact"/>
        <w:rPr>
          <w:sz w:val="20"/>
          <w:szCs w:val="20"/>
          <w:color w:val="auto"/>
        </w:rPr>
      </w:pPr>
    </w:p>
    <w:p>
      <w:pPr>
        <w:ind w:right="40"/>
        <w:spacing w:after="0" w:line="249" w:lineRule="auto"/>
        <w:rPr>
          <w:sz w:val="20"/>
          <w:szCs w:val="20"/>
          <w:color w:val="auto"/>
        </w:rPr>
      </w:pPr>
      <w:r>
        <w:rPr>
          <w:rFonts w:ascii="Arial" w:cs="Arial" w:eastAsia="Arial" w:hAnsi="Arial"/>
          <w:sz w:val="16"/>
          <w:szCs w:val="16"/>
          <w:color w:val="auto"/>
        </w:rPr>
        <w:t xml:space="preserve">In May 2014, the FASB issued ASU 2014-09, </w:t>
      </w:r>
      <w:r>
        <w:rPr>
          <w:rFonts w:ascii="Arial" w:cs="Arial" w:eastAsia="Arial" w:hAnsi="Arial"/>
          <w:sz w:val="16"/>
          <w:szCs w:val="16"/>
          <w:i w:val="1"/>
          <w:iCs w:val="1"/>
          <w:color w:val="auto"/>
        </w:rPr>
        <w:t>Revenue from Contracts with Customers (Topic 606)</w:t>
      </w:r>
      <w:r>
        <w:rPr>
          <w:rFonts w:ascii="Arial" w:cs="Arial" w:eastAsia="Arial" w:hAnsi="Arial"/>
          <w:sz w:val="16"/>
          <w:szCs w:val="16"/>
          <w:color w:val="auto"/>
        </w:rPr>
        <w:t>, which establishes a comprehensive new model for the recognition of revenue from contracts with customers. This model is based on the core principle that revenue should be recognized to depict the transfer of promised goods or services to customers in an amount that reflects the consideration to which the entity expects to be entitled in exchange for those goods or services. Entities have the option of using either retrospective transition or a modified approach in applying the new standard. The standard is effective for fiscal years, and the interim periods within those years, beginning after December 15, 2017 (our Fiscal 2019). We are currently evaluating the approach we will use to apply the new standard and the impact adopting this ASU will have on our consolidated financial statements. This evaluation will include a review of representative contracts with key customers and the performance obligations contained therein, as well as a review of our commercial terms and practices across each of our segments.</w:t>
      </w:r>
    </w:p>
    <w:p>
      <w:pPr>
        <w:spacing w:after="0" w:line="155" w:lineRule="exact"/>
        <w:rPr>
          <w:sz w:val="20"/>
          <w:szCs w:val="20"/>
          <w:color w:val="auto"/>
        </w:rPr>
      </w:pPr>
    </w:p>
    <w:p>
      <w:pPr>
        <w:spacing w:after="0" w:line="257" w:lineRule="auto"/>
        <w:rPr>
          <w:sz w:val="20"/>
          <w:szCs w:val="20"/>
          <w:color w:val="auto"/>
        </w:rPr>
      </w:pPr>
      <w:r>
        <w:rPr>
          <w:rFonts w:ascii="Arial" w:cs="Arial" w:eastAsia="Arial" w:hAnsi="Arial"/>
          <w:sz w:val="16"/>
          <w:szCs w:val="16"/>
          <w:color w:val="auto"/>
        </w:rPr>
        <w:t xml:space="preserve">In July 2015, the FASB issued ASU 2015-11, </w:t>
      </w:r>
      <w:r>
        <w:rPr>
          <w:rFonts w:ascii="Arial" w:cs="Arial" w:eastAsia="Arial" w:hAnsi="Arial"/>
          <w:sz w:val="16"/>
          <w:szCs w:val="16"/>
          <w:i w:val="1"/>
          <w:iCs w:val="1"/>
          <w:color w:val="auto"/>
        </w:rPr>
        <w:t>Inventory (Topic 330),</w:t>
      </w:r>
      <w:r>
        <w:rPr>
          <w:rFonts w:ascii="Arial" w:cs="Arial" w:eastAsia="Arial" w:hAnsi="Arial"/>
          <w:sz w:val="16"/>
          <w:szCs w:val="16"/>
          <w:color w:val="auto"/>
        </w:rPr>
        <w:t xml:space="preserve"> which requires inventory measured using any method other than last-in, first-out (“LIFO”) or the retail inventory method to be subsequently measured at the lower of cost or net realizable value, rather than at the lower of cost or market. Under this ASU, subsequent measurement of inventory using the LIFO and retail inventory method is unchanged. ASU 2015-11 will become effective prospectively for fiscal years beginning after December 15, 2016 (our Fiscal 2018). We are currently evaluating the impact of adopting this ASU on our consolidated financial statements and do not expect adoption to have a material impact.</w:t>
      </w:r>
    </w:p>
    <w:p>
      <w:pPr>
        <w:spacing w:after="0" w:line="149"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 xml:space="preserve">In February 2016, the FASB issued ASU 2016-02, </w:t>
      </w:r>
      <w:r>
        <w:rPr>
          <w:rFonts w:ascii="Arial" w:cs="Arial" w:eastAsia="Arial" w:hAnsi="Arial"/>
          <w:sz w:val="16"/>
          <w:szCs w:val="16"/>
          <w:i w:val="1"/>
          <w:iCs w:val="1"/>
          <w:color w:val="auto"/>
        </w:rPr>
        <w:t>Leases (Topic 842)</w:t>
      </w:r>
      <w:r>
        <w:rPr>
          <w:rFonts w:ascii="Arial" w:cs="Arial" w:eastAsia="Arial" w:hAnsi="Arial"/>
          <w:sz w:val="16"/>
          <w:szCs w:val="16"/>
          <w:color w:val="auto"/>
        </w:rPr>
        <w:t>, which requires an entity to recognize both assets and liabilities arising from financing and operating leases, along with additional qualitative and quantitative disclosures. The new standard is effective retrospectively or on a modified retrospective basis for fiscal years beginning after December 15, 2018 (our Fiscal 2020), including interim periods within those annual reporting periods. Early adoption is permitted. We are currently evaluating the impact of adopting this ASU on our consolidated financial statements.</w:t>
      </w:r>
    </w:p>
    <w:p>
      <w:pPr>
        <w:spacing w:after="0" w:line="145"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 xml:space="preserve">In March 2016, the FASB issued ASU 2016-09, </w:t>
      </w:r>
      <w:r>
        <w:rPr>
          <w:rFonts w:ascii="Arial" w:cs="Arial" w:eastAsia="Arial" w:hAnsi="Arial"/>
          <w:sz w:val="16"/>
          <w:szCs w:val="16"/>
          <w:i w:val="1"/>
          <w:iCs w:val="1"/>
          <w:color w:val="auto"/>
        </w:rPr>
        <w:t>Improvements to Employee Share-Based Payment Accounting (Topic 718)</w:t>
      </w:r>
      <w:r>
        <w:rPr>
          <w:rFonts w:ascii="Arial" w:cs="Arial" w:eastAsia="Arial" w:hAnsi="Arial"/>
          <w:sz w:val="16"/>
          <w:szCs w:val="16"/>
          <w:color w:val="auto"/>
        </w:rPr>
        <w:t>, which simplifies several aspects of the accounting for employee share-based payment transactions, including the accounting for the related income taxes, forfeitures, statutory tax withholding requirements and classification in the statement of cash flows. ASU 2016-09 is effective for annual reporting periods beginning after December 15, 2016 (our Fiscal 2018),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392"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6</w:t>
      </w:r>
    </w:p>
    <w:p>
      <w:pPr>
        <w:sectPr>
          <w:pgSz w:w="11900" w:h="16838" w:orient="portrait"/>
          <w:cols w:equalWidth="0" w:num="1">
            <w:col w:w="11400"/>
          </w:cols>
          <w:pgMar w:left="240" w:top="121" w:right="259" w:bottom="1440" w:gutter="0" w:footer="0" w:header="0"/>
        </w:sectPr>
      </w:pPr>
    </w:p>
    <w:bookmarkStart w:id="8" w:name="page9"/>
    <w:bookmarkEnd w:id="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40"/>
        <w:spacing w:after="0" w:line="261" w:lineRule="auto"/>
        <w:rPr>
          <w:sz w:val="20"/>
          <w:szCs w:val="20"/>
          <w:color w:val="auto"/>
        </w:rPr>
      </w:pPr>
      <w:r>
        <w:rPr>
          <w:rFonts w:ascii="Arial" w:cs="Arial" w:eastAsia="Arial" w:hAnsi="Arial"/>
          <w:sz w:val="16"/>
          <w:szCs w:val="16"/>
          <w:color w:val="auto"/>
        </w:rPr>
        <w:t xml:space="preserve">In August 2016, the FASB issued ASU 2016-15, </w:t>
      </w:r>
      <w:r>
        <w:rPr>
          <w:rFonts w:ascii="Arial" w:cs="Arial" w:eastAsia="Arial" w:hAnsi="Arial"/>
          <w:sz w:val="16"/>
          <w:szCs w:val="16"/>
          <w:i w:val="1"/>
          <w:iCs w:val="1"/>
          <w:color w:val="auto"/>
        </w:rPr>
        <w:t>Classification of Certain Cash Receipts and Cash Payments (Topic 230)</w:t>
      </w:r>
      <w:r>
        <w:rPr>
          <w:rFonts w:ascii="Arial" w:cs="Arial" w:eastAsia="Arial" w:hAnsi="Arial"/>
          <w:sz w:val="16"/>
          <w:szCs w:val="16"/>
          <w:color w:val="auto"/>
        </w:rPr>
        <w:t>, which provides guidance for eight specific cash flow issues with the objective of reducing the existing diversity in practice. ASU 2016-15 is effective retrospectively for annual reporting periods beginning after December 15, 2017 (our Fiscal 2019), including interim periods within those annual reporting periods. Early adoption is permitted. We are currently evaluating the impact of adopting this ASU on our consolidated financial statements and do not expect adoption to have a material impact.</w:t>
      </w:r>
    </w:p>
    <w:p>
      <w:pPr>
        <w:spacing w:after="0" w:line="145" w:lineRule="exact"/>
        <w:rPr>
          <w:sz w:val="20"/>
          <w:szCs w:val="20"/>
          <w:color w:val="auto"/>
        </w:rPr>
      </w:pPr>
    </w:p>
    <w:p>
      <w:pPr>
        <w:jc w:val="both"/>
        <w:ind w:right="200"/>
        <w:spacing w:after="0" w:line="261" w:lineRule="auto"/>
        <w:rPr>
          <w:sz w:val="20"/>
          <w:szCs w:val="20"/>
          <w:color w:val="auto"/>
        </w:rPr>
      </w:pPr>
      <w:r>
        <w:rPr>
          <w:rFonts w:ascii="Arial" w:cs="Arial" w:eastAsia="Arial" w:hAnsi="Arial"/>
          <w:sz w:val="16"/>
          <w:szCs w:val="16"/>
          <w:color w:val="auto"/>
        </w:rPr>
        <w:t xml:space="preserve">In January 2017, the FASB issued ASU 2017-04, </w:t>
      </w:r>
      <w:r>
        <w:rPr>
          <w:rFonts w:ascii="Arial" w:cs="Arial" w:eastAsia="Arial" w:hAnsi="Arial"/>
          <w:sz w:val="16"/>
          <w:szCs w:val="16"/>
          <w:i w:val="1"/>
          <w:iCs w:val="1"/>
          <w:color w:val="auto"/>
        </w:rPr>
        <w:t>Simplifying the Test for Goodwill Impairment (Topic 350),</w:t>
      </w:r>
      <w:r>
        <w:rPr>
          <w:rFonts w:ascii="Arial" w:cs="Arial" w:eastAsia="Arial" w:hAnsi="Arial"/>
          <w:sz w:val="16"/>
          <w:szCs w:val="16"/>
          <w:color w:val="auto"/>
        </w:rPr>
        <w:t xml:space="preserve"> which eliminates the requirement to calculate the implied fair value of goodwill to measure a goodwill impairment change. ASU 2017-04 is effective prospectively for fiscal years, and the interim periods within those years, beginning after December 15, 2019 (our Fiscal 2021). We are currently evaluating the impact of adopting this ASU on our consolidated financial statements and do not expect adoption to have a material impact.</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Subsequent Events</w:t>
      </w:r>
    </w:p>
    <w:p>
      <w:pPr>
        <w:spacing w:after="0" w:line="27"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auto"/>
        </w:rPr>
        <w:t>In preparing the accompanying condensed consolidated financial statements, we evaluated the period from May 28, 2017 through the date the financial statements were issued, for material subsequent events requiring recognition or disclosure. No such events were identified for this period.</w:t>
      </w:r>
    </w:p>
    <w:p>
      <w:pPr>
        <w:spacing w:after="0" w:line="22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2: Business Combination, Goodwill and Other Intangible Assets</w:t>
      </w:r>
    </w:p>
    <w:p>
      <w:pPr>
        <w:spacing w:after="0" w:line="210" w:lineRule="exact"/>
        <w:rPr>
          <w:sz w:val="20"/>
          <w:szCs w:val="20"/>
          <w:color w:val="auto"/>
        </w:rPr>
      </w:pPr>
    </w:p>
    <w:p>
      <w:pPr>
        <w:ind w:right="100"/>
        <w:spacing w:after="0" w:line="327" w:lineRule="auto"/>
        <w:rPr>
          <w:sz w:val="20"/>
          <w:szCs w:val="20"/>
          <w:color w:val="auto"/>
        </w:rPr>
      </w:pPr>
      <w:r>
        <w:rPr>
          <w:rFonts w:ascii="Arial" w:cs="Arial" w:eastAsia="Arial" w:hAnsi="Arial"/>
          <w:sz w:val="16"/>
          <w:szCs w:val="16"/>
          <w:color w:val="auto"/>
        </w:rPr>
        <w:t>We acquired 100% of the ownership interests of Grand Design on November 8, 2016 in accordance with the Securities Purchase Agreement for an aggregate purchase price of $520.5 million, which was paid in cash and Winnebago shares as follows: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9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32"/>
        </w:trPr>
        <w:tc>
          <w:tcPr>
            <w:tcW w:w="98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shares)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4"/>
        </w:trPr>
        <w:tc>
          <w:tcPr>
            <w:tcW w:w="99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396,442</w:t>
            </w:r>
          </w:p>
        </w:tc>
      </w:tr>
      <w:tr>
        <w:trPr>
          <w:trHeight w:val="264"/>
        </w:trPr>
        <w:tc>
          <w:tcPr>
            <w:tcW w:w="99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Winnebago shares: 4,586,555 at $27.05 per share</w:t>
            </w:r>
          </w:p>
        </w:tc>
        <w:tc>
          <w:tcPr>
            <w:tcW w:w="18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124,066</w:t>
            </w:r>
          </w:p>
        </w:tc>
      </w:tr>
      <w:tr>
        <w:trPr>
          <w:trHeight w:val="242"/>
        </w:trPr>
        <w:tc>
          <w:tcPr>
            <w:tcW w:w="994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98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The cash portion was funded from cash on hand and borrowings under our ABL and Term Loan agreements. The stock was valued using our share price on the date of closing.</w:t>
      </w:r>
    </w:p>
    <w:p>
      <w:pPr>
        <w:spacing w:after="0" w:line="148" w:lineRule="exact"/>
        <w:rPr>
          <w:sz w:val="20"/>
          <w:szCs w:val="20"/>
          <w:color w:val="auto"/>
        </w:rPr>
      </w:pPr>
    </w:p>
    <w:p>
      <w:pPr>
        <w:ind w:right="40"/>
        <w:spacing w:after="0" w:line="255" w:lineRule="auto"/>
        <w:rPr>
          <w:sz w:val="20"/>
          <w:szCs w:val="20"/>
          <w:color w:val="auto"/>
        </w:rPr>
      </w:pPr>
      <w:r>
        <w:rPr>
          <w:rFonts w:ascii="Arial" w:cs="Arial" w:eastAsia="Arial" w:hAnsi="Arial"/>
          <w:sz w:val="16"/>
          <w:szCs w:val="16"/>
          <w:color w:val="auto"/>
        </w:rPr>
        <w:t xml:space="preserve">The acquisition has been accounted for in accordance with ASC 805, </w:t>
      </w:r>
      <w:r>
        <w:rPr>
          <w:rFonts w:ascii="Arial" w:cs="Arial" w:eastAsia="Arial" w:hAnsi="Arial"/>
          <w:sz w:val="16"/>
          <w:szCs w:val="16"/>
          <w:i w:val="1"/>
          <w:iCs w:val="1"/>
          <w:color w:val="auto"/>
        </w:rPr>
        <w:t>Business Combinations</w:t>
      </w:r>
      <w:r>
        <w:rPr>
          <w:rFonts w:ascii="Arial" w:cs="Arial" w:eastAsia="Arial" w:hAnsi="Arial"/>
          <w:sz w:val="16"/>
          <w:szCs w:val="16"/>
          <w:color w:val="auto"/>
        </w:rPr>
        <w:t>, using the acquisition method of accounting. Under the acquisition method of accounting, the total purchase price was allocated to the net tangible and intangible assets of Grand Design acquired, based on their fair values at the date of the acquisition. The estimated fair values are preliminary and based on the information that was available as of the date of the acquisition. We believe that the information provides a reasonable basis for estimating the fair values, but we are waiting for additional information necessary to finalize these amounts, particularly with respect to income taxes. Thus, the preliminary measurements of fair value reflected are subject to change. We expect to finalize the valuation and complete the purchase price allocation as soon as practicable, but no later than one year from</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7</w:t>
      </w:r>
    </w:p>
    <w:p>
      <w:pPr>
        <w:sectPr>
          <w:pgSz w:w="11900" w:h="16838" w:orient="portrait"/>
          <w:cols w:equalWidth="0" w:num="1">
            <w:col w:w="11420"/>
          </w:cols>
          <w:pgMar w:left="240" w:top="121"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184"/>
        </w:trPr>
        <w:tc>
          <w:tcPr>
            <w:tcW w:w="994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180" w:type="dxa"/>
            <w:vAlign w:val="bottom"/>
          </w:tcPr>
          <w:p>
            <w:pPr>
              <w:spacing w:after="0"/>
              <w:rPr>
                <w:sz w:val="16"/>
                <w:szCs w:val="16"/>
                <w:color w:val="auto"/>
              </w:rPr>
            </w:pPr>
          </w:p>
        </w:tc>
        <w:tc>
          <w:tcPr>
            <w:tcW w:w="130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868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64"/>
        </w:trPr>
        <w:tc>
          <w:tcPr>
            <w:tcW w:w="9940" w:type="dxa"/>
            <w:vAlign w:val="bottom"/>
            <w:gridSpan w:val="3"/>
          </w:tcPr>
          <w:p>
            <w:pPr>
              <w:spacing w:after="0"/>
              <w:rPr>
                <w:sz w:val="20"/>
                <w:szCs w:val="20"/>
                <w:color w:val="auto"/>
              </w:rPr>
            </w:pPr>
            <w:r>
              <w:rPr>
                <w:rFonts w:ascii="Arial" w:cs="Arial" w:eastAsia="Arial" w:hAnsi="Arial"/>
                <w:sz w:val="16"/>
                <w:szCs w:val="16"/>
                <w:color w:val="auto"/>
              </w:rPr>
              <w:t>the acquisition date. The preliminary allocation of the purchase price to assets acquired and liabilities assumed is as follows:</w:t>
            </w:r>
          </w:p>
        </w:tc>
        <w:tc>
          <w:tcPr>
            <w:tcW w:w="1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33"/>
        </w:trPr>
        <w:tc>
          <w:tcPr>
            <w:tcW w:w="1260" w:type="dxa"/>
            <w:vAlign w:val="bottom"/>
          </w:tcPr>
          <w:p>
            <w:pPr>
              <w:spacing w:after="0"/>
              <w:rPr>
                <w:sz w:val="24"/>
                <w:szCs w:val="24"/>
                <w:color w:val="auto"/>
              </w:rPr>
            </w:pPr>
          </w:p>
        </w:tc>
        <w:tc>
          <w:tcPr>
            <w:tcW w:w="85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00" w:type="dxa"/>
            <w:vAlign w:val="bottom"/>
          </w:tcPr>
          <w:p>
            <w:pPr>
              <w:jc w:val="right"/>
              <w:ind w:right="199"/>
              <w:spacing w:after="0"/>
              <w:rPr>
                <w:sz w:val="20"/>
                <w:szCs w:val="20"/>
                <w:color w:val="auto"/>
              </w:rPr>
            </w:pPr>
            <w:r>
              <w:rPr>
                <w:rFonts w:ascii="Arial" w:cs="Arial" w:eastAsia="Arial" w:hAnsi="Arial"/>
                <w:sz w:val="16"/>
                <w:szCs w:val="16"/>
                <w:b w:val="1"/>
                <w:bCs w:val="1"/>
                <w:color w:val="auto"/>
              </w:rPr>
              <w:t>November 8,</w:t>
            </w:r>
          </w:p>
        </w:tc>
      </w:tr>
      <w:tr>
        <w:trPr>
          <w:trHeight w:val="232"/>
        </w:trPr>
        <w:tc>
          <w:tcPr>
            <w:tcW w:w="982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4"/>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Cash</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1,748</w:t>
            </w: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receivable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32,834</w:t>
            </w:r>
          </w:p>
        </w:tc>
      </w:tr>
      <w:tr>
        <w:trPr>
          <w:trHeight w:val="278"/>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Inventories</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15,300</w:t>
            </w: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Prepaid expenses and other assets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2,593</w:t>
            </w:r>
          </w:p>
        </w:tc>
      </w:tr>
      <w:tr>
        <w:trPr>
          <w:trHeight w:val="278"/>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Property, plant and equipment</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8,998</w:t>
            </w: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Goodwill</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244,164</w:t>
            </w:r>
          </w:p>
        </w:tc>
      </w:tr>
      <w:tr>
        <w:trPr>
          <w:trHeight w:val="27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Other intangible assets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253,100</w:t>
            </w:r>
          </w:p>
        </w:tc>
      </w:tr>
      <w:tr>
        <w:trPr>
          <w:trHeight w:val="249"/>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assets acquired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558,737</w:t>
            </w:r>
          </w:p>
        </w:tc>
      </w:tr>
      <w:tr>
        <w:trPr>
          <w:trHeight w:val="291"/>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spacing w:after="0"/>
              <w:rPr>
                <w:sz w:val="24"/>
                <w:szCs w:val="24"/>
                <w:color w:val="auto"/>
              </w:rPr>
            </w:pP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Accounts payable</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11,163</w:t>
            </w:r>
          </w:p>
        </w:tc>
      </w:tr>
      <w:tr>
        <w:trPr>
          <w:trHeight w:val="278"/>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Accrued compensation</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3,615</w:t>
            </w: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Product warranties</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12,904</w:t>
            </w:r>
          </w:p>
        </w:tc>
      </w:tr>
      <w:tr>
        <w:trPr>
          <w:trHeight w:val="278"/>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Promotional</w:t>
            </w:r>
          </w:p>
        </w:tc>
        <w:tc>
          <w:tcPr>
            <w:tcW w:w="18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3,976</w:t>
            </w:r>
          </w:p>
        </w:tc>
      </w:tr>
      <w:tr>
        <w:trPr>
          <w:trHeight w:val="262"/>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Other</w:t>
            </w:r>
          </w:p>
        </w:tc>
        <w:tc>
          <w:tcPr>
            <w:tcW w:w="180" w:type="dxa"/>
            <w:vAlign w:val="bottom"/>
          </w:tcPr>
          <w:p>
            <w:pPr>
              <w:spacing w:after="0"/>
              <w:rPr>
                <w:sz w:val="22"/>
                <w:szCs w:val="22"/>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1,569</w:t>
            </w:r>
          </w:p>
        </w:tc>
      </w:tr>
      <w:tr>
        <w:trPr>
          <w:trHeight w:val="271"/>
        </w:trPr>
        <w:tc>
          <w:tcPr>
            <w:tcW w:w="994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Deferred tax liabilities</w:t>
            </w:r>
          </w:p>
        </w:tc>
        <w:tc>
          <w:tcPr>
            <w:tcW w:w="180" w:type="dxa"/>
            <w:vAlign w:val="bottom"/>
            <w:tcBorders>
              <w:bottom w:val="single" w:sz="8" w:color="auto"/>
            </w:tcBorders>
            <w:shd w:val="clear" w:color="auto" w:fill="CCEEFF"/>
          </w:tcPr>
          <w:p>
            <w:pPr>
              <w:spacing w:after="0"/>
              <w:rPr>
                <w:sz w:val="23"/>
                <w:szCs w:val="23"/>
                <w:color w:val="auto"/>
              </w:rPr>
            </w:pPr>
          </w:p>
        </w:tc>
        <w:tc>
          <w:tcPr>
            <w:tcW w:w="13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5,002</w:t>
            </w:r>
          </w:p>
        </w:tc>
      </w:tr>
      <w:tr>
        <w:trPr>
          <w:trHeight w:val="249"/>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liabilities assumed</w:t>
            </w:r>
          </w:p>
        </w:tc>
        <w:tc>
          <w:tcPr>
            <w:tcW w:w="180" w:type="dxa"/>
            <w:vAlign w:val="bottom"/>
          </w:tcPr>
          <w:p>
            <w:pPr>
              <w:spacing w:after="0"/>
              <w:rPr>
                <w:sz w:val="21"/>
                <w:szCs w:val="21"/>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38,229</w:t>
            </w:r>
          </w:p>
        </w:tc>
      </w:tr>
      <w:tr>
        <w:trPr>
          <w:trHeight w:val="291"/>
        </w:trPr>
        <w:tc>
          <w:tcPr>
            <w:tcW w:w="1260" w:type="dxa"/>
            <w:vAlign w:val="bottom"/>
            <w:shd w:val="clear" w:color="auto" w:fill="CCEEFF"/>
          </w:tcPr>
          <w:p>
            <w:pPr>
              <w:spacing w:after="0"/>
              <w:rPr>
                <w:sz w:val="24"/>
                <w:szCs w:val="24"/>
                <w:color w:val="auto"/>
              </w:rPr>
            </w:pPr>
          </w:p>
        </w:tc>
        <w:tc>
          <w:tcPr>
            <w:tcW w:w="85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spacing w:after="0"/>
              <w:rPr>
                <w:sz w:val="24"/>
                <w:szCs w:val="24"/>
                <w:color w:val="auto"/>
              </w:rPr>
            </w:pPr>
          </w:p>
        </w:tc>
        <w:tc>
          <w:tcPr>
            <w:tcW w:w="1300" w:type="dxa"/>
            <w:vAlign w:val="bottom"/>
            <w:tcBorders>
              <w:bottom w:val="single" w:sz="8" w:color="auto"/>
            </w:tcBorders>
            <w:shd w:val="clear" w:color="auto" w:fill="CCEEFF"/>
          </w:tcPr>
          <w:p>
            <w:pPr>
              <w:spacing w:after="0"/>
              <w:rPr>
                <w:sz w:val="24"/>
                <w:szCs w:val="24"/>
                <w:color w:val="auto"/>
              </w:rPr>
            </w:pPr>
          </w:p>
        </w:tc>
      </w:tr>
      <w:tr>
        <w:trPr>
          <w:trHeight w:val="236"/>
        </w:trPr>
        <w:tc>
          <w:tcPr>
            <w:tcW w:w="9940" w:type="dxa"/>
            <w:vAlign w:val="bottom"/>
            <w:gridSpan w:val="3"/>
          </w:tcPr>
          <w:p>
            <w:pPr>
              <w:ind w:left="40"/>
              <w:spacing w:after="0"/>
              <w:rPr>
                <w:sz w:val="20"/>
                <w:szCs w:val="20"/>
                <w:color w:val="auto"/>
              </w:rPr>
            </w:pPr>
            <w:r>
              <w:rPr>
                <w:rFonts w:ascii="Arial" w:cs="Arial" w:eastAsia="Arial" w:hAnsi="Arial"/>
                <w:sz w:val="16"/>
                <w:szCs w:val="16"/>
                <w:color w:val="auto"/>
              </w:rPr>
              <w:t>Total purchase price</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520,508</w:t>
            </w:r>
          </w:p>
        </w:tc>
      </w:tr>
      <w:tr>
        <w:trPr>
          <w:trHeight w:val="20"/>
        </w:trPr>
        <w:tc>
          <w:tcPr>
            <w:tcW w:w="1260" w:type="dxa"/>
            <w:vAlign w:val="bottom"/>
          </w:tcPr>
          <w:p>
            <w:pPr>
              <w:spacing w:after="0" w:line="20" w:lineRule="exact"/>
              <w:rPr>
                <w:sz w:val="1"/>
                <w:szCs w:val="1"/>
                <w:color w:val="auto"/>
              </w:rPr>
            </w:pPr>
          </w:p>
        </w:tc>
        <w:tc>
          <w:tcPr>
            <w:tcW w:w="85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ind w:right="180"/>
        <w:spacing w:after="0" w:line="257" w:lineRule="auto"/>
        <w:rPr>
          <w:sz w:val="20"/>
          <w:szCs w:val="20"/>
          <w:color w:val="auto"/>
        </w:rPr>
      </w:pPr>
      <w:r>
        <w:rPr>
          <w:rFonts w:ascii="Arial" w:cs="Arial" w:eastAsia="Arial" w:hAnsi="Arial"/>
          <w:sz w:val="16"/>
          <w:szCs w:val="16"/>
          <w:color w:val="auto"/>
        </w:rPr>
        <w:t>The acquisition of 100% of the ownership interests of Grand Design occurred in two steps: (1) direct purchase of 89.34% of Grand Design member interests and (2) simultaneous acquisition of the remaining 10.66% of Grand Design member interests via the purchase of 100% of the shares of SP GE VIII-B GD RV Blocker Corp. (Blocker Corp) which held the remaining 10.66% of the Grand Design member interests. We agreed to acquire Blocker Corp as part of the Securities Purchase Agreement and we did not receive a step-up in basis for 10.66% of the Grand Design assets. As a result, we established a deferred tax liability of $8.5 million on the opening balance sheet that relates to intangibles that will not be amortizable for tax purposes.</w:t>
      </w:r>
    </w:p>
    <w:p>
      <w:pPr>
        <w:spacing w:after="0" w:line="149" w:lineRule="exact"/>
        <w:rPr>
          <w:sz w:val="20"/>
          <w:szCs w:val="20"/>
          <w:color w:val="auto"/>
        </w:rPr>
      </w:pPr>
    </w:p>
    <w:p>
      <w:pPr>
        <w:ind w:right="160"/>
        <w:spacing w:after="0" w:line="257" w:lineRule="auto"/>
        <w:rPr>
          <w:sz w:val="20"/>
          <w:szCs w:val="20"/>
          <w:color w:val="auto"/>
        </w:rPr>
      </w:pPr>
      <w:r>
        <w:rPr>
          <w:rFonts w:ascii="Arial" w:cs="Arial" w:eastAsia="Arial" w:hAnsi="Arial"/>
          <w:sz w:val="16"/>
          <w:szCs w:val="16"/>
          <w:color w:val="auto"/>
        </w:rPr>
        <w:t>The goodwill recognized is primarily attributable to the value of the workforce, reputation of founders, customer and dealer growth opportunities and expected synergies. Key areas of cost synergies include increased purchasing power for raw materials, and supply chain consolidation. Goodwill is expected to be mostly deductible for tax purposes. The goodwill resulting from the acquisition of Grand Design increased total goodwill to $245.4 million within the Towable segment as of May 27, 2017 from $1.2 million as of August 27, 2016. No changes were made to the carrying amount of goodwill for the three months ended May 27, 2017.</w:t>
      </w:r>
    </w:p>
    <w:p>
      <w:pPr>
        <w:spacing w:after="0" w:line="149"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The allocation of the purchase price to the net assets acquired and liabilities assumed resulted in the recognition of intangible assets with fair value on the closing date of November 8, 2016 and amortization accumulated from the closing date through May 27, 2017 as follows:</w:t>
      </w:r>
    </w:p>
    <w:p>
      <w:pPr>
        <w:spacing w:after="0" w:line="92"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spacing w:after="0"/>
              <w:rPr>
                <w:sz w:val="16"/>
                <w:szCs w:val="16"/>
                <w:color w:val="auto"/>
              </w:rPr>
            </w:pPr>
          </w:p>
        </w:tc>
      </w:tr>
      <w:tr>
        <w:trPr>
          <w:trHeight w:val="189"/>
        </w:trPr>
        <w:tc>
          <w:tcPr>
            <w:tcW w:w="6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Average Life-</w:t>
            </w:r>
          </w:p>
        </w:tc>
        <w:tc>
          <w:tcPr>
            <w:tcW w:w="320" w:type="dxa"/>
            <w:vAlign w:val="bottom"/>
          </w:tcPr>
          <w:p>
            <w:pPr>
              <w:spacing w:after="0"/>
              <w:rPr>
                <w:sz w:val="16"/>
                <w:szCs w:val="16"/>
                <w:color w:val="auto"/>
              </w:rPr>
            </w:pPr>
          </w:p>
        </w:tc>
        <w:tc>
          <w:tcPr>
            <w:tcW w:w="1480" w:type="dxa"/>
            <w:vAlign w:val="bottom"/>
          </w:tcPr>
          <w:p>
            <w:pPr>
              <w:jc w:val="right"/>
              <w:ind w:right="439"/>
              <w:spacing w:after="0"/>
              <w:rPr>
                <w:sz w:val="20"/>
                <w:szCs w:val="20"/>
                <w:color w:val="auto"/>
              </w:rPr>
            </w:pPr>
            <w:r>
              <w:rPr>
                <w:rFonts w:ascii="Arial" w:cs="Arial" w:eastAsia="Arial" w:hAnsi="Arial"/>
                <w:sz w:val="16"/>
                <w:szCs w:val="16"/>
                <w:b w:val="1"/>
                <w:bCs w:val="1"/>
                <w:color w:val="auto"/>
              </w:rPr>
              <w:t>Fair Value</w:t>
            </w: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400" w:type="dxa"/>
            <w:vAlign w:val="bottom"/>
          </w:tcPr>
          <w:p>
            <w:pPr>
              <w:jc w:val="right"/>
              <w:ind w:right="199"/>
              <w:spacing w:after="0"/>
              <w:rPr>
                <w:sz w:val="20"/>
                <w:szCs w:val="20"/>
                <w:color w:val="auto"/>
              </w:rPr>
            </w:pPr>
            <w:r>
              <w:rPr>
                <w:rFonts w:ascii="Arial" w:cs="Arial" w:eastAsia="Arial" w:hAnsi="Arial"/>
                <w:sz w:val="16"/>
                <w:szCs w:val="16"/>
                <w:b w:val="1"/>
                <w:bCs w:val="1"/>
                <w:color w:val="auto"/>
              </w:rPr>
              <w:t>Accumulated</w:t>
            </w:r>
          </w:p>
        </w:tc>
      </w:tr>
      <w:tr>
        <w:trPr>
          <w:trHeight w:val="232"/>
        </w:trPr>
        <w:tc>
          <w:tcPr>
            <w:tcW w:w="612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Years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Amount</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Amortization</w:t>
            </w:r>
          </w:p>
        </w:tc>
      </w:tr>
      <w:tr>
        <w:trPr>
          <w:trHeight w:val="254"/>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Trade name</w:t>
            </w:r>
          </w:p>
        </w:tc>
        <w:tc>
          <w:tcPr>
            <w:tcW w:w="1680" w:type="dxa"/>
            <w:vAlign w:val="bottom"/>
            <w:gridSpan w:val="2"/>
            <w:shd w:val="clear" w:color="auto" w:fill="CCEEFF"/>
          </w:tcPr>
          <w:p>
            <w:pPr>
              <w:ind w:left="380"/>
              <w:spacing w:after="0"/>
              <w:rPr>
                <w:sz w:val="20"/>
                <w:szCs w:val="20"/>
                <w:color w:val="auto"/>
              </w:rPr>
            </w:pPr>
            <w:r>
              <w:rPr>
                <w:rFonts w:ascii="Arial" w:cs="Arial" w:eastAsia="Arial" w:hAnsi="Arial"/>
                <w:sz w:val="16"/>
                <w:szCs w:val="16"/>
                <w:color w:val="auto"/>
              </w:rPr>
              <w:t>Indefinite</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148,000</w:t>
            </w:r>
          </w:p>
        </w:tc>
        <w:tc>
          <w:tcPr>
            <w:tcW w:w="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62"/>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Dealer network</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12.0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80,500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3,676</w:t>
            </w:r>
          </w:p>
        </w:tc>
      </w:tr>
      <w:tr>
        <w:trPr>
          <w:trHeight w:val="278"/>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Backlog</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0.5</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4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18,000</w:t>
            </w:r>
          </w:p>
        </w:tc>
        <w:tc>
          <w:tcPr>
            <w:tcW w:w="100" w:type="dxa"/>
            <w:vAlign w:val="bottom"/>
            <w:shd w:val="clear" w:color="auto" w:fill="CCEEFF"/>
          </w:tcPr>
          <w:p>
            <w:pPr>
              <w:spacing w:after="0"/>
              <w:rPr>
                <w:sz w:val="24"/>
                <w:szCs w:val="24"/>
                <w:color w:val="auto"/>
              </w:rPr>
            </w:pP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18,000</w:t>
            </w:r>
          </w:p>
        </w:tc>
      </w:tr>
      <w:tr>
        <w:trPr>
          <w:trHeight w:val="262"/>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Non-compete agreements</w:t>
            </w:r>
          </w:p>
        </w:tc>
        <w:tc>
          <w:tcPr>
            <w:tcW w:w="1580" w:type="dxa"/>
            <w:vAlign w:val="bottom"/>
          </w:tcPr>
          <w:p>
            <w:pPr>
              <w:jc w:val="right"/>
              <w:ind w:right="29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4,600</w:t>
            </w: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767</w:t>
            </w:r>
          </w:p>
        </w:tc>
      </w:tr>
      <w:tr>
        <w:trPr>
          <w:trHeight w:val="271"/>
        </w:trPr>
        <w:tc>
          <w:tcPr>
            <w:tcW w:w="62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Leasehold interest-favorable</w:t>
            </w:r>
          </w:p>
        </w:tc>
        <w:tc>
          <w:tcPr>
            <w:tcW w:w="158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8.1</w:t>
            </w:r>
          </w:p>
        </w:tc>
        <w:tc>
          <w:tcPr>
            <w:tcW w:w="100" w:type="dxa"/>
            <w:vAlign w:val="bottom"/>
            <w:shd w:val="clear" w:color="auto" w:fill="CCEEFF"/>
          </w:tcPr>
          <w:p>
            <w:pPr>
              <w:spacing w:after="0"/>
              <w:rPr>
                <w:sz w:val="23"/>
                <w:szCs w:val="23"/>
                <w:color w:val="auto"/>
              </w:rPr>
            </w:pPr>
          </w:p>
        </w:tc>
        <w:tc>
          <w:tcPr>
            <w:tcW w:w="320" w:type="dxa"/>
            <w:vAlign w:val="bottom"/>
            <w:tcBorders>
              <w:bottom w:val="single" w:sz="8" w:color="auto"/>
            </w:tcBorders>
            <w:shd w:val="clear" w:color="auto" w:fill="CCEEFF"/>
          </w:tcPr>
          <w:p>
            <w:pPr>
              <w:spacing w:after="0"/>
              <w:rPr>
                <w:sz w:val="23"/>
                <w:szCs w:val="23"/>
                <w:color w:val="auto"/>
              </w:rPr>
            </w:pPr>
          </w:p>
        </w:tc>
        <w:tc>
          <w:tcPr>
            <w:tcW w:w="148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2,000</w:t>
            </w:r>
          </w:p>
        </w:tc>
        <w:tc>
          <w:tcPr>
            <w:tcW w:w="100" w:type="dxa"/>
            <w:vAlign w:val="bottom"/>
            <w:shd w:val="clear" w:color="auto" w:fill="CCEEFF"/>
          </w:tcPr>
          <w:p>
            <w:pPr>
              <w:spacing w:after="0"/>
              <w:rPr>
                <w:sz w:val="23"/>
                <w:szCs w:val="23"/>
                <w:color w:val="auto"/>
              </w:rPr>
            </w:pP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135</w:t>
            </w:r>
          </w:p>
        </w:tc>
      </w:tr>
      <w:tr>
        <w:trPr>
          <w:trHeight w:val="282"/>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480" w:type="dxa"/>
            <w:vAlign w:val="bottom"/>
          </w:tcPr>
          <w:p>
            <w:pPr>
              <w:jc w:val="right"/>
              <w:ind w:right="239"/>
              <w:spacing w:after="0"/>
              <w:rPr>
                <w:sz w:val="20"/>
                <w:szCs w:val="20"/>
                <w:color w:val="auto"/>
              </w:rPr>
            </w:pPr>
            <w:r>
              <w:rPr>
                <w:rFonts w:ascii="Arial" w:cs="Arial" w:eastAsia="Arial" w:hAnsi="Arial"/>
                <w:sz w:val="16"/>
                <w:szCs w:val="16"/>
                <w:color w:val="auto"/>
              </w:rPr>
              <w:t>253,100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400" w:type="dxa"/>
            <w:vAlign w:val="bottom"/>
          </w:tcPr>
          <w:p>
            <w:pPr>
              <w:jc w:val="right"/>
              <w:ind w:right="19"/>
              <w:spacing w:after="0"/>
              <w:rPr>
                <w:sz w:val="20"/>
                <w:szCs w:val="20"/>
                <w:color w:val="auto"/>
              </w:rPr>
            </w:pPr>
            <w:r>
              <w:rPr>
                <w:rFonts w:ascii="Arial" w:cs="Arial" w:eastAsia="Arial" w:hAnsi="Arial"/>
                <w:sz w:val="16"/>
                <w:szCs w:val="16"/>
                <w:color w:val="auto"/>
              </w:rPr>
              <w:t>22,578</w:t>
            </w:r>
          </w:p>
        </w:tc>
      </w:tr>
      <w:tr>
        <w:trPr>
          <w:trHeight w:val="245"/>
        </w:trPr>
        <w:tc>
          <w:tcPr>
            <w:tcW w:w="624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Accumulated amortization</w:t>
            </w:r>
          </w:p>
        </w:tc>
        <w:tc>
          <w:tcPr>
            <w:tcW w:w="1580" w:type="dxa"/>
            <w:vAlign w:val="bottom"/>
            <w:tcBorders>
              <w:top w:val="single" w:sz="8" w:color="CCEEFF"/>
            </w:tcBorders>
            <w:shd w:val="clear" w:color="auto" w:fill="CCEEFF"/>
          </w:tcPr>
          <w:p>
            <w:pPr>
              <w:spacing w:after="0"/>
              <w:rPr>
                <w:sz w:val="21"/>
                <w:szCs w:val="21"/>
                <w:color w:val="auto"/>
              </w:rPr>
            </w:pPr>
          </w:p>
        </w:tc>
        <w:tc>
          <w:tcPr>
            <w:tcW w:w="100" w:type="dxa"/>
            <w:vAlign w:val="bottom"/>
            <w:tcBorders>
              <w:top w:val="single" w:sz="8" w:color="CCEEFF"/>
            </w:tcBorders>
            <w:shd w:val="clear" w:color="auto" w:fill="CCEEFF"/>
          </w:tcPr>
          <w:p>
            <w:pPr>
              <w:spacing w:after="0"/>
              <w:rPr>
                <w:sz w:val="21"/>
                <w:szCs w:val="21"/>
                <w:color w:val="auto"/>
              </w:rPr>
            </w:pPr>
          </w:p>
        </w:tc>
        <w:tc>
          <w:tcPr>
            <w:tcW w:w="320" w:type="dxa"/>
            <w:vAlign w:val="bottom"/>
            <w:tcBorders>
              <w:top w:val="single" w:sz="8" w:color="CCEEFF"/>
              <w:bottom w:val="single" w:sz="8" w:color="auto"/>
            </w:tcBorders>
            <w:shd w:val="clear" w:color="auto" w:fill="CCEEFF"/>
          </w:tcPr>
          <w:p>
            <w:pPr>
              <w:spacing w:after="0"/>
              <w:rPr>
                <w:sz w:val="21"/>
                <w:szCs w:val="21"/>
                <w:color w:val="auto"/>
              </w:rPr>
            </w:pPr>
          </w:p>
        </w:tc>
        <w:tc>
          <w:tcPr>
            <w:tcW w:w="1480" w:type="dxa"/>
            <w:vAlign w:val="bottom"/>
            <w:tcBorders>
              <w:top w:val="single" w:sz="8" w:color="CCEEFF"/>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(22,578)</w:t>
            </w:r>
          </w:p>
        </w:tc>
        <w:tc>
          <w:tcPr>
            <w:tcW w:w="100" w:type="dxa"/>
            <w:vAlign w:val="bottom"/>
            <w:tcBorders>
              <w:top w:val="single" w:sz="8" w:color="CCEEFF"/>
            </w:tcBorders>
            <w:shd w:val="clear" w:color="auto" w:fill="CCEEFF"/>
          </w:tcPr>
          <w:p>
            <w:pPr>
              <w:spacing w:after="0"/>
              <w:rPr>
                <w:sz w:val="21"/>
                <w:szCs w:val="21"/>
                <w:color w:val="auto"/>
              </w:rPr>
            </w:pPr>
          </w:p>
        </w:tc>
        <w:tc>
          <w:tcPr>
            <w:tcW w:w="200" w:type="dxa"/>
            <w:vAlign w:val="bottom"/>
            <w:tcBorders>
              <w:top w:val="single" w:sz="8" w:color="auto"/>
            </w:tcBorders>
            <w:shd w:val="clear" w:color="auto" w:fill="CCEEFF"/>
          </w:tcPr>
          <w:p>
            <w:pPr>
              <w:spacing w:after="0"/>
              <w:rPr>
                <w:sz w:val="21"/>
                <w:szCs w:val="21"/>
                <w:color w:val="auto"/>
              </w:rPr>
            </w:pPr>
          </w:p>
        </w:tc>
        <w:tc>
          <w:tcPr>
            <w:tcW w:w="1400" w:type="dxa"/>
            <w:vAlign w:val="bottom"/>
            <w:tcBorders>
              <w:top w:val="single" w:sz="8" w:color="auto"/>
            </w:tcBorders>
            <w:shd w:val="clear" w:color="auto" w:fill="CCEEFF"/>
          </w:tcPr>
          <w:p>
            <w:pPr>
              <w:spacing w:after="0"/>
              <w:rPr>
                <w:sz w:val="21"/>
                <w:szCs w:val="21"/>
                <w:color w:val="auto"/>
              </w:rPr>
            </w:pPr>
          </w:p>
        </w:tc>
      </w:tr>
      <w:tr>
        <w:trPr>
          <w:trHeight w:val="242"/>
        </w:trPr>
        <w:tc>
          <w:tcPr>
            <w:tcW w:w="6240" w:type="dxa"/>
            <w:vAlign w:val="bottom"/>
            <w:gridSpan w:val="2"/>
          </w:tcPr>
          <w:p>
            <w:pPr>
              <w:ind w:left="40"/>
              <w:spacing w:after="0"/>
              <w:rPr>
                <w:sz w:val="20"/>
                <w:szCs w:val="20"/>
                <w:color w:val="auto"/>
              </w:rPr>
            </w:pPr>
            <w:r>
              <w:rPr>
                <w:rFonts w:ascii="Arial" w:cs="Arial" w:eastAsia="Arial" w:hAnsi="Arial"/>
                <w:sz w:val="16"/>
                <w:szCs w:val="16"/>
                <w:color w:val="auto"/>
              </w:rPr>
              <w:t>Net book value of intangible assets</w:t>
            </w:r>
          </w:p>
        </w:tc>
        <w:tc>
          <w:tcPr>
            <w:tcW w:w="15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48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230,522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0" w:type="dxa"/>
            <w:vAlign w:val="bottom"/>
          </w:tcPr>
          <w:p>
            <w:pPr>
              <w:spacing w:after="0"/>
              <w:rPr>
                <w:sz w:val="21"/>
                <w:szCs w:val="21"/>
                <w:color w:val="auto"/>
              </w:rPr>
            </w:pPr>
          </w:p>
        </w:tc>
      </w:tr>
      <w:tr>
        <w:trPr>
          <w:trHeight w:val="20"/>
        </w:trPr>
        <w:tc>
          <w:tcPr>
            <w:tcW w:w="6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198"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The fair value of the trade name and dealer network were estimated using an income approach. Under the income approach, an intangible asset’s fair value is equal to the present value of future economic benefits to be derived from ownership of the asset. The fair value of the trade name was estimated using an income approach, specifically known as the relief from royalty method. The relief from royalty method is based on the hypothetical royalty stream that would be received if we were to license the trade name and was based on expected revenues. The fair value of the dealer network was estimated using an income approach, specifically the cost to recreate/cost savings method. This method uses the replacement of the asset as an indicator of the fair</w:t>
      </w:r>
    </w:p>
    <w:p>
      <w:pPr>
        <w:sectPr>
          <w:pgSz w:w="11900" w:h="16838" w:orient="portrait"/>
          <w:cols w:equalWidth="0" w:num="1">
            <w:col w:w="11420"/>
          </w:cols>
          <w:pgMar w:left="240" w:top="118" w:right="239" w:bottom="1440" w:gutter="0" w:footer="0" w:header="0"/>
        </w:sectPr>
      </w:pPr>
    </w:p>
    <w:p>
      <w:pPr>
        <w:spacing w:after="0" w:line="200" w:lineRule="exact"/>
        <w:rPr>
          <w:sz w:val="20"/>
          <w:szCs w:val="20"/>
          <w:color w:val="auto"/>
        </w:rPr>
      </w:pPr>
    </w:p>
    <w:p>
      <w:pPr>
        <w:spacing w:after="0" w:line="21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8</w:t>
      </w:r>
    </w:p>
    <w:p>
      <w:pPr>
        <w:sectPr>
          <w:pgSz w:w="11900" w:h="16838" w:orient="portrait"/>
          <w:cols w:equalWidth="0" w:num="1">
            <w:col w:w="11420"/>
          </w:cols>
          <w:pgMar w:left="240" w:top="118" w:right="239" w:bottom="1440" w:gutter="0" w:footer="0" w:header="0"/>
          <w:type w:val="continuous"/>
        </w:sectPr>
      </w:pPr>
    </w:p>
    <w:bookmarkStart w:id="10" w:name="page11"/>
    <w:bookmarkEnd w:id="1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ind w:right="160"/>
        <w:spacing w:after="0" w:line="269" w:lineRule="auto"/>
        <w:rPr>
          <w:sz w:val="20"/>
          <w:szCs w:val="20"/>
          <w:color w:val="auto"/>
        </w:rPr>
      </w:pPr>
      <w:r>
        <w:rPr>
          <w:rFonts w:ascii="Arial" w:cs="Arial" w:eastAsia="Arial" w:hAnsi="Arial"/>
          <w:sz w:val="16"/>
          <w:szCs w:val="16"/>
          <w:color w:val="auto"/>
        </w:rPr>
        <w:t>value of the asset. The useful life of the intangible assets was determined considering the period of expected cash flows used to measure the fair value of the intangible assets adjusted as appropriate for the entity-specific factors including legal, regulatory, contractual, competitive, economic or other factors that may limit the useful life of the intangible assets.</w:t>
      </w:r>
    </w:p>
    <w:p>
      <w:pPr>
        <w:spacing w:after="0" w:line="178" w:lineRule="exact"/>
        <w:rPr>
          <w:sz w:val="20"/>
          <w:szCs w:val="20"/>
          <w:color w:val="auto"/>
        </w:rPr>
      </w:pPr>
    </w:p>
    <w:p>
      <w:pPr>
        <w:ind w:right="160"/>
        <w:spacing w:after="0" w:line="304" w:lineRule="auto"/>
        <w:rPr>
          <w:sz w:val="20"/>
          <w:szCs w:val="20"/>
          <w:color w:val="auto"/>
        </w:rPr>
      </w:pPr>
      <w:r>
        <w:rPr>
          <w:rFonts w:ascii="Arial" w:cs="Arial" w:eastAsia="Arial" w:hAnsi="Arial"/>
          <w:sz w:val="16"/>
          <w:szCs w:val="16"/>
          <w:color w:val="auto"/>
        </w:rPr>
        <w:t>For the nine months ended May 27, 2017 and May 28, 2016, amortization of intangible assets charged to operations was $22.6 million and $0, respectively. The weighted average remaining amortization period for intangible assets as of May 27, 2017 was approximately 11.6 years. Remaining estimated aggregate annual amortization expense by fiscal year is as follows: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6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Amount</w:t>
            </w:r>
          </w:p>
        </w:tc>
      </w:tr>
      <w:tr>
        <w:trPr>
          <w:trHeight w:val="254"/>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Remainder of 2017</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2,082</w:t>
            </w:r>
          </w:p>
        </w:tc>
      </w:tr>
      <w:tr>
        <w:trPr>
          <w:trHeight w:val="262"/>
        </w:trPr>
        <w:tc>
          <w:tcPr>
            <w:tcW w:w="9640" w:type="dxa"/>
            <w:vAlign w:val="bottom"/>
          </w:tcPr>
          <w:p>
            <w:pPr>
              <w:ind w:left="4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7,854</w:t>
            </w:r>
          </w:p>
        </w:tc>
      </w:tr>
      <w:tr>
        <w:trPr>
          <w:trHeight w:val="278"/>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2"/>
        </w:trPr>
        <w:tc>
          <w:tcPr>
            <w:tcW w:w="9640" w:type="dxa"/>
            <w:vAlign w:val="bottom"/>
          </w:tcPr>
          <w:p>
            <w:pPr>
              <w:ind w:left="4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7,733</w:t>
            </w:r>
          </w:p>
        </w:tc>
      </w:tr>
      <w:tr>
        <w:trPr>
          <w:trHeight w:val="278"/>
        </w:trPr>
        <w:tc>
          <w:tcPr>
            <w:tcW w:w="9640" w:type="dxa"/>
            <w:vAlign w:val="bottom"/>
            <w:shd w:val="clear" w:color="auto" w:fill="CCEEFF"/>
          </w:tcPr>
          <w:p>
            <w:pPr>
              <w:ind w:left="4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7,733</w:t>
            </w:r>
          </w:p>
        </w:tc>
      </w:tr>
      <w:tr>
        <w:trPr>
          <w:trHeight w:val="262"/>
        </w:trPr>
        <w:tc>
          <w:tcPr>
            <w:tcW w:w="9640" w:type="dxa"/>
            <w:vAlign w:val="bottom"/>
          </w:tcPr>
          <w:p>
            <w:pPr>
              <w:ind w:left="4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7,106</w:t>
            </w:r>
          </w:p>
        </w:tc>
      </w:tr>
      <w:tr>
        <w:trPr>
          <w:trHeight w:val="278"/>
        </w:trPr>
        <w:tc>
          <w:tcPr>
            <w:tcW w:w="97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Thereafter</w:t>
            </w:r>
          </w:p>
        </w:tc>
        <w:tc>
          <w:tcPr>
            <w:tcW w:w="30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42,281</w:t>
            </w:r>
          </w:p>
        </w:tc>
      </w:tr>
    </w:tbl>
    <w:p>
      <w:pPr>
        <w:spacing w:after="0" w:line="198"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Within the Towable segment, the results of Grand Design's operations have been included in our consolidated financial statements from the close of the acquisition. The following table provides net revenues and operating income (which includes amortization expense) from the Grand Design business included in our consolidated results during the nine months ended May 27, 2017 following the November 8, 2016 closing date:</w:t>
      </w:r>
    </w:p>
    <w:p>
      <w:pPr>
        <w:spacing w:after="0" w:line="13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700" w:type="dxa"/>
            <w:vAlign w:val="bottom"/>
            <w:gridSpan w:val="2"/>
          </w:tcPr>
          <w:p>
            <w:pPr>
              <w:jc w:val="right"/>
              <w:ind w:right="19"/>
              <w:spacing w:after="0"/>
              <w:rPr>
                <w:sz w:val="20"/>
                <w:szCs w:val="20"/>
                <w:color w:val="auto"/>
              </w:rPr>
            </w:pPr>
            <w:r>
              <w:rPr>
                <w:rFonts w:ascii="Arial" w:cs="Arial" w:eastAsia="Arial" w:hAnsi="Arial"/>
                <w:sz w:val="16"/>
                <w:szCs w:val="16"/>
                <w:b w:val="1"/>
                <w:bCs w:val="1"/>
                <w:color w:val="auto"/>
              </w:rPr>
              <w:t>Nine Months Ended</w:t>
            </w:r>
          </w:p>
        </w:tc>
      </w:tr>
      <w:tr>
        <w:trPr>
          <w:trHeight w:val="274"/>
        </w:trPr>
        <w:tc>
          <w:tcPr>
            <w:tcW w:w="96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4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May 27, 2017</w:t>
            </w:r>
          </w:p>
        </w:tc>
      </w:tr>
      <w:tr>
        <w:trPr>
          <w:trHeight w:val="254"/>
        </w:trPr>
        <w:tc>
          <w:tcPr>
            <w:tcW w:w="97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366,309</w:t>
            </w:r>
          </w:p>
        </w:tc>
      </w:tr>
      <w:tr>
        <w:trPr>
          <w:trHeight w:val="255"/>
        </w:trPr>
        <w:tc>
          <w:tcPr>
            <w:tcW w:w="972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2"/>
                <w:szCs w:val="22"/>
                <w:color w:val="auto"/>
              </w:rPr>
            </w:pPr>
          </w:p>
        </w:tc>
        <w:tc>
          <w:tcPr>
            <w:tcW w:w="1460" w:type="dxa"/>
            <w:vAlign w:val="bottom"/>
          </w:tcPr>
          <w:p>
            <w:pPr>
              <w:jc w:val="right"/>
              <w:ind w:right="19"/>
              <w:spacing w:after="0"/>
              <w:rPr>
                <w:sz w:val="20"/>
                <w:szCs w:val="20"/>
                <w:color w:val="auto"/>
              </w:rPr>
            </w:pPr>
            <w:r>
              <w:rPr>
                <w:rFonts w:ascii="Arial" w:cs="Arial" w:eastAsia="Arial" w:hAnsi="Arial"/>
                <w:sz w:val="16"/>
                <w:szCs w:val="16"/>
                <w:color w:val="auto"/>
              </w:rPr>
              <w:t>27,083</w:t>
            </w:r>
          </w:p>
        </w:tc>
      </w:tr>
    </w:tbl>
    <w:p>
      <w:pPr>
        <w:spacing w:after="0" w:line="186" w:lineRule="exact"/>
        <w:rPr>
          <w:sz w:val="20"/>
          <w:szCs w:val="20"/>
          <w:color w:val="auto"/>
        </w:rPr>
      </w:pPr>
    </w:p>
    <w:p>
      <w:pPr>
        <w:ind w:right="200"/>
        <w:spacing w:after="0" w:line="257" w:lineRule="auto"/>
        <w:rPr>
          <w:sz w:val="20"/>
          <w:szCs w:val="20"/>
          <w:color w:val="auto"/>
        </w:rPr>
      </w:pPr>
      <w:r>
        <w:rPr>
          <w:rFonts w:ascii="Arial" w:cs="Arial" w:eastAsia="Arial" w:hAnsi="Arial"/>
          <w:sz w:val="16"/>
          <w:szCs w:val="16"/>
          <w:color w:val="auto"/>
        </w:rPr>
        <w:t>Unaudited pro forma information has been prepared as if the acquisition had taken place on August 30, 2015. The unaudited pro forma information is not necessarily indicative of the results that we would have achieved had the transaction actually taken place on August 30, 2015, and the unaudited pro forma information does not purport to be indicative of future financial operating results. The unaudited pro forma condensed consolidated financial information does not reflect any operating efficiencies and cost savings that may be realized from the integration of the acquisition. Unaudited pro forma information is as follows: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54"/>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476,364</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402,511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1,187,849</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1,022,249</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24,856</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21,064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66,009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29,221</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0.79</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2.09</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0.93</w:t>
            </w:r>
          </w:p>
        </w:tc>
      </w:tr>
      <w:tr>
        <w:trPr>
          <w:trHeight w:val="255"/>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diluted</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0.78</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0.67</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0.92</w:t>
            </w:r>
          </w:p>
        </w:tc>
      </w:tr>
    </w:tbl>
    <w:p>
      <w:pPr>
        <w:spacing w:after="0" w:line="186" w:lineRule="exact"/>
        <w:rPr>
          <w:sz w:val="20"/>
          <w:szCs w:val="20"/>
          <w:color w:val="auto"/>
        </w:rPr>
      </w:pPr>
    </w:p>
    <w:p>
      <w:pPr>
        <w:jc w:val="both"/>
        <w:ind w:right="80"/>
        <w:spacing w:after="0" w:line="291" w:lineRule="auto"/>
        <w:rPr>
          <w:sz w:val="20"/>
          <w:szCs w:val="20"/>
          <w:color w:val="auto"/>
        </w:rPr>
      </w:pPr>
      <w:r>
        <w:rPr>
          <w:rFonts w:ascii="Arial" w:cs="Arial" w:eastAsia="Arial" w:hAnsi="Arial"/>
          <w:sz w:val="16"/>
          <w:szCs w:val="16"/>
          <w:color w:val="auto"/>
        </w:rPr>
        <w:t>The unaudited pro forma data above includes the following significant non-recurring adjustments made to account for certain costs which would have changed if the acquisition of Grand Design had been completed on August 30, 2015:</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2940" w:type="dxa"/>
            <w:vAlign w:val="bottom"/>
            <w:tcBorders>
              <w:bottom w:val="single" w:sz="8" w:color="auto"/>
            </w:tcBorders>
            <w:gridSpan w:val="4"/>
          </w:tcPr>
          <w:p>
            <w:pPr>
              <w:jc w:val="right"/>
              <w:ind w:right="7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6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6"/>
                <w:szCs w:val="16"/>
                <w:color w:val="auto"/>
              </w:rPr>
            </w:pPr>
          </w:p>
        </w:tc>
        <w:tc>
          <w:tcPr>
            <w:tcW w:w="130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28,</w:t>
            </w:r>
          </w:p>
        </w:tc>
        <w:tc>
          <w:tcPr>
            <w:tcW w:w="300" w:type="dxa"/>
            <w:vAlign w:val="bottom"/>
          </w:tcPr>
          <w:p>
            <w:pPr>
              <w:spacing w:after="0"/>
              <w:rPr>
                <w:sz w:val="16"/>
                <w:szCs w:val="16"/>
                <w:color w:val="auto"/>
              </w:rPr>
            </w:pPr>
          </w:p>
        </w:tc>
        <w:tc>
          <w:tcPr>
            <w:tcW w:w="138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48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4"/>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intangibles (1 year or less useful life)</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(8,225)</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1,579</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(18,601)</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18,722</w:t>
            </w:r>
          </w:p>
        </w:tc>
      </w:tr>
      <w:tr>
        <w:trPr>
          <w:trHeight w:val="262"/>
        </w:trPr>
        <w:tc>
          <w:tcPr>
            <w:tcW w:w="4960" w:type="dxa"/>
            <w:vAlign w:val="bottom"/>
            <w:gridSpan w:val="2"/>
          </w:tcPr>
          <w:p>
            <w:pPr>
              <w:ind w:left="40"/>
              <w:spacing w:after="0"/>
              <w:rPr>
                <w:sz w:val="20"/>
                <w:szCs w:val="20"/>
                <w:color w:val="auto"/>
              </w:rPr>
            </w:pPr>
            <w:r>
              <w:rPr>
                <w:rFonts w:ascii="Arial" w:cs="Arial" w:eastAsia="Arial" w:hAnsi="Arial"/>
                <w:sz w:val="16"/>
                <w:szCs w:val="16"/>
                <w:color w:val="auto"/>
              </w:rPr>
              <w:t>Increase in amortization of intangibles</w:t>
            </w:r>
          </w:p>
        </w:tc>
        <w:tc>
          <w:tcPr>
            <w:tcW w:w="3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1,933</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1,551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5,799</w:t>
            </w:r>
          </w:p>
        </w:tc>
      </w:tr>
      <w:tr>
        <w:trPr>
          <w:trHeight w:val="278"/>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Expenses related to business combination (transaction costs) </w:t>
            </w:r>
            <w:r>
              <w:rPr>
                <w:rFonts w:ascii="Arial" w:cs="Arial" w:eastAsia="Arial" w:hAnsi="Arial"/>
                <w:sz w:val="21"/>
                <w:szCs w:val="21"/>
                <w:color w:val="auto"/>
                <w:vertAlign w:val="superscript"/>
              </w:rPr>
              <w:t>(1)</w:t>
            </w: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(6,432)</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6,753</w:t>
            </w:r>
          </w:p>
        </w:tc>
      </w:tr>
      <w:tr>
        <w:trPr>
          <w:trHeight w:val="262"/>
        </w:trPr>
        <w:tc>
          <w:tcPr>
            <w:tcW w:w="4960" w:type="dxa"/>
            <w:vAlign w:val="bottom"/>
            <w:gridSpan w:val="2"/>
          </w:tcPr>
          <w:p>
            <w:pPr>
              <w:ind w:left="40"/>
              <w:spacing w:after="0"/>
              <w:rPr>
                <w:sz w:val="20"/>
                <w:szCs w:val="20"/>
                <w:color w:val="auto"/>
              </w:rPr>
            </w:pPr>
            <w:r>
              <w:rPr>
                <w:rFonts w:ascii="Arial" w:cs="Arial" w:eastAsia="Arial" w:hAnsi="Arial"/>
                <w:sz w:val="16"/>
                <w:szCs w:val="16"/>
                <w:color w:val="auto"/>
              </w:rPr>
              <w:t>Interest to reflect new debt structure</w:t>
            </w:r>
          </w:p>
        </w:tc>
        <w:tc>
          <w:tcPr>
            <w:tcW w:w="300" w:type="dxa"/>
            <w:vAlign w:val="bottom"/>
          </w:tcPr>
          <w:p>
            <w:pPr>
              <w:spacing w:after="0"/>
              <w:rPr>
                <w:sz w:val="22"/>
                <w:szCs w:val="22"/>
                <w:color w:val="auto"/>
              </w:rPr>
            </w:pPr>
          </w:p>
        </w:tc>
        <w:tc>
          <w:tcPr>
            <w:tcW w:w="136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200" w:type="dxa"/>
            <w:vAlign w:val="bottom"/>
          </w:tcPr>
          <w:p>
            <w:pPr>
              <w:jc w:val="right"/>
              <w:ind w:right="39"/>
              <w:spacing w:after="0"/>
              <w:rPr>
                <w:sz w:val="20"/>
                <w:szCs w:val="20"/>
                <w:color w:val="auto"/>
              </w:rPr>
            </w:pPr>
            <w:r>
              <w:rPr>
                <w:rFonts w:ascii="Arial" w:cs="Arial" w:eastAsia="Arial" w:hAnsi="Arial"/>
                <w:sz w:val="16"/>
                <w:szCs w:val="16"/>
                <w:color w:val="auto"/>
              </w:rPr>
              <w:t>4,884</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3,672</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tcPr>
          <w:p>
            <w:pPr>
              <w:jc w:val="right"/>
              <w:ind w:right="139"/>
              <w:spacing w:after="0"/>
              <w:rPr>
                <w:sz w:val="20"/>
                <w:szCs w:val="20"/>
                <w:color w:val="auto"/>
              </w:rPr>
            </w:pPr>
            <w:r>
              <w:rPr>
                <w:rFonts w:ascii="Arial" w:cs="Arial" w:eastAsia="Arial" w:hAnsi="Arial"/>
                <w:sz w:val="16"/>
                <w:szCs w:val="16"/>
                <w:color w:val="auto"/>
              </w:rPr>
              <w:t>14,779</w:t>
            </w:r>
          </w:p>
        </w:tc>
      </w:tr>
      <w:tr>
        <w:trPr>
          <w:trHeight w:val="206"/>
        </w:trPr>
        <w:tc>
          <w:tcPr>
            <w:tcW w:w="4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Taxes related to the adjustments to the pro forma data and to the</w:t>
            </w: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6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80" w:type="dxa"/>
            <w:vAlign w:val="bottom"/>
            <w:shd w:val="clear" w:color="auto" w:fill="CCEEFF"/>
          </w:tcPr>
          <w:p>
            <w:pPr>
              <w:spacing w:after="0"/>
              <w:rPr>
                <w:sz w:val="17"/>
                <w:szCs w:val="17"/>
                <w:color w:val="auto"/>
              </w:rPr>
            </w:pPr>
          </w:p>
        </w:tc>
      </w:tr>
      <w:tr>
        <w:trPr>
          <w:trHeight w:val="234"/>
        </w:trPr>
        <w:tc>
          <w:tcPr>
            <w:tcW w:w="4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 of Grand Design</w:t>
            </w: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3,210</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3,892</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11,513</w:t>
            </w:r>
          </w:p>
        </w:tc>
        <w:tc>
          <w:tcPr>
            <w:tcW w:w="1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(1,838)</w:t>
            </w:r>
          </w:p>
        </w:tc>
      </w:tr>
    </w:tbl>
    <w:p>
      <w:pPr>
        <w:spacing w:after="0" w:line="28" w:lineRule="exact"/>
        <w:rPr>
          <w:sz w:val="20"/>
          <w:szCs w:val="20"/>
          <w:color w:val="auto"/>
        </w:rPr>
      </w:pPr>
    </w:p>
    <w:p>
      <w:pPr>
        <w:ind w:left="160" w:hanging="152"/>
        <w:spacing w:after="0"/>
        <w:tabs>
          <w:tab w:leader="none" w:pos="160" w:val="left"/>
        </w:tabs>
        <w:numPr>
          <w:ilvl w:val="0"/>
          <w:numId w:val="3"/>
        </w:numPr>
        <w:rPr>
          <w:rFonts w:ascii="Arial" w:cs="Arial" w:eastAsia="Arial" w:hAnsi="Arial"/>
          <w:sz w:val="18"/>
          <w:szCs w:val="18"/>
          <w:color w:val="auto"/>
          <w:vertAlign w:val="superscript"/>
        </w:rPr>
      </w:pPr>
      <w:r>
        <w:rPr>
          <w:rFonts w:ascii="Arial" w:cs="Arial" w:eastAsia="Arial" w:hAnsi="Arial"/>
          <w:sz w:val="14"/>
          <w:szCs w:val="14"/>
          <w:color w:val="auto"/>
        </w:rPr>
        <w:t>Pro forma transaction costs include $0.1 million incurred by Grand Design prior to acquisition.</w:t>
      </w:r>
    </w:p>
    <w:p>
      <w:pPr>
        <w:spacing w:after="0" w:line="152" w:lineRule="exact"/>
        <w:rPr>
          <w:sz w:val="20"/>
          <w:szCs w:val="20"/>
          <w:color w:val="auto"/>
        </w:rPr>
      </w:pPr>
    </w:p>
    <w:p>
      <w:pPr>
        <w:ind w:right="400"/>
        <w:spacing w:after="0" w:line="291" w:lineRule="auto"/>
        <w:rPr>
          <w:sz w:val="20"/>
          <w:szCs w:val="20"/>
          <w:color w:val="auto"/>
        </w:rPr>
      </w:pPr>
      <w:r>
        <w:rPr>
          <w:rFonts w:ascii="Arial" w:cs="Arial" w:eastAsia="Arial" w:hAnsi="Arial"/>
          <w:sz w:val="16"/>
          <w:szCs w:val="16"/>
          <w:color w:val="auto"/>
        </w:rPr>
        <w:t>We incurred approximately $6.7 million of acquisition-related costs to date, of which $0.5 million and $6.4 million were expensed during the three and nine months ended May 27, 2017 and $0.3 million was expensed in the three months ended August 27, 2016.</w:t>
      </w:r>
    </w:p>
    <w:p>
      <w:pPr>
        <w:sectPr>
          <w:pgSz w:w="11900" w:h="16838" w:orient="portrait"/>
          <w:cols w:equalWidth="0" w:num="1">
            <w:col w:w="11420"/>
          </w:cols>
          <w:pgMar w:left="240" w:top="121" w:right="239" w:bottom="1440" w:gutter="0" w:footer="0" w:header="0"/>
        </w:sectPr>
      </w:pPr>
    </w:p>
    <w:p>
      <w:pPr>
        <w:spacing w:after="0" w:line="36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9</w:t>
      </w:r>
    </w:p>
    <w:p>
      <w:pPr>
        <w:sectPr>
          <w:pgSz w:w="11900" w:h="16838" w:orient="portrait"/>
          <w:cols w:equalWidth="0" w:num="1">
            <w:col w:w="11420"/>
          </w:cols>
          <w:pgMar w:left="240" w:top="121" w:right="239" w:bottom="1440" w:gutter="0" w:footer="0" w:header="0"/>
          <w:type w:val="continuous"/>
        </w:sectPr>
      </w:pPr>
    </w:p>
    <w:bookmarkStart w:id="11" w:name="page12"/>
    <w:bookmarkEnd w:id="1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3: Business Segments</w:t>
      </w:r>
    </w:p>
    <w:p>
      <w:pPr>
        <w:spacing w:after="0" w:line="196"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 xml:space="preserve">We report segment information based on the "management" approach defined in ASC 280, </w:t>
      </w:r>
      <w:r>
        <w:rPr>
          <w:rFonts w:ascii="Arial" w:cs="Arial" w:eastAsia="Arial" w:hAnsi="Arial"/>
          <w:sz w:val="16"/>
          <w:szCs w:val="16"/>
          <w:i w:val="1"/>
          <w:iCs w:val="1"/>
          <w:color w:val="auto"/>
        </w:rPr>
        <w:t>Segment Reporting</w:t>
      </w:r>
      <w:r>
        <w:rPr>
          <w:rFonts w:ascii="Arial" w:cs="Arial" w:eastAsia="Arial" w:hAnsi="Arial"/>
          <w:sz w:val="16"/>
          <w:szCs w:val="16"/>
          <w:color w:val="auto"/>
        </w:rPr>
        <w:t>. The management approach designates the internal reporting used by management for making decisions and assessing performance as the source of our reportable operating segments.</w:t>
      </w:r>
    </w:p>
    <w:p>
      <w:pPr>
        <w:spacing w:after="0" w:line="121"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RV products and services. With the acquisition of Grand Design in the first quarter,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 Prior year segment information has been restated to conform to the current reporting segment presentation.</w:t>
      </w:r>
    </w:p>
    <w:p>
      <w:pPr>
        <w:spacing w:after="0" w:line="149" w:lineRule="exact"/>
        <w:rPr>
          <w:sz w:val="20"/>
          <w:szCs w:val="20"/>
          <w:color w:val="auto"/>
        </w:rPr>
      </w:pPr>
    </w:p>
    <w:p>
      <w:pPr>
        <w:ind w:right="220"/>
        <w:spacing w:after="0" w:line="257" w:lineRule="auto"/>
        <w:rPr>
          <w:sz w:val="20"/>
          <w:szCs w:val="20"/>
          <w:color w:val="auto"/>
        </w:rPr>
      </w:pPr>
      <w:r>
        <w:rPr>
          <w:rFonts w:ascii="Arial" w:cs="Arial" w:eastAsia="Arial" w:hAnsi="Arial"/>
          <w:sz w:val="16"/>
          <w:szCs w:val="16"/>
          <w:color w:val="auto"/>
        </w:rPr>
        <w:t>We organize our business on a product basis. Each reportable segment is managed separately to better align to our customers, distribution partners and the unique market dynamics of the product groups. We have aggregated two operating segments into the Towable reporting segment based upon their similar products, customers, distribution methods, production processes and economic characteristics. The accounting policies of both reportable segments are the same and described in Note 1, "Summary of Significant Accounting Policies" in our annual report on Form 10-K for the year ended August 27, 2016 reported on Form 8-K dated January 20, 2017.</w:t>
      </w:r>
    </w:p>
    <w:p>
      <w:pPr>
        <w:spacing w:after="0" w:line="149"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We evaluate the performance of our reportable segments based on Adjusted EBITDA. Adjusted EBITDA is defined as earnings before interest, taxes, depreciation and amortization and other adjustments made in order to present comparable results from period to period. These types of adjustments are also specified in the definition of certain measures required under the terms of our Credit Facility. Examples of items excluded from Adjusted EBITDA include the postretirement health care benefit resulting from terminating the plan and the transaction costs related to our acquisition of Grand Design.</w:t>
      </w:r>
    </w:p>
    <w:p>
      <w:pPr>
        <w:spacing w:after="0" w:line="334"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620" w:type="dxa"/>
            <w:vAlign w:val="bottom"/>
            <w:gridSpan w:val="2"/>
          </w:tcPr>
          <w:p>
            <w:pPr>
              <w:spacing w:after="0"/>
              <w:rPr>
                <w:sz w:val="20"/>
                <w:szCs w:val="20"/>
                <w:color w:val="auto"/>
              </w:rPr>
            </w:pPr>
            <w:r>
              <w:rPr>
                <w:rFonts w:ascii="Arial" w:cs="Arial" w:eastAsia="Arial" w:hAnsi="Arial"/>
                <w:sz w:val="16"/>
                <w:szCs w:val="16"/>
                <w:color w:val="auto"/>
              </w:rPr>
              <w:t>The following table shows information by reporting segment:</w:t>
            </w:r>
          </w:p>
        </w:tc>
        <w:tc>
          <w:tcPr>
            <w:tcW w:w="2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20" w:type="dxa"/>
            <w:vAlign w:val="bottom"/>
          </w:tcPr>
          <w:p>
            <w:pPr>
              <w:spacing w:after="0"/>
              <w:rPr>
                <w:sz w:val="19"/>
                <w:szCs w:val="19"/>
                <w:color w:val="auto"/>
              </w:rPr>
            </w:pPr>
          </w:p>
        </w:tc>
      </w:tr>
      <w:tr>
        <w:trPr>
          <w:trHeight w:val="390"/>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gridSpan w:val="4"/>
          </w:tcPr>
          <w:p>
            <w:pPr>
              <w:jc w:val="right"/>
              <w:ind w:right="53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600" w:type="dxa"/>
            <w:vAlign w:val="bottom"/>
            <w:tcBorders>
              <w:bottom w:val="single" w:sz="8" w:color="auto"/>
            </w:tcBorders>
            <w:gridSpan w:val="4"/>
          </w:tcPr>
          <w:p>
            <w:pPr>
              <w:jc w:val="right"/>
              <w:ind w:right="55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5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20" w:type="dxa"/>
            <w:vAlign w:val="bottom"/>
            <w:gridSpan w:val="2"/>
          </w:tcPr>
          <w:p>
            <w:pPr>
              <w:ind w:left="100"/>
              <w:spacing w:after="0"/>
              <w:rPr>
                <w:sz w:val="20"/>
                <w:szCs w:val="20"/>
                <w:color w:val="auto"/>
              </w:rPr>
            </w:pPr>
            <w:r>
              <w:rPr>
                <w:rFonts w:ascii="Arial" w:cs="Arial" w:eastAsia="Arial" w:hAnsi="Arial"/>
                <w:sz w:val="16"/>
                <w:szCs w:val="16"/>
                <w:b w:val="1"/>
                <w:bCs w:val="1"/>
                <w:color w:val="auto"/>
              </w:rPr>
              <w:t>May 27,</w:t>
            </w: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28,</w:t>
            </w:r>
          </w:p>
        </w:tc>
        <w:tc>
          <w:tcPr>
            <w:tcW w:w="240" w:type="dxa"/>
            <w:vAlign w:val="bottom"/>
          </w:tcPr>
          <w:p>
            <w:pPr>
              <w:spacing w:after="0"/>
              <w:rPr>
                <w:sz w:val="16"/>
                <w:szCs w:val="16"/>
                <w:color w:val="auto"/>
              </w:rPr>
            </w:pPr>
          </w:p>
        </w:tc>
        <w:tc>
          <w:tcPr>
            <w:tcW w:w="124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40" w:type="dxa"/>
            <w:vAlign w:val="bottom"/>
          </w:tcPr>
          <w:p>
            <w:pPr>
              <w:spacing w:after="0"/>
              <w:rPr>
                <w:sz w:val="16"/>
                <w:szCs w:val="16"/>
                <w:color w:val="auto"/>
              </w:rPr>
            </w:pPr>
          </w:p>
        </w:tc>
        <w:tc>
          <w:tcPr>
            <w:tcW w:w="1120" w:type="dxa"/>
            <w:vAlign w:val="bottom"/>
          </w:tcPr>
          <w:p>
            <w:pPr>
              <w:jc w:val="right"/>
              <w:ind w:right="3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55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2016</w:t>
            </w:r>
          </w:p>
        </w:tc>
      </w:tr>
      <w:tr>
        <w:trPr>
          <w:trHeight w:val="267"/>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241,670</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246,684</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635,732</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649,162</w:t>
            </w:r>
          </w:p>
        </w:tc>
      </w:tr>
      <w:tr>
        <w:trPr>
          <w:trHeight w:val="271"/>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234,694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25,393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456,451</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62,810</w:t>
            </w:r>
          </w:p>
        </w:tc>
      </w:tr>
      <w:tr>
        <w:trPr>
          <w:trHeight w:val="282"/>
        </w:trPr>
        <w:tc>
          <w:tcPr>
            <w:tcW w:w="5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476,364</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272,077</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1,092,183</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711,972</w:t>
            </w:r>
          </w:p>
        </w:tc>
      </w:tr>
      <w:tr>
        <w:trPr>
          <w:trHeight w:val="265"/>
        </w:trPr>
        <w:tc>
          <w:tcPr>
            <w:tcW w:w="5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8"/>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12,598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16,218</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31,738</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39,683</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34,730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1,512</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59,340</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4,134</w:t>
            </w:r>
          </w:p>
        </w:tc>
      </w:tr>
      <w:tr>
        <w:trPr>
          <w:trHeight w:val="242"/>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47,328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91,078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43,817</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65"/>
        </w:trPr>
        <w:tc>
          <w:tcPr>
            <w:tcW w:w="55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spacing w:after="0"/>
              <w:rPr>
                <w:sz w:val="23"/>
                <w:szCs w:val="23"/>
                <w:color w:val="auto"/>
              </w:rPr>
            </w:pPr>
          </w:p>
        </w:tc>
      </w:tr>
      <w:tr>
        <w:trPr>
          <w:trHeight w:val="270"/>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 Expenditures</w:t>
            </w: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tcPr>
          <w:p>
            <w:pPr>
              <w:ind w:left="20"/>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1,527</w:t>
            </w:r>
          </w:p>
        </w:tc>
        <w:tc>
          <w:tcPr>
            <w:tcW w:w="120" w:type="dxa"/>
            <w:vAlign w:val="bottom"/>
          </w:tcPr>
          <w:p>
            <w:pPr>
              <w:spacing w:after="0"/>
              <w:rPr>
                <w:sz w:val="22"/>
                <w:szCs w:val="22"/>
                <w:color w:val="auto"/>
              </w:rPr>
            </w:pPr>
          </w:p>
        </w:tc>
        <w:tc>
          <w:tcPr>
            <w:tcW w:w="240" w:type="dxa"/>
            <w:vAlign w:val="bottom"/>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Pr>
          <w:p>
            <w:pPr>
              <w:jc w:val="right"/>
              <w:ind w:right="39"/>
              <w:spacing w:after="0"/>
              <w:rPr>
                <w:sz w:val="20"/>
                <w:szCs w:val="20"/>
                <w:color w:val="auto"/>
              </w:rPr>
            </w:pPr>
            <w:r>
              <w:rPr>
                <w:rFonts w:ascii="Arial" w:cs="Arial" w:eastAsia="Arial" w:hAnsi="Arial"/>
                <w:sz w:val="16"/>
                <w:szCs w:val="16"/>
                <w:color w:val="auto"/>
              </w:rPr>
              <w:t>3,498</w:t>
            </w:r>
          </w:p>
        </w:tc>
        <w:tc>
          <w:tcPr>
            <w:tcW w:w="10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6,626</w:t>
            </w:r>
          </w:p>
        </w:tc>
        <w:tc>
          <w:tcPr>
            <w:tcW w:w="120" w:type="dxa"/>
            <w:vAlign w:val="bottom"/>
          </w:tcPr>
          <w:p>
            <w:pPr>
              <w:spacing w:after="0"/>
              <w:rPr>
                <w:sz w:val="22"/>
                <w:szCs w:val="22"/>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19,364</w:t>
            </w:r>
          </w:p>
        </w:tc>
      </w:tr>
      <w:tr>
        <w:trPr>
          <w:trHeight w:val="271"/>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shd w:val="clear" w:color="auto" w:fill="CCEEFF"/>
          </w:tcPr>
          <w:p>
            <w:pPr>
              <w:spacing w:after="0"/>
              <w:rPr>
                <w:sz w:val="23"/>
                <w:szCs w:val="23"/>
                <w:color w:val="auto"/>
              </w:rPr>
            </w:pP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1,275</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73</w:t>
            </w:r>
          </w:p>
        </w:tc>
        <w:tc>
          <w:tcPr>
            <w:tcW w:w="10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3,114</w:t>
            </w:r>
          </w:p>
        </w:tc>
        <w:tc>
          <w:tcPr>
            <w:tcW w:w="120" w:type="dxa"/>
            <w:vAlign w:val="bottom"/>
            <w:shd w:val="clear" w:color="auto" w:fill="CCEEFF"/>
          </w:tcPr>
          <w:p>
            <w:pPr>
              <w:spacing w:after="0"/>
              <w:rPr>
                <w:sz w:val="23"/>
                <w:szCs w:val="23"/>
                <w:color w:val="auto"/>
              </w:rPr>
            </w:pPr>
          </w:p>
        </w:tc>
        <w:tc>
          <w:tcPr>
            <w:tcW w:w="24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564</w:t>
            </w:r>
          </w:p>
        </w:tc>
      </w:tr>
      <w:tr>
        <w:trPr>
          <w:trHeight w:val="282"/>
        </w:trPr>
        <w:tc>
          <w:tcPr>
            <w:tcW w:w="562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2,802</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3,571</w:t>
            </w:r>
          </w:p>
        </w:tc>
        <w:tc>
          <w:tcPr>
            <w:tcW w:w="10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9,740</w:t>
            </w:r>
          </w:p>
        </w:tc>
        <w:tc>
          <w:tcPr>
            <w:tcW w:w="120" w:type="dxa"/>
            <w:vAlign w:val="bottom"/>
            <w:tcBorders>
              <w:bottom w:val="single" w:sz="8" w:color="CCEEFF"/>
            </w:tcBorders>
          </w:tcPr>
          <w:p>
            <w:pPr>
              <w:spacing w:after="0"/>
              <w:rPr>
                <w:sz w:val="24"/>
                <w:szCs w:val="24"/>
                <w:color w:val="auto"/>
              </w:rPr>
            </w:pPr>
          </w:p>
        </w:tc>
        <w:tc>
          <w:tcPr>
            <w:tcW w:w="24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19,928</w:t>
            </w:r>
          </w:p>
        </w:tc>
      </w:tr>
      <w:tr>
        <w:trPr>
          <w:trHeight w:val="265"/>
        </w:trPr>
        <w:tc>
          <w:tcPr>
            <w:tcW w:w="55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r>
      <w:tr>
        <w:trPr>
          <w:trHeight w:val="262"/>
        </w:trPr>
        <w:tc>
          <w:tcPr>
            <w:tcW w:w="5620" w:type="dxa"/>
            <w:vAlign w:val="bottom"/>
            <w:gridSpan w:val="2"/>
          </w:tcPr>
          <w:p>
            <w:pPr>
              <w:ind w:left="40"/>
              <w:spacing w:after="0"/>
              <w:rPr>
                <w:sz w:val="20"/>
                <w:szCs w:val="20"/>
                <w:color w:val="auto"/>
              </w:rPr>
            </w:pPr>
            <w:r>
              <w:rPr>
                <w:rFonts w:ascii="Arial" w:cs="Arial" w:eastAsia="Arial" w:hAnsi="Arial"/>
                <w:sz w:val="16"/>
                <w:szCs w:val="16"/>
                <w:color w:val="auto"/>
              </w:rPr>
              <w:t>Total Assets</w:t>
            </w:r>
          </w:p>
        </w:tc>
        <w:tc>
          <w:tcPr>
            <w:tcW w:w="28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20" w:type="dxa"/>
            <w:vAlign w:val="bottom"/>
          </w:tcPr>
          <w:p>
            <w:pPr>
              <w:spacing w:after="0"/>
              <w:rPr>
                <w:sz w:val="22"/>
                <w:szCs w:val="22"/>
                <w:color w:val="auto"/>
              </w:rPr>
            </w:pPr>
          </w:p>
        </w:tc>
      </w:tr>
      <w:tr>
        <w:trPr>
          <w:trHeight w:val="278"/>
        </w:trPr>
        <w:tc>
          <w:tcPr>
            <w:tcW w:w="562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w:t>
            </w:r>
          </w:p>
        </w:tc>
        <w:tc>
          <w:tcPr>
            <w:tcW w:w="280" w:type="dxa"/>
            <w:vAlign w:val="bottom"/>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319,912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354,481</w:t>
            </w: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319,912</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354,481</w:t>
            </w:r>
          </w:p>
        </w:tc>
      </w:tr>
      <w:tr>
        <w:trPr>
          <w:trHeight w:val="264"/>
        </w:trPr>
        <w:tc>
          <w:tcPr>
            <w:tcW w:w="562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Towable</w:t>
            </w:r>
          </w:p>
        </w:tc>
        <w:tc>
          <w:tcPr>
            <w:tcW w:w="2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570,439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25,556</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570,439</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25,556</w:t>
            </w:r>
          </w:p>
        </w:tc>
      </w:tr>
      <w:tr>
        <w:trPr>
          <w:trHeight w:val="242"/>
        </w:trPr>
        <w:tc>
          <w:tcPr>
            <w:tcW w:w="5620" w:type="dxa"/>
            <w:vAlign w:val="bottom"/>
            <w:tcBorders>
              <w:bottom w:val="single" w:sz="8" w:color="CCEEFF"/>
            </w:tcBorders>
            <w:gridSpan w:val="2"/>
            <w:shd w:val="clear" w:color="auto" w:fill="CCEEFF"/>
          </w:tcPr>
          <w:p>
            <w:pPr>
              <w:ind w:left="180"/>
              <w:spacing w:after="0"/>
              <w:rPr>
                <w:sz w:val="20"/>
                <w:szCs w:val="20"/>
                <w:color w:val="auto"/>
              </w:rPr>
            </w:pPr>
            <w:r>
              <w:rPr>
                <w:rFonts w:ascii="Arial" w:cs="Arial" w:eastAsia="Arial" w:hAnsi="Arial"/>
                <w:sz w:val="16"/>
                <w:szCs w:val="16"/>
                <w:color w:val="auto"/>
              </w:rPr>
              <w:t>Consolidated</w:t>
            </w:r>
          </w:p>
        </w:tc>
        <w:tc>
          <w:tcPr>
            <w:tcW w:w="28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12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380,037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890,351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380,037</w:t>
            </w:r>
          </w:p>
        </w:tc>
      </w:tr>
      <w:tr>
        <w:trPr>
          <w:trHeight w:val="20"/>
        </w:trPr>
        <w:tc>
          <w:tcPr>
            <w:tcW w:w="55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614"/>
        </w:trPr>
        <w:tc>
          <w:tcPr>
            <w:tcW w:w="55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0"/>
                <w:szCs w:val="20"/>
                <w:color w:val="auto"/>
              </w:rPr>
            </w:pPr>
            <w:r>
              <w:rPr>
                <w:rFonts w:ascii="Arial" w:cs="Arial" w:eastAsia="Arial" w:hAnsi="Arial"/>
                <w:sz w:val="16"/>
                <w:szCs w:val="16"/>
                <w:color w:val="auto"/>
              </w:rPr>
              <w:t>10</w:t>
            </w: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r>
    </w:tbl>
    <w:p>
      <w:pPr>
        <w:sectPr>
          <w:pgSz w:w="11900" w:h="16838" w:orient="portrait"/>
          <w:cols w:equalWidth="0" w:num="1">
            <w:col w:w="11420"/>
          </w:cols>
          <w:pgMar w:left="240" w:top="121" w:right="239" w:bottom="1440" w:gutter="0" w:footer="0" w:header="0"/>
        </w:sectPr>
      </w:pPr>
    </w:p>
    <w:bookmarkStart w:id="12" w:name="page13"/>
    <w:bookmarkEnd w:id="12"/>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32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4060" w:type="dxa"/>
            <w:vAlign w:val="bottom"/>
            <w:gridSpan w:val="2"/>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451"/>
        </w:trPr>
        <w:tc>
          <w:tcPr>
            <w:tcW w:w="5320" w:type="dxa"/>
            <w:vAlign w:val="bottom"/>
            <w:gridSpan w:val="3"/>
          </w:tcPr>
          <w:p>
            <w:pPr>
              <w:spacing w:after="0"/>
              <w:rPr>
                <w:sz w:val="20"/>
                <w:szCs w:val="20"/>
                <w:color w:val="auto"/>
              </w:rPr>
            </w:pPr>
            <w:r>
              <w:rPr>
                <w:rFonts w:ascii="Arial" w:cs="Arial" w:eastAsia="Arial" w:hAnsi="Arial"/>
                <w:sz w:val="16"/>
                <w:szCs w:val="16"/>
                <w:color w:val="auto"/>
              </w:rPr>
              <w:t>Reconciliation of net income to consolidated Adjusted EBITDA:</w:t>
            </w: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90"/>
        </w:trPr>
        <w:tc>
          <w:tcPr>
            <w:tcW w:w="1260" w:type="dxa"/>
            <w:vAlign w:val="bottom"/>
          </w:tcPr>
          <w:p>
            <w:pPr>
              <w:spacing w:after="0"/>
              <w:rPr>
                <w:sz w:val="24"/>
                <w:szCs w:val="24"/>
                <w:color w:val="auto"/>
              </w:rPr>
            </w:pPr>
          </w:p>
        </w:tc>
        <w:tc>
          <w:tcPr>
            <w:tcW w:w="3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1260" w:type="dxa"/>
            <w:vAlign w:val="bottom"/>
          </w:tcPr>
          <w:p>
            <w:pPr>
              <w:spacing w:after="0"/>
              <w:rPr>
                <w:sz w:val="16"/>
                <w:szCs w:val="16"/>
                <w:color w:val="auto"/>
              </w:rPr>
            </w:pPr>
          </w:p>
        </w:tc>
        <w:tc>
          <w:tcPr>
            <w:tcW w:w="39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8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6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60" w:type="dxa"/>
            <w:vAlign w:val="bottom"/>
          </w:tcPr>
          <w:p>
            <w:pPr>
              <w:spacing w:after="0"/>
              <w:rPr>
                <w:sz w:val="16"/>
                <w:szCs w:val="16"/>
                <w:color w:val="auto"/>
              </w:rPr>
            </w:pPr>
          </w:p>
        </w:tc>
        <w:tc>
          <w:tcPr>
            <w:tcW w:w="118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r>
      <w:tr>
        <w:trPr>
          <w:trHeight w:val="232"/>
        </w:trPr>
        <w:tc>
          <w:tcPr>
            <w:tcW w:w="5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r>
      <w:tr>
        <w:trPr>
          <w:trHeight w:val="254"/>
        </w:trPr>
        <w:tc>
          <w:tcPr>
            <w:tcW w:w="532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19,391</w:t>
            </w:r>
          </w:p>
        </w:tc>
        <w:tc>
          <w:tcPr>
            <w:tcW w:w="100" w:type="dxa"/>
            <w:vAlign w:val="bottom"/>
            <w:shd w:val="clear" w:color="auto" w:fill="CCEEFF"/>
          </w:tcPr>
          <w:p>
            <w:pPr>
              <w:spacing w:after="0"/>
              <w:rPr>
                <w:sz w:val="22"/>
                <w:szCs w:val="22"/>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46,407</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32,350</w:t>
            </w:r>
          </w:p>
        </w:tc>
      </w:tr>
      <w:tr>
        <w:trPr>
          <w:trHeight w:val="262"/>
        </w:trPr>
        <w:tc>
          <w:tcPr>
            <w:tcW w:w="5320" w:type="dxa"/>
            <w:vAlign w:val="bottom"/>
            <w:gridSpan w:val="3"/>
          </w:tcPr>
          <w:p>
            <w:pPr>
              <w:ind w:left="180"/>
              <w:spacing w:after="0"/>
              <w:rPr>
                <w:sz w:val="20"/>
                <w:szCs w:val="20"/>
                <w:color w:val="auto"/>
              </w:rPr>
            </w:pPr>
            <w:r>
              <w:rPr>
                <w:rFonts w:ascii="Arial" w:cs="Arial" w:eastAsia="Arial" w:hAnsi="Arial"/>
                <w:sz w:val="16"/>
                <w:szCs w:val="16"/>
                <w:color w:val="auto"/>
              </w:rPr>
              <w:t>Interest expense</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5,265</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11,571</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w:t>
            </w:r>
          </w:p>
        </w:tc>
      </w:tr>
      <w:tr>
        <w:trPr>
          <w:trHeight w:val="278"/>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10,258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6,232</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23,794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14,699</w:t>
            </w:r>
          </w:p>
        </w:tc>
      </w:tr>
      <w:tr>
        <w:trPr>
          <w:trHeight w:val="262"/>
        </w:trPr>
        <w:tc>
          <w:tcPr>
            <w:tcW w:w="5320" w:type="dxa"/>
            <w:vAlign w:val="bottom"/>
            <w:gridSpan w:val="3"/>
          </w:tcPr>
          <w:p>
            <w:pPr>
              <w:ind w:left="180"/>
              <w:spacing w:after="0"/>
              <w:rPr>
                <w:sz w:val="20"/>
                <w:szCs w:val="20"/>
                <w:color w:val="auto"/>
              </w:rPr>
            </w:pPr>
            <w:r>
              <w:rPr>
                <w:rFonts w:ascii="Arial" w:cs="Arial" w:eastAsia="Arial" w:hAnsi="Arial"/>
                <w:sz w:val="16"/>
                <w:szCs w:val="16"/>
                <w:color w:val="auto"/>
              </w:rPr>
              <w:t>Depreciation</w:t>
            </w: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1,859</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1,480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19"/>
              <w:spacing w:after="0"/>
              <w:rPr>
                <w:sz w:val="20"/>
                <w:szCs w:val="20"/>
                <w:color w:val="auto"/>
              </w:rPr>
            </w:pPr>
            <w:r>
              <w:rPr>
                <w:rFonts w:ascii="Arial" w:cs="Arial" w:eastAsia="Arial" w:hAnsi="Arial"/>
                <w:sz w:val="16"/>
                <w:szCs w:val="16"/>
                <w:color w:val="auto"/>
              </w:rPr>
              <w:t>5,287</w:t>
            </w: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color w:val="auto"/>
              </w:rPr>
              <w:t>4,243</w:t>
            </w:r>
          </w:p>
        </w:tc>
      </w:tr>
      <w:tr>
        <w:trPr>
          <w:trHeight w:val="271"/>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22,578</w:t>
            </w:r>
          </w:p>
        </w:tc>
        <w:tc>
          <w:tcPr>
            <w:tcW w:w="120" w:type="dxa"/>
            <w:vAlign w:val="bottom"/>
            <w:shd w:val="clear" w:color="auto" w:fill="CCEEFF"/>
          </w:tcPr>
          <w:p>
            <w:pPr>
              <w:spacing w:after="0"/>
              <w:rPr>
                <w:sz w:val="23"/>
                <w:szCs w:val="23"/>
                <w:color w:val="auto"/>
              </w:rPr>
            </w:pPr>
          </w:p>
        </w:tc>
        <w:tc>
          <w:tcPr>
            <w:tcW w:w="260" w:type="dxa"/>
            <w:vAlign w:val="bottom"/>
            <w:shd w:val="clear" w:color="auto" w:fill="CCEEFF"/>
          </w:tcPr>
          <w:p>
            <w:pPr>
              <w:spacing w:after="0"/>
              <w:rPr>
                <w:sz w:val="23"/>
                <w:szCs w:val="23"/>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49"/>
        </w:trPr>
        <w:tc>
          <w:tcPr>
            <w:tcW w:w="5320" w:type="dxa"/>
            <w:vAlign w:val="bottom"/>
            <w:gridSpan w:val="3"/>
          </w:tcPr>
          <w:p>
            <w:pPr>
              <w:ind w:left="40"/>
              <w:spacing w:after="0"/>
              <w:rPr>
                <w:sz w:val="20"/>
                <w:szCs w:val="20"/>
                <w:color w:val="auto"/>
              </w:rPr>
            </w:pPr>
            <w:r>
              <w:rPr>
                <w:rFonts w:ascii="Arial" w:cs="Arial" w:eastAsia="Arial" w:hAnsi="Arial"/>
                <w:sz w:val="16"/>
                <w:szCs w:val="16"/>
                <w:color w:val="auto"/>
              </w:rPr>
              <w:t>EBITDA</w:t>
            </w: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46,932</w:t>
            </w:r>
          </w:p>
        </w:tc>
        <w:tc>
          <w:tcPr>
            <w:tcW w:w="100" w:type="dxa"/>
            <w:vAlign w:val="bottom"/>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22,150</w:t>
            </w: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109,637</w:t>
            </w: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jc w:val="right"/>
              <w:ind w:right="139"/>
              <w:spacing w:after="0"/>
              <w:rPr>
                <w:sz w:val="20"/>
                <w:szCs w:val="20"/>
                <w:color w:val="auto"/>
              </w:rPr>
            </w:pPr>
            <w:r>
              <w:rPr>
                <w:rFonts w:ascii="Arial" w:cs="Arial" w:eastAsia="Arial" w:hAnsi="Arial"/>
                <w:sz w:val="16"/>
                <w:szCs w:val="16"/>
                <w:color w:val="auto"/>
              </w:rPr>
              <w:t>51,292</w:t>
            </w:r>
          </w:p>
        </w:tc>
      </w:tr>
      <w:tr>
        <w:trPr>
          <w:trHeight w:val="278"/>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26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(1,593)</w:t>
            </w: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(4,531)</w:t>
            </w:r>
          </w:p>
        </w:tc>
      </w:tr>
      <w:tr>
        <w:trPr>
          <w:trHeight w:val="262"/>
        </w:trPr>
        <w:tc>
          <w:tcPr>
            <w:tcW w:w="5320" w:type="dxa"/>
            <w:vAlign w:val="bottom"/>
            <w:gridSpan w:val="3"/>
          </w:tcPr>
          <w:p>
            <w:pPr>
              <w:ind w:left="180"/>
              <w:spacing w:after="0"/>
              <w:rPr>
                <w:sz w:val="20"/>
                <w:szCs w:val="20"/>
                <w:color w:val="auto"/>
              </w:rPr>
            </w:pPr>
            <w:r>
              <w:rPr>
                <w:rFonts w:ascii="Arial" w:cs="Arial" w:eastAsia="Arial" w:hAnsi="Arial"/>
                <w:sz w:val="16"/>
                <w:szCs w:val="16"/>
                <w:color w:val="auto"/>
              </w:rPr>
              <w:t>Legal settlement</w:t>
            </w:r>
          </w:p>
        </w:tc>
        <w:tc>
          <w:tcPr>
            <w:tcW w:w="260" w:type="dxa"/>
            <w:vAlign w:val="bottom"/>
          </w:tcPr>
          <w:p>
            <w:pPr>
              <w:spacing w:after="0"/>
              <w:rPr>
                <w:sz w:val="22"/>
                <w:szCs w:val="22"/>
                <w:color w:val="auto"/>
              </w:rPr>
            </w:pPr>
          </w:p>
        </w:tc>
        <w:tc>
          <w:tcPr>
            <w:tcW w:w="128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8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(2,750)</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00" w:type="dxa"/>
            <w:vAlign w:val="bottom"/>
            <w:gridSpan w:val="2"/>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tcPr>
          <w:p>
            <w:pPr>
              <w:spacing w:after="0"/>
              <w:rPr>
                <w:sz w:val="22"/>
                <w:szCs w:val="22"/>
                <w:color w:val="auto"/>
              </w:rPr>
            </w:pP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(2,750)</w:t>
            </w:r>
          </w:p>
        </w:tc>
      </w:tr>
      <w:tr>
        <w:trPr>
          <w:trHeight w:val="278"/>
        </w:trPr>
        <w:tc>
          <w:tcPr>
            <w:tcW w:w="532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450</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ind w:right="32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r>
      <w:tr>
        <w:trPr>
          <w:trHeight w:val="264"/>
        </w:trPr>
        <w:tc>
          <w:tcPr>
            <w:tcW w:w="532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Non-operating income</w:t>
            </w: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(54)</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(77)</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(194)</w:t>
            </w:r>
          </w:p>
        </w:tc>
      </w:tr>
      <w:tr>
        <w:trPr>
          <w:trHeight w:val="242"/>
        </w:trPr>
        <w:tc>
          <w:tcPr>
            <w:tcW w:w="532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47,328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17,730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91,078</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43,817</w:t>
            </w:r>
          </w:p>
        </w:tc>
      </w:tr>
      <w:tr>
        <w:trPr>
          <w:trHeight w:val="20"/>
        </w:trPr>
        <w:tc>
          <w:tcPr>
            <w:tcW w:w="1260" w:type="dxa"/>
            <w:vAlign w:val="bottom"/>
          </w:tcPr>
          <w:p>
            <w:pPr>
              <w:spacing w:after="0" w:line="20" w:lineRule="exact"/>
              <w:rPr>
                <w:sz w:val="1"/>
                <w:szCs w:val="1"/>
                <w:color w:val="auto"/>
              </w:rPr>
            </w:pPr>
          </w:p>
        </w:tc>
        <w:tc>
          <w:tcPr>
            <w:tcW w:w="39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bl>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4</w:t>
      </w:r>
      <w:r>
        <w:rPr>
          <w:rFonts w:ascii="Times New Roman" w:cs="Times New Roman" w:eastAsia="Times New Roman" w:hAnsi="Times New Roman"/>
          <w:sz w:val="18"/>
          <w:szCs w:val="18"/>
          <w:b w:val="1"/>
          <w:bCs w:val="1"/>
          <w:color w:val="auto"/>
        </w:rPr>
        <w:t>:</w:t>
      </w:r>
      <w:r>
        <w:rPr>
          <w:rFonts w:ascii="Arial" w:cs="Arial" w:eastAsia="Arial" w:hAnsi="Arial"/>
          <w:sz w:val="16"/>
          <w:szCs w:val="16"/>
          <w:b w:val="1"/>
          <w:bCs w:val="1"/>
          <w:color w:val="auto"/>
        </w:rPr>
        <w:t xml:space="preserve"> Concentration Risk</w:t>
      </w:r>
    </w:p>
    <w:p>
      <w:pPr>
        <w:spacing w:after="0" w:line="202" w:lineRule="exact"/>
        <w:rPr>
          <w:sz w:val="20"/>
          <w:szCs w:val="20"/>
          <w:color w:val="auto"/>
        </w:rPr>
      </w:pPr>
    </w:p>
    <w:p>
      <w:pPr>
        <w:ind w:right="100"/>
        <w:spacing w:after="0" w:line="255" w:lineRule="auto"/>
        <w:rPr>
          <w:sz w:val="20"/>
          <w:szCs w:val="20"/>
          <w:color w:val="auto"/>
        </w:rPr>
      </w:pPr>
      <w:r>
        <w:rPr>
          <w:rFonts w:ascii="Arial" w:cs="Arial" w:eastAsia="Arial" w:hAnsi="Arial"/>
          <w:sz w:val="16"/>
          <w:szCs w:val="16"/>
          <w:color w:val="auto"/>
        </w:rPr>
        <w:t>One of our dealer organizations, La Mesa RV Center, Inc., accounted for 10.9% and 13.8% of our consolidated net revenues for the first nine months of Fiscal 2017 and Fiscal 2016, respectively. A second dealer organization, FreedomRoads, LLC, accounted for 10.6% and 17.6% of our consolidated net revenues for the first nine months of Fiscal 2017 and Fiscal 2016, respectively. These dealers declined on a relative basis due to the growth of other dealers and due to the addition of Grand Design revenue in Fiscal 2017. The loss of either or both of these dealer organizations could have a significant adverse effect on our business. In addition, deterioration in the liquidity or creditworthiness of these dealers could negatively impact our sales and could trigger repurchase obligations under our repurchase agreements.</w:t>
      </w:r>
    </w:p>
    <w:p>
      <w:pPr>
        <w:spacing w:after="0" w:line="17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5: Derivatives, Investments and Fair Value Measurements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Recurring Basis</w:t>
      </w:r>
    </w:p>
    <w:p>
      <w:pPr>
        <w:spacing w:after="0" w:line="27" w:lineRule="exact"/>
        <w:rPr>
          <w:sz w:val="20"/>
          <w:szCs w:val="20"/>
          <w:color w:val="auto"/>
        </w:rPr>
      </w:pPr>
    </w:p>
    <w:p>
      <w:pPr>
        <w:ind w:right="100"/>
        <w:spacing w:after="0" w:line="251" w:lineRule="auto"/>
        <w:rPr>
          <w:sz w:val="20"/>
          <w:szCs w:val="20"/>
          <w:color w:val="auto"/>
        </w:rPr>
      </w:pPr>
      <w:r>
        <w:rPr>
          <w:rFonts w:ascii="Arial" w:cs="Arial" w:eastAsia="Arial" w:hAnsi="Arial"/>
          <w:sz w:val="16"/>
          <w:szCs w:val="16"/>
          <w:color w:val="auto"/>
        </w:rPr>
        <w:t xml:space="preserve">We account for fair value measurements in accordance with ASC 820, </w:t>
      </w:r>
      <w:r>
        <w:rPr>
          <w:rFonts w:ascii="Arial" w:cs="Arial" w:eastAsia="Arial" w:hAnsi="Arial"/>
          <w:sz w:val="16"/>
          <w:szCs w:val="16"/>
          <w:i w:val="1"/>
          <w:iCs w:val="1"/>
          <w:color w:val="auto"/>
        </w:rPr>
        <w:t>Fair Value Measurements and Disclosures,</w:t>
      </w:r>
      <w:r>
        <w:rPr>
          <w:rFonts w:ascii="Arial" w:cs="Arial" w:eastAsia="Arial" w:hAnsi="Arial"/>
          <w:sz w:val="16"/>
          <w:szCs w:val="16"/>
          <w:color w:val="auto"/>
        </w:rPr>
        <w:t xml:space="preserve"> which defines fair value, establishes a framework for measurement and expands disclosure about fair value measurement. The fair value hierarchy requires the use of observable market data when available. In instances in which the inputs used to measure fair value fall into different levels of the fair value hierarchy, the fair value measurement has been determined based on the lowest level input that is significant to the fair value measurement in its entirety. Our assessment of the significance of a particular item to the fair value measurement in its entirety requires judgment, including the consideration of inputs specific to the asset or liability.</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11</w:t>
      </w:r>
    </w:p>
    <w:p>
      <w:pPr>
        <w:sectPr>
          <w:pgSz w:w="11900" w:h="16838" w:orient="portrait"/>
          <w:cols w:equalWidth="0" w:num="1">
            <w:col w:w="11420"/>
          </w:cols>
          <w:pgMar w:left="240" w:top="118" w:right="239" w:bottom="1440" w:gutter="0" w:footer="0" w:header="0"/>
        </w:sectPr>
      </w:pPr>
    </w:p>
    <w:bookmarkStart w:id="13" w:name="page14"/>
    <w:bookmarkEnd w:id="1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62" w:lineRule="exact"/>
        <w:rPr>
          <w:sz w:val="20"/>
          <w:szCs w:val="20"/>
          <w:color w:val="auto"/>
        </w:rPr>
      </w:pPr>
    </w:p>
    <w:p>
      <w:pPr>
        <w:ind w:right="120"/>
        <w:spacing w:after="0" w:line="327" w:lineRule="auto"/>
        <w:rPr>
          <w:sz w:val="20"/>
          <w:szCs w:val="20"/>
          <w:color w:val="auto"/>
        </w:rPr>
      </w:pPr>
      <w:r>
        <w:rPr>
          <w:rFonts w:ascii="Arial" w:cs="Arial" w:eastAsia="Arial" w:hAnsi="Arial"/>
          <w:sz w:val="16"/>
          <w:szCs w:val="16"/>
          <w:color w:val="auto"/>
        </w:rPr>
        <w:t>The following tables set forth by level within the fair value hierarchy our financial assets and liabilities that were accounted for at fair value on a recurring basis at May 27, 2017 and August 27, 2016 according to the valuation techniques we used to determine their fair values:</w:t>
      </w:r>
    </w:p>
    <w:p>
      <w:pPr>
        <w:spacing w:after="0" w:line="77"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240" w:type="dxa"/>
            <w:vAlign w:val="bottom"/>
            <w:gridSpan w:val="11"/>
          </w:tcPr>
          <w:p>
            <w:pPr>
              <w:jc w:val="center"/>
              <w:ind w:left="939"/>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16"/>
                <w:szCs w:val="16"/>
                <w:color w:val="auto"/>
              </w:rPr>
            </w:pPr>
          </w:p>
        </w:tc>
      </w:tr>
      <w:tr>
        <w:trPr>
          <w:trHeight w:val="232"/>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3240" w:type="dxa"/>
            <w:vAlign w:val="bottom"/>
            <w:tcBorders>
              <w:bottom w:val="single" w:sz="8" w:color="auto"/>
            </w:tcBorders>
            <w:gridSpan w:val="11"/>
          </w:tcPr>
          <w:p>
            <w:pPr>
              <w:jc w:val="center"/>
              <w:ind w:left="959"/>
              <w:spacing w:after="0"/>
              <w:rPr>
                <w:sz w:val="20"/>
                <w:szCs w:val="20"/>
                <w:color w:val="auto"/>
              </w:rPr>
            </w:pPr>
            <w:r>
              <w:rPr>
                <w:rFonts w:ascii="Arial" w:cs="Arial" w:eastAsia="Arial" w:hAnsi="Arial"/>
                <w:sz w:val="16"/>
                <w:szCs w:val="16"/>
                <w:b w:val="1"/>
                <w:bCs w:val="1"/>
                <w:color w:val="auto"/>
              </w:rPr>
              <w:t>Using Inputs Considered As</w:t>
            </w:r>
          </w:p>
        </w:tc>
        <w:tc>
          <w:tcPr>
            <w:tcW w:w="1280" w:type="dxa"/>
            <w:vAlign w:val="bottom"/>
            <w:tcBorders>
              <w:bottom w:val="single" w:sz="8" w:color="auto"/>
            </w:tcBorders>
          </w:tcPr>
          <w:p>
            <w:pPr>
              <w:spacing w:after="0"/>
              <w:rPr>
                <w:sz w:val="20"/>
                <w:szCs w:val="20"/>
                <w:color w:val="auto"/>
              </w:rPr>
            </w:pPr>
          </w:p>
        </w:tc>
      </w:tr>
      <w:tr>
        <w:trPr>
          <w:trHeight w:val="193"/>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520" w:type="dxa"/>
            <w:vAlign w:val="bottom"/>
            <w:gridSpan w:val="4"/>
          </w:tcPr>
          <w:p>
            <w:pPr>
              <w:jc w:val="center"/>
              <w:ind w:right="79"/>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w w:val="99"/>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60" w:type="dxa"/>
            <w:vAlign w:val="bottom"/>
            <w:gridSpan w:val="3"/>
          </w:tcPr>
          <w:p>
            <w:pPr>
              <w:ind w:left="40"/>
              <w:spacing w:after="0"/>
              <w:rPr>
                <w:sz w:val="20"/>
                <w:szCs w:val="20"/>
                <w:color w:val="auto"/>
              </w:rPr>
            </w:pPr>
            <w:r>
              <w:rPr>
                <w:rFonts w:ascii="Arial" w:cs="Arial" w:eastAsia="Arial" w:hAnsi="Arial"/>
                <w:sz w:val="16"/>
                <w:szCs w:val="16"/>
                <w:b w:val="1"/>
                <w:bCs w:val="1"/>
                <w:color w:val="auto"/>
              </w:rPr>
              <w:t>Fair Value at</w:t>
            </w:r>
          </w:p>
        </w:tc>
        <w:tc>
          <w:tcPr>
            <w:tcW w:w="40" w:type="dxa"/>
            <w:vAlign w:val="bottom"/>
          </w:tcPr>
          <w:p>
            <w:pPr>
              <w:spacing w:after="0"/>
              <w:rPr>
                <w:sz w:val="16"/>
                <w:szCs w:val="16"/>
                <w:color w:val="auto"/>
              </w:rPr>
            </w:pPr>
          </w:p>
        </w:tc>
        <w:tc>
          <w:tcPr>
            <w:tcW w:w="1520" w:type="dxa"/>
            <w:vAlign w:val="bottom"/>
            <w:gridSpan w:val="4"/>
          </w:tcPr>
          <w:p>
            <w:pPr>
              <w:jc w:val="center"/>
              <w:ind w:right="59"/>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660" w:type="dxa"/>
            <w:vAlign w:val="bottom"/>
            <w:gridSpan w:val="6"/>
          </w:tcPr>
          <w:p>
            <w:pPr>
              <w:jc w:val="center"/>
              <w:ind w:right="240"/>
              <w:spacing w:after="0"/>
              <w:rPr>
                <w:sz w:val="20"/>
                <w:szCs w:val="20"/>
                <w:color w:val="auto"/>
              </w:rPr>
            </w:pPr>
            <w:r>
              <w:rPr>
                <w:rFonts w:ascii="Arial" w:cs="Arial" w:eastAsia="Arial" w:hAnsi="Arial"/>
                <w:sz w:val="16"/>
                <w:szCs w:val="16"/>
                <w:b w:val="1"/>
                <w:bCs w:val="1"/>
                <w:color w:val="auto"/>
              </w:rPr>
              <w:t>Level 2 Significant</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May 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ind w:right="299"/>
              <w:spacing w:after="0"/>
              <w:rPr>
                <w:sz w:val="20"/>
                <w:szCs w:val="20"/>
                <w:color w:val="auto"/>
              </w:rPr>
            </w:pPr>
            <w:r>
              <w:rPr>
                <w:rFonts w:ascii="Arial" w:cs="Arial" w:eastAsia="Arial" w:hAnsi="Arial"/>
                <w:sz w:val="16"/>
                <w:szCs w:val="16"/>
                <w:b w:val="1"/>
                <w:bCs w:val="1"/>
                <w:color w:val="auto"/>
                <w:w w:val="99"/>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4"/>
          </w:tcPr>
          <w:p>
            <w:pPr>
              <w:jc w:val="center"/>
              <w:ind w:right="560"/>
              <w:spacing w:after="0"/>
              <w:rPr>
                <w:sz w:val="20"/>
                <w:szCs w:val="20"/>
                <w:color w:val="auto"/>
              </w:rPr>
            </w:pPr>
            <w:r>
              <w:rPr>
                <w:rFonts w:ascii="Arial" w:cs="Arial" w:eastAsia="Arial" w:hAnsi="Arial"/>
                <w:sz w:val="16"/>
                <w:szCs w:val="16"/>
                <w:b w:val="1"/>
                <w:bCs w:val="1"/>
                <w:color w:val="auto"/>
              </w:rPr>
              <w:t>Other</w:t>
            </w:r>
          </w:p>
        </w:tc>
        <w:tc>
          <w:tcPr>
            <w:tcW w:w="180" w:type="dxa"/>
            <w:vAlign w:val="bottom"/>
          </w:tcPr>
          <w:p>
            <w:pPr>
              <w:spacing w:after="0"/>
              <w:rPr>
                <w:sz w:val="16"/>
                <w:szCs w:val="16"/>
                <w:color w:val="auto"/>
              </w:rPr>
            </w:pPr>
          </w:p>
        </w:tc>
        <w:tc>
          <w:tcPr>
            <w:tcW w:w="1280" w:type="dxa"/>
            <w:vAlign w:val="bottom"/>
          </w:tcPr>
          <w:p>
            <w:pPr>
              <w:jc w:val="center"/>
              <w:ind w:right="9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4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gridSpan w:val="3"/>
          </w:tcPr>
          <w:p>
            <w:pPr>
              <w:jc w:val="center"/>
              <w:spacing w:after="0"/>
              <w:rPr>
                <w:sz w:val="20"/>
                <w:szCs w:val="20"/>
                <w:color w:val="auto"/>
              </w:rPr>
            </w:pPr>
            <w:r>
              <w:rPr>
                <w:rFonts w:ascii="Arial" w:cs="Arial" w:eastAsia="Arial" w:hAnsi="Arial"/>
                <w:sz w:val="16"/>
                <w:szCs w:val="16"/>
                <w:b w:val="1"/>
                <w:bCs w:val="1"/>
                <w:color w:val="auto"/>
              </w:rPr>
              <w:t>Identical Assets</w:t>
            </w:r>
          </w:p>
        </w:tc>
        <w:tc>
          <w:tcPr>
            <w:tcW w:w="100" w:type="dxa"/>
            <w:vAlign w:val="bottom"/>
            <w:tcBorders>
              <w:bottom w:val="single" w:sz="8" w:color="CCEEFF"/>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gridSpan w:val="4"/>
          </w:tcPr>
          <w:p>
            <w:pPr>
              <w:jc w:val="center"/>
              <w:ind w:right="140"/>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gridSpan w:val="2"/>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99"/>
              <w:spacing w:after="0"/>
              <w:rPr>
                <w:sz w:val="20"/>
                <w:szCs w:val="20"/>
                <w:color w:val="auto"/>
              </w:rPr>
            </w:pPr>
            <w:r>
              <w:rPr>
                <w:rFonts w:ascii="Arial" w:cs="Arial" w:eastAsia="Arial" w:hAnsi="Arial"/>
                <w:sz w:val="16"/>
                <w:szCs w:val="16"/>
                <w:b w:val="1"/>
                <w:bCs w:val="1"/>
                <w:color w:val="auto"/>
              </w:rPr>
              <w:t>Inputs</w:t>
            </w:r>
          </w:p>
        </w:tc>
      </w:tr>
      <w:tr>
        <w:trPr>
          <w:trHeight w:val="254"/>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300" w:type="dxa"/>
            <w:vAlign w:val="bottom"/>
            <w:gridSpan w:val="2"/>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16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shd w:val="clear" w:color="auto" w:fill="CCEEFF"/>
          </w:tcPr>
          <w:p>
            <w:pPr>
              <w:spacing w:after="0"/>
              <w:rPr>
                <w:sz w:val="22"/>
                <w:szCs w:val="22"/>
                <w:color w:val="auto"/>
              </w:rPr>
            </w:pPr>
          </w:p>
        </w:tc>
        <w:tc>
          <w:tcPr>
            <w:tcW w:w="1280" w:type="dxa"/>
            <w:vAlign w:val="bottom"/>
            <w:gridSpan w:val="2"/>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shd w:val="clear" w:color="auto" w:fill="CCEEFF"/>
          </w:tcPr>
          <w:p>
            <w:pPr>
              <w:spacing w:after="0"/>
              <w:rPr>
                <w:sz w:val="22"/>
                <w:szCs w:val="22"/>
                <w:color w:val="auto"/>
              </w:rPr>
            </w:pPr>
          </w:p>
        </w:tc>
        <w:tc>
          <w:tcPr>
            <w:tcW w:w="280" w:type="dxa"/>
            <w:vAlign w:val="bottom"/>
            <w:shd w:val="clear" w:color="auto" w:fill="CCEEFF"/>
          </w:tcPr>
          <w:p>
            <w:pPr>
              <w:spacing w:after="0"/>
              <w:rPr>
                <w:sz w:val="22"/>
                <w:szCs w:val="22"/>
                <w:color w:val="auto"/>
              </w:rPr>
            </w:pPr>
          </w:p>
        </w:tc>
        <w:tc>
          <w:tcPr>
            <w:tcW w:w="132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2,178</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2,085</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93</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208</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jc w:val="right"/>
              <w:ind w:right="39"/>
              <w:spacing w:after="0"/>
              <w:rPr>
                <w:sz w:val="20"/>
                <w:szCs w:val="20"/>
                <w:color w:val="auto"/>
              </w:rPr>
            </w:pPr>
            <w:r>
              <w:rPr>
                <w:rFonts w:ascii="Arial" w:cs="Arial" w:eastAsia="Arial" w:hAnsi="Arial"/>
                <w:sz w:val="16"/>
                <w:szCs w:val="16"/>
                <w:color w:val="auto"/>
              </w:rPr>
              <w:t>165</w:t>
            </w: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239"/>
              <w:spacing w:after="0"/>
              <w:rPr>
                <w:sz w:val="20"/>
                <w:szCs w:val="20"/>
                <w:color w:val="auto"/>
              </w:rPr>
            </w:pPr>
            <w:r>
              <w:rPr>
                <w:rFonts w:ascii="Arial" w:cs="Arial" w:eastAsia="Arial" w:hAnsi="Arial"/>
                <w:sz w:val="16"/>
                <w:szCs w:val="16"/>
                <w:color w:val="auto"/>
              </w:rPr>
              <w:t>43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220</w:t>
            </w:r>
          </w:p>
        </w:tc>
        <w:tc>
          <w:tcPr>
            <w:tcW w:w="10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1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138</w:t>
            </w:r>
          </w:p>
        </w:tc>
        <w:tc>
          <w:tcPr>
            <w:tcW w:w="10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4"/>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(802)</w:t>
            </w: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ind w:right="139"/>
              <w:spacing w:after="0"/>
              <w:rPr>
                <w:sz w:val="20"/>
                <w:szCs w:val="20"/>
                <w:color w:val="auto"/>
              </w:rPr>
            </w:pPr>
            <w:r>
              <w:rPr>
                <w:rFonts w:ascii="Arial" w:cs="Arial" w:eastAsia="Arial" w:hAnsi="Arial"/>
                <w:sz w:val="16"/>
                <w:szCs w:val="16"/>
                <w:color w:val="auto"/>
              </w:rPr>
              <w:t>—</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79"/>
              <w:spacing w:after="0"/>
              <w:rPr>
                <w:sz w:val="20"/>
                <w:szCs w:val="20"/>
                <w:color w:val="auto"/>
              </w:rPr>
            </w:pPr>
            <w:r>
              <w:rPr>
                <w:rFonts w:ascii="Arial" w:cs="Arial" w:eastAsia="Arial" w:hAnsi="Arial"/>
                <w:sz w:val="16"/>
                <w:szCs w:val="16"/>
                <w:color w:val="auto"/>
              </w:rPr>
              <w:t>(802)</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860" w:type="dxa"/>
            <w:vAlign w:val="bottom"/>
            <w:tcBorders>
              <w:top w:val="single" w:sz="8" w:color="CCEEFF"/>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assets (liabilities) at fair value</w:t>
            </w: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1,804</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 w:type="dxa"/>
            <w:vAlign w:val="bottom"/>
            <w:tcBorders>
              <w:top w:val="single" w:sz="8" w:color="auto"/>
              <w:bottom w:val="single" w:sz="8" w:color="auto"/>
            </w:tcBorders>
            <w:shd w:val="clear" w:color="auto" w:fill="CCEEFF"/>
          </w:tcPr>
          <w:p>
            <w:pPr>
              <w:spacing w:after="0"/>
              <w:rPr>
                <w:sz w:val="21"/>
                <w:szCs w:val="21"/>
                <w:color w:val="auto"/>
              </w:rPr>
            </w:pPr>
          </w:p>
        </w:tc>
        <w:tc>
          <w:tcPr>
            <w:tcW w:w="1180" w:type="dxa"/>
            <w:vAlign w:val="bottom"/>
            <w:tcBorders>
              <w:top w:val="single" w:sz="8" w:color="auto"/>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2,388</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60" w:type="dxa"/>
            <w:vAlign w:val="bottom"/>
            <w:tcBorders>
              <w:top w:val="single" w:sz="8" w:color="auto"/>
              <w:bottom w:val="single" w:sz="8" w:color="auto"/>
            </w:tcBorders>
            <w:shd w:val="clear" w:color="auto" w:fill="CCEEFF"/>
          </w:tcPr>
          <w:p>
            <w:pPr>
              <w:spacing w:after="0"/>
              <w:rPr>
                <w:sz w:val="21"/>
                <w:szCs w:val="21"/>
                <w:color w:val="auto"/>
              </w:rPr>
            </w:pPr>
          </w:p>
        </w:tc>
        <w:tc>
          <w:tcPr>
            <w:tcW w:w="280" w:type="dxa"/>
            <w:vAlign w:val="bottom"/>
            <w:tcBorders>
              <w:top w:val="single" w:sz="8" w:color="auto"/>
              <w:bottom w:val="single" w:sz="8" w:color="auto"/>
            </w:tcBorders>
            <w:shd w:val="clear" w:color="auto" w:fill="CCEEFF"/>
          </w:tcPr>
          <w:p>
            <w:pPr>
              <w:spacing w:after="0"/>
              <w:rPr>
                <w:sz w:val="21"/>
                <w:szCs w:val="21"/>
                <w:color w:val="auto"/>
              </w:rPr>
            </w:pPr>
          </w:p>
        </w:tc>
        <w:tc>
          <w:tcPr>
            <w:tcW w:w="1200" w:type="dxa"/>
            <w:vAlign w:val="bottom"/>
            <w:tcBorders>
              <w:top w:val="single" w:sz="8" w:color="auto"/>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(584)</w:t>
            </w:r>
          </w:p>
        </w:tc>
        <w:tc>
          <w:tcPr>
            <w:tcW w:w="20" w:type="dxa"/>
            <w:vAlign w:val="bottom"/>
            <w:tcBorders>
              <w:top w:val="single" w:sz="8" w:color="auto"/>
              <w:bottom w:val="single" w:sz="8" w:color="auto"/>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bottom w:val="single" w:sz="8" w:color="auto"/>
            </w:tcBorders>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gridSpan w:val="2"/>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313"/>
        </w:trPr>
        <w:tc>
          <w:tcPr>
            <w:tcW w:w="4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2060" w:type="dxa"/>
            <w:vAlign w:val="bottom"/>
            <w:gridSpan w:val="10"/>
          </w:tcPr>
          <w:p>
            <w:pPr>
              <w:jc w:val="center"/>
              <w:spacing w:after="0"/>
              <w:rPr>
                <w:sz w:val="20"/>
                <w:szCs w:val="20"/>
                <w:color w:val="auto"/>
              </w:rPr>
            </w:pPr>
            <w:r>
              <w:rPr>
                <w:rFonts w:ascii="Arial" w:cs="Arial" w:eastAsia="Arial" w:hAnsi="Arial"/>
                <w:sz w:val="16"/>
                <w:szCs w:val="16"/>
                <w:b w:val="1"/>
                <w:bCs w:val="1"/>
                <w:color w:val="auto"/>
              </w:rPr>
              <w:t>Fair Value Measurements</w:t>
            </w:r>
          </w:p>
        </w:tc>
        <w:tc>
          <w:tcPr>
            <w:tcW w:w="1280" w:type="dxa"/>
            <w:vAlign w:val="bottom"/>
          </w:tcPr>
          <w:p>
            <w:pPr>
              <w:spacing w:after="0"/>
              <w:rPr>
                <w:sz w:val="24"/>
                <w:szCs w:val="24"/>
                <w:color w:val="auto"/>
              </w:rPr>
            </w:pPr>
          </w:p>
        </w:tc>
      </w:tr>
      <w:tr>
        <w:trPr>
          <w:trHeight w:val="232"/>
        </w:trPr>
        <w:tc>
          <w:tcPr>
            <w:tcW w:w="4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4520" w:type="dxa"/>
            <w:vAlign w:val="bottom"/>
            <w:tcBorders>
              <w:bottom w:val="single" w:sz="8" w:color="auto"/>
            </w:tcBorders>
            <w:gridSpan w:val="12"/>
          </w:tcPr>
          <w:p>
            <w:pPr>
              <w:jc w:val="center"/>
              <w:spacing w:after="0"/>
              <w:rPr>
                <w:sz w:val="20"/>
                <w:szCs w:val="20"/>
                <w:color w:val="auto"/>
              </w:rPr>
            </w:pPr>
            <w:r>
              <w:rPr>
                <w:rFonts w:ascii="Arial" w:cs="Arial" w:eastAsia="Arial" w:hAnsi="Arial"/>
                <w:sz w:val="16"/>
                <w:szCs w:val="16"/>
                <w:b w:val="1"/>
                <w:bCs w:val="1"/>
                <w:color w:val="auto"/>
              </w:rPr>
              <w:t>Using Inputs Considered As</w:t>
            </w:r>
          </w:p>
        </w:tc>
      </w:tr>
      <w:tr>
        <w:trPr>
          <w:trHeight w:val="193"/>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Level 1 Quoted</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Level 3</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w w:val="98"/>
              </w:rPr>
              <w:t>Fair Value at</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Prices in Active</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20" w:type="dxa"/>
            <w:vAlign w:val="bottom"/>
            <w:gridSpan w:val="4"/>
          </w:tcPr>
          <w:p>
            <w:pPr>
              <w:jc w:val="center"/>
              <w:ind w:right="400"/>
              <w:spacing w:after="0"/>
              <w:rPr>
                <w:sz w:val="20"/>
                <w:szCs w:val="20"/>
                <w:color w:val="auto"/>
              </w:rPr>
            </w:pPr>
            <w:r>
              <w:rPr>
                <w:rFonts w:ascii="Arial" w:cs="Arial" w:eastAsia="Arial" w:hAnsi="Arial"/>
                <w:sz w:val="16"/>
                <w:szCs w:val="16"/>
                <w:b w:val="1"/>
                <w:bCs w:val="1"/>
                <w:color w:val="auto"/>
              </w:rPr>
              <w:t>Level 2</w:t>
            </w: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Significant</w:t>
            </w:r>
          </w:p>
        </w:tc>
      </w:tr>
      <w:tr>
        <w:trPr>
          <w:trHeight w:val="189"/>
        </w:trPr>
        <w:tc>
          <w:tcPr>
            <w:tcW w:w="47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300" w:type="dxa"/>
            <w:vAlign w:val="bottom"/>
            <w:gridSpan w:val="2"/>
          </w:tcPr>
          <w:p>
            <w:pPr>
              <w:jc w:val="center"/>
              <w:ind w:right="160"/>
              <w:spacing w:after="0"/>
              <w:rPr>
                <w:sz w:val="20"/>
                <w:szCs w:val="20"/>
                <w:color w:val="auto"/>
              </w:rPr>
            </w:pPr>
            <w:r>
              <w:rPr>
                <w:rFonts w:ascii="Arial" w:cs="Arial" w:eastAsia="Arial" w:hAnsi="Arial"/>
                <w:sz w:val="16"/>
                <w:szCs w:val="16"/>
                <w:b w:val="1"/>
                <w:bCs w:val="1"/>
                <w:color w:val="auto"/>
              </w:rPr>
              <w:t>August 27,</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280" w:type="dxa"/>
            <w:vAlign w:val="bottom"/>
            <w:gridSpan w:val="2"/>
          </w:tcPr>
          <w:p>
            <w:pPr>
              <w:jc w:val="center"/>
              <w:spacing w:after="0"/>
              <w:rPr>
                <w:sz w:val="20"/>
                <w:szCs w:val="20"/>
                <w:color w:val="auto"/>
              </w:rPr>
            </w:pPr>
            <w:r>
              <w:rPr>
                <w:rFonts w:ascii="Arial" w:cs="Arial" w:eastAsia="Arial" w:hAnsi="Arial"/>
                <w:sz w:val="16"/>
                <w:szCs w:val="16"/>
                <w:b w:val="1"/>
                <w:bCs w:val="1"/>
                <w:color w:val="auto"/>
              </w:rPr>
              <w:t>Markets for</w:t>
            </w: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600" w:type="dxa"/>
            <w:vAlign w:val="bottom"/>
            <w:gridSpan w:val="5"/>
          </w:tcPr>
          <w:p>
            <w:pPr>
              <w:jc w:val="center"/>
              <w:ind w:right="100"/>
              <w:spacing w:after="0"/>
              <w:rPr>
                <w:sz w:val="20"/>
                <w:szCs w:val="20"/>
                <w:color w:val="auto"/>
              </w:rPr>
            </w:pPr>
            <w:r>
              <w:rPr>
                <w:rFonts w:ascii="Arial" w:cs="Arial" w:eastAsia="Arial" w:hAnsi="Arial"/>
                <w:sz w:val="16"/>
                <w:szCs w:val="16"/>
                <w:b w:val="1"/>
                <w:bCs w:val="1"/>
                <w:color w:val="auto"/>
              </w:rPr>
              <w:t>Significant Other</w:t>
            </w:r>
          </w:p>
        </w:tc>
        <w:tc>
          <w:tcPr>
            <w:tcW w:w="180" w:type="dxa"/>
            <w:vAlign w:val="bottom"/>
          </w:tcPr>
          <w:p>
            <w:pPr>
              <w:spacing w:after="0"/>
              <w:rPr>
                <w:sz w:val="16"/>
                <w:szCs w:val="16"/>
                <w:color w:val="auto"/>
              </w:rPr>
            </w:pPr>
          </w:p>
        </w:tc>
        <w:tc>
          <w:tcPr>
            <w:tcW w:w="1280" w:type="dxa"/>
            <w:vAlign w:val="bottom"/>
          </w:tcPr>
          <w:p>
            <w:pPr>
              <w:jc w:val="center"/>
              <w:ind w:right="119"/>
              <w:spacing w:after="0"/>
              <w:rPr>
                <w:sz w:val="20"/>
                <w:szCs w:val="20"/>
                <w:color w:val="auto"/>
              </w:rPr>
            </w:pPr>
            <w:r>
              <w:rPr>
                <w:rFonts w:ascii="Arial" w:cs="Arial" w:eastAsia="Arial" w:hAnsi="Arial"/>
                <w:sz w:val="16"/>
                <w:szCs w:val="16"/>
                <w:b w:val="1"/>
                <w:bCs w:val="1"/>
                <w:color w:val="auto"/>
              </w:rPr>
              <w:t>Unobservable</w:t>
            </w:r>
          </w:p>
        </w:tc>
      </w:tr>
      <w:tr>
        <w:trPr>
          <w:trHeight w:val="232"/>
        </w:trPr>
        <w:tc>
          <w:tcPr>
            <w:tcW w:w="48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Identical Assets</w:t>
            </w:r>
          </w:p>
        </w:tc>
        <w:tc>
          <w:tcPr>
            <w:tcW w:w="80" w:type="dxa"/>
            <w:vAlign w:val="bottom"/>
            <w:tcBorders>
              <w:bottom w:val="single" w:sz="8" w:color="auto"/>
            </w:tcBorders>
          </w:tcPr>
          <w:p>
            <w:pPr>
              <w:spacing w:after="0"/>
              <w:rPr>
                <w:sz w:val="20"/>
                <w:szCs w:val="20"/>
                <w:color w:val="auto"/>
              </w:rPr>
            </w:pPr>
          </w:p>
        </w:tc>
        <w:tc>
          <w:tcPr>
            <w:tcW w:w="4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480" w:type="dxa"/>
            <w:vAlign w:val="bottom"/>
            <w:tcBorders>
              <w:bottom w:val="single" w:sz="8" w:color="auto"/>
            </w:tcBorders>
            <w:gridSpan w:val="2"/>
          </w:tcPr>
          <w:p>
            <w:pPr>
              <w:jc w:val="center"/>
              <w:spacing w:after="0"/>
              <w:rPr>
                <w:sz w:val="20"/>
                <w:szCs w:val="20"/>
                <w:color w:val="auto"/>
              </w:rPr>
            </w:pPr>
            <w:r>
              <w:rPr>
                <w:rFonts w:ascii="Arial" w:cs="Arial" w:eastAsia="Arial" w:hAnsi="Arial"/>
                <w:sz w:val="16"/>
                <w:szCs w:val="16"/>
                <w:b w:val="1"/>
                <w:bCs w:val="1"/>
                <w:color w:val="auto"/>
              </w:rPr>
              <w:t>Observable Inputs</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w w:val="99"/>
              </w:rPr>
              <w:t>Inputs</w:t>
            </w:r>
          </w:p>
        </w:tc>
      </w:tr>
      <w:tr>
        <w:trPr>
          <w:trHeight w:val="254"/>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Cash equivalents </w:t>
            </w:r>
            <w:r>
              <w:rPr>
                <w:rFonts w:ascii="Arial" w:cs="Arial" w:eastAsia="Arial" w:hAnsi="Arial"/>
                <w:sz w:val="21"/>
                <w:szCs w:val="21"/>
                <w:color w:val="auto"/>
                <w:vertAlign w:val="superscript"/>
              </w:rPr>
              <w:t>(1)</w:t>
            </w: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77,234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77,234</w:t>
            </w:r>
          </w:p>
        </w:tc>
        <w:tc>
          <w:tcPr>
            <w:tcW w:w="8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320" w:type="dxa"/>
            <w:vAlign w:val="bottom"/>
            <w:gridSpan w:val="4"/>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gridSpan w:val="2"/>
          </w:tcPr>
          <w:p>
            <w:pPr>
              <w:ind w:left="40"/>
              <w:spacing w:after="0"/>
              <w:rPr>
                <w:sz w:val="20"/>
                <w:szCs w:val="20"/>
                <w:color w:val="auto"/>
              </w:rPr>
            </w:pPr>
            <w:r>
              <w:rPr>
                <w:rFonts w:ascii="Arial" w:cs="Arial" w:eastAsia="Arial" w:hAnsi="Arial"/>
                <w:sz w:val="16"/>
                <w:szCs w:val="16"/>
                <w:color w:val="auto"/>
              </w:rPr>
              <w:t>Assets that fund deferred compensation:</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1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spacing w:after="0"/>
              <w:rPr>
                <w:sz w:val="22"/>
                <w:szCs w:val="22"/>
                <w:color w:val="auto"/>
              </w:rPr>
            </w:pPr>
          </w:p>
        </w:tc>
      </w:tr>
      <w:tr>
        <w:trPr>
          <w:trHeight w:val="278"/>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Domestic equity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3,587</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3,515</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72</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2"/>
        </w:trPr>
        <w:tc>
          <w:tcPr>
            <w:tcW w:w="4860" w:type="dxa"/>
            <w:vAlign w:val="bottom"/>
            <w:gridSpan w:val="2"/>
          </w:tcPr>
          <w:p>
            <w:pPr>
              <w:ind w:left="120"/>
              <w:spacing w:after="0"/>
              <w:rPr>
                <w:sz w:val="20"/>
                <w:szCs w:val="20"/>
                <w:color w:val="auto"/>
              </w:rPr>
            </w:pPr>
            <w:r>
              <w:rPr>
                <w:rFonts w:ascii="Arial" w:cs="Arial" w:eastAsia="Arial" w:hAnsi="Arial"/>
                <w:sz w:val="16"/>
                <w:szCs w:val="16"/>
                <w:color w:val="auto"/>
              </w:rPr>
              <w:t>International equity funds</w:t>
            </w: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300" w:type="dxa"/>
            <w:vAlign w:val="bottom"/>
            <w:gridSpan w:val="2"/>
          </w:tcPr>
          <w:p>
            <w:pPr>
              <w:jc w:val="right"/>
              <w:ind w:right="80"/>
              <w:spacing w:after="0"/>
              <w:rPr>
                <w:sz w:val="20"/>
                <w:szCs w:val="20"/>
                <w:color w:val="auto"/>
              </w:rPr>
            </w:pPr>
            <w:r>
              <w:rPr>
                <w:rFonts w:ascii="Arial" w:cs="Arial" w:eastAsia="Arial" w:hAnsi="Arial"/>
                <w:sz w:val="16"/>
                <w:szCs w:val="16"/>
                <w:color w:val="auto"/>
              </w:rPr>
              <w:t>258</w:t>
            </w: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280" w:type="dxa"/>
            <w:vAlign w:val="bottom"/>
            <w:gridSpan w:val="2"/>
          </w:tcPr>
          <w:p>
            <w:pPr>
              <w:jc w:val="right"/>
              <w:spacing w:after="0"/>
              <w:rPr>
                <w:sz w:val="20"/>
                <w:szCs w:val="20"/>
                <w:color w:val="auto"/>
              </w:rPr>
            </w:pPr>
            <w:r>
              <w:rPr>
                <w:rFonts w:ascii="Arial" w:cs="Arial" w:eastAsia="Arial" w:hAnsi="Arial"/>
                <w:sz w:val="16"/>
                <w:szCs w:val="16"/>
                <w:color w:val="auto"/>
              </w:rPr>
              <w:t>225</w:t>
            </w:r>
          </w:p>
        </w:tc>
        <w:tc>
          <w:tcPr>
            <w:tcW w:w="8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33</w:t>
            </w: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80" w:type="dxa"/>
            <w:vAlign w:val="bottom"/>
          </w:tcPr>
          <w:p>
            <w:pPr>
              <w:ind w:left="1000"/>
              <w:spacing w:after="0"/>
              <w:rPr>
                <w:sz w:val="20"/>
                <w:szCs w:val="20"/>
                <w:color w:val="auto"/>
              </w:rPr>
            </w:pPr>
            <w:r>
              <w:rPr>
                <w:rFonts w:ascii="Arial" w:cs="Arial" w:eastAsia="Arial" w:hAnsi="Arial"/>
                <w:sz w:val="16"/>
                <w:szCs w:val="16"/>
                <w:color w:val="auto"/>
              </w:rPr>
              <w:t>—</w:t>
            </w:r>
          </w:p>
        </w:tc>
      </w:tr>
      <w:tr>
        <w:trPr>
          <w:trHeight w:val="278"/>
        </w:trPr>
        <w:tc>
          <w:tcPr>
            <w:tcW w:w="486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Fixed income funds</w:t>
            </w: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265</w:t>
            </w: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206</w:t>
            </w:r>
          </w:p>
        </w:tc>
        <w:tc>
          <w:tcPr>
            <w:tcW w:w="8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6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w:t>
            </w:r>
          </w:p>
        </w:tc>
        <w:tc>
          <w:tcPr>
            <w:tcW w:w="2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64"/>
        </w:trPr>
        <w:tc>
          <w:tcPr>
            <w:tcW w:w="48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Interest rate swap contract</w:t>
            </w:r>
          </w:p>
        </w:tc>
        <w:tc>
          <w:tcPr>
            <w:tcW w:w="18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2"/>
          </w:tcPr>
          <w:p>
            <w:pPr>
              <w:jc w:val="right"/>
              <w:ind w:right="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gridSpan w:val="2"/>
          </w:tcPr>
          <w:p>
            <w:pPr>
              <w:jc w:val="right"/>
              <w:spacing w:after="0"/>
              <w:rPr>
                <w:sz w:val="20"/>
                <w:szCs w:val="20"/>
                <w:color w:val="auto"/>
              </w:rPr>
            </w:pPr>
            <w:r>
              <w:rPr>
                <w:rFonts w:ascii="Arial" w:cs="Arial" w:eastAsia="Arial" w:hAnsi="Arial"/>
                <w:sz w:val="16"/>
                <w:szCs w:val="16"/>
                <w:color w:val="auto"/>
              </w:rPr>
              <w:t>—</w:t>
            </w:r>
          </w:p>
        </w:tc>
        <w:tc>
          <w:tcPr>
            <w:tcW w:w="80" w:type="dxa"/>
            <w:vAlign w:val="bottom"/>
            <w:tcBorders>
              <w:bottom w:val="single" w:sz="8" w:color="auto"/>
            </w:tcBorders>
          </w:tcPr>
          <w:p>
            <w:pPr>
              <w:spacing w:after="0"/>
              <w:rPr>
                <w:sz w:val="22"/>
                <w:szCs w:val="22"/>
                <w:color w:val="auto"/>
              </w:rPr>
            </w:pPr>
          </w:p>
        </w:tc>
        <w:tc>
          <w:tcPr>
            <w:tcW w:w="40" w:type="dxa"/>
            <w:vAlign w:val="bottom"/>
            <w:tcBorders>
              <w:bottom w:val="single" w:sz="8" w:color="CCEEFF"/>
            </w:tcBorders>
          </w:tcPr>
          <w:p>
            <w:pPr>
              <w:spacing w:after="0"/>
              <w:rPr>
                <w:sz w:val="22"/>
                <w:szCs w:val="22"/>
                <w:color w:val="auto"/>
              </w:rPr>
            </w:pPr>
          </w:p>
        </w:tc>
        <w:tc>
          <w:tcPr>
            <w:tcW w:w="6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ind w:left="1000"/>
              <w:spacing w:after="0"/>
              <w:rPr>
                <w:sz w:val="20"/>
                <w:szCs w:val="20"/>
                <w:color w:val="auto"/>
              </w:rPr>
            </w:pPr>
            <w:r>
              <w:rPr>
                <w:rFonts w:ascii="Arial" w:cs="Arial" w:eastAsia="Arial" w:hAnsi="Arial"/>
                <w:sz w:val="16"/>
                <w:szCs w:val="16"/>
                <w:color w:val="auto"/>
              </w:rPr>
              <w:t>—</w:t>
            </w:r>
          </w:p>
        </w:tc>
      </w:tr>
      <w:tr>
        <w:trPr>
          <w:trHeight w:val="242"/>
        </w:trPr>
        <w:tc>
          <w:tcPr>
            <w:tcW w:w="48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Total assets at fair value</w:t>
            </w:r>
          </w:p>
        </w:tc>
        <w:tc>
          <w:tcPr>
            <w:tcW w:w="460" w:type="dxa"/>
            <w:vAlign w:val="bottom"/>
            <w:gridSpan w:val="3"/>
            <w:shd w:val="clear" w:color="auto" w:fill="CCEEFF"/>
          </w:tcPr>
          <w:p>
            <w:pPr>
              <w:ind w:left="320"/>
              <w:spacing w:after="0"/>
              <w:rPr>
                <w:sz w:val="20"/>
                <w:szCs w:val="20"/>
                <w:color w:val="auto"/>
              </w:rPr>
            </w:pPr>
            <w:r>
              <w:rPr>
                <w:rFonts w:ascii="Arial" w:cs="Arial" w:eastAsia="Arial" w:hAnsi="Arial"/>
                <w:sz w:val="16"/>
                <w:szCs w:val="16"/>
                <w:color w:val="auto"/>
              </w:rPr>
              <w:t>$</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6"/>
                <w:szCs w:val="16"/>
                <w:color w:val="auto"/>
              </w:rPr>
              <w:t>81,344</w:t>
            </w:r>
          </w:p>
        </w:tc>
        <w:tc>
          <w:tcPr>
            <w:tcW w:w="280" w:type="dxa"/>
            <w:vAlign w:val="bottom"/>
            <w:gridSpan w:val="3"/>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81,180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340" w:type="dxa"/>
            <w:vAlign w:val="bottom"/>
            <w:gridSpan w:val="2"/>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164</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ind w:left="1000"/>
              <w:spacing w:after="0"/>
              <w:rPr>
                <w:sz w:val="20"/>
                <w:szCs w:val="20"/>
                <w:color w:val="auto"/>
              </w:rPr>
            </w:pPr>
            <w:r>
              <w:rPr>
                <w:rFonts w:ascii="Arial" w:cs="Arial" w:eastAsia="Arial" w:hAnsi="Arial"/>
                <w:sz w:val="16"/>
                <w:szCs w:val="16"/>
                <w:color w:val="auto"/>
              </w:rPr>
              <w:t>—</w:t>
            </w:r>
          </w:p>
        </w:tc>
      </w:tr>
      <w:tr>
        <w:trPr>
          <w:trHeight w:val="20"/>
        </w:trPr>
        <w:tc>
          <w:tcPr>
            <w:tcW w:w="47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95" w:lineRule="exact"/>
        <w:rPr>
          <w:sz w:val="20"/>
          <w:szCs w:val="20"/>
          <w:color w:val="auto"/>
        </w:rPr>
      </w:pPr>
    </w:p>
    <w:p>
      <w:pPr>
        <w:ind w:left="340" w:right="120" w:hanging="332"/>
        <w:spacing w:after="0" w:line="232" w:lineRule="auto"/>
        <w:tabs>
          <w:tab w:leader="none" w:pos="34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Cash equivalent balances valued using Level 1 inputs include only those accounts that may fluctuate in value. Cash in disbursing accounts and on-demand accounts are not included above.</w:t>
      </w:r>
    </w:p>
    <w:p>
      <w:pPr>
        <w:spacing w:after="0" w:line="126" w:lineRule="exact"/>
        <w:rPr>
          <w:sz w:val="20"/>
          <w:szCs w:val="20"/>
          <w:color w:val="auto"/>
        </w:rPr>
      </w:pPr>
    </w:p>
    <w:p>
      <w:pPr>
        <w:spacing w:after="0"/>
        <w:rPr>
          <w:sz w:val="20"/>
          <w:szCs w:val="20"/>
          <w:color w:val="auto"/>
        </w:rPr>
      </w:pPr>
      <w:r>
        <w:rPr>
          <w:rFonts w:ascii="Arial" w:cs="Arial" w:eastAsia="Arial" w:hAnsi="Arial"/>
          <w:sz w:val="16"/>
          <w:szCs w:val="16"/>
          <w:color w:val="auto"/>
        </w:rPr>
        <w:t>The following methods and assumptions were used to estimate the fair value of each class of financial instrument:</w:t>
      </w:r>
    </w:p>
    <w:p>
      <w:pPr>
        <w:spacing w:after="0" w:line="165"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Cash Equivalents</w:t>
      </w:r>
    </w:p>
    <w:p>
      <w:pPr>
        <w:spacing w:after="0" w:line="27" w:lineRule="exact"/>
        <w:rPr>
          <w:sz w:val="20"/>
          <w:szCs w:val="20"/>
          <w:color w:val="auto"/>
        </w:rPr>
      </w:pPr>
    </w:p>
    <w:p>
      <w:pPr>
        <w:jc w:val="both"/>
        <w:ind w:right="40"/>
        <w:spacing w:after="0" w:line="265" w:lineRule="auto"/>
        <w:rPr>
          <w:sz w:val="20"/>
          <w:szCs w:val="20"/>
          <w:color w:val="auto"/>
        </w:rPr>
      </w:pPr>
      <w:r>
        <w:rPr>
          <w:rFonts w:ascii="Arial" w:cs="Arial" w:eastAsia="Arial" w:hAnsi="Arial"/>
          <w:sz w:val="16"/>
          <w:szCs w:val="16"/>
          <w:color w:val="auto"/>
        </w:rPr>
        <w:t>The carrying value of cash equivalents approximates fair value as original maturities are less than three months. Our cash equivalents are comprised of money market funds traded in an active market with no restrictions and are included in cash and cash equivalents on the accompanying consolidated balance sheets.</w:t>
      </w:r>
    </w:p>
    <w:p>
      <w:pPr>
        <w:spacing w:after="0" w:line="13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that Fund Deferred Compensation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Our assets that fund deferred compensation are marketable equity securities measured at fair value using quoted market prices and primarily consist of equity-based mutual funds. The majority of securities are classified as Level 1 as they are traded in an active market for which closing stock prices are readily available. These securities fund the Executive Share Option Plan and the Executive Deferred Compensation Plan (see Note 10). The proportion of the assets that will fund options which expire within a year are included in prepaid expenses and other current assets in the accompanying consolidated balance sheets. The remaining assets are classified as noncurrent and are included in other assets.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Swap Contract</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Under terms of our Credit Facility (see Note 9) we are required to hedge a portion of the floating interest rate exposure. In accordance with this requirement, we entered into an interest swap contract on January 23, 2017, which effectively fixed our interest rate on $200.0 million of our Term Loan at 6.32%. The notional amount of the swap contract decreases to $170.0 million on December 8, 2017, $120.0 million on December 10, 2018, and $60.0 million on December 9, 2019 and expires on December 8, 2020.</w:t>
      </w:r>
    </w:p>
    <w:p>
      <w:pPr>
        <w:spacing w:after="0" w:line="150"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The fair value of the interest rate swap based on a Level 2 valuation was a liability of $0.8 million as of May 27, 2017. The fair value is classified as Level 2 as it is corroborated based on observable market data. This amount is included in other non-current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121" w:right="239" w:bottom="1440" w:gutter="0" w:footer="0" w:header="0"/>
        </w:sectPr>
      </w:pPr>
    </w:p>
    <w:bookmarkStart w:id="14" w:name="page15"/>
    <w:bookmarkEnd w:id="1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0"/>
        <w:spacing w:after="0" w:line="291" w:lineRule="auto"/>
        <w:rPr>
          <w:sz w:val="20"/>
          <w:szCs w:val="20"/>
          <w:color w:val="auto"/>
        </w:rPr>
      </w:pPr>
      <w:r>
        <w:rPr>
          <w:rFonts w:ascii="Arial" w:cs="Arial" w:eastAsia="Arial" w:hAnsi="Arial"/>
          <w:sz w:val="16"/>
          <w:szCs w:val="16"/>
          <w:color w:val="auto"/>
        </w:rPr>
        <w:t>liabilities and accumulated other comprehensive income on the consolidated balance sheet since the interest rate swap has been designated for hedge accounting.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Assets and Liabilities that are Measured at Fair Value on a Nonrecurring Basis</w:t>
      </w:r>
    </w:p>
    <w:p>
      <w:pPr>
        <w:spacing w:after="0" w:line="27" w:lineRule="exact"/>
        <w:rPr>
          <w:sz w:val="20"/>
          <w:szCs w:val="20"/>
          <w:color w:val="auto"/>
        </w:rPr>
      </w:pPr>
    </w:p>
    <w:p>
      <w:pPr>
        <w:ind w:right="40"/>
        <w:spacing w:after="0" w:line="253" w:lineRule="auto"/>
        <w:rPr>
          <w:sz w:val="20"/>
          <w:szCs w:val="20"/>
          <w:color w:val="auto"/>
        </w:rPr>
      </w:pPr>
      <w:r>
        <w:rPr>
          <w:rFonts w:ascii="Arial" w:cs="Arial" w:eastAsia="Arial" w:hAnsi="Arial"/>
          <w:sz w:val="16"/>
          <w:szCs w:val="16"/>
          <w:color w:val="auto"/>
        </w:rPr>
        <w:t>Our non-financial assets, which include goodwill, intangible assets, and property, plant and equipment, are not required to be measured at fair value on a recurring basis. However, if certain triggering events occur, or if an annual impairment test is required, we must evaluate the non-financial asset for impairment. If an impairment did occur, the asset is required to be recorded at the estimated fair value. During the first nine months of Fiscal 2017, no impairments were recorded for non-financial assets.</w:t>
      </w:r>
    </w:p>
    <w:p>
      <w:pPr>
        <w:spacing w:after="0" w:line="150" w:lineRule="exact"/>
        <w:rPr>
          <w:sz w:val="20"/>
          <w:szCs w:val="20"/>
          <w:color w:val="auto"/>
        </w:rPr>
      </w:pPr>
    </w:p>
    <w:p>
      <w:pPr>
        <w:spacing w:after="0"/>
        <w:rPr>
          <w:sz w:val="20"/>
          <w:szCs w:val="20"/>
          <w:color w:val="auto"/>
        </w:rPr>
      </w:pPr>
      <w:r>
        <w:rPr>
          <w:rFonts w:ascii="Arial" w:cs="Arial" w:eastAsia="Arial" w:hAnsi="Arial"/>
          <w:sz w:val="16"/>
          <w:szCs w:val="16"/>
          <w:color w:val="auto"/>
        </w:rPr>
        <w:t>The carrying value of our debt as of May 27, 2017 approximates fair value as interest is at variable market rates.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6780" w:type="dxa"/>
            <w:vAlign w:val="bottom"/>
            <w:gridSpan w:val="2"/>
          </w:tcPr>
          <w:p>
            <w:pPr>
              <w:spacing w:after="0"/>
              <w:rPr>
                <w:sz w:val="20"/>
                <w:szCs w:val="20"/>
                <w:color w:val="auto"/>
              </w:rPr>
            </w:pPr>
            <w:r>
              <w:rPr>
                <w:rFonts w:ascii="Arial" w:cs="Arial" w:eastAsia="Arial" w:hAnsi="Arial"/>
                <w:sz w:val="16"/>
                <w:szCs w:val="16"/>
                <w:b w:val="1"/>
                <w:bCs w:val="1"/>
                <w:color w:val="auto"/>
              </w:rPr>
              <w:t>Note 6: Inventories</w:t>
            </w:r>
          </w:p>
        </w:tc>
        <w:tc>
          <w:tcPr>
            <w:tcW w:w="48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860" w:type="dxa"/>
            <w:vAlign w:val="bottom"/>
          </w:tcPr>
          <w:p>
            <w:pPr>
              <w:spacing w:after="0"/>
              <w:rPr>
                <w:sz w:val="19"/>
                <w:szCs w:val="19"/>
                <w:color w:val="auto"/>
              </w:rPr>
            </w:pPr>
          </w:p>
        </w:tc>
      </w:tr>
      <w:tr>
        <w:trPr>
          <w:trHeight w:val="343"/>
        </w:trPr>
        <w:tc>
          <w:tcPr>
            <w:tcW w:w="6780" w:type="dxa"/>
            <w:vAlign w:val="bottom"/>
            <w:gridSpan w:val="2"/>
          </w:tcPr>
          <w:p>
            <w:pPr>
              <w:spacing w:after="0"/>
              <w:rPr>
                <w:sz w:val="20"/>
                <w:szCs w:val="20"/>
                <w:color w:val="auto"/>
              </w:rPr>
            </w:pPr>
            <w:r>
              <w:rPr>
                <w:rFonts w:ascii="Arial" w:cs="Arial" w:eastAsia="Arial" w:hAnsi="Arial"/>
                <w:sz w:val="16"/>
                <w:szCs w:val="16"/>
                <w:color w:val="auto"/>
              </w:rPr>
              <w:t>Inventories consist of the following:</w:t>
            </w:r>
          </w:p>
        </w:tc>
        <w:tc>
          <w:tcPr>
            <w:tcW w:w="48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860" w:type="dxa"/>
            <w:vAlign w:val="bottom"/>
          </w:tcPr>
          <w:p>
            <w:pPr>
              <w:spacing w:after="0"/>
              <w:rPr>
                <w:sz w:val="24"/>
                <w:szCs w:val="24"/>
                <w:color w:val="auto"/>
              </w:rPr>
            </w:pPr>
          </w:p>
        </w:tc>
      </w:tr>
      <w:tr>
        <w:trPr>
          <w:trHeight w:val="320"/>
        </w:trPr>
        <w:tc>
          <w:tcPr>
            <w:tcW w:w="6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27,</w:t>
            </w:r>
          </w:p>
        </w:tc>
        <w:tc>
          <w:tcPr>
            <w:tcW w:w="400" w:type="dxa"/>
            <w:vAlign w:val="bottom"/>
          </w:tcPr>
          <w:p>
            <w:pPr>
              <w:spacing w:after="0"/>
              <w:rPr>
                <w:sz w:val="24"/>
                <w:szCs w:val="24"/>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3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4"/>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Finished goods</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13,857</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19,129</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Work-in-process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75,727</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76,350</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Raw materials</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89,433</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60,740</w:t>
            </w:r>
          </w:p>
        </w:tc>
      </w:tr>
      <w:tr>
        <w:trPr>
          <w:trHeight w:val="249"/>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179,017</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156,219</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LIFO reserve</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(34,595)</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(33,697)</w:t>
            </w:r>
          </w:p>
        </w:tc>
      </w:tr>
      <w:tr>
        <w:trPr>
          <w:trHeight w:val="24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inventories</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144,422</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122,522</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540"/>
        <w:spacing w:after="0" w:line="269" w:lineRule="auto"/>
        <w:rPr>
          <w:sz w:val="20"/>
          <w:szCs w:val="20"/>
          <w:color w:val="auto"/>
        </w:rPr>
      </w:pPr>
      <w:r>
        <w:rPr>
          <w:rFonts w:ascii="Arial" w:cs="Arial" w:eastAsia="Arial" w:hAnsi="Arial"/>
          <w:sz w:val="16"/>
          <w:szCs w:val="16"/>
          <w:color w:val="auto"/>
        </w:rPr>
        <w:t>The above value of inventories, before reduction for the LIFO reserve, approximates replacement cost at the respective dates. Of the $179.0 million and $156.2 million inventory at May 27, 2017 and August 27, 2016, respectively, $156.4 million and $149.4 million is valued on a LIFO basis; the remaining inventories of $22.6 million and $6.8 million at May 27, 2017 and August 27, 2016, respectively, are valued on a FIFO basis.</w:t>
      </w:r>
    </w:p>
    <w:p>
      <w:pPr>
        <w:spacing w:after="0" w:line="13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7: Property, Plant and Equipment</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Property, plant and equipment is stated at cost, net of accumulated depreciation and consists of the following:</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6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900" w:type="dxa"/>
            <w:vAlign w:val="bottom"/>
            <w:gridSpan w:val="2"/>
          </w:tcPr>
          <w:p>
            <w:pPr>
              <w:ind w:left="340"/>
              <w:spacing w:after="0"/>
              <w:rPr>
                <w:sz w:val="20"/>
                <w:szCs w:val="20"/>
                <w:color w:val="auto"/>
              </w:rPr>
            </w:pPr>
            <w:r>
              <w:rPr>
                <w:rFonts w:ascii="Arial" w:cs="Arial" w:eastAsia="Arial" w:hAnsi="Arial"/>
                <w:sz w:val="16"/>
                <w:szCs w:val="16"/>
                <w:b w:val="1"/>
                <w:bCs w:val="1"/>
                <w:color w:val="auto"/>
              </w:rPr>
              <w:t>May 27,</w:t>
            </w:r>
          </w:p>
        </w:tc>
        <w:tc>
          <w:tcPr>
            <w:tcW w:w="400" w:type="dxa"/>
            <w:vAlign w:val="bottom"/>
          </w:tcPr>
          <w:p>
            <w:pPr>
              <w:spacing w:after="0"/>
              <w:rPr>
                <w:sz w:val="16"/>
                <w:szCs w:val="16"/>
                <w:color w:val="auto"/>
              </w:rPr>
            </w:pPr>
          </w:p>
        </w:tc>
        <w:tc>
          <w:tcPr>
            <w:tcW w:w="1860" w:type="dxa"/>
            <w:vAlign w:val="bottom"/>
          </w:tcPr>
          <w:p>
            <w:pPr>
              <w:jc w:val="right"/>
              <w:ind w:right="659"/>
              <w:spacing w:after="0"/>
              <w:rPr>
                <w:sz w:val="20"/>
                <w:szCs w:val="20"/>
                <w:color w:val="auto"/>
              </w:rPr>
            </w:pPr>
            <w:r>
              <w:rPr>
                <w:rFonts w:ascii="Arial" w:cs="Arial" w:eastAsia="Arial" w:hAnsi="Arial"/>
                <w:sz w:val="16"/>
                <w:szCs w:val="16"/>
                <w:b w:val="1"/>
                <w:bCs w:val="1"/>
                <w:color w:val="auto"/>
              </w:rPr>
              <w:t>August 27,</w:t>
            </w:r>
          </w:p>
        </w:tc>
      </w:tr>
      <w:tr>
        <w:trPr>
          <w:trHeight w:val="232"/>
        </w:trPr>
        <w:tc>
          <w:tcPr>
            <w:tcW w:w="668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480" w:type="dxa"/>
            <w:vAlign w:val="bottom"/>
            <w:tcBorders>
              <w:bottom w:val="single" w:sz="8" w:color="auto"/>
            </w:tcBorders>
          </w:tcPr>
          <w:p>
            <w:pPr>
              <w:spacing w:after="0"/>
              <w:rPr>
                <w:sz w:val="20"/>
                <w:szCs w:val="20"/>
                <w:color w:val="auto"/>
              </w:rPr>
            </w:pPr>
          </w:p>
        </w:tc>
        <w:tc>
          <w:tcPr>
            <w:tcW w:w="1780" w:type="dxa"/>
            <w:vAlign w:val="bottom"/>
            <w:tcBorders>
              <w:bottom w:val="single" w:sz="8" w:color="auto"/>
            </w:tcBorders>
          </w:tcPr>
          <w:p>
            <w:pPr>
              <w:jc w:val="right"/>
              <w:ind w:right="85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400" w:type="dxa"/>
            <w:vAlign w:val="bottom"/>
            <w:tcBorders>
              <w:bottom w:val="single" w:sz="8" w:color="auto"/>
            </w:tcBorders>
          </w:tcPr>
          <w:p>
            <w:pPr>
              <w:spacing w:after="0"/>
              <w:rPr>
                <w:sz w:val="20"/>
                <w:szCs w:val="20"/>
                <w:color w:val="auto"/>
              </w:rPr>
            </w:pPr>
          </w:p>
        </w:tc>
        <w:tc>
          <w:tcPr>
            <w:tcW w:w="1860" w:type="dxa"/>
            <w:vAlign w:val="bottom"/>
            <w:tcBorders>
              <w:bottom w:val="single" w:sz="8" w:color="auto"/>
            </w:tcBorders>
          </w:tcPr>
          <w:p>
            <w:pPr>
              <w:jc w:val="right"/>
              <w:ind w:right="879"/>
              <w:spacing w:after="0"/>
              <w:rPr>
                <w:sz w:val="20"/>
                <w:szCs w:val="20"/>
                <w:color w:val="auto"/>
              </w:rPr>
            </w:pPr>
            <w:r>
              <w:rPr>
                <w:rFonts w:ascii="Arial" w:cs="Arial" w:eastAsia="Arial" w:hAnsi="Arial"/>
                <w:sz w:val="16"/>
                <w:szCs w:val="16"/>
                <w:b w:val="1"/>
                <w:bCs w:val="1"/>
                <w:color w:val="auto"/>
              </w:rPr>
              <w:t>2016</w:t>
            </w:r>
          </w:p>
        </w:tc>
      </w:tr>
      <w:tr>
        <w:trPr>
          <w:trHeight w:val="254"/>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Land</w:t>
            </w:r>
          </w:p>
        </w:tc>
        <w:tc>
          <w:tcPr>
            <w:tcW w:w="48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c>
          <w:tcPr>
            <w:tcW w:w="120" w:type="dxa"/>
            <w:vAlign w:val="bottom"/>
            <w:shd w:val="clear" w:color="auto" w:fill="CCEEFF"/>
          </w:tcPr>
          <w:p>
            <w:pPr>
              <w:spacing w:after="0"/>
              <w:rPr>
                <w:sz w:val="22"/>
                <w:szCs w:val="22"/>
                <w:color w:val="auto"/>
              </w:rPr>
            </w:pPr>
          </w:p>
        </w:tc>
        <w:tc>
          <w:tcPr>
            <w:tcW w:w="4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3,864</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Buildings and building improvements</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71,655</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62,073</w:t>
            </w:r>
          </w:p>
        </w:tc>
      </w:tr>
      <w:tr>
        <w:trPr>
          <w:trHeight w:val="278"/>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Machinery and equipment</w:t>
            </w:r>
          </w:p>
        </w:tc>
        <w:tc>
          <w:tcPr>
            <w:tcW w:w="480" w:type="dxa"/>
            <w:vAlign w:val="bottom"/>
            <w:shd w:val="clear" w:color="auto" w:fill="CCEEFF"/>
          </w:tcPr>
          <w:p>
            <w:pPr>
              <w:spacing w:after="0"/>
              <w:rPr>
                <w:sz w:val="24"/>
                <w:szCs w:val="24"/>
                <w:color w:val="auto"/>
              </w:rPr>
            </w:pPr>
          </w:p>
        </w:tc>
        <w:tc>
          <w:tcPr>
            <w:tcW w:w="178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99,394</w:t>
            </w:r>
          </w:p>
        </w:tc>
        <w:tc>
          <w:tcPr>
            <w:tcW w:w="1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860" w:type="dxa"/>
            <w:vAlign w:val="bottom"/>
            <w:shd w:val="clear" w:color="auto" w:fill="CCEEFF"/>
          </w:tcPr>
          <w:p>
            <w:pPr>
              <w:jc w:val="right"/>
              <w:ind w:right="459"/>
              <w:spacing w:after="0"/>
              <w:rPr>
                <w:sz w:val="20"/>
                <w:szCs w:val="20"/>
                <w:color w:val="auto"/>
              </w:rPr>
            </w:pPr>
            <w:r>
              <w:rPr>
                <w:rFonts w:ascii="Arial" w:cs="Arial" w:eastAsia="Arial" w:hAnsi="Arial"/>
                <w:sz w:val="16"/>
                <w:szCs w:val="16"/>
                <w:color w:val="auto"/>
              </w:rPr>
              <w:t>95,087</w:t>
            </w:r>
          </w:p>
        </w:tc>
      </w:tr>
      <w:tr>
        <w:trPr>
          <w:trHeight w:val="26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Software</w:t>
            </w:r>
          </w:p>
        </w:tc>
        <w:tc>
          <w:tcPr>
            <w:tcW w:w="480" w:type="dxa"/>
            <w:vAlign w:val="bottom"/>
          </w:tcPr>
          <w:p>
            <w:pPr>
              <w:spacing w:after="0"/>
              <w:rPr>
                <w:sz w:val="22"/>
                <w:szCs w:val="22"/>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17,672</w:t>
            </w:r>
          </w:p>
        </w:tc>
        <w:tc>
          <w:tcPr>
            <w:tcW w:w="120" w:type="dxa"/>
            <w:vAlign w:val="bottom"/>
          </w:tcPr>
          <w:p>
            <w:pPr>
              <w:spacing w:after="0"/>
              <w:rPr>
                <w:sz w:val="22"/>
                <w:szCs w:val="22"/>
                <w:color w:val="auto"/>
              </w:rPr>
            </w:pPr>
          </w:p>
        </w:tc>
        <w:tc>
          <w:tcPr>
            <w:tcW w:w="400" w:type="dxa"/>
            <w:vAlign w:val="bottom"/>
          </w:tcPr>
          <w:p>
            <w:pPr>
              <w:spacing w:after="0"/>
              <w:rPr>
                <w:sz w:val="22"/>
                <w:szCs w:val="22"/>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15,878</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Transportation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8,981</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459"/>
              <w:spacing w:after="0"/>
              <w:rPr>
                <w:sz w:val="20"/>
                <w:szCs w:val="20"/>
                <w:color w:val="auto"/>
              </w:rPr>
            </w:pPr>
            <w:r>
              <w:rPr>
                <w:rFonts w:ascii="Arial" w:cs="Arial" w:eastAsia="Arial" w:hAnsi="Arial"/>
                <w:sz w:val="16"/>
                <w:szCs w:val="16"/>
                <w:color w:val="auto"/>
              </w:rPr>
              <w:t>8,956</w:t>
            </w:r>
          </w:p>
        </w:tc>
      </w:tr>
      <w:tr>
        <w:trPr>
          <w:trHeight w:val="249"/>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gross</w:t>
            </w:r>
          </w:p>
        </w:tc>
        <w:tc>
          <w:tcPr>
            <w:tcW w:w="480" w:type="dxa"/>
            <w:vAlign w:val="bottom"/>
          </w:tcPr>
          <w:p>
            <w:pPr>
              <w:spacing w:after="0"/>
              <w:rPr>
                <w:sz w:val="21"/>
                <w:szCs w:val="21"/>
                <w:color w:val="auto"/>
              </w:rPr>
            </w:pPr>
          </w:p>
        </w:tc>
        <w:tc>
          <w:tcPr>
            <w:tcW w:w="1780" w:type="dxa"/>
            <w:vAlign w:val="bottom"/>
          </w:tcPr>
          <w:p>
            <w:pPr>
              <w:jc w:val="right"/>
              <w:ind w:right="459"/>
              <w:spacing w:after="0"/>
              <w:rPr>
                <w:sz w:val="20"/>
                <w:szCs w:val="20"/>
                <w:color w:val="auto"/>
              </w:rPr>
            </w:pPr>
            <w:r>
              <w:rPr>
                <w:rFonts w:ascii="Arial" w:cs="Arial" w:eastAsia="Arial" w:hAnsi="Arial"/>
                <w:sz w:val="16"/>
                <w:szCs w:val="16"/>
                <w:color w:val="auto"/>
              </w:rPr>
              <w:t>201,566</w:t>
            </w:r>
          </w:p>
        </w:tc>
        <w:tc>
          <w:tcPr>
            <w:tcW w:w="1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860" w:type="dxa"/>
            <w:vAlign w:val="bottom"/>
          </w:tcPr>
          <w:p>
            <w:pPr>
              <w:jc w:val="right"/>
              <w:ind w:right="459"/>
              <w:spacing w:after="0"/>
              <w:rPr>
                <w:sz w:val="20"/>
                <w:szCs w:val="20"/>
                <w:color w:val="auto"/>
              </w:rPr>
            </w:pPr>
            <w:r>
              <w:rPr>
                <w:rFonts w:ascii="Arial" w:cs="Arial" w:eastAsia="Arial" w:hAnsi="Arial"/>
                <w:sz w:val="16"/>
                <w:szCs w:val="16"/>
                <w:color w:val="auto"/>
              </w:rPr>
              <w:t>185,858</w:t>
            </w:r>
          </w:p>
        </w:tc>
      </w:tr>
      <w:tr>
        <w:trPr>
          <w:trHeight w:val="271"/>
        </w:trPr>
        <w:tc>
          <w:tcPr>
            <w:tcW w:w="6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Less accumulated depreciation</w:t>
            </w:r>
          </w:p>
        </w:tc>
        <w:tc>
          <w:tcPr>
            <w:tcW w:w="480" w:type="dxa"/>
            <w:vAlign w:val="bottom"/>
            <w:tcBorders>
              <w:bottom w:val="single" w:sz="8" w:color="auto"/>
            </w:tcBorders>
            <w:shd w:val="clear" w:color="auto" w:fill="CCEEFF"/>
          </w:tcPr>
          <w:p>
            <w:pPr>
              <w:spacing w:after="0"/>
              <w:rPr>
                <w:sz w:val="23"/>
                <w:szCs w:val="23"/>
                <w:color w:val="auto"/>
              </w:rPr>
            </w:pPr>
          </w:p>
        </w:tc>
        <w:tc>
          <w:tcPr>
            <w:tcW w:w="178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(132,910)</w:t>
            </w:r>
          </w:p>
        </w:tc>
        <w:tc>
          <w:tcPr>
            <w:tcW w:w="120" w:type="dxa"/>
            <w:vAlign w:val="bottom"/>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spacing w:after="0"/>
              <w:rPr>
                <w:sz w:val="23"/>
                <w:szCs w:val="23"/>
                <w:color w:val="auto"/>
              </w:rPr>
            </w:pPr>
          </w:p>
        </w:tc>
        <w:tc>
          <w:tcPr>
            <w:tcW w:w="1860" w:type="dxa"/>
            <w:vAlign w:val="bottom"/>
            <w:tcBorders>
              <w:bottom w:val="single" w:sz="8" w:color="auto"/>
            </w:tcBorders>
            <w:shd w:val="clear" w:color="auto" w:fill="CCEEFF"/>
          </w:tcPr>
          <w:p>
            <w:pPr>
              <w:jc w:val="right"/>
              <w:ind w:right="399"/>
              <w:spacing w:after="0"/>
              <w:rPr>
                <w:sz w:val="20"/>
                <w:szCs w:val="20"/>
                <w:color w:val="auto"/>
              </w:rPr>
            </w:pPr>
            <w:r>
              <w:rPr>
                <w:rFonts w:ascii="Arial" w:cs="Arial" w:eastAsia="Arial" w:hAnsi="Arial"/>
                <w:sz w:val="16"/>
                <w:szCs w:val="16"/>
                <w:color w:val="auto"/>
              </w:rPr>
              <w:t>(129,927)</w:t>
            </w:r>
          </w:p>
        </w:tc>
      </w:tr>
      <w:tr>
        <w:trPr>
          <w:trHeight w:val="242"/>
        </w:trPr>
        <w:tc>
          <w:tcPr>
            <w:tcW w:w="6780" w:type="dxa"/>
            <w:vAlign w:val="bottom"/>
            <w:gridSpan w:val="2"/>
          </w:tcPr>
          <w:p>
            <w:pPr>
              <w:ind w:left="40"/>
              <w:spacing w:after="0"/>
              <w:rPr>
                <w:sz w:val="20"/>
                <w:szCs w:val="20"/>
                <w:color w:val="auto"/>
              </w:rPr>
            </w:pPr>
            <w:r>
              <w:rPr>
                <w:rFonts w:ascii="Arial" w:cs="Arial" w:eastAsia="Arial" w:hAnsi="Arial"/>
                <w:sz w:val="16"/>
                <w:szCs w:val="16"/>
                <w:color w:val="auto"/>
              </w:rPr>
              <w:t>Total property, plant and equipment, net</w:t>
            </w:r>
          </w:p>
        </w:tc>
        <w:tc>
          <w:tcPr>
            <w:tcW w:w="4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color w:val="auto"/>
              </w:rPr>
              <w:t>$</w:t>
            </w:r>
          </w:p>
        </w:tc>
        <w:tc>
          <w:tcPr>
            <w:tcW w:w="178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68,656</w:t>
            </w:r>
          </w:p>
        </w:tc>
        <w:tc>
          <w:tcPr>
            <w:tcW w:w="120" w:type="dxa"/>
            <w:vAlign w:val="bottom"/>
          </w:tcPr>
          <w:p>
            <w:pPr>
              <w:spacing w:after="0"/>
              <w:rPr>
                <w:sz w:val="21"/>
                <w:szCs w:val="21"/>
                <w:color w:val="auto"/>
              </w:rPr>
            </w:pPr>
          </w:p>
        </w:tc>
        <w:tc>
          <w:tcPr>
            <w:tcW w:w="40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w w:val="89"/>
              </w:rPr>
              <w:t>$</w:t>
            </w:r>
          </w:p>
        </w:tc>
        <w:tc>
          <w:tcPr>
            <w:tcW w:w="18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color w:val="auto"/>
              </w:rPr>
              <w:t>55,931</w:t>
            </w:r>
          </w:p>
        </w:tc>
      </w:tr>
      <w:tr>
        <w:trPr>
          <w:trHeight w:val="20"/>
        </w:trPr>
        <w:tc>
          <w:tcPr>
            <w:tcW w:w="6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86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On November 8, 2016, with the acquisition of Grand Design, we acquired $9.0 million of property, plant and equipment.</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8: Warranty</w:t>
      </w:r>
    </w:p>
    <w:p>
      <w:pPr>
        <w:spacing w:after="0" w:line="196" w:lineRule="exact"/>
        <w:rPr>
          <w:sz w:val="20"/>
          <w:szCs w:val="20"/>
          <w:color w:val="auto"/>
        </w:rPr>
      </w:pPr>
    </w:p>
    <w:p>
      <w:pPr>
        <w:jc w:val="both"/>
        <w:ind w:right="100"/>
        <w:spacing w:after="0" w:line="261" w:lineRule="auto"/>
        <w:rPr>
          <w:sz w:val="20"/>
          <w:szCs w:val="20"/>
          <w:color w:val="auto"/>
        </w:rPr>
      </w:pPr>
      <w:r>
        <w:rPr>
          <w:rFonts w:ascii="Arial" w:cs="Arial" w:eastAsia="Arial" w:hAnsi="Arial"/>
          <w:sz w:val="16"/>
          <w:szCs w:val="16"/>
          <w:color w:val="auto"/>
        </w:rPr>
        <w:t>We provide service and warranty policies on our products. From time to time, we also voluntarily incur costs for certain warranty-type expenses occurring after the normal warranty period to help protect the reputation of our products and the goodwill of our customers. Warranty expense is affected by dealership labor rates, the cost of parts and the frequency of claims. Estimated costs related to product warranty are accrued at the time of sale and are based upon historical warranty and service claims experience. Adjustments are made to accruals as claim data and cost experience becomes available.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13</w:t>
      </w:r>
    </w:p>
    <w:p>
      <w:pPr>
        <w:sectPr>
          <w:pgSz w:w="11900" w:h="16838" w:orient="portrait"/>
          <w:cols w:equalWidth="0" w:num="1">
            <w:col w:w="11420"/>
          </w:cols>
          <w:pgMar w:left="240" w:top="121" w:right="239" w:bottom="1440" w:gutter="0" w:footer="0" w:header="0"/>
        </w:sectPr>
      </w:pPr>
    </w:p>
    <w:bookmarkStart w:id="15" w:name="page16"/>
    <w:bookmarkEnd w:id="15"/>
    <w:tbl>
      <w:tblPr>
        <w:tblLayout w:type="fixed"/>
        <w:tblInd w:w="0" w:type="dxa"/>
        <w:tblCellMar>
          <w:top w:w="0" w:type="dxa"/>
          <w:left w:w="0" w:type="dxa"/>
          <w:bottom w:w="0" w:type="dxa"/>
          <w:right w:w="0" w:type="dxa"/>
        </w:tblCellMar>
      </w:tblPr>
      <w:tr>
        <w:trPr>
          <w:trHeight w:val="184"/>
        </w:trPr>
        <w:tc>
          <w:tcPr>
            <w:tcW w:w="4660" w:type="dxa"/>
            <w:vAlign w:val="bottom"/>
            <w:gridSpan w:val="3"/>
          </w:tcPr>
          <w:p>
            <w:pPr>
              <w:spacing w:after="0"/>
              <w:rPr>
                <w:rFonts w:ascii="Arial" w:cs="Arial" w:eastAsia="Arial" w:hAnsi="Arial"/>
                <w:sz w:val="16"/>
                <w:szCs w:val="16"/>
                <w:color w:val="0000EE"/>
              </w:rPr>
            </w:pPr>
            <w:hyperlink w:anchor="page2">
              <w:r>
                <w:rPr>
                  <w:rFonts w:ascii="Arial" w:cs="Arial" w:eastAsia="Arial" w:hAnsi="Arial"/>
                  <w:sz w:val="16"/>
                  <w:szCs w:val="16"/>
                  <w:color w:val="0000EE"/>
                </w:rPr>
                <w:t>Table of Contents</w:t>
              </w:r>
            </w:hyperlink>
          </w:p>
        </w:tc>
        <w:tc>
          <w:tcPr>
            <w:tcW w:w="32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1260" w:type="dxa"/>
            <w:vAlign w:val="bottom"/>
            <w:shd w:val="clear" w:color="auto" w:fill="0000EE"/>
          </w:tcPr>
          <w:p>
            <w:pPr>
              <w:spacing w:after="0" w:line="20" w:lineRule="exact"/>
              <w:rPr>
                <w:sz w:val="1"/>
                <w:szCs w:val="1"/>
                <w:color w:val="auto"/>
              </w:rPr>
            </w:pPr>
          </w:p>
        </w:tc>
        <w:tc>
          <w:tcPr>
            <w:tcW w:w="340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4"/>
        </w:trPr>
        <w:tc>
          <w:tcPr>
            <w:tcW w:w="4660" w:type="dxa"/>
            <w:vAlign w:val="bottom"/>
            <w:gridSpan w:val="3"/>
          </w:tcPr>
          <w:p>
            <w:pPr>
              <w:spacing w:after="0"/>
              <w:rPr>
                <w:sz w:val="20"/>
                <w:szCs w:val="20"/>
                <w:color w:val="auto"/>
              </w:rPr>
            </w:pPr>
            <w:r>
              <w:rPr>
                <w:rFonts w:ascii="Arial" w:cs="Arial" w:eastAsia="Arial" w:hAnsi="Arial"/>
                <w:sz w:val="16"/>
                <w:szCs w:val="16"/>
                <w:color w:val="auto"/>
              </w:rPr>
              <w:t>Changes in our product warranty liability are as follows: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3"/>
        </w:trPr>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5"/>
          </w:tcPr>
          <w:p>
            <w:pPr>
              <w:ind w:left="560"/>
              <w:spacing w:after="0"/>
              <w:rPr>
                <w:sz w:val="20"/>
                <w:szCs w:val="20"/>
                <w:color w:val="auto"/>
              </w:rPr>
            </w:pPr>
            <w:r>
              <w:rPr>
                <w:rFonts w:ascii="Arial" w:cs="Arial" w:eastAsia="Arial" w:hAnsi="Arial"/>
                <w:sz w:val="16"/>
                <w:szCs w:val="16"/>
                <w:b w:val="1"/>
                <w:bCs w:val="1"/>
                <w:color w:val="auto"/>
              </w:rPr>
              <w:t>Three Months Ended</w:t>
            </w:r>
          </w:p>
        </w:tc>
        <w:tc>
          <w:tcPr>
            <w:tcW w:w="4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3060" w:type="dxa"/>
            <w:vAlign w:val="bottom"/>
            <w:tcBorders>
              <w:bottom w:val="single" w:sz="8" w:color="auto"/>
            </w:tcBorders>
            <w:gridSpan w:val="6"/>
          </w:tcPr>
          <w:p>
            <w:pPr>
              <w:jc w:val="right"/>
              <w:ind w:right="819"/>
              <w:spacing w:after="0"/>
              <w:rPr>
                <w:sz w:val="20"/>
                <w:szCs w:val="20"/>
                <w:color w:val="auto"/>
              </w:rPr>
            </w:pPr>
            <w:r>
              <w:rPr>
                <w:rFonts w:ascii="Arial" w:cs="Arial" w:eastAsia="Arial" w:hAnsi="Arial"/>
                <w:sz w:val="16"/>
                <w:szCs w:val="16"/>
                <w:b w:val="1"/>
                <w:bCs w:val="1"/>
                <w:color w:val="auto"/>
              </w:rPr>
              <w:t>Nine Months Ended</w:t>
            </w:r>
          </w:p>
        </w:tc>
        <w:tc>
          <w:tcPr>
            <w:tcW w:w="0" w:type="dxa"/>
            <w:vAlign w:val="bottom"/>
          </w:tcPr>
          <w:p>
            <w:pPr>
              <w:spacing w:after="0"/>
              <w:rPr>
                <w:sz w:val="1"/>
                <w:szCs w:val="1"/>
                <w:color w:val="auto"/>
              </w:rPr>
            </w:pPr>
          </w:p>
        </w:tc>
      </w:tr>
      <w:tr>
        <w:trPr>
          <w:trHeight w:val="193"/>
        </w:trPr>
        <w:tc>
          <w:tcPr>
            <w:tcW w:w="126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27,</w:t>
            </w:r>
          </w:p>
        </w:tc>
        <w:tc>
          <w:tcPr>
            <w:tcW w:w="300" w:type="dxa"/>
            <w:vAlign w:val="bottom"/>
          </w:tcPr>
          <w:p>
            <w:pPr>
              <w:spacing w:after="0"/>
              <w:rPr>
                <w:sz w:val="16"/>
                <w:szCs w:val="16"/>
                <w:color w:val="auto"/>
              </w:rPr>
            </w:pPr>
          </w:p>
        </w:tc>
        <w:tc>
          <w:tcPr>
            <w:tcW w:w="1260" w:type="dxa"/>
            <w:vAlign w:val="bottom"/>
            <w:gridSpan w:val="2"/>
          </w:tcPr>
          <w:p>
            <w:pPr>
              <w:ind w:left="200"/>
              <w:spacing w:after="0"/>
              <w:rPr>
                <w:sz w:val="20"/>
                <w:szCs w:val="20"/>
                <w:color w:val="auto"/>
              </w:rPr>
            </w:pPr>
            <w:r>
              <w:rPr>
                <w:rFonts w:ascii="Arial" w:cs="Arial" w:eastAsia="Arial" w:hAnsi="Arial"/>
                <w:sz w:val="16"/>
                <w:szCs w:val="16"/>
                <w:b w:val="1"/>
                <w:bCs w:val="1"/>
                <w:color w:val="auto"/>
              </w:rPr>
              <w:t>May 28,</w:t>
            </w: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460" w:type="dxa"/>
            <w:vAlign w:val="bottom"/>
            <w:gridSpan w:val="3"/>
          </w:tcPr>
          <w:p>
            <w:pPr>
              <w:ind w:left="220"/>
              <w:spacing w:after="0"/>
              <w:rPr>
                <w:sz w:val="20"/>
                <w:szCs w:val="20"/>
                <w:color w:val="auto"/>
              </w:rPr>
            </w:pPr>
            <w:r>
              <w:rPr>
                <w:rFonts w:ascii="Arial" w:cs="Arial" w:eastAsia="Arial" w:hAnsi="Arial"/>
                <w:sz w:val="16"/>
                <w:szCs w:val="16"/>
                <w:b w:val="1"/>
                <w:bCs w:val="1"/>
                <w:color w:val="auto"/>
              </w:rPr>
              <w:t>May 27,</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4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28,</w:t>
            </w:r>
          </w:p>
        </w:tc>
        <w:tc>
          <w:tcPr>
            <w:tcW w:w="0" w:type="dxa"/>
            <w:vAlign w:val="bottom"/>
          </w:tcPr>
          <w:p>
            <w:pPr>
              <w:spacing w:after="0"/>
              <w:rPr>
                <w:sz w:val="1"/>
                <w:szCs w:val="1"/>
                <w:color w:val="auto"/>
              </w:rPr>
            </w:pPr>
          </w:p>
        </w:tc>
      </w:tr>
      <w:tr>
        <w:trPr>
          <w:trHeight w:val="232"/>
        </w:trPr>
        <w:tc>
          <w:tcPr>
            <w:tcW w:w="456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37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auto"/>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CCEEFF"/>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25,030</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11,727</w:t>
            </w:r>
          </w:p>
        </w:tc>
        <w:tc>
          <w:tcPr>
            <w:tcW w:w="120" w:type="dxa"/>
            <w:vAlign w:val="bottom"/>
            <w:shd w:val="clear" w:color="auto" w:fill="CCEEFF"/>
          </w:tcPr>
          <w:p>
            <w:pPr>
              <w:spacing w:after="0"/>
              <w:rPr>
                <w:sz w:val="22"/>
                <w:szCs w:val="22"/>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12,412</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11,254</w:t>
            </w:r>
          </w:p>
        </w:tc>
        <w:tc>
          <w:tcPr>
            <w:tcW w:w="0" w:type="dxa"/>
            <w:vAlign w:val="bottom"/>
          </w:tcPr>
          <w:p>
            <w:pPr>
              <w:spacing w:after="0"/>
              <w:rPr>
                <w:sz w:val="1"/>
                <w:szCs w:val="1"/>
                <w:color w:val="auto"/>
              </w:rPr>
            </w:pPr>
          </w:p>
        </w:tc>
      </w:tr>
      <w:tr>
        <w:trPr>
          <w:trHeight w:val="262"/>
        </w:trPr>
        <w:tc>
          <w:tcPr>
            <w:tcW w:w="4660" w:type="dxa"/>
            <w:vAlign w:val="bottom"/>
            <w:gridSpan w:val="3"/>
          </w:tcPr>
          <w:p>
            <w:pPr>
              <w:ind w:left="40"/>
              <w:spacing w:after="0"/>
              <w:rPr>
                <w:sz w:val="20"/>
                <w:szCs w:val="20"/>
                <w:color w:val="auto"/>
              </w:rPr>
            </w:pPr>
            <w:r>
              <w:rPr>
                <w:rFonts w:ascii="Arial" w:cs="Arial" w:eastAsia="Arial" w:hAnsi="Arial"/>
                <w:sz w:val="16"/>
                <w:szCs w:val="16"/>
                <w:color w:val="auto"/>
              </w:rPr>
              <w:t>Provision</w:t>
            </w:r>
          </w:p>
        </w:tc>
        <w:tc>
          <w:tcPr>
            <w:tcW w:w="32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10,202</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140" w:type="dxa"/>
            <w:vAlign w:val="bottom"/>
          </w:tcPr>
          <w:p>
            <w:pPr>
              <w:jc w:val="right"/>
              <w:ind w:right="79"/>
              <w:spacing w:after="0"/>
              <w:rPr>
                <w:sz w:val="20"/>
                <w:szCs w:val="20"/>
                <w:color w:val="auto"/>
              </w:rPr>
            </w:pPr>
            <w:r>
              <w:rPr>
                <w:rFonts w:ascii="Arial" w:cs="Arial" w:eastAsia="Arial" w:hAnsi="Arial"/>
                <w:sz w:val="16"/>
                <w:szCs w:val="16"/>
                <w:color w:val="auto"/>
              </w:rPr>
              <w:t>4,844</w:t>
            </w: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21,832</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340" w:type="dxa"/>
            <w:vAlign w:val="bottom"/>
          </w:tcPr>
          <w:p>
            <w:pPr>
              <w:jc w:val="right"/>
              <w:ind w:right="239"/>
              <w:spacing w:after="0"/>
              <w:rPr>
                <w:sz w:val="20"/>
                <w:szCs w:val="20"/>
                <w:color w:val="auto"/>
              </w:rPr>
            </w:pPr>
            <w:r>
              <w:rPr>
                <w:rFonts w:ascii="Arial" w:cs="Arial" w:eastAsia="Arial" w:hAnsi="Arial"/>
                <w:sz w:val="16"/>
                <w:szCs w:val="16"/>
                <w:color w:val="auto"/>
              </w:rPr>
              <w:t>12,311</w:t>
            </w:r>
          </w:p>
        </w:tc>
        <w:tc>
          <w:tcPr>
            <w:tcW w:w="0" w:type="dxa"/>
            <w:vAlign w:val="bottom"/>
          </w:tcPr>
          <w:p>
            <w:pPr>
              <w:spacing w:after="0"/>
              <w:rPr>
                <w:sz w:val="1"/>
                <w:szCs w:val="1"/>
                <w:color w:val="auto"/>
              </w:rPr>
            </w:pPr>
          </w:p>
        </w:tc>
      </w:tr>
      <w:tr>
        <w:trPr>
          <w:trHeight w:val="278"/>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Claims paid</w:t>
            </w:r>
          </w:p>
        </w:tc>
        <w:tc>
          <w:tcPr>
            <w:tcW w:w="32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(7,176)</w:t>
            </w:r>
          </w:p>
        </w:tc>
        <w:tc>
          <w:tcPr>
            <w:tcW w:w="10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(4,660)</w:t>
            </w:r>
          </w:p>
        </w:tc>
        <w:tc>
          <w:tcPr>
            <w:tcW w:w="120" w:type="dxa"/>
            <w:vAlign w:val="bottom"/>
            <w:shd w:val="clear" w:color="auto" w:fill="CCEEFF"/>
          </w:tcPr>
          <w:p>
            <w:pPr>
              <w:spacing w:after="0"/>
              <w:rPr>
                <w:sz w:val="24"/>
                <w:szCs w:val="24"/>
                <w:color w:val="auto"/>
              </w:rPr>
            </w:pPr>
          </w:p>
        </w:tc>
        <w:tc>
          <w:tcPr>
            <w:tcW w:w="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(19,092)</w:t>
            </w:r>
          </w:p>
        </w:tc>
        <w:tc>
          <w:tcPr>
            <w:tcW w:w="4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3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(11,654)</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Acquisition of Grand Design</w:t>
            </w:r>
          </w:p>
        </w:tc>
        <w:tc>
          <w:tcPr>
            <w:tcW w:w="3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2"/>
          </w:tcPr>
          <w:p>
            <w:pPr>
              <w:jc w:val="right"/>
              <w:ind w:right="280"/>
              <w:spacing w:after="0"/>
              <w:rPr>
                <w:sz w:val="20"/>
                <w:szCs w:val="20"/>
                <w:color w:val="auto"/>
              </w:rPr>
            </w:pPr>
            <w:r>
              <w:rPr>
                <w:rFonts w:ascii="Arial" w:cs="Arial" w:eastAsia="Arial" w:hAnsi="Arial"/>
                <w:sz w:val="16"/>
                <w:szCs w:val="16"/>
                <w:color w:val="auto"/>
              </w:rPr>
              <w:t>—</w:t>
            </w: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12,904</w:t>
            </w:r>
          </w:p>
        </w:tc>
        <w:tc>
          <w:tcPr>
            <w:tcW w:w="40" w:type="dxa"/>
            <w:vAlign w:val="bottom"/>
            <w:tcBorders>
              <w:bottom w:val="single" w:sz="8" w:color="CCEEFF"/>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28,056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11,911</w:t>
            </w:r>
          </w:p>
        </w:tc>
        <w:tc>
          <w:tcPr>
            <w:tcW w:w="120" w:type="dxa"/>
            <w:vAlign w:val="bottom"/>
            <w:shd w:val="clear" w:color="auto" w:fill="CCEEFF"/>
          </w:tcPr>
          <w:p>
            <w:pPr>
              <w:spacing w:after="0"/>
              <w:rPr>
                <w:sz w:val="21"/>
                <w:szCs w:val="21"/>
                <w:color w:val="auto"/>
              </w:rPr>
            </w:pPr>
          </w:p>
        </w:tc>
        <w:tc>
          <w:tcPr>
            <w:tcW w:w="420" w:type="dxa"/>
            <w:vAlign w:val="bottom"/>
            <w:gridSpan w:val="3"/>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28,056</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4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11,911</w:t>
            </w:r>
          </w:p>
        </w:tc>
        <w:tc>
          <w:tcPr>
            <w:tcW w:w="0" w:type="dxa"/>
            <w:vAlign w:val="bottom"/>
          </w:tcPr>
          <w:p>
            <w:pPr>
              <w:spacing w:after="0"/>
              <w:rPr>
                <w:sz w:val="1"/>
                <w:szCs w:val="1"/>
                <w:color w:val="auto"/>
              </w:rPr>
            </w:pPr>
          </w:p>
        </w:tc>
      </w:tr>
      <w:tr>
        <w:trPr>
          <w:trHeight w:val="20"/>
        </w:trPr>
        <w:tc>
          <w:tcPr>
            <w:tcW w:w="4660" w:type="dxa"/>
            <w:vAlign w:val="bottom"/>
            <w:tcBorders>
              <w:top w:val="single" w:sz="8" w:color="CCEEFF"/>
              <w:bottom w:val="single" w:sz="8" w:color="CCEEFF"/>
            </w:tcBorders>
            <w:gridSpan w:val="3"/>
            <w:vMerge w:val="restart"/>
          </w:tcPr>
          <w:p>
            <w:pPr>
              <w:spacing w:after="0"/>
              <w:rPr>
                <w:sz w:val="20"/>
                <w:szCs w:val="20"/>
                <w:color w:val="auto"/>
              </w:rPr>
            </w:pPr>
            <w:r>
              <w:rPr>
                <w:rFonts w:ascii="Arial" w:cs="Arial" w:eastAsia="Arial" w:hAnsi="Arial"/>
                <w:sz w:val="16"/>
                <w:szCs w:val="16"/>
                <w:b w:val="1"/>
                <w:bCs w:val="1"/>
                <w:color w:val="auto"/>
              </w:rPr>
              <w:t>Note 9: Long-Term Debt</w:t>
            </w:r>
          </w:p>
        </w:tc>
        <w:tc>
          <w:tcPr>
            <w:tcW w:w="3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68"/>
        </w:trPr>
        <w:tc>
          <w:tcPr>
            <w:tcW w:w="4660" w:type="dxa"/>
            <w:vAlign w:val="bottom"/>
            <w:gridSpan w:val="3"/>
            <w:vMerge w:val="continue"/>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0"/>
        </w:trPr>
        <w:tc>
          <w:tcPr>
            <w:tcW w:w="4660" w:type="dxa"/>
            <w:vAlign w:val="bottom"/>
            <w:gridSpan w:val="3"/>
          </w:tcPr>
          <w:p>
            <w:pPr>
              <w:spacing w:after="0"/>
              <w:rPr>
                <w:sz w:val="20"/>
                <w:szCs w:val="20"/>
                <w:color w:val="auto"/>
              </w:rPr>
            </w:pPr>
            <w:r>
              <w:rPr>
                <w:rFonts w:ascii="Arial" w:cs="Arial" w:eastAsia="Arial" w:hAnsi="Arial"/>
                <w:sz w:val="16"/>
                <w:szCs w:val="16"/>
                <w:color w:val="auto"/>
              </w:rPr>
              <w:t>The components of long-term debt are as follows:</w:t>
            </w: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126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60" w:type="dxa"/>
            <w:vAlign w:val="bottom"/>
            <w:gridSpan w:val="3"/>
          </w:tcPr>
          <w:p>
            <w:pPr>
              <w:ind w:left="160"/>
              <w:spacing w:after="0"/>
              <w:rPr>
                <w:sz w:val="20"/>
                <w:szCs w:val="20"/>
                <w:color w:val="auto"/>
              </w:rPr>
            </w:pPr>
            <w:r>
              <w:rPr>
                <w:rFonts w:ascii="Arial" w:cs="Arial" w:eastAsia="Arial" w:hAnsi="Arial"/>
                <w:sz w:val="16"/>
                <w:szCs w:val="16"/>
                <w:b w:val="1"/>
                <w:bCs w:val="1"/>
                <w:color w:val="auto"/>
              </w:rPr>
              <w:t>May 27,</w:t>
            </w: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40" w:type="dxa"/>
            <w:vAlign w:val="bottom"/>
          </w:tcPr>
          <w:p>
            <w:pPr>
              <w:jc w:val="right"/>
              <w:ind w:right="319"/>
              <w:spacing w:after="0"/>
              <w:rPr>
                <w:sz w:val="20"/>
                <w:szCs w:val="20"/>
                <w:color w:val="auto"/>
              </w:rPr>
            </w:pPr>
            <w:r>
              <w:rPr>
                <w:rFonts w:ascii="Arial" w:cs="Arial" w:eastAsia="Arial" w:hAnsi="Arial"/>
                <w:sz w:val="16"/>
                <w:szCs w:val="16"/>
                <w:b w:val="1"/>
                <w:bCs w:val="1"/>
                <w:color w:val="auto"/>
              </w:rPr>
              <w:t>August 27,</w:t>
            </w:r>
          </w:p>
        </w:tc>
        <w:tc>
          <w:tcPr>
            <w:tcW w:w="0" w:type="dxa"/>
            <w:vAlign w:val="bottom"/>
          </w:tcPr>
          <w:p>
            <w:pPr>
              <w:spacing w:after="0"/>
              <w:rPr>
                <w:sz w:val="1"/>
                <w:szCs w:val="1"/>
                <w:color w:val="auto"/>
              </w:rPr>
            </w:pPr>
          </w:p>
        </w:tc>
      </w:tr>
      <w:tr>
        <w:trPr>
          <w:trHeight w:val="232"/>
        </w:trPr>
        <w:tc>
          <w:tcPr>
            <w:tcW w:w="46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4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99"/>
              <w:spacing w:after="0"/>
              <w:rPr>
                <w:sz w:val="20"/>
                <w:szCs w:val="20"/>
                <w:color w:val="auto"/>
              </w:rPr>
            </w:pPr>
            <w:r>
              <w:rPr>
                <w:rFonts w:ascii="Arial" w:cs="Arial" w:eastAsia="Arial" w:hAnsi="Arial"/>
                <w:sz w:val="16"/>
                <w:szCs w:val="16"/>
                <w:b w:val="1"/>
                <w:bCs w:val="1"/>
                <w:color w:val="auto"/>
              </w:rPr>
              <w:t>2017</w:t>
            </w:r>
          </w:p>
        </w:tc>
        <w:tc>
          <w:tcPr>
            <w:tcW w:w="40" w:type="dxa"/>
            <w:vAlign w:val="bottom"/>
            <w:tcBorders>
              <w:bottom w:val="single" w:sz="8" w:color="auto"/>
            </w:tcBorders>
          </w:tcPr>
          <w:p>
            <w:pPr>
              <w:spacing w:after="0"/>
              <w:rPr>
                <w:sz w:val="20"/>
                <w:szCs w:val="20"/>
                <w:color w:val="auto"/>
              </w:rPr>
            </w:pPr>
          </w:p>
        </w:tc>
        <w:tc>
          <w:tcPr>
            <w:tcW w:w="8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0" w:type="dxa"/>
            <w:vAlign w:val="bottom"/>
          </w:tcPr>
          <w:p>
            <w:pPr>
              <w:spacing w:after="0"/>
              <w:rPr>
                <w:sz w:val="1"/>
                <w:szCs w:val="1"/>
                <w:color w:val="auto"/>
              </w:rPr>
            </w:pPr>
          </w:p>
        </w:tc>
      </w:tr>
      <w:tr>
        <w:trPr>
          <w:trHeight w:val="254"/>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ABL</w:t>
            </w: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2"/>
                <w:szCs w:val="22"/>
                <w:color w:val="auto"/>
              </w:rPr>
            </w:pPr>
          </w:p>
        </w:tc>
        <w:tc>
          <w:tcPr>
            <w:tcW w:w="1460" w:type="dxa"/>
            <w:vAlign w:val="bottom"/>
            <w:gridSpan w:val="3"/>
            <w:shd w:val="clear" w:color="auto" w:fill="CCEEFF"/>
          </w:tcPr>
          <w:p>
            <w:pPr>
              <w:jc w:val="right"/>
              <w:ind w:right="420"/>
              <w:spacing w:after="0"/>
              <w:rPr>
                <w:sz w:val="20"/>
                <w:szCs w:val="20"/>
                <w:color w:val="auto"/>
              </w:rPr>
            </w:pPr>
            <w:r>
              <w:rPr>
                <w:rFonts w:ascii="Arial" w:cs="Arial" w:eastAsia="Arial" w:hAnsi="Arial"/>
                <w:sz w:val="16"/>
                <w:szCs w:val="16"/>
                <w:color w:val="auto"/>
              </w:rPr>
              <w:t>—</w:t>
            </w: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Term Loan</w:t>
            </w:r>
          </w:p>
        </w:tc>
        <w:tc>
          <w:tcPr>
            <w:tcW w:w="3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297,000</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6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297,000</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debt issuance cost, net</w:t>
            </w:r>
          </w:p>
        </w:tc>
        <w:tc>
          <w:tcPr>
            <w:tcW w:w="3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(10,131)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57"/>
        </w:trPr>
        <w:tc>
          <w:tcPr>
            <w:tcW w:w="1260" w:type="dxa"/>
            <w:vAlign w:val="bottom"/>
            <w:shd w:val="clear" w:color="auto" w:fill="CCEEFF"/>
          </w:tcPr>
          <w:p>
            <w:pPr>
              <w:spacing w:after="0"/>
              <w:rPr>
                <w:sz w:val="22"/>
                <w:szCs w:val="22"/>
                <w:color w:val="auto"/>
              </w:rPr>
            </w:pPr>
          </w:p>
        </w:tc>
        <w:tc>
          <w:tcPr>
            <w:tcW w:w="3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4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286,869</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64"/>
        </w:trPr>
        <w:tc>
          <w:tcPr>
            <w:tcW w:w="4660" w:type="dxa"/>
            <w:vAlign w:val="bottom"/>
            <w:tcBorders>
              <w:bottom w:val="single" w:sz="8" w:color="CCEEFF"/>
            </w:tcBorders>
            <w:gridSpan w:val="3"/>
          </w:tcPr>
          <w:p>
            <w:pPr>
              <w:ind w:left="40"/>
              <w:spacing w:after="0"/>
              <w:rPr>
                <w:sz w:val="20"/>
                <w:szCs w:val="20"/>
                <w:color w:val="auto"/>
              </w:rPr>
            </w:pPr>
            <w:r>
              <w:rPr>
                <w:rFonts w:ascii="Arial" w:cs="Arial" w:eastAsia="Arial" w:hAnsi="Arial"/>
                <w:sz w:val="16"/>
                <w:szCs w:val="16"/>
                <w:color w:val="auto"/>
              </w:rPr>
              <w:t>Less: current maturities</w:t>
            </w:r>
          </w:p>
        </w:tc>
        <w:tc>
          <w:tcPr>
            <w:tcW w:w="320" w:type="dxa"/>
            <w:vAlign w:val="bottom"/>
            <w:tcBorders>
              <w:bottom w:val="single" w:sz="8" w:color="CCEEFF"/>
            </w:tcBorders>
          </w:tcPr>
          <w:p>
            <w:pPr>
              <w:spacing w:after="0"/>
              <w:rPr>
                <w:sz w:val="22"/>
                <w:szCs w:val="22"/>
                <w:color w:val="auto"/>
              </w:rPr>
            </w:pPr>
          </w:p>
        </w:tc>
        <w:tc>
          <w:tcPr>
            <w:tcW w:w="130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CCEEFF"/>
            </w:tcBorders>
          </w:tcPr>
          <w:p>
            <w:pPr>
              <w:spacing w:after="0"/>
              <w:rPr>
                <w:sz w:val="22"/>
                <w:szCs w:val="22"/>
                <w:color w:val="auto"/>
              </w:rPr>
            </w:pPr>
          </w:p>
        </w:tc>
        <w:tc>
          <w:tcPr>
            <w:tcW w:w="1140" w:type="dxa"/>
            <w:vAlign w:val="bottom"/>
            <w:tcBorders>
              <w:bottom w:val="single" w:sz="8" w:color="CCEEFF"/>
            </w:tcBorders>
          </w:tcPr>
          <w:p>
            <w:pPr>
              <w:spacing w:after="0"/>
              <w:rPr>
                <w:sz w:val="22"/>
                <w:szCs w:val="22"/>
                <w:color w:val="auto"/>
              </w:rPr>
            </w:pPr>
          </w:p>
        </w:tc>
        <w:tc>
          <w:tcPr>
            <w:tcW w:w="120" w:type="dxa"/>
            <w:vAlign w:val="bottom"/>
            <w:tcBorders>
              <w:bottom w:val="single" w:sz="8" w:color="CCEEFF"/>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(12,051)</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3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42"/>
        </w:trPr>
        <w:tc>
          <w:tcPr>
            <w:tcW w:w="46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Long-term debt, less current maturities</w:t>
            </w:r>
          </w:p>
        </w:tc>
        <w:tc>
          <w:tcPr>
            <w:tcW w:w="3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260" w:type="dxa"/>
            <w:vAlign w:val="bottom"/>
            <w:shd w:val="clear" w:color="auto" w:fill="CCEEFF"/>
          </w:tcPr>
          <w:p>
            <w:pPr>
              <w:spacing w:after="0"/>
              <w:rPr>
                <w:sz w:val="21"/>
                <w:szCs w:val="21"/>
                <w:color w:val="auto"/>
              </w:rPr>
            </w:pPr>
          </w:p>
        </w:tc>
        <w:tc>
          <w:tcPr>
            <w:tcW w:w="134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274,818</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260" w:type="dxa"/>
            <w:vAlign w:val="bottom"/>
            <w:gridSpan w:val="2"/>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13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0"/>
        </w:trPr>
        <w:tc>
          <w:tcPr>
            <w:tcW w:w="1260" w:type="dxa"/>
            <w:vAlign w:val="bottom"/>
            <w:tcBorders>
              <w:top w:val="single" w:sz="8" w:color="CCEEFF"/>
            </w:tcBorders>
          </w:tcPr>
          <w:p>
            <w:pPr>
              <w:spacing w:after="0" w:line="20" w:lineRule="exact"/>
              <w:rPr>
                <w:sz w:val="1"/>
                <w:szCs w:val="1"/>
                <w:color w:val="auto"/>
              </w:rPr>
            </w:pPr>
          </w:p>
        </w:tc>
        <w:tc>
          <w:tcPr>
            <w:tcW w:w="3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71"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On November 8, 2016, we entered into the ABL and Term Loan agreements with JPMorgan Chase. Under the terms of the Credit Facility, we have a $125.0 million ABL credit facility and a $300.0 million Term Loan.</w:t>
      </w:r>
    </w:p>
    <w:p>
      <w:pPr>
        <w:spacing w:after="0" w:line="14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Under the ABL agreement, we have a five 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48" w:lineRule="exact"/>
        <w:rPr>
          <w:sz w:val="20"/>
          <w:szCs w:val="20"/>
          <w:color w:val="auto"/>
        </w:rPr>
      </w:pPr>
    </w:p>
    <w:p>
      <w:pPr>
        <w:ind w:right="60"/>
        <w:spacing w:after="0" w:line="257"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selected by us plus 1.50% to 2.0%, depending on the amount of borrowings outstanding. No interest rate was applicable as of May 27, 2017 as the ABL is not drawn as of the end of the fiscal quarter. We also pay a commitment fee equal to 0.375% if the average utilized portion is less than or equal to 50%, or 0.25% if the utilized portion is greater than 50% of availability.</w:t>
      </w:r>
    </w:p>
    <w:p>
      <w:pPr>
        <w:spacing w:after="0" w:line="176"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Under the Term Loan agreement, we have a seven year credit facility repayable in quarterly installments in an aggregate amount equal to 1.0% of the original amount of the Term Loan on March 31, June 30 and September 30, 2017; 1.25% each calendar quarter end thereafter; with the balance payable at the end of seven years on November 8, 2023. There are mandatory prepayments for proceeds of new debt, sale of significant assets or subsidiaries and annually for 50% of excess cash flow beginning with Fiscal 2017 (the 50% is subject to step-downs to 25% and 0% if the total net leverage ratio, as defined in the Term Loan agreement, is less than 2.5 to 1.0 and 2.0 to 1.0, respectively, as of the last day of the period). Incremental term loans of up to $125.0 million are available if certain financial ratios and other conditions are met.</w:t>
      </w:r>
    </w:p>
    <w:p>
      <w:pPr>
        <w:spacing w:after="0" w:line="178" w:lineRule="exact"/>
        <w:rPr>
          <w:sz w:val="20"/>
          <w:szCs w:val="20"/>
          <w:color w:val="auto"/>
        </w:rPr>
      </w:pPr>
    </w:p>
    <w:p>
      <w:pPr>
        <w:jc w:val="both"/>
        <w:ind w:right="420"/>
        <w:spacing w:after="0" w:line="269" w:lineRule="auto"/>
        <w:rPr>
          <w:sz w:val="20"/>
          <w:szCs w:val="20"/>
          <w:color w:val="auto"/>
        </w:rPr>
      </w:pPr>
      <w:r>
        <w:rPr>
          <w:rFonts w:ascii="Arial" w:cs="Arial" w:eastAsia="Arial" w:hAnsi="Arial"/>
          <w:sz w:val="16"/>
          <w:szCs w:val="16"/>
          <w:color w:val="auto"/>
        </w:rPr>
        <w:t>Under the Term Loan agreement, to determine interest due, we can elect to base the rate on the alternate base rate (prime rate, NYFRB rate or adjusted LIBOR for one-month period with a floor of 2%) plus 3.50% or an adjusted LIBOR rate (with a floor of 1%) for the interest period selected plus 4.50%. The interest rate as of May 27, 2017, before consideration of the hedge, was 5.6%.</w:t>
      </w:r>
    </w:p>
    <w:p>
      <w:pPr>
        <w:spacing w:after="0" w:line="16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3 years from closing date or the date the leverage ratio is less than 2.0 to 1.0. In accordance with this requirement, we entered into an interest rate swap contract in January 2017 (see Note 5).</w:t>
      </w:r>
    </w:p>
    <w:p>
      <w:pPr>
        <w:spacing w:after="0" w:line="172"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The Term Loan agreement includes financial covenants requiring that the fixed charge coverage ratio at the end of any four fiscal quarters be not less than 1.0 to 1.0, defined as consolidated EBITDA (as defined) less capital expenditures (as defined), over fixed</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14</w:t>
      </w:r>
    </w:p>
    <w:p>
      <w:pPr>
        <w:sectPr>
          <w:pgSz w:w="11900" w:h="16838" w:orient="portrait"/>
          <w:cols w:equalWidth="0" w:num="1">
            <w:col w:w="11420"/>
          </w:cols>
          <w:pgMar w:left="240" w:top="118" w:right="239" w:bottom="1440" w:gutter="0" w:footer="0" w:header="0"/>
        </w:sectPr>
      </w:pPr>
    </w:p>
    <w:bookmarkStart w:id="16" w:name="page17"/>
    <w:bookmarkEnd w:id="1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80"/>
        <w:spacing w:after="0" w:line="269" w:lineRule="auto"/>
        <w:rPr>
          <w:sz w:val="20"/>
          <w:szCs w:val="20"/>
          <w:color w:val="auto"/>
        </w:rPr>
      </w:pPr>
      <w:r>
        <w:rPr>
          <w:rFonts w:ascii="Arial" w:cs="Arial" w:eastAsia="Arial" w:hAnsi="Arial"/>
          <w:sz w:val="16"/>
          <w:szCs w:val="16"/>
          <w:color w:val="auto"/>
        </w:rPr>
        <w:t>charges, generally defined as cash interest, cash income taxes, principal payments on loans, and dividends, and that the senior secured net leverage ratio at the end of each fiscal quarter be not greater than 3.5 to 1.0 prior to the fiscal quarter ending November 24, 2018 and 3.25 to 1.0 for each quarter thereafter, defined generally as the ratio of total secured indebtedness minus cash and permitted investments, to consolidated EBITDA (as defined).</w:t>
      </w:r>
    </w:p>
    <w:p>
      <w:pPr>
        <w:spacing w:after="0" w:line="165" w:lineRule="exact"/>
        <w:rPr>
          <w:sz w:val="20"/>
          <w:szCs w:val="20"/>
          <w:color w:val="auto"/>
        </w:rPr>
      </w:pPr>
    </w:p>
    <w:p>
      <w:pPr>
        <w:ind w:right="80"/>
        <w:spacing w:after="0" w:line="255" w:lineRule="auto"/>
        <w:rPr>
          <w:sz w:val="20"/>
          <w:szCs w:val="20"/>
          <w:color w:val="auto"/>
        </w:rPr>
      </w:pPr>
      <w:r>
        <w:rPr>
          <w:rFonts w:ascii="Arial" w:cs="Arial" w:eastAsia="Arial" w:hAnsi="Arial"/>
          <w:sz w:val="16"/>
          <w:szCs w:val="16"/>
          <w:color w:val="auto"/>
        </w:rPr>
        <w:t>The ABL agreement generally contains similar covenants, and includes restrictions on indebtedness, liens, mergers, consolidations, investments, guarantees, acquisitions, sales of assets, and transactions with affiliates. Dividends, redemptions and other payments on equity are generally limited to $20.0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on material indebtedness, bankruptcy, ERISA violations, material judgments, change in control and termination or invalidity of guaranty or security documents. As of May 27, 2017, we are in compliance with the financial covenants of the Credit Facility agreements.</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all property of ours, except minor excluded assets.</w:t>
      </w:r>
    </w:p>
    <w:p>
      <w:pPr>
        <w:spacing w:after="0" w:line="148"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As of May 27, 2017, $10.1 million of debt issuance costs, net of amortization of $0.9 million, were recorded as a direct deduction from long-term debt, $1.4 million from the current portion and $8.7 million from the long-term portion. Unamortized debt issuance costs of $0.1 million related to the prior Amended Credit Agreement were expensed in the three months ended November 26, 2016.</w:t>
      </w:r>
    </w:p>
    <w:p>
      <w:pPr>
        <w:spacing w:after="0" w:line="178" w:lineRule="exact"/>
        <w:rPr>
          <w:sz w:val="20"/>
          <w:szCs w:val="20"/>
          <w:color w:val="auto"/>
        </w:rPr>
      </w:pPr>
    </w:p>
    <w:p>
      <w:pPr>
        <w:spacing w:after="0"/>
        <w:rPr>
          <w:sz w:val="20"/>
          <w:szCs w:val="20"/>
          <w:color w:val="auto"/>
        </w:rPr>
      </w:pPr>
      <w:r>
        <w:rPr>
          <w:rFonts w:ascii="Arial" w:cs="Arial" w:eastAsia="Arial" w:hAnsi="Arial"/>
          <w:sz w:val="16"/>
          <w:szCs w:val="16"/>
          <w:color w:val="auto"/>
        </w:rPr>
        <w:t>Aggregate contractual maturities of debt in future fiscal years, are as follows: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9820" w:type="dxa"/>
            <w:vAlign w:val="bottom"/>
            <w:gridSpan w:val="3"/>
          </w:tcPr>
          <w:p>
            <w:pPr>
              <w:ind w:left="40"/>
              <w:spacing w:after="0"/>
              <w:rPr>
                <w:sz w:val="20"/>
                <w:szCs w:val="20"/>
                <w:color w:val="auto"/>
              </w:rPr>
            </w:pPr>
            <w:r>
              <w:rPr>
                <w:rFonts w:ascii="Arial" w:cs="Arial" w:eastAsia="Arial" w:hAnsi="Arial"/>
                <w:sz w:val="16"/>
                <w:szCs w:val="16"/>
                <w:b w:val="1"/>
                <w:bCs w:val="1"/>
                <w:color w:val="auto"/>
              </w:rPr>
              <w:t>(In thousands)</w:t>
            </w:r>
          </w:p>
        </w:tc>
        <w:tc>
          <w:tcPr>
            <w:tcW w:w="320" w:type="dxa"/>
            <w:vAlign w:val="bottom"/>
          </w:tcPr>
          <w:p>
            <w:pPr>
              <w:spacing w:after="0"/>
              <w:rPr>
                <w:sz w:val="20"/>
                <w:szCs w:val="20"/>
                <w:color w:val="auto"/>
              </w:rPr>
            </w:pPr>
          </w:p>
        </w:tc>
        <w:tc>
          <w:tcPr>
            <w:tcW w:w="1280" w:type="dxa"/>
            <w:vAlign w:val="bottom"/>
          </w:tcPr>
          <w:p>
            <w:pPr>
              <w:jc w:val="right"/>
              <w:ind w:right="419"/>
              <w:spacing w:after="0"/>
              <w:rPr>
                <w:sz w:val="20"/>
                <w:szCs w:val="20"/>
                <w:color w:val="auto"/>
              </w:rPr>
            </w:pPr>
            <w:r>
              <w:rPr>
                <w:rFonts w:ascii="Arial" w:cs="Arial" w:eastAsia="Arial" w:hAnsi="Arial"/>
                <w:sz w:val="16"/>
                <w:szCs w:val="16"/>
                <w:b w:val="1"/>
                <w:bCs w:val="1"/>
                <w:color w:val="auto"/>
              </w:rPr>
              <w:t>Amount</w:t>
            </w:r>
          </w:p>
        </w:tc>
      </w:tr>
      <w:tr>
        <w:trPr>
          <w:trHeight w:val="254"/>
        </w:trPr>
        <w:tc>
          <w:tcPr>
            <w:tcW w:w="62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Year:</w:t>
            </w:r>
          </w:p>
        </w:tc>
        <w:tc>
          <w:tcPr>
            <w:tcW w:w="9100" w:type="dxa"/>
            <w:vAlign w:val="bottom"/>
            <w:tcBorders>
              <w:top w:val="single" w:sz="8" w:color="auto"/>
            </w:tcBorders>
            <w:shd w:val="clear" w:color="auto" w:fill="CCEEFF"/>
          </w:tcPr>
          <w:p>
            <w:pPr>
              <w:ind w:left="220"/>
              <w:spacing w:after="0"/>
              <w:rPr>
                <w:sz w:val="20"/>
                <w:szCs w:val="20"/>
                <w:color w:val="auto"/>
              </w:rPr>
            </w:pPr>
            <w:r>
              <w:rPr>
                <w:rFonts w:ascii="Arial" w:cs="Arial" w:eastAsia="Arial" w:hAnsi="Arial"/>
                <w:sz w:val="16"/>
                <w:szCs w:val="16"/>
                <w:color w:val="auto"/>
              </w:rPr>
              <w:t>2017</w:t>
            </w:r>
          </w:p>
        </w:tc>
        <w:tc>
          <w:tcPr>
            <w:tcW w:w="100" w:type="dxa"/>
            <w:vAlign w:val="bottom"/>
            <w:tcBorders>
              <w:top w:val="single" w:sz="8" w:color="CCEEFF"/>
            </w:tcBorders>
            <w:shd w:val="clear" w:color="auto" w:fill="CCEEFF"/>
          </w:tcPr>
          <w:p>
            <w:pPr>
              <w:spacing w:after="0"/>
              <w:rPr>
                <w:sz w:val="22"/>
                <w:szCs w:val="22"/>
                <w:color w:val="auto"/>
              </w:rPr>
            </w:pPr>
          </w:p>
        </w:tc>
        <w:tc>
          <w:tcPr>
            <w:tcW w:w="320" w:type="dxa"/>
            <w:vAlign w:val="bottom"/>
            <w:tcBorders>
              <w:top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top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3,000</w:t>
            </w:r>
          </w:p>
        </w:tc>
      </w:tr>
      <w:tr>
        <w:trPr>
          <w:trHeight w:val="262"/>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2018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14,250</w:t>
            </w:r>
          </w:p>
        </w:tc>
      </w:tr>
      <w:tr>
        <w:trPr>
          <w:trHeight w:val="278"/>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2019</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2"/>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2020</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78"/>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2021</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2"/>
        </w:trPr>
        <w:tc>
          <w:tcPr>
            <w:tcW w:w="620" w:type="dxa"/>
            <w:vAlign w:val="bottom"/>
          </w:tcPr>
          <w:p>
            <w:pPr>
              <w:spacing w:after="0"/>
              <w:rPr>
                <w:sz w:val="22"/>
                <w:szCs w:val="22"/>
                <w:color w:val="auto"/>
              </w:rPr>
            </w:pPr>
          </w:p>
        </w:tc>
        <w:tc>
          <w:tcPr>
            <w:tcW w:w="9100" w:type="dxa"/>
            <w:vAlign w:val="bottom"/>
          </w:tcPr>
          <w:p>
            <w:pPr>
              <w:ind w:left="220"/>
              <w:spacing w:after="0"/>
              <w:rPr>
                <w:sz w:val="20"/>
                <w:szCs w:val="20"/>
                <w:color w:val="auto"/>
              </w:rPr>
            </w:pPr>
            <w:r>
              <w:rPr>
                <w:rFonts w:ascii="Arial" w:cs="Arial" w:eastAsia="Arial" w:hAnsi="Arial"/>
                <w:sz w:val="16"/>
                <w:szCs w:val="16"/>
                <w:color w:val="auto"/>
              </w:rPr>
              <w:t>2022</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15,000</w:t>
            </w:r>
          </w:p>
        </w:tc>
      </w:tr>
      <w:tr>
        <w:trPr>
          <w:trHeight w:val="278"/>
        </w:trPr>
        <w:tc>
          <w:tcPr>
            <w:tcW w:w="620" w:type="dxa"/>
            <w:vAlign w:val="bottom"/>
            <w:shd w:val="clear" w:color="auto" w:fill="CCEEFF"/>
          </w:tcPr>
          <w:p>
            <w:pPr>
              <w:spacing w:after="0"/>
              <w:rPr>
                <w:sz w:val="24"/>
                <w:szCs w:val="24"/>
                <w:color w:val="auto"/>
              </w:rPr>
            </w:pPr>
          </w:p>
        </w:tc>
        <w:tc>
          <w:tcPr>
            <w:tcW w:w="9100" w:type="dxa"/>
            <w:vAlign w:val="bottom"/>
            <w:shd w:val="clear" w:color="auto" w:fill="CCEEFF"/>
          </w:tcPr>
          <w:p>
            <w:pPr>
              <w:ind w:left="220"/>
              <w:spacing w:after="0"/>
              <w:rPr>
                <w:sz w:val="20"/>
                <w:szCs w:val="20"/>
                <w:color w:val="auto"/>
              </w:rPr>
            </w:pPr>
            <w:r>
              <w:rPr>
                <w:rFonts w:ascii="Arial" w:cs="Arial" w:eastAsia="Arial" w:hAnsi="Arial"/>
                <w:sz w:val="16"/>
                <w:szCs w:val="16"/>
                <w:color w:val="auto"/>
              </w:rPr>
              <w:t>2023</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2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15,000</w:t>
            </w:r>
          </w:p>
        </w:tc>
      </w:tr>
      <w:tr>
        <w:trPr>
          <w:trHeight w:val="264"/>
        </w:trPr>
        <w:tc>
          <w:tcPr>
            <w:tcW w:w="620" w:type="dxa"/>
            <w:vAlign w:val="bottom"/>
            <w:tcBorders>
              <w:bottom w:val="single" w:sz="8" w:color="CCEEFF"/>
            </w:tcBorders>
          </w:tcPr>
          <w:p>
            <w:pPr>
              <w:spacing w:after="0"/>
              <w:rPr>
                <w:sz w:val="22"/>
                <w:szCs w:val="22"/>
                <w:color w:val="auto"/>
              </w:rPr>
            </w:pPr>
          </w:p>
        </w:tc>
        <w:tc>
          <w:tcPr>
            <w:tcW w:w="9100" w:type="dxa"/>
            <w:vAlign w:val="bottom"/>
            <w:tcBorders>
              <w:bottom w:val="single" w:sz="8" w:color="CCEEFF"/>
            </w:tcBorders>
          </w:tcPr>
          <w:p>
            <w:pPr>
              <w:ind w:left="220"/>
              <w:spacing w:after="0"/>
              <w:rPr>
                <w:sz w:val="20"/>
                <w:szCs w:val="20"/>
                <w:color w:val="auto"/>
              </w:rPr>
            </w:pPr>
            <w:r>
              <w:rPr>
                <w:rFonts w:ascii="Arial" w:cs="Arial" w:eastAsia="Arial" w:hAnsi="Arial"/>
                <w:sz w:val="16"/>
                <w:szCs w:val="16"/>
                <w:color w:val="auto"/>
              </w:rPr>
              <w:t>2024</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204,750</w:t>
            </w:r>
          </w:p>
        </w:tc>
      </w:tr>
      <w:tr>
        <w:trPr>
          <w:trHeight w:val="242"/>
        </w:trPr>
        <w:tc>
          <w:tcPr>
            <w:tcW w:w="620" w:type="dxa"/>
            <w:vAlign w:val="bottom"/>
            <w:tcBorders>
              <w:bottom w:val="single" w:sz="8" w:color="CCEEFF"/>
            </w:tcBorders>
            <w:shd w:val="clear" w:color="auto" w:fill="CCEEFF"/>
          </w:tcPr>
          <w:p>
            <w:pPr>
              <w:spacing w:after="0"/>
              <w:rPr>
                <w:sz w:val="21"/>
                <w:szCs w:val="21"/>
                <w:color w:val="auto"/>
              </w:rPr>
            </w:pPr>
          </w:p>
        </w:tc>
        <w:tc>
          <w:tcPr>
            <w:tcW w:w="920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debt</w:t>
            </w: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297,000</w:t>
            </w:r>
          </w:p>
        </w:tc>
      </w:tr>
      <w:tr>
        <w:trPr>
          <w:trHeight w:val="20"/>
        </w:trPr>
        <w:tc>
          <w:tcPr>
            <w:tcW w:w="620" w:type="dxa"/>
            <w:vAlign w:val="bottom"/>
          </w:tcPr>
          <w:p>
            <w:pPr>
              <w:spacing w:after="0" w:line="20" w:lineRule="exact"/>
              <w:rPr>
                <w:sz w:val="1"/>
                <w:szCs w:val="1"/>
                <w:color w:val="auto"/>
              </w:rPr>
            </w:pPr>
          </w:p>
        </w:tc>
        <w:tc>
          <w:tcPr>
            <w:tcW w:w="9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7400" w:type="dxa"/>
            <w:vAlign w:val="bottom"/>
            <w:gridSpan w:val="3"/>
          </w:tcPr>
          <w:p>
            <w:pPr>
              <w:spacing w:after="0"/>
              <w:rPr>
                <w:sz w:val="20"/>
                <w:szCs w:val="20"/>
                <w:color w:val="auto"/>
              </w:rPr>
            </w:pPr>
            <w:r>
              <w:rPr>
                <w:rFonts w:ascii="Arial" w:cs="Arial" w:eastAsia="Arial" w:hAnsi="Arial"/>
                <w:sz w:val="16"/>
                <w:szCs w:val="16"/>
                <w:b w:val="1"/>
                <w:bCs w:val="1"/>
                <w:color w:val="auto"/>
              </w:rPr>
              <w:t>Note 10: Employee and Retiree Benefits</w:t>
            </w:r>
          </w:p>
        </w:tc>
        <w:tc>
          <w:tcPr>
            <w:tcW w:w="38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640" w:type="dxa"/>
            <w:vAlign w:val="bottom"/>
          </w:tcPr>
          <w:p>
            <w:pPr>
              <w:spacing w:after="0"/>
              <w:rPr>
                <w:sz w:val="19"/>
                <w:szCs w:val="19"/>
                <w:color w:val="auto"/>
              </w:rPr>
            </w:pPr>
          </w:p>
        </w:tc>
      </w:tr>
      <w:tr>
        <w:trPr>
          <w:trHeight w:val="343"/>
        </w:trPr>
        <w:tc>
          <w:tcPr>
            <w:tcW w:w="7400" w:type="dxa"/>
            <w:vAlign w:val="bottom"/>
            <w:gridSpan w:val="3"/>
          </w:tcPr>
          <w:p>
            <w:pPr>
              <w:spacing w:after="0"/>
              <w:rPr>
                <w:sz w:val="20"/>
                <w:szCs w:val="20"/>
                <w:color w:val="auto"/>
              </w:rPr>
            </w:pPr>
            <w:r>
              <w:rPr>
                <w:rFonts w:ascii="Arial" w:cs="Arial" w:eastAsia="Arial" w:hAnsi="Arial"/>
                <w:sz w:val="16"/>
                <w:szCs w:val="16"/>
                <w:color w:val="auto"/>
              </w:rPr>
              <w:t>Deferred compensation and postretirement health care benefits are as follows:</w:t>
            </w:r>
          </w:p>
        </w:tc>
        <w:tc>
          <w:tcPr>
            <w:tcW w:w="38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640" w:type="dxa"/>
            <w:vAlign w:val="bottom"/>
          </w:tcPr>
          <w:p>
            <w:pPr>
              <w:spacing w:after="0"/>
              <w:rPr>
                <w:sz w:val="24"/>
                <w:szCs w:val="24"/>
                <w:color w:val="auto"/>
              </w:rPr>
            </w:pPr>
          </w:p>
        </w:tc>
      </w:tr>
      <w:tr>
        <w:trPr>
          <w:trHeight w:val="320"/>
        </w:trPr>
        <w:tc>
          <w:tcPr>
            <w:tcW w:w="20" w:type="dxa"/>
            <w:vAlign w:val="bottom"/>
          </w:tcPr>
          <w:p>
            <w:pPr>
              <w:spacing w:after="0"/>
              <w:rPr>
                <w:sz w:val="24"/>
                <w:szCs w:val="24"/>
                <w:color w:val="auto"/>
              </w:rPr>
            </w:pPr>
          </w:p>
        </w:tc>
        <w:tc>
          <w:tcPr>
            <w:tcW w:w="7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680" w:type="dxa"/>
            <w:vAlign w:val="bottom"/>
            <w:gridSpan w:val="2"/>
          </w:tcPr>
          <w:p>
            <w:pPr>
              <w:ind w:left="280"/>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24"/>
                <w:szCs w:val="24"/>
                <w:color w:val="auto"/>
              </w:rPr>
            </w:pPr>
          </w:p>
        </w:tc>
        <w:tc>
          <w:tcPr>
            <w:tcW w:w="1640" w:type="dxa"/>
            <w:vAlign w:val="bottom"/>
          </w:tcPr>
          <w:p>
            <w:pPr>
              <w:jc w:val="right"/>
              <w:ind w:right="519"/>
              <w:spacing w:after="0"/>
              <w:rPr>
                <w:sz w:val="20"/>
                <w:szCs w:val="20"/>
                <w:color w:val="auto"/>
              </w:rPr>
            </w:pPr>
            <w:r>
              <w:rPr>
                <w:rFonts w:ascii="Arial" w:cs="Arial" w:eastAsia="Arial" w:hAnsi="Arial"/>
                <w:sz w:val="16"/>
                <w:szCs w:val="16"/>
                <w:b w:val="1"/>
                <w:bCs w:val="1"/>
                <w:color w:val="auto"/>
              </w:rPr>
              <w:t>August 27,</w:t>
            </w:r>
          </w:p>
        </w:tc>
      </w:tr>
      <w:tr>
        <w:trPr>
          <w:trHeight w:val="232"/>
        </w:trPr>
        <w:tc>
          <w:tcPr>
            <w:tcW w:w="20" w:type="dxa"/>
            <w:vAlign w:val="bottom"/>
          </w:tcPr>
          <w:p>
            <w:pPr>
              <w:spacing w:after="0"/>
              <w:rPr>
                <w:sz w:val="20"/>
                <w:szCs w:val="20"/>
                <w:color w:val="auto"/>
              </w:rPr>
            </w:pPr>
          </w:p>
        </w:tc>
        <w:tc>
          <w:tcPr>
            <w:tcW w:w="72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c>
          <w:tcPr>
            <w:tcW w:w="1580" w:type="dxa"/>
            <w:vAlign w:val="bottom"/>
            <w:tcBorders>
              <w:bottom w:val="single" w:sz="8" w:color="auto"/>
            </w:tcBorders>
          </w:tcPr>
          <w:p>
            <w:pPr>
              <w:jc w:val="right"/>
              <w:ind w:right="73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tcPr>
          <w:p>
            <w:pPr>
              <w:jc w:val="right"/>
              <w:ind w:right="719"/>
              <w:spacing w:after="0"/>
              <w:rPr>
                <w:sz w:val="20"/>
                <w:szCs w:val="20"/>
                <w:color w:val="auto"/>
              </w:rPr>
            </w:pPr>
            <w:r>
              <w:rPr>
                <w:rFonts w:ascii="Arial" w:cs="Arial" w:eastAsia="Arial" w:hAnsi="Arial"/>
                <w:sz w:val="16"/>
                <w:szCs w:val="16"/>
                <w:b w:val="1"/>
                <w:bCs w:val="1"/>
                <w:color w:val="auto"/>
              </w:rPr>
              <w:t>2016</w:t>
            </w:r>
          </w:p>
        </w:tc>
      </w:tr>
      <w:tr>
        <w:trPr>
          <w:trHeight w:val="254"/>
        </w:trPr>
        <w:tc>
          <w:tcPr>
            <w:tcW w:w="20" w:type="dxa"/>
            <w:vAlign w:val="bottom"/>
          </w:tcPr>
          <w:p>
            <w:pPr>
              <w:spacing w:after="0"/>
              <w:rPr>
                <w:sz w:val="22"/>
                <w:szCs w:val="22"/>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Postretirement health care benefit cost</w:t>
            </w:r>
          </w:p>
        </w:tc>
        <w:tc>
          <w:tcPr>
            <w:tcW w:w="3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680" w:type="dxa"/>
            <w:vAlign w:val="bottom"/>
            <w:gridSpan w:val="2"/>
            <w:shd w:val="clear" w:color="auto" w:fill="CCEEFF"/>
          </w:tcPr>
          <w:p>
            <w:pPr>
              <w:jc w:val="right"/>
              <w:ind w:right="540"/>
              <w:spacing w:after="0"/>
              <w:rPr>
                <w:sz w:val="20"/>
                <w:szCs w:val="20"/>
                <w:color w:val="auto"/>
              </w:rPr>
            </w:pPr>
            <w:r>
              <w:rPr>
                <w:rFonts w:ascii="Arial" w:cs="Arial" w:eastAsia="Arial" w:hAnsi="Arial"/>
                <w:sz w:val="16"/>
                <w:szCs w:val="16"/>
                <w:color w:val="auto"/>
              </w:rPr>
              <w:t>—</w:t>
            </w: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6,346</w:t>
            </w:r>
          </w:p>
        </w:tc>
      </w:tr>
      <w:tr>
        <w:trPr>
          <w:trHeight w:val="262"/>
        </w:trPr>
        <w:tc>
          <w:tcPr>
            <w:tcW w:w="20" w:type="dxa"/>
            <w:vAlign w:val="bottom"/>
          </w:tcPr>
          <w:p>
            <w:pPr>
              <w:spacing w:after="0"/>
              <w:rPr>
                <w:sz w:val="22"/>
                <w:szCs w:val="22"/>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color w:val="auto"/>
              </w:rPr>
              <w:t>Non-qualified deferred compensation</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16,851</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18,003</w:t>
            </w:r>
          </w:p>
        </w:tc>
      </w:tr>
      <w:tr>
        <w:trPr>
          <w:trHeight w:val="278"/>
        </w:trPr>
        <w:tc>
          <w:tcPr>
            <w:tcW w:w="20" w:type="dxa"/>
            <w:vAlign w:val="bottom"/>
          </w:tcPr>
          <w:p>
            <w:pPr>
              <w:spacing w:after="0"/>
              <w:rPr>
                <w:sz w:val="24"/>
                <w:szCs w:val="24"/>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share option plan liability</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1,914</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3,341</w:t>
            </w:r>
          </w:p>
        </w:tc>
      </w:tr>
      <w:tr>
        <w:trPr>
          <w:trHeight w:val="262"/>
        </w:trPr>
        <w:tc>
          <w:tcPr>
            <w:tcW w:w="20" w:type="dxa"/>
            <w:vAlign w:val="bottom"/>
          </w:tcPr>
          <w:p>
            <w:pPr>
              <w:spacing w:after="0"/>
              <w:rPr>
                <w:sz w:val="22"/>
                <w:szCs w:val="22"/>
                <w:color w:val="auto"/>
              </w:rPr>
            </w:pPr>
          </w:p>
        </w:tc>
        <w:tc>
          <w:tcPr>
            <w:tcW w:w="7380" w:type="dxa"/>
            <w:vAlign w:val="bottom"/>
            <w:gridSpan w:val="2"/>
          </w:tcPr>
          <w:p>
            <w:pPr>
              <w:ind w:left="20"/>
              <w:spacing w:after="0"/>
              <w:rPr>
                <w:sz w:val="20"/>
                <w:szCs w:val="20"/>
                <w:color w:val="auto"/>
              </w:rPr>
            </w:pPr>
            <w:r>
              <w:rPr>
                <w:rFonts w:ascii="Arial" w:cs="Arial" w:eastAsia="Arial" w:hAnsi="Arial"/>
                <w:sz w:val="16"/>
                <w:szCs w:val="16"/>
                <w:color w:val="auto"/>
              </w:rPr>
              <w:t>SERP benefit liability</w:t>
            </w:r>
          </w:p>
        </w:tc>
        <w:tc>
          <w:tcPr>
            <w:tcW w:w="380" w:type="dxa"/>
            <w:vAlign w:val="bottom"/>
          </w:tcPr>
          <w:p>
            <w:pPr>
              <w:spacing w:after="0"/>
              <w:rPr>
                <w:sz w:val="22"/>
                <w:szCs w:val="22"/>
                <w:color w:val="auto"/>
              </w:rPr>
            </w:pPr>
          </w:p>
        </w:tc>
        <w:tc>
          <w:tcPr>
            <w:tcW w:w="1580" w:type="dxa"/>
            <w:vAlign w:val="bottom"/>
          </w:tcPr>
          <w:p>
            <w:pPr>
              <w:jc w:val="right"/>
              <w:ind w:right="359"/>
              <w:spacing w:after="0"/>
              <w:rPr>
                <w:sz w:val="20"/>
                <w:szCs w:val="20"/>
                <w:color w:val="auto"/>
              </w:rPr>
            </w:pPr>
            <w:r>
              <w:rPr>
                <w:rFonts w:ascii="Arial" w:cs="Arial" w:eastAsia="Arial" w:hAnsi="Arial"/>
                <w:sz w:val="16"/>
                <w:szCs w:val="16"/>
                <w:color w:val="auto"/>
              </w:rPr>
              <w:t>2,428</w:t>
            </w: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640" w:type="dxa"/>
            <w:vAlign w:val="bottom"/>
          </w:tcPr>
          <w:p>
            <w:pPr>
              <w:jc w:val="right"/>
              <w:ind w:right="359"/>
              <w:spacing w:after="0"/>
              <w:rPr>
                <w:sz w:val="20"/>
                <w:szCs w:val="20"/>
                <w:color w:val="auto"/>
              </w:rPr>
            </w:pPr>
            <w:r>
              <w:rPr>
                <w:rFonts w:ascii="Arial" w:cs="Arial" w:eastAsia="Arial" w:hAnsi="Arial"/>
                <w:sz w:val="16"/>
                <w:szCs w:val="16"/>
                <w:color w:val="auto"/>
              </w:rPr>
              <w:t>2,681</w:t>
            </w:r>
          </w:p>
        </w:tc>
      </w:tr>
      <w:tr>
        <w:trPr>
          <w:trHeight w:val="278"/>
        </w:trPr>
        <w:tc>
          <w:tcPr>
            <w:tcW w:w="20" w:type="dxa"/>
            <w:vAlign w:val="bottom"/>
          </w:tcPr>
          <w:p>
            <w:pPr>
              <w:spacing w:after="0"/>
              <w:rPr>
                <w:sz w:val="24"/>
                <w:szCs w:val="24"/>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Executive deferred compensation</w:t>
            </w:r>
          </w:p>
        </w:tc>
        <w:tc>
          <w:tcPr>
            <w:tcW w:w="380" w:type="dxa"/>
            <w:vAlign w:val="bottom"/>
            <w:shd w:val="clear" w:color="auto" w:fill="CCEEFF"/>
          </w:tcPr>
          <w:p>
            <w:pPr>
              <w:spacing w:after="0"/>
              <w:rPr>
                <w:sz w:val="24"/>
                <w:szCs w:val="24"/>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510</w:t>
            </w:r>
          </w:p>
        </w:tc>
        <w:tc>
          <w:tcPr>
            <w:tcW w:w="100" w:type="dxa"/>
            <w:vAlign w:val="bottom"/>
            <w:shd w:val="clear" w:color="auto" w:fill="CCEEFF"/>
          </w:tcPr>
          <w:p>
            <w:pPr>
              <w:spacing w:after="0"/>
              <w:rPr>
                <w:sz w:val="24"/>
                <w:szCs w:val="24"/>
                <w:color w:val="auto"/>
              </w:rPr>
            </w:pPr>
          </w:p>
        </w:tc>
        <w:tc>
          <w:tcPr>
            <w:tcW w:w="320" w:type="dxa"/>
            <w:vAlign w:val="bottom"/>
            <w:shd w:val="clear" w:color="auto" w:fill="CCEEFF"/>
          </w:tcPr>
          <w:p>
            <w:pPr>
              <w:spacing w:after="0"/>
              <w:rPr>
                <w:sz w:val="24"/>
                <w:szCs w:val="24"/>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389</w:t>
            </w:r>
          </w:p>
        </w:tc>
      </w:tr>
      <w:tr>
        <w:trPr>
          <w:trHeight w:val="264"/>
        </w:trPr>
        <w:tc>
          <w:tcPr>
            <w:tcW w:w="20" w:type="dxa"/>
            <w:vAlign w:val="bottom"/>
          </w:tcPr>
          <w:p>
            <w:pPr>
              <w:spacing w:after="0"/>
              <w:rPr>
                <w:sz w:val="22"/>
                <w:szCs w:val="22"/>
                <w:color w:val="auto"/>
              </w:rPr>
            </w:pPr>
          </w:p>
        </w:tc>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Officer stock-based compensation</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1,048</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763</w:t>
            </w:r>
          </w:p>
        </w:tc>
      </w:tr>
      <w:tr>
        <w:trPr>
          <w:trHeight w:val="257"/>
        </w:trPr>
        <w:tc>
          <w:tcPr>
            <w:tcW w:w="20" w:type="dxa"/>
            <w:vAlign w:val="bottom"/>
          </w:tcPr>
          <w:p>
            <w:pPr>
              <w:spacing w:after="0"/>
              <w:rPr>
                <w:sz w:val="22"/>
                <w:szCs w:val="22"/>
                <w:color w:val="auto"/>
              </w:rPr>
            </w:pPr>
          </w:p>
        </w:tc>
        <w:tc>
          <w:tcPr>
            <w:tcW w:w="738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Total deferred compensation and postretirement health care benefits</w:t>
            </w:r>
          </w:p>
        </w:tc>
        <w:tc>
          <w:tcPr>
            <w:tcW w:w="380" w:type="dxa"/>
            <w:vAlign w:val="bottom"/>
            <w:shd w:val="clear" w:color="auto" w:fill="CCEEFF"/>
          </w:tcPr>
          <w:p>
            <w:pPr>
              <w:spacing w:after="0"/>
              <w:rPr>
                <w:sz w:val="22"/>
                <w:szCs w:val="22"/>
                <w:color w:val="auto"/>
              </w:rPr>
            </w:pPr>
          </w:p>
        </w:tc>
        <w:tc>
          <w:tcPr>
            <w:tcW w:w="158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22,751</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spacing w:after="0"/>
              <w:rPr>
                <w:sz w:val="22"/>
                <w:szCs w:val="22"/>
                <w:color w:val="auto"/>
              </w:rPr>
            </w:pPr>
          </w:p>
        </w:tc>
        <w:tc>
          <w:tcPr>
            <w:tcW w:w="16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31,523</w:t>
            </w:r>
          </w:p>
        </w:tc>
      </w:tr>
      <w:tr>
        <w:trPr>
          <w:trHeight w:val="264"/>
        </w:trPr>
        <w:tc>
          <w:tcPr>
            <w:tcW w:w="20" w:type="dxa"/>
            <w:vAlign w:val="bottom"/>
          </w:tcPr>
          <w:p>
            <w:pPr>
              <w:spacing w:after="0"/>
              <w:rPr>
                <w:sz w:val="22"/>
                <w:szCs w:val="22"/>
                <w:color w:val="auto"/>
              </w:rPr>
            </w:pPr>
          </w:p>
        </w:tc>
        <w:tc>
          <w:tcPr>
            <w:tcW w:w="738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Less current portion</w:t>
            </w:r>
          </w:p>
        </w:tc>
        <w:tc>
          <w:tcPr>
            <w:tcW w:w="380" w:type="dxa"/>
            <w:vAlign w:val="bottom"/>
            <w:tcBorders>
              <w:bottom w:val="single" w:sz="8" w:color="auto"/>
            </w:tcBorders>
          </w:tcPr>
          <w:p>
            <w:pPr>
              <w:spacing w:after="0"/>
              <w:rPr>
                <w:sz w:val="22"/>
                <w:szCs w:val="22"/>
                <w:color w:val="auto"/>
              </w:rPr>
            </w:pPr>
          </w:p>
        </w:tc>
        <w:tc>
          <w:tcPr>
            <w:tcW w:w="15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color w:val="auto"/>
              </w:rPr>
              <w:t>(3,769)</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color w:val="auto"/>
              </w:rPr>
              <w:t>(4,574)</w:t>
            </w:r>
          </w:p>
        </w:tc>
      </w:tr>
      <w:tr>
        <w:trPr>
          <w:trHeight w:val="242"/>
        </w:trPr>
        <w:tc>
          <w:tcPr>
            <w:tcW w:w="20" w:type="dxa"/>
            <w:vAlign w:val="bottom"/>
          </w:tcPr>
          <w:p>
            <w:pPr>
              <w:spacing w:after="0"/>
              <w:rPr>
                <w:sz w:val="21"/>
                <w:szCs w:val="21"/>
                <w:color w:val="auto"/>
              </w:rPr>
            </w:pPr>
          </w:p>
        </w:tc>
        <w:tc>
          <w:tcPr>
            <w:tcW w:w="73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6"/>
                <w:szCs w:val="16"/>
                <w:color w:val="auto"/>
              </w:rPr>
              <w:t>Long-term deferred compensation and postretirement health care benefits</w:t>
            </w:r>
          </w:p>
        </w:tc>
        <w:tc>
          <w:tcPr>
            <w:tcW w:w="3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w w:val="89"/>
              </w:rPr>
              <w:t>$</w:t>
            </w:r>
          </w:p>
        </w:tc>
        <w:tc>
          <w:tcPr>
            <w:tcW w:w="158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18,982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16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26,949</w:t>
            </w:r>
          </w:p>
        </w:tc>
      </w:tr>
      <w:tr>
        <w:trPr>
          <w:trHeight w:val="20"/>
        </w:trPr>
        <w:tc>
          <w:tcPr>
            <w:tcW w:w="20" w:type="dxa"/>
            <w:vAlign w:val="bottom"/>
          </w:tcPr>
          <w:p>
            <w:pPr>
              <w:spacing w:after="0" w:line="20" w:lineRule="exact"/>
              <w:rPr>
                <w:sz w:val="1"/>
                <w:szCs w:val="1"/>
                <w:color w:val="auto"/>
              </w:rPr>
            </w:pPr>
          </w:p>
        </w:tc>
        <w:tc>
          <w:tcPr>
            <w:tcW w:w="7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r>
    </w:tbl>
    <w:p>
      <w:pPr>
        <w:spacing w:after="0" w:line="14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Postretirement Health Care Benefits</w:t>
      </w:r>
    </w:p>
    <w:p>
      <w:pPr>
        <w:spacing w:after="0" w:line="27" w:lineRule="exact"/>
        <w:rPr>
          <w:sz w:val="20"/>
          <w:szCs w:val="20"/>
          <w:color w:val="auto"/>
        </w:rPr>
      </w:pPr>
    </w:p>
    <w:p>
      <w:pPr>
        <w:ind w:right="120"/>
        <w:spacing w:after="0" w:line="265" w:lineRule="auto"/>
        <w:rPr>
          <w:sz w:val="20"/>
          <w:szCs w:val="20"/>
          <w:color w:val="auto"/>
        </w:rPr>
      </w:pPr>
      <w:r>
        <w:rPr>
          <w:rFonts w:ascii="Arial" w:cs="Arial" w:eastAsia="Arial" w:hAnsi="Arial"/>
          <w:sz w:val="16"/>
          <w:szCs w:val="16"/>
          <w:color w:val="auto"/>
        </w:rPr>
        <w:t>Historically, we provided certain health care and other benefits for retired employees hired before April 1, 2001, who had fulfilled eligibility requirements at age 55 with 15 years of continuous service. We used a September 1 measurement date for this plan and our postretirement health care plan was not funded.</w:t>
      </w:r>
    </w:p>
    <w:p>
      <w:pPr>
        <w:spacing w:after="0" w:line="141"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In Fiscal 2005, through a plan amendment, we established dollar caps on the amount that we paid for postretirement health care benefits per retiree on an annual basis so that we were not exposed to continued medical inflation. Retirees were required to pay a monthly premium in excess of the employer dollar caps for medical coverage based on years of service and age at retirement. Each year from 2012 to 2015, the employer established dollar caps were reduced by 10% through plan amendments. In 2016, postretirement health care benefits were discontinued for retirees age 65 and over. The plan amendment also included</w:t>
      </w: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15</w:t>
      </w:r>
    </w:p>
    <w:p>
      <w:pPr>
        <w:sectPr>
          <w:pgSz w:w="11900" w:h="16838" w:orient="portrait"/>
          <w:cols w:equalWidth="0" w:num="1">
            <w:col w:w="11420"/>
          </w:cols>
          <w:pgMar w:left="240" w:top="121" w:right="239" w:bottom="1440" w:gutter="0" w:footer="0" w:header="0"/>
        </w:sectPr>
      </w:pPr>
    </w:p>
    <w:bookmarkStart w:id="17" w:name="page18"/>
    <w:bookmarkEnd w:id="1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100"/>
        <w:spacing w:after="0" w:line="269" w:lineRule="auto"/>
        <w:rPr>
          <w:sz w:val="20"/>
          <w:szCs w:val="20"/>
          <w:color w:val="auto"/>
        </w:rPr>
      </w:pPr>
      <w:r>
        <w:rPr>
          <w:rFonts w:ascii="Arial" w:cs="Arial" w:eastAsia="Arial" w:hAnsi="Arial"/>
          <w:sz w:val="16"/>
          <w:szCs w:val="16"/>
          <w:color w:val="auto"/>
        </w:rPr>
        <w:t>a 10% reduction in employer paid premiums for retirees under age 65. On October 26, 2016, we announced the termination of the remaining postretirement health care benefits to all participants. Beginning January 1, 2017, postretirement health care benefits were discontinued for retirees under age 65. As a result of these amendments, our liability for postretirement health care was reduced as presented in the following table.</w:t>
      </w:r>
    </w:p>
    <w:p>
      <w:pPr>
        <w:spacing w:after="0" w:line="109" w:lineRule="exact"/>
        <w:rPr>
          <w:sz w:val="20"/>
          <w:szCs w:val="20"/>
          <w:color w:val="auto"/>
        </w:rPr>
      </w:pPr>
    </w:p>
    <w:tbl>
      <w:tblPr>
        <w:tblLayout w:type="fixed"/>
        <w:tblInd w:w="20" w:type="dxa"/>
        <w:tblCellMar>
          <w:top w:w="0" w:type="dxa"/>
          <w:left w:w="0" w:type="dxa"/>
          <w:bottom w:w="0" w:type="dxa"/>
          <w:right w:w="0" w:type="dxa"/>
        </w:tblCellMar>
      </w:tblPr>
      <w:tr>
        <w:trPr>
          <w:trHeight w:val="189"/>
        </w:trPr>
        <w:tc>
          <w:tcPr>
            <w:tcW w:w="1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80" w:type="dxa"/>
            <w:vAlign w:val="bottom"/>
          </w:tcPr>
          <w:p>
            <w:pPr>
              <w:jc w:val="center"/>
              <w:ind w:right="119"/>
              <w:spacing w:after="0"/>
              <w:rPr>
                <w:sz w:val="20"/>
                <w:szCs w:val="20"/>
                <w:color w:val="auto"/>
              </w:rPr>
            </w:pPr>
            <w:r>
              <w:rPr>
                <w:rFonts w:ascii="Arial" w:cs="Arial" w:eastAsia="Arial" w:hAnsi="Arial"/>
                <w:sz w:val="16"/>
                <w:szCs w:val="16"/>
                <w:b w:val="1"/>
                <w:bCs w:val="1"/>
                <w:color w:val="auto"/>
              </w:rPr>
              <w:t>Liability</w:t>
            </w:r>
          </w:p>
        </w:tc>
        <w:tc>
          <w:tcPr>
            <w:tcW w:w="1420" w:type="dxa"/>
            <w:vAlign w:val="bottom"/>
          </w:tcPr>
          <w:p>
            <w:pPr>
              <w:spacing w:after="0"/>
              <w:rPr>
                <w:sz w:val="16"/>
                <w:szCs w:val="16"/>
                <w:color w:val="auto"/>
              </w:rPr>
            </w:pPr>
          </w:p>
        </w:tc>
      </w:tr>
      <w:tr>
        <w:trPr>
          <w:trHeight w:val="189"/>
        </w:trPr>
        <w:tc>
          <w:tcPr>
            <w:tcW w:w="1460" w:type="dxa"/>
            <w:vAlign w:val="bottom"/>
          </w:tcPr>
          <w:p>
            <w:pPr>
              <w:spacing w:after="0"/>
              <w:rPr>
                <w:sz w:val="16"/>
                <w:szCs w:val="16"/>
                <w:color w:val="auto"/>
              </w:rPr>
            </w:pPr>
          </w:p>
        </w:tc>
        <w:tc>
          <w:tcPr>
            <w:tcW w:w="5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320" w:type="dxa"/>
            <w:vAlign w:val="bottom"/>
          </w:tcPr>
          <w:p>
            <w:pPr>
              <w:jc w:val="center"/>
              <w:ind w:left="59"/>
              <w:spacing w:after="0"/>
              <w:rPr>
                <w:sz w:val="20"/>
                <w:szCs w:val="20"/>
                <w:color w:val="auto"/>
              </w:rPr>
            </w:pPr>
            <w:r>
              <w:rPr>
                <w:rFonts w:ascii="Arial" w:cs="Arial" w:eastAsia="Arial" w:hAnsi="Arial"/>
                <w:sz w:val="16"/>
                <w:szCs w:val="16"/>
                <w:b w:val="1"/>
                <w:bCs w:val="1"/>
                <w:color w:val="auto"/>
              </w:rPr>
              <w:t>Dollar Cap</w:t>
            </w:r>
          </w:p>
        </w:tc>
        <w:tc>
          <w:tcPr>
            <w:tcW w:w="300" w:type="dxa"/>
            <w:vAlign w:val="bottom"/>
          </w:tcPr>
          <w:p>
            <w:pPr>
              <w:spacing w:after="0"/>
              <w:rPr>
                <w:sz w:val="16"/>
                <w:szCs w:val="16"/>
                <w:color w:val="auto"/>
              </w:rPr>
            </w:pPr>
          </w:p>
        </w:tc>
        <w:tc>
          <w:tcPr>
            <w:tcW w:w="1380" w:type="dxa"/>
            <w:vAlign w:val="bottom"/>
          </w:tcPr>
          <w:p>
            <w:pPr>
              <w:jc w:val="center"/>
              <w:ind w:right="139"/>
              <w:spacing w:after="0"/>
              <w:rPr>
                <w:sz w:val="20"/>
                <w:szCs w:val="20"/>
                <w:color w:val="auto"/>
              </w:rPr>
            </w:pPr>
            <w:r>
              <w:rPr>
                <w:rFonts w:ascii="Arial" w:cs="Arial" w:eastAsia="Arial" w:hAnsi="Arial"/>
                <w:sz w:val="16"/>
                <w:szCs w:val="16"/>
                <w:b w:val="1"/>
                <w:bCs w:val="1"/>
                <w:color w:val="auto"/>
              </w:rPr>
              <w:t>Reduction</w:t>
            </w:r>
          </w:p>
        </w:tc>
        <w:tc>
          <w:tcPr>
            <w:tcW w:w="1420" w:type="dxa"/>
            <w:vAlign w:val="bottom"/>
          </w:tcPr>
          <w:p>
            <w:pPr>
              <w:jc w:val="right"/>
              <w:ind w:right="159"/>
              <w:spacing w:after="0"/>
              <w:rPr>
                <w:sz w:val="20"/>
                <w:szCs w:val="20"/>
                <w:color w:val="auto"/>
              </w:rPr>
            </w:pPr>
            <w:r>
              <w:rPr>
                <w:rFonts w:ascii="Arial" w:cs="Arial" w:eastAsia="Arial" w:hAnsi="Arial"/>
                <w:sz w:val="16"/>
                <w:szCs w:val="16"/>
                <w:b w:val="1"/>
                <w:bCs w:val="1"/>
                <w:color w:val="auto"/>
              </w:rPr>
              <w:t>Amortization</w:t>
            </w:r>
          </w:p>
        </w:tc>
      </w:tr>
      <w:tr>
        <w:trPr>
          <w:trHeight w:val="236"/>
        </w:trPr>
        <w:tc>
          <w:tcPr>
            <w:tcW w:w="1460" w:type="dxa"/>
            <w:vAlign w:val="bottom"/>
            <w:tcBorders>
              <w:bottom w:val="single" w:sz="8" w:color="auto"/>
            </w:tcBorders>
          </w:tcPr>
          <w:p>
            <w:pPr>
              <w:ind w:left="20"/>
              <w:spacing w:after="0"/>
              <w:rPr>
                <w:sz w:val="20"/>
                <w:szCs w:val="20"/>
                <w:color w:val="auto"/>
              </w:rPr>
            </w:pPr>
            <w:r>
              <w:rPr>
                <w:rFonts w:ascii="Arial" w:cs="Arial" w:eastAsia="Arial" w:hAnsi="Arial"/>
                <w:sz w:val="16"/>
                <w:szCs w:val="16"/>
                <w:b w:val="1"/>
                <w:bCs w:val="1"/>
                <w:color w:val="auto"/>
              </w:rPr>
              <w:t>Date</w:t>
            </w:r>
          </w:p>
        </w:tc>
        <w:tc>
          <w:tcPr>
            <w:tcW w:w="5380" w:type="dxa"/>
            <w:vAlign w:val="bottom"/>
            <w:tcBorders>
              <w:bottom w:val="single" w:sz="8" w:color="auto"/>
            </w:tcBorders>
          </w:tcPr>
          <w:p>
            <w:pPr>
              <w:ind w:left="280"/>
              <w:spacing w:after="0"/>
              <w:rPr>
                <w:sz w:val="20"/>
                <w:szCs w:val="20"/>
                <w:color w:val="auto"/>
              </w:rPr>
            </w:pPr>
            <w:r>
              <w:rPr>
                <w:rFonts w:ascii="Arial" w:cs="Arial" w:eastAsia="Arial" w:hAnsi="Arial"/>
                <w:sz w:val="16"/>
                <w:szCs w:val="16"/>
                <w:b w:val="1"/>
                <w:bCs w:val="1"/>
                <w:color w:val="auto"/>
              </w:rPr>
              <w:t>Event</w:t>
            </w:r>
          </w:p>
        </w:tc>
        <w:tc>
          <w:tcPr>
            <w:tcW w:w="140" w:type="dxa"/>
            <w:vAlign w:val="bottom"/>
            <w:tcBorders>
              <w:bottom w:val="single" w:sz="8" w:color="CCEEFF"/>
            </w:tcBorders>
          </w:tcPr>
          <w:p>
            <w:pPr>
              <w:spacing w:after="0"/>
              <w:rPr>
                <w:sz w:val="20"/>
                <w:szCs w:val="20"/>
                <w:color w:val="auto"/>
              </w:rPr>
            </w:pPr>
          </w:p>
        </w:tc>
        <w:tc>
          <w:tcPr>
            <w:tcW w:w="1320" w:type="dxa"/>
            <w:vAlign w:val="bottom"/>
            <w:tcBorders>
              <w:bottom w:val="single" w:sz="8" w:color="auto"/>
            </w:tcBorders>
          </w:tcPr>
          <w:p>
            <w:pPr>
              <w:jc w:val="center"/>
              <w:ind w:left="59"/>
              <w:spacing w:after="0"/>
              <w:rPr>
                <w:sz w:val="20"/>
                <w:szCs w:val="20"/>
                <w:color w:val="auto"/>
              </w:rPr>
            </w:pPr>
            <w:r>
              <w:rPr>
                <w:rFonts w:ascii="Arial" w:cs="Arial" w:eastAsia="Arial" w:hAnsi="Arial"/>
                <w:sz w:val="16"/>
                <w:szCs w:val="16"/>
                <w:b w:val="1"/>
                <w:bCs w:val="1"/>
                <w:color w:val="auto"/>
                <w:w w:val="99"/>
              </w:rPr>
              <w:t>Reduction</w:t>
            </w:r>
          </w:p>
        </w:tc>
        <w:tc>
          <w:tcPr>
            <w:tcW w:w="300" w:type="dxa"/>
            <w:vAlign w:val="bottom"/>
            <w:tcBorders>
              <w:bottom w:val="single" w:sz="8" w:color="auto"/>
            </w:tcBorders>
          </w:tcPr>
          <w:p>
            <w:pPr>
              <w:spacing w:after="0"/>
              <w:rPr>
                <w:sz w:val="20"/>
                <w:szCs w:val="20"/>
                <w:color w:val="auto"/>
              </w:rPr>
            </w:pPr>
          </w:p>
        </w:tc>
        <w:tc>
          <w:tcPr>
            <w:tcW w:w="138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(In thousands)</w:t>
            </w:r>
          </w:p>
        </w:tc>
        <w:tc>
          <w:tcPr>
            <w:tcW w:w="1420" w:type="dxa"/>
            <w:vAlign w:val="bottom"/>
            <w:tcBorders>
              <w:bottom w:val="single" w:sz="8" w:color="auto"/>
            </w:tcBorders>
          </w:tcPr>
          <w:p>
            <w:pPr>
              <w:jc w:val="right"/>
              <w:ind w:right="339"/>
              <w:spacing w:after="0" w:line="236" w:lineRule="exact"/>
              <w:rPr>
                <w:sz w:val="20"/>
                <w:szCs w:val="20"/>
                <w:color w:val="auto"/>
              </w:rPr>
            </w:pPr>
            <w:r>
              <w:rPr>
                <w:rFonts w:ascii="Arial" w:cs="Arial" w:eastAsia="Arial" w:hAnsi="Arial"/>
                <w:sz w:val="16"/>
                <w:szCs w:val="16"/>
                <w:b w:val="1"/>
                <w:bCs w:val="1"/>
                <w:color w:val="auto"/>
              </w:rPr>
              <w:t>Period</w:t>
            </w:r>
            <w:r>
              <w:rPr>
                <w:rFonts w:ascii="Arial" w:cs="Arial" w:eastAsia="Arial" w:hAnsi="Arial"/>
                <w:sz w:val="21"/>
                <w:szCs w:val="21"/>
                <w:b w:val="1"/>
                <w:bCs w:val="1"/>
                <w:color w:val="auto"/>
                <w:vertAlign w:val="superscript"/>
              </w:rPr>
              <w:t>(1)</w:t>
            </w:r>
          </w:p>
        </w:tc>
      </w:tr>
      <w:tr>
        <w:trPr>
          <w:trHeight w:val="264"/>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Fiscal 2005</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Established employer dollar caps</w:t>
            </w:r>
          </w:p>
        </w:tc>
        <w:tc>
          <w:tcPr>
            <w:tcW w:w="1320" w:type="dxa"/>
            <w:vAlign w:val="bottom"/>
            <w:shd w:val="clear" w:color="auto" w:fill="CCEEFF"/>
          </w:tcPr>
          <w:p>
            <w:pPr>
              <w:spacing w:after="0"/>
              <w:rPr>
                <w:sz w:val="22"/>
                <w:szCs w:val="22"/>
                <w:color w:val="auto"/>
              </w:rPr>
            </w:pPr>
          </w:p>
        </w:tc>
        <w:tc>
          <w:tcPr>
            <w:tcW w:w="3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40,414</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11.5 years</w:t>
            </w:r>
          </w:p>
        </w:tc>
      </w:tr>
      <w:tr>
        <w:trPr>
          <w:trHeight w:val="262"/>
        </w:trPr>
        <w:tc>
          <w:tcPr>
            <w:tcW w:w="1460" w:type="dxa"/>
            <w:vAlign w:val="bottom"/>
          </w:tcPr>
          <w:p>
            <w:pPr>
              <w:ind w:left="20"/>
              <w:spacing w:after="0"/>
              <w:rPr>
                <w:sz w:val="20"/>
                <w:szCs w:val="20"/>
                <w:color w:val="auto"/>
              </w:rPr>
            </w:pPr>
            <w:r>
              <w:rPr>
                <w:rFonts w:ascii="Arial" w:cs="Arial" w:eastAsia="Arial" w:hAnsi="Arial"/>
                <w:sz w:val="16"/>
                <w:szCs w:val="16"/>
                <w:color w:val="auto"/>
              </w:rPr>
              <w:t>January 2012</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4,598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7.8 years</w:t>
            </w:r>
          </w:p>
        </w:tc>
      </w:tr>
      <w:tr>
        <w:trPr>
          <w:trHeight w:val="278"/>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2013</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4,289</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7.5 years</w:t>
            </w:r>
          </w:p>
        </w:tc>
      </w:tr>
      <w:tr>
        <w:trPr>
          <w:trHeight w:val="262"/>
        </w:trPr>
        <w:tc>
          <w:tcPr>
            <w:tcW w:w="1460" w:type="dxa"/>
            <w:vAlign w:val="bottom"/>
          </w:tcPr>
          <w:p>
            <w:pPr>
              <w:ind w:left="20"/>
              <w:spacing w:after="0"/>
              <w:rPr>
                <w:sz w:val="20"/>
                <w:szCs w:val="20"/>
                <w:color w:val="auto"/>
              </w:rPr>
            </w:pPr>
            <w:r>
              <w:rPr>
                <w:rFonts w:ascii="Arial" w:cs="Arial" w:eastAsia="Arial" w:hAnsi="Arial"/>
                <w:sz w:val="16"/>
                <w:szCs w:val="16"/>
                <w:color w:val="auto"/>
              </w:rPr>
              <w:t>January 2014</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22"/>
                <w:szCs w:val="22"/>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3,580</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7.3 years</w:t>
            </w:r>
          </w:p>
        </w:tc>
      </w:tr>
      <w:tr>
        <w:trPr>
          <w:trHeight w:val="278"/>
        </w:trPr>
        <w:tc>
          <w:tcPr>
            <w:tcW w:w="1460" w:type="dxa"/>
            <w:vAlign w:val="bottom"/>
            <w:shd w:val="clear" w:color="auto" w:fill="CCEEFF"/>
          </w:tcPr>
          <w:p>
            <w:pPr>
              <w:ind w:left="20"/>
              <w:spacing w:after="0"/>
              <w:rPr>
                <w:sz w:val="20"/>
                <w:szCs w:val="20"/>
                <w:color w:val="auto"/>
              </w:rPr>
            </w:pPr>
            <w:r>
              <w:rPr>
                <w:rFonts w:ascii="Arial" w:cs="Arial" w:eastAsia="Arial" w:hAnsi="Arial"/>
                <w:sz w:val="16"/>
                <w:szCs w:val="16"/>
                <w:color w:val="auto"/>
              </w:rPr>
              <w:t>January 2015</w:t>
            </w:r>
          </w:p>
        </w:tc>
        <w:tc>
          <w:tcPr>
            <w:tcW w:w="5520" w:type="dxa"/>
            <w:vAlign w:val="bottom"/>
            <w:gridSpan w:val="2"/>
            <w:shd w:val="clear" w:color="auto" w:fill="CCEEFF"/>
          </w:tcPr>
          <w:p>
            <w:pPr>
              <w:ind w:left="280"/>
              <w:spacing w:after="0"/>
              <w:rPr>
                <w:sz w:val="20"/>
                <w:szCs w:val="20"/>
                <w:color w:val="auto"/>
              </w:rPr>
            </w:pPr>
            <w:r>
              <w:rPr>
                <w:rFonts w:ascii="Arial" w:cs="Arial" w:eastAsia="Arial" w:hAnsi="Arial"/>
                <w:sz w:val="16"/>
                <w:szCs w:val="16"/>
                <w:color w:val="auto"/>
              </w:rPr>
              <w:t>Reduced employer dollar caps</w:t>
            </w:r>
          </w:p>
        </w:tc>
        <w:tc>
          <w:tcPr>
            <w:tcW w:w="1320" w:type="dxa"/>
            <w:vAlign w:val="bottom"/>
            <w:shd w:val="clear" w:color="auto" w:fill="CCEEFF"/>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shd w:val="clear" w:color="auto" w:fill="CCEEFF"/>
          </w:tcPr>
          <w:p>
            <w:pPr>
              <w:spacing w:after="0"/>
              <w:rPr>
                <w:sz w:val="24"/>
                <w:szCs w:val="24"/>
                <w:color w:val="auto"/>
              </w:rPr>
            </w:pP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3,960</w:t>
            </w:r>
          </w:p>
        </w:tc>
        <w:tc>
          <w:tcPr>
            <w:tcW w:w="142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7.1 years</w:t>
            </w:r>
          </w:p>
        </w:tc>
      </w:tr>
      <w:tr>
        <w:trPr>
          <w:trHeight w:val="198"/>
        </w:trPr>
        <w:tc>
          <w:tcPr>
            <w:tcW w:w="1460" w:type="dxa"/>
            <w:vAlign w:val="bottom"/>
          </w:tcPr>
          <w:p>
            <w:pPr>
              <w:ind w:left="20"/>
              <w:spacing w:after="0"/>
              <w:rPr>
                <w:sz w:val="20"/>
                <w:szCs w:val="20"/>
                <w:color w:val="auto"/>
              </w:rPr>
            </w:pPr>
            <w:r>
              <w:rPr>
                <w:rFonts w:ascii="Arial" w:cs="Arial" w:eastAsia="Arial" w:hAnsi="Arial"/>
                <w:sz w:val="16"/>
                <w:szCs w:val="16"/>
                <w:color w:val="auto"/>
              </w:rPr>
              <w:t>January 2016</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Reduced employer dollar caps for retirees under age 65; discontinued</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9"/>
        </w:trPr>
        <w:tc>
          <w:tcPr>
            <w:tcW w:w="1460" w:type="dxa"/>
            <w:vAlign w:val="bottom"/>
          </w:tcPr>
          <w:p>
            <w:pPr>
              <w:spacing w:after="0"/>
              <w:rPr>
                <w:sz w:val="19"/>
                <w:szCs w:val="19"/>
                <w:color w:val="auto"/>
              </w:rPr>
            </w:pP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retiree benefits for retirees age 65 and over</w:t>
            </w:r>
          </w:p>
        </w:tc>
        <w:tc>
          <w:tcPr>
            <w:tcW w:w="1320" w:type="dxa"/>
            <w:vAlign w:val="bottom"/>
          </w:tcPr>
          <w:p>
            <w:pPr>
              <w:jc w:val="center"/>
              <w:ind w:left="39"/>
              <w:spacing w:after="0"/>
              <w:rPr>
                <w:sz w:val="20"/>
                <w:szCs w:val="20"/>
                <w:color w:val="auto"/>
              </w:rPr>
            </w:pPr>
            <w:r>
              <w:rPr>
                <w:rFonts w:ascii="Arial" w:cs="Arial" w:eastAsia="Arial" w:hAnsi="Arial"/>
                <w:sz w:val="16"/>
                <w:szCs w:val="16"/>
                <w:color w:val="auto"/>
                <w:w w:val="99"/>
              </w:rPr>
              <w:t>10%</w:t>
            </w:r>
          </w:p>
        </w:tc>
        <w:tc>
          <w:tcPr>
            <w:tcW w:w="300" w:type="dxa"/>
            <w:vAlign w:val="bottom"/>
          </w:tcPr>
          <w:p>
            <w:pPr>
              <w:spacing w:after="0"/>
              <w:rPr>
                <w:sz w:val="19"/>
                <w:szCs w:val="19"/>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28,596</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6.9 years</w:t>
            </w:r>
          </w:p>
        </w:tc>
      </w:tr>
      <w:tr>
        <w:trPr>
          <w:trHeight w:val="285"/>
        </w:trPr>
        <w:tc>
          <w:tcPr>
            <w:tcW w:w="1460" w:type="dxa"/>
            <w:vAlign w:val="bottom"/>
          </w:tcPr>
          <w:p>
            <w:pPr>
              <w:ind w:left="20"/>
              <w:spacing w:after="0"/>
              <w:rPr>
                <w:sz w:val="20"/>
                <w:szCs w:val="20"/>
                <w:color w:val="auto"/>
              </w:rPr>
            </w:pPr>
            <w:r>
              <w:rPr>
                <w:rFonts w:ascii="Arial" w:cs="Arial" w:eastAsia="Arial" w:hAnsi="Arial"/>
                <w:sz w:val="16"/>
                <w:szCs w:val="16"/>
                <w:color w:val="auto"/>
              </w:rPr>
              <w:t xml:space="preserve">January 2017 </w:t>
            </w:r>
            <w:r>
              <w:rPr>
                <w:rFonts w:ascii="Arial" w:cs="Arial" w:eastAsia="Arial" w:hAnsi="Arial"/>
                <w:sz w:val="21"/>
                <w:szCs w:val="21"/>
                <w:color w:val="auto"/>
                <w:vertAlign w:val="superscript"/>
              </w:rPr>
              <w:t>(2)</w:t>
            </w:r>
          </w:p>
        </w:tc>
        <w:tc>
          <w:tcPr>
            <w:tcW w:w="5520" w:type="dxa"/>
            <w:vAlign w:val="bottom"/>
            <w:gridSpan w:val="2"/>
          </w:tcPr>
          <w:p>
            <w:pPr>
              <w:ind w:left="280"/>
              <w:spacing w:after="0"/>
              <w:rPr>
                <w:sz w:val="20"/>
                <w:szCs w:val="20"/>
                <w:color w:val="auto"/>
              </w:rPr>
            </w:pPr>
            <w:r>
              <w:rPr>
                <w:rFonts w:ascii="Arial" w:cs="Arial" w:eastAsia="Arial" w:hAnsi="Arial"/>
                <w:sz w:val="16"/>
                <w:szCs w:val="16"/>
                <w:color w:val="auto"/>
              </w:rPr>
              <w:t>Terminated plan</w:t>
            </w:r>
          </w:p>
        </w:tc>
        <w:tc>
          <w:tcPr>
            <w:tcW w:w="13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6,338</w:t>
            </w:r>
          </w:p>
        </w:tc>
        <w:tc>
          <w:tcPr>
            <w:tcW w:w="1420" w:type="dxa"/>
            <w:vAlign w:val="bottom"/>
          </w:tcPr>
          <w:p>
            <w:pPr>
              <w:jc w:val="right"/>
              <w:ind w:right="299"/>
              <w:spacing w:after="0"/>
              <w:rPr>
                <w:sz w:val="20"/>
                <w:szCs w:val="20"/>
                <w:color w:val="auto"/>
              </w:rPr>
            </w:pPr>
            <w:r>
              <w:rPr>
                <w:rFonts w:ascii="Arial" w:cs="Arial" w:eastAsia="Arial" w:hAnsi="Arial"/>
                <w:sz w:val="16"/>
                <w:szCs w:val="16"/>
                <w:color w:val="auto"/>
              </w:rPr>
              <w:t>0.2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13970</wp:posOffset>
            </wp:positionH>
            <wp:positionV relativeFrom="paragraph">
              <wp:posOffset>-170815</wp:posOffset>
            </wp:positionV>
            <wp:extent cx="7237730" cy="17145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37730" cy="171450"/>
                    </a:xfrm>
                    <a:prstGeom prst="rect">
                      <a:avLst/>
                    </a:prstGeom>
                    <a:noFill/>
                  </pic:spPr>
                </pic:pic>
              </a:graphicData>
            </a:graphic>
          </wp:anchor>
        </w:drawing>
      </w:r>
    </w:p>
    <w:p>
      <w:pPr>
        <w:ind w:left="140" w:hanging="132"/>
        <w:spacing w:after="0" w:line="218" w:lineRule="auto"/>
        <w:tabs>
          <w:tab w:leader="none" w:pos="140" w:val="left"/>
        </w:tabs>
        <w:numPr>
          <w:ilvl w:val="0"/>
          <w:numId w:val="5"/>
        </w:numPr>
        <w:rPr>
          <w:rFonts w:ascii="Arial" w:cs="Arial" w:eastAsia="Arial" w:hAnsi="Arial"/>
          <w:sz w:val="16"/>
          <w:szCs w:val="16"/>
          <w:color w:val="auto"/>
          <w:vertAlign w:val="superscript"/>
        </w:rPr>
      </w:pPr>
      <w:r>
        <w:rPr>
          <w:rFonts w:ascii="Arial" w:cs="Arial" w:eastAsia="Arial" w:hAnsi="Arial"/>
          <w:sz w:val="13"/>
          <w:szCs w:val="13"/>
          <w:color w:val="auto"/>
        </w:rPr>
        <w:t>Plan amendments were amortized on a straight-line basis over the expected remaining service period of active plan participants.</w:t>
      </w:r>
    </w:p>
    <w:p>
      <w:pPr>
        <w:ind w:right="100" w:firstLine="8"/>
        <w:spacing w:after="0" w:line="227" w:lineRule="auto"/>
        <w:tabs>
          <w:tab w:leader="none" w:pos="150" w:val="left"/>
        </w:tabs>
        <w:numPr>
          <w:ilvl w:val="0"/>
          <w:numId w:val="5"/>
        </w:numPr>
        <w:rPr>
          <w:rFonts w:ascii="Arial" w:cs="Arial" w:eastAsia="Arial" w:hAnsi="Arial"/>
          <w:sz w:val="17"/>
          <w:szCs w:val="17"/>
          <w:color w:val="auto"/>
          <w:vertAlign w:val="superscript"/>
        </w:rPr>
      </w:pPr>
      <w:r>
        <w:rPr>
          <w:rFonts w:ascii="Arial" w:cs="Arial" w:eastAsia="Arial" w:hAnsi="Arial"/>
          <w:sz w:val="14"/>
          <w:szCs w:val="14"/>
          <w:color w:val="auto"/>
        </w:rPr>
        <w:t>In accordance with ASC 715, the effects of the plan amendment are accounted for at the date the amendment is adopted and has been communicated to plan participants. The effective date for this plan amendment was October 26, 2016.</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color w:val="auto"/>
        </w:rPr>
        <w:t>Net periodic postretirement benefit income consisted of the following components: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4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20" w:type="dxa"/>
            <w:vAlign w:val="bottom"/>
            <w:tcBorders>
              <w:bottom w:val="single" w:sz="8" w:color="auto"/>
            </w:tcBorders>
            <w:gridSpan w:val="5"/>
          </w:tcPr>
          <w:p>
            <w:pPr>
              <w:jc w:val="right"/>
              <w:ind w:right="71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3400" w:type="dxa"/>
            <w:vAlign w:val="bottom"/>
            <w:tcBorders>
              <w:bottom w:val="single" w:sz="8" w:color="auto"/>
            </w:tcBorders>
            <w:gridSpan w:val="4"/>
          </w:tcPr>
          <w:p>
            <w:pPr>
              <w:jc w:val="right"/>
              <w:ind w:right="101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4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b w:val="1"/>
                <w:bCs w:val="1"/>
                <w:color w:val="auto"/>
              </w:rPr>
              <w:t>May 27,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28,</w:t>
            </w:r>
          </w:p>
        </w:tc>
        <w:tc>
          <w:tcPr>
            <w:tcW w:w="360" w:type="dxa"/>
            <w:vAlign w:val="bottom"/>
          </w:tcPr>
          <w:p>
            <w:pPr>
              <w:spacing w:after="0"/>
              <w:rPr>
                <w:sz w:val="16"/>
                <w:szCs w:val="16"/>
                <w:color w:val="auto"/>
              </w:rPr>
            </w:pPr>
          </w:p>
        </w:tc>
        <w:tc>
          <w:tcPr>
            <w:tcW w:w="1580" w:type="dxa"/>
            <w:vAlign w:val="bottom"/>
            <w:gridSpan w:val="2"/>
          </w:tcPr>
          <w:p>
            <w:pPr>
              <w:ind w:left="240"/>
              <w:spacing w:after="0"/>
              <w:rPr>
                <w:sz w:val="20"/>
                <w:szCs w:val="20"/>
                <w:color w:val="auto"/>
              </w:rPr>
            </w:pPr>
            <w:r>
              <w:rPr>
                <w:rFonts w:ascii="Arial" w:cs="Arial" w:eastAsia="Arial" w:hAnsi="Arial"/>
                <w:sz w:val="16"/>
                <w:szCs w:val="16"/>
                <w:b w:val="1"/>
                <w:bCs w:val="1"/>
                <w:color w:val="auto"/>
              </w:rPr>
              <w:t>May 27,</w:t>
            </w:r>
          </w:p>
        </w:tc>
        <w:tc>
          <w:tcPr>
            <w:tcW w:w="360" w:type="dxa"/>
            <w:vAlign w:val="bottom"/>
          </w:tcPr>
          <w:p>
            <w:pPr>
              <w:spacing w:after="0"/>
              <w:rPr>
                <w:sz w:val="16"/>
                <w:szCs w:val="16"/>
                <w:color w:val="auto"/>
              </w:rPr>
            </w:pPr>
          </w:p>
        </w:tc>
        <w:tc>
          <w:tcPr>
            <w:tcW w:w="1460" w:type="dxa"/>
            <w:vAlign w:val="bottom"/>
          </w:tcPr>
          <w:p>
            <w:pPr>
              <w:jc w:val="right"/>
              <w:ind w:right="559"/>
              <w:spacing w:after="0"/>
              <w:rPr>
                <w:sz w:val="20"/>
                <w:szCs w:val="20"/>
                <w:color w:val="auto"/>
              </w:rPr>
            </w:pPr>
            <w:r>
              <w:rPr>
                <w:rFonts w:ascii="Arial" w:cs="Arial" w:eastAsia="Arial" w:hAnsi="Arial"/>
                <w:sz w:val="16"/>
                <w:szCs w:val="16"/>
                <w:b w:val="1"/>
                <w:bCs w:val="1"/>
                <w:color w:val="auto"/>
              </w:rPr>
              <w:t>May 28,</w:t>
            </w:r>
          </w:p>
        </w:tc>
      </w:tr>
      <w:tr>
        <w:trPr>
          <w:trHeight w:val="232"/>
        </w:trPr>
        <w:tc>
          <w:tcPr>
            <w:tcW w:w="42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11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1460" w:type="dxa"/>
            <w:vAlign w:val="bottom"/>
            <w:tcBorders>
              <w:bottom w:val="single" w:sz="8" w:color="auto"/>
            </w:tcBorders>
          </w:tcPr>
          <w:p>
            <w:pPr>
              <w:jc w:val="right"/>
              <w:ind w:right="659"/>
              <w:spacing w:after="0"/>
              <w:rPr>
                <w:sz w:val="20"/>
                <w:szCs w:val="20"/>
                <w:color w:val="auto"/>
              </w:rPr>
            </w:pPr>
            <w:r>
              <w:rPr>
                <w:rFonts w:ascii="Arial" w:cs="Arial" w:eastAsia="Arial" w:hAnsi="Arial"/>
                <w:sz w:val="16"/>
                <w:szCs w:val="16"/>
                <w:b w:val="1"/>
                <w:bCs w:val="1"/>
                <w:color w:val="auto"/>
              </w:rPr>
              <w:t>2016</w:t>
            </w:r>
          </w:p>
        </w:tc>
      </w:tr>
      <w:tr>
        <w:trPr>
          <w:trHeight w:val="254"/>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cost</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29</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269</w:t>
            </w:r>
          </w:p>
        </w:tc>
      </w:tr>
      <w:tr>
        <w:trPr>
          <w:trHeight w:val="262"/>
        </w:trPr>
        <w:tc>
          <w:tcPr>
            <w:tcW w:w="4340" w:type="dxa"/>
            <w:vAlign w:val="bottom"/>
            <w:gridSpan w:val="2"/>
          </w:tcPr>
          <w:p>
            <w:pPr>
              <w:ind w:left="40"/>
              <w:spacing w:after="0"/>
              <w:rPr>
                <w:sz w:val="20"/>
                <w:szCs w:val="20"/>
                <w:color w:val="auto"/>
              </w:rPr>
            </w:pPr>
            <w:r>
              <w:rPr>
                <w:rFonts w:ascii="Arial" w:cs="Arial" w:eastAsia="Arial" w:hAnsi="Arial"/>
                <w:sz w:val="16"/>
                <w:szCs w:val="16"/>
                <w:color w:val="auto"/>
              </w:rPr>
              <w:t>Service cost</w:t>
            </w:r>
          </w:p>
        </w:tc>
        <w:tc>
          <w:tcPr>
            <w:tcW w:w="1120" w:type="dxa"/>
            <w:vAlign w:val="bottom"/>
          </w:tcPr>
          <w:p>
            <w:pPr>
              <w:spacing w:after="0"/>
              <w:rPr>
                <w:sz w:val="22"/>
                <w:szCs w:val="22"/>
                <w:color w:val="auto"/>
              </w:rPr>
            </w:pPr>
          </w:p>
        </w:tc>
        <w:tc>
          <w:tcPr>
            <w:tcW w:w="500" w:type="dxa"/>
            <w:vAlign w:val="bottom"/>
            <w:gridSpan w:val="2"/>
          </w:tcPr>
          <w:p>
            <w:pPr>
              <w:ind w:left="120"/>
              <w:spacing w:after="0"/>
              <w:rPr>
                <w:sz w:val="20"/>
                <w:szCs w:val="20"/>
                <w:color w:val="auto"/>
              </w:rPr>
            </w:pPr>
            <w:r>
              <w:rPr>
                <w:rFonts w:ascii="Arial" w:cs="Arial" w:eastAsia="Arial" w:hAnsi="Arial"/>
                <w:sz w:val="16"/>
                <w:szCs w:val="16"/>
                <w:color w:val="auto"/>
              </w:rPr>
              <w:t>—</w:t>
            </w:r>
          </w:p>
        </w:tc>
        <w:tc>
          <w:tcPr>
            <w:tcW w:w="300" w:type="dxa"/>
            <w:vAlign w:val="bottom"/>
          </w:tcPr>
          <w:p>
            <w:pPr>
              <w:spacing w:after="0"/>
              <w:rPr>
                <w:sz w:val="22"/>
                <w:szCs w:val="22"/>
                <w:color w:val="auto"/>
              </w:rPr>
            </w:pPr>
          </w:p>
        </w:tc>
        <w:tc>
          <w:tcPr>
            <w:tcW w:w="1300" w:type="dxa"/>
            <w:vAlign w:val="bottom"/>
          </w:tcPr>
          <w:p>
            <w:pPr>
              <w:jc w:val="right"/>
              <w:ind w:right="23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ind w:right="339"/>
              <w:spacing w:after="0"/>
              <w:rPr>
                <w:sz w:val="20"/>
                <w:szCs w:val="20"/>
                <w:color w:val="auto"/>
              </w:rPr>
            </w:pPr>
            <w:r>
              <w:rPr>
                <w:rFonts w:ascii="Arial" w:cs="Arial" w:eastAsia="Arial" w:hAnsi="Arial"/>
                <w:sz w:val="16"/>
                <w:szCs w:val="16"/>
                <w:color w:val="auto"/>
              </w:rPr>
              <w:t>16</w:t>
            </w:r>
          </w:p>
        </w:tc>
        <w:tc>
          <w:tcPr>
            <w:tcW w:w="1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460" w:type="dxa"/>
            <w:vAlign w:val="bottom"/>
          </w:tcPr>
          <w:p>
            <w:pPr>
              <w:jc w:val="right"/>
              <w:ind w:right="359"/>
              <w:spacing w:after="0"/>
              <w:rPr>
                <w:sz w:val="20"/>
                <w:szCs w:val="20"/>
                <w:color w:val="auto"/>
              </w:rPr>
            </w:pPr>
            <w:r>
              <w:rPr>
                <w:rFonts w:ascii="Arial" w:cs="Arial" w:eastAsia="Arial" w:hAnsi="Arial"/>
                <w:sz w:val="16"/>
                <w:szCs w:val="16"/>
                <w:color w:val="auto"/>
              </w:rPr>
              <w:t>86</w:t>
            </w:r>
          </w:p>
        </w:tc>
      </w:tr>
      <w:tr>
        <w:trPr>
          <w:trHeight w:val="278"/>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benefit</w:t>
            </w:r>
          </w:p>
        </w:tc>
        <w:tc>
          <w:tcPr>
            <w:tcW w:w="1120" w:type="dxa"/>
            <w:vAlign w:val="bottom"/>
            <w:shd w:val="clear" w:color="auto" w:fill="CCEEFF"/>
          </w:tcPr>
          <w:p>
            <w:pPr>
              <w:spacing w:after="0"/>
              <w:rPr>
                <w:sz w:val="24"/>
                <w:szCs w:val="24"/>
                <w:color w:val="auto"/>
              </w:rPr>
            </w:pP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4"/>
                <w:szCs w:val="24"/>
                <w:color w:val="auto"/>
              </w:rPr>
            </w:pP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(2,008)</w:t>
            </w:r>
          </w:p>
        </w:tc>
        <w:tc>
          <w:tcPr>
            <w:tcW w:w="10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(40,444)</w:t>
            </w:r>
          </w:p>
        </w:tc>
        <w:tc>
          <w:tcPr>
            <w:tcW w:w="120" w:type="dxa"/>
            <w:vAlign w:val="bottom"/>
            <w:shd w:val="clear" w:color="auto" w:fill="CCEEFF"/>
          </w:tcPr>
          <w:p>
            <w:pPr>
              <w:spacing w:after="0"/>
              <w:rPr>
                <w:sz w:val="24"/>
                <w:szCs w:val="24"/>
                <w:color w:val="auto"/>
              </w:rPr>
            </w:pPr>
          </w:p>
        </w:tc>
        <w:tc>
          <w:tcPr>
            <w:tcW w:w="360" w:type="dxa"/>
            <w:vAlign w:val="bottom"/>
            <w:shd w:val="clear" w:color="auto" w:fill="CCEEFF"/>
          </w:tcPr>
          <w:p>
            <w:pPr>
              <w:spacing w:after="0"/>
              <w:rPr>
                <w:sz w:val="24"/>
                <w:szCs w:val="24"/>
                <w:color w:val="auto"/>
              </w:rPr>
            </w:pPr>
          </w:p>
        </w:tc>
        <w:tc>
          <w:tcPr>
            <w:tcW w:w="14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(5,728)</w:t>
            </w:r>
          </w:p>
        </w:tc>
      </w:tr>
      <w:tr>
        <w:trPr>
          <w:trHeight w:val="264"/>
        </w:trPr>
        <w:tc>
          <w:tcPr>
            <w:tcW w:w="434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120" w:type="dxa"/>
            <w:vAlign w:val="bottom"/>
            <w:tcBorders>
              <w:bottom w:val="single" w:sz="8" w:color="auto"/>
            </w:tcBorders>
          </w:tcPr>
          <w:p>
            <w:pPr>
              <w:spacing w:after="0"/>
              <w:rPr>
                <w:sz w:val="22"/>
                <w:szCs w:val="22"/>
                <w:color w:val="auto"/>
              </w:rPr>
            </w:pPr>
          </w:p>
        </w:tc>
        <w:tc>
          <w:tcPr>
            <w:tcW w:w="380" w:type="dxa"/>
            <w:vAlign w:val="bottom"/>
            <w:tcBorders>
              <w:bottom w:val="single" w:sz="8" w:color="auto"/>
            </w:tcBorders>
          </w:tcPr>
          <w:p>
            <w:pPr>
              <w:ind w:left="12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415</w:t>
            </w:r>
          </w:p>
        </w:tc>
        <w:tc>
          <w:tcPr>
            <w:tcW w:w="10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color w:val="auto"/>
              </w:rPr>
              <w:t>15,648</w:t>
            </w:r>
          </w:p>
        </w:tc>
        <w:tc>
          <w:tcPr>
            <w:tcW w:w="120" w:type="dxa"/>
            <w:vAlign w:val="bottom"/>
            <w:tcBorders>
              <w:bottom w:val="single" w:sz="8" w:color="CCEEFF"/>
            </w:tcBorders>
          </w:tcPr>
          <w:p>
            <w:pPr>
              <w:spacing w:after="0"/>
              <w:rPr>
                <w:sz w:val="22"/>
                <w:szCs w:val="22"/>
                <w:color w:val="auto"/>
              </w:rPr>
            </w:pPr>
          </w:p>
        </w:tc>
        <w:tc>
          <w:tcPr>
            <w:tcW w:w="360" w:type="dxa"/>
            <w:vAlign w:val="bottom"/>
            <w:tcBorders>
              <w:bottom w:val="single" w:sz="8" w:color="auto"/>
            </w:tcBorders>
          </w:tcPr>
          <w:p>
            <w:pPr>
              <w:spacing w:after="0"/>
              <w:rPr>
                <w:sz w:val="22"/>
                <w:szCs w:val="22"/>
                <w:color w:val="auto"/>
              </w:rPr>
            </w:pPr>
          </w:p>
        </w:tc>
        <w:tc>
          <w:tcPr>
            <w:tcW w:w="146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1,197</w:t>
            </w:r>
          </w:p>
        </w:tc>
      </w:tr>
      <w:tr>
        <w:trPr>
          <w:trHeight w:val="242"/>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periodic postretirement benefit income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(1,512)</w:t>
            </w:r>
          </w:p>
        </w:tc>
        <w:tc>
          <w:tcPr>
            <w:tcW w:w="10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79"/>
              <w:spacing w:after="0"/>
              <w:rPr>
                <w:sz w:val="20"/>
                <w:szCs w:val="20"/>
                <w:color w:val="auto"/>
              </w:rPr>
            </w:pPr>
            <w:r>
              <w:rPr>
                <w:rFonts w:ascii="Arial" w:cs="Arial" w:eastAsia="Arial" w:hAnsi="Arial"/>
                <w:sz w:val="16"/>
                <w:szCs w:val="16"/>
                <w:color w:val="auto"/>
              </w:rPr>
              <w:t>(24,751)</w:t>
            </w:r>
          </w:p>
        </w:tc>
        <w:tc>
          <w:tcPr>
            <w:tcW w:w="120" w:type="dxa"/>
            <w:vAlign w:val="bottom"/>
            <w:shd w:val="clear" w:color="auto" w:fill="CCEEFF"/>
          </w:tcPr>
          <w:p>
            <w:pPr>
              <w:spacing w:after="0"/>
              <w:rPr>
                <w:sz w:val="21"/>
                <w:szCs w:val="21"/>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299"/>
              <w:spacing w:after="0"/>
              <w:rPr>
                <w:sz w:val="20"/>
                <w:szCs w:val="20"/>
                <w:color w:val="auto"/>
              </w:rPr>
            </w:pPr>
            <w:r>
              <w:rPr>
                <w:rFonts w:ascii="Arial" w:cs="Arial" w:eastAsia="Arial" w:hAnsi="Arial"/>
                <w:sz w:val="16"/>
                <w:szCs w:val="16"/>
                <w:color w:val="auto"/>
              </w:rPr>
              <w:t>(4,176)</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r>
        <w:trPr>
          <w:trHeight w:val="265"/>
        </w:trPr>
        <w:tc>
          <w:tcPr>
            <w:tcW w:w="4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60" w:type="dxa"/>
            <w:vAlign w:val="bottom"/>
          </w:tcPr>
          <w:p>
            <w:pPr>
              <w:spacing w:after="0"/>
              <w:rPr>
                <w:sz w:val="23"/>
                <w:szCs w:val="23"/>
                <w:color w:val="auto"/>
              </w:rPr>
            </w:pPr>
          </w:p>
        </w:tc>
      </w:tr>
      <w:tr>
        <w:trPr>
          <w:trHeight w:val="256"/>
        </w:trPr>
        <w:tc>
          <w:tcPr>
            <w:tcW w:w="43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Payments for postretirement health care</w:t>
            </w:r>
          </w:p>
        </w:tc>
        <w:tc>
          <w:tcPr>
            <w:tcW w:w="1120" w:type="dxa"/>
            <w:vAlign w:val="bottom"/>
            <w:shd w:val="clear" w:color="auto" w:fill="CCEEFF"/>
          </w:tcPr>
          <w:p>
            <w:pPr>
              <w:jc w:val="right"/>
              <w:ind w:right="91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ind w:left="1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232</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68</w:t>
            </w:r>
          </w:p>
        </w:tc>
        <w:tc>
          <w:tcPr>
            <w:tcW w:w="12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w:t>
            </w:r>
          </w:p>
        </w:tc>
        <w:tc>
          <w:tcPr>
            <w:tcW w:w="146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738</w:t>
            </w:r>
          </w:p>
        </w:tc>
      </w:tr>
      <w:tr>
        <w:trPr>
          <w:trHeight w:val="20"/>
        </w:trPr>
        <w:tc>
          <w:tcPr>
            <w:tcW w:w="42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top w:val="single" w:sz="8" w:color="auto"/>
              <w:bottom w:val="single" w:sz="8" w:color="auto"/>
            </w:tcBorders>
          </w:tcPr>
          <w:p>
            <w:pPr>
              <w:spacing w:after="0" w:line="20" w:lineRule="exact"/>
              <w:rPr>
                <w:sz w:val="1"/>
                <w:szCs w:val="1"/>
                <w:color w:val="auto"/>
              </w:rPr>
            </w:pP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11: Shareholders' Equity</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Stock-Based Compensation</w:t>
      </w:r>
    </w:p>
    <w:p>
      <w:pPr>
        <w:spacing w:after="0" w:line="27" w:lineRule="exact"/>
        <w:rPr>
          <w:sz w:val="20"/>
          <w:szCs w:val="20"/>
          <w:color w:val="auto"/>
        </w:rPr>
      </w:pPr>
    </w:p>
    <w:p>
      <w:pPr>
        <w:ind w:right="260"/>
        <w:spacing w:after="0" w:line="256" w:lineRule="auto"/>
        <w:rPr>
          <w:sz w:val="20"/>
          <w:szCs w:val="20"/>
          <w:color w:val="auto"/>
        </w:rPr>
      </w:pPr>
      <w:r>
        <w:rPr>
          <w:rFonts w:ascii="Arial" w:cs="Arial" w:eastAsia="Arial" w:hAnsi="Arial"/>
          <w:sz w:val="16"/>
          <w:szCs w:val="16"/>
          <w:color w:val="auto"/>
        </w:rPr>
        <w:t>We have a 2014 Omnibus Equity, Performance Award, and Incentive Compensation Plan (as amended, the "Plan") in place as approved by shareholders, which allows us to grant or issue non-qualified stock options, incentive stock options, share awards and other equity compensation to key employees and to non-employee directors.</w:t>
      </w:r>
    </w:p>
    <w:p>
      <w:pPr>
        <w:spacing w:after="0" w:line="121" w:lineRule="exact"/>
        <w:rPr>
          <w:sz w:val="20"/>
          <w:szCs w:val="20"/>
          <w:color w:val="auto"/>
        </w:rPr>
      </w:pPr>
    </w:p>
    <w:p>
      <w:pPr>
        <w:ind w:right="180"/>
        <w:spacing w:after="0" w:line="261" w:lineRule="auto"/>
        <w:rPr>
          <w:sz w:val="20"/>
          <w:szCs w:val="20"/>
          <w:color w:val="auto"/>
        </w:rPr>
      </w:pPr>
      <w:r>
        <w:rPr>
          <w:rFonts w:ascii="Arial" w:cs="Arial" w:eastAsia="Arial" w:hAnsi="Arial"/>
          <w:sz w:val="16"/>
          <w:szCs w:val="16"/>
          <w:color w:val="auto"/>
        </w:rPr>
        <w:t>On October 11, 2016 and October 13, 2015 the Human Resources Committee of the Board of Directors granted an aggregate of 97,600 and 204,200 shares, respectively, of restricted common stock to our key employees and non-employee directors under the Plan. The value of the restricted stock award is determined using the intrinsic value method which, in this case, is based on the number of shares granted and the closing price of our common stock on the date of grant.</w:t>
      </w:r>
    </w:p>
    <w:p>
      <w:pPr>
        <w:spacing w:after="0" w:line="118" w:lineRule="exact"/>
        <w:rPr>
          <w:sz w:val="20"/>
          <w:szCs w:val="20"/>
          <w:color w:val="auto"/>
        </w:rPr>
      </w:pPr>
    </w:p>
    <w:p>
      <w:pPr>
        <w:ind w:right="700"/>
        <w:spacing w:after="0" w:line="269" w:lineRule="auto"/>
        <w:rPr>
          <w:sz w:val="20"/>
          <w:szCs w:val="20"/>
          <w:color w:val="auto"/>
        </w:rPr>
      </w:pPr>
      <w:r>
        <w:rPr>
          <w:rFonts w:ascii="Arial" w:cs="Arial" w:eastAsia="Arial" w:hAnsi="Arial"/>
          <w:sz w:val="16"/>
          <w:szCs w:val="16"/>
          <w:color w:val="auto"/>
        </w:rPr>
        <w:t>Stock-based compensation expense was $0.7 million and $0.6 million during the third quarters of Fiscal 2017 and 2016, respectively. Stock-based compensation expense was $2.2 million and $1.8 million during the first nine months of Fiscal 2017 and 2016, respectively. Compensation expense is recognized over the requisite service period of the award.</w:t>
      </w:r>
    </w:p>
    <w:p>
      <w:pPr>
        <w:spacing w:after="0" w:line="10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Dividends</w:t>
      </w:r>
    </w:p>
    <w:p>
      <w:pPr>
        <w:spacing w:after="0" w:line="27" w:lineRule="exact"/>
        <w:rPr>
          <w:sz w:val="20"/>
          <w:szCs w:val="20"/>
          <w:color w:val="auto"/>
        </w:rPr>
      </w:pPr>
    </w:p>
    <w:p>
      <w:pPr>
        <w:ind w:right="580"/>
        <w:spacing w:after="0" w:line="265" w:lineRule="auto"/>
        <w:rPr>
          <w:sz w:val="20"/>
          <w:szCs w:val="20"/>
          <w:color w:val="auto"/>
        </w:rPr>
      </w:pPr>
      <w:r>
        <w:rPr>
          <w:rFonts w:ascii="Arial" w:cs="Arial" w:eastAsia="Arial" w:hAnsi="Arial"/>
          <w:sz w:val="16"/>
          <w:szCs w:val="16"/>
          <w:color w:val="auto"/>
        </w:rPr>
        <w:t>On March 15, 2017, the Board of Directors declared a quarterly cash dividend of $0.10 per share of common stock, which was paid on April 26, 2017 to shareholders of record at the close of business on April 12, 2017.</w:t>
      </w:r>
    </w:p>
    <w:p>
      <w:pPr>
        <w:spacing w:after="0" w:line="141"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On May 24, 2017, the Board of Directors declared a quarterly cash dividend of $0.10 per share of common stock, payable on July 26, 2017 to shareholders of record at the close of business on July 12, 2017. The accrued dividend was $3.2 million on the accompanying balance sheet as of May 27, 2017.</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Share Registration</w:t>
      </w:r>
    </w:p>
    <w:p>
      <w:pPr>
        <w:spacing w:after="0" w:line="27"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As a result of the acquisition of Grand Design, Winnebago agreed to register the 4,586,555 shares of common stock issued to the Summit Sellers and the RDB Sellers pursuant to the terms of a registration rights agreement. Under the registration rights agreement, Winnebago filed a shelf registration statement on January 20, 2017 to register these shares for resale. On April 11, 2017, pursuant to an underwriting agreement dated as of April 5, 2017, by and among Winnebago, the Summit Sellers and Morgan Stanley &amp; Co., LLC, the Summit Sellers sold 2,293,277 shares of common stock in an underwritten block trade.</w:t>
      </w:r>
    </w:p>
    <w:p>
      <w:pPr>
        <w:sectPr>
          <w:pgSz w:w="11900" w:h="16838" w:orient="portrait"/>
          <w:cols w:equalWidth="0" w:num="1">
            <w:col w:w="11420"/>
          </w:cols>
          <w:pgMar w:left="240" w:top="121" w:right="239" w:bottom="1440" w:gutter="0" w:footer="0" w:header="0"/>
        </w:sectPr>
      </w:pP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16</w:t>
      </w:r>
    </w:p>
    <w:p>
      <w:pPr>
        <w:sectPr>
          <w:pgSz w:w="11900" w:h="16838" w:orient="portrait"/>
          <w:cols w:equalWidth="0" w:num="1">
            <w:col w:w="11420"/>
          </w:cols>
          <w:pgMar w:left="240" w:top="121" w:right="239" w:bottom="1440" w:gutter="0" w:footer="0" w:header="0"/>
          <w:type w:val="continuous"/>
        </w:sectPr>
      </w:pPr>
    </w:p>
    <w:bookmarkStart w:id="18" w:name="page19"/>
    <w:bookmarkEnd w:id="1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12: Contingent Liabilities and Commitments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Repurchase Commitments</w:t>
      </w:r>
    </w:p>
    <w:p>
      <w:pPr>
        <w:spacing w:after="0" w:line="27" w:lineRule="exact"/>
        <w:rPr>
          <w:sz w:val="20"/>
          <w:szCs w:val="20"/>
          <w:color w:val="auto"/>
        </w:rPr>
      </w:pPr>
    </w:p>
    <w:p>
      <w:pPr>
        <w:ind w:right="80"/>
        <w:spacing w:after="0" w:line="256" w:lineRule="auto"/>
        <w:rPr>
          <w:sz w:val="20"/>
          <w:szCs w:val="20"/>
          <w:color w:val="auto"/>
        </w:rPr>
      </w:pPr>
      <w:r>
        <w:rPr>
          <w:rFonts w:ascii="Arial" w:cs="Arial" w:eastAsia="Arial" w:hAnsi="Arial"/>
          <w:sz w:val="16"/>
          <w:szCs w:val="16"/>
          <w:color w:val="auto"/>
        </w:rPr>
        <w:t>Generally, manufacturers in the RV industry enter into repurchase agreements with lending institutions which have provided wholesale floorplan financing to dealers. Most dealers' RVs are financed on a "floorplan" basis under which a bank or finance company lends the dealer all, or substantially all, of the purchase price, collateralized by a security interest in the RVs purchased.</w:t>
      </w:r>
    </w:p>
    <w:p>
      <w:pPr>
        <w:spacing w:after="0" w:line="12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Our repurchase agreements provide that, in the event of default by the dealer on the agreement to pay the lending institution, we will repurchase the financed merchandise. The terms of these agreements, which generally can last up to 18 months, provide that our liability will be the lesser of remaining principal owed by the dealer to the lending institution, or dealer invoice less periodic reductions based on the time since the date of the original invoice. In certain instances, we also repurchase inventory from our dealers due to state law or regulatory requirements that govern voluntary or involuntary relationship terminations. Although laws vary from state to state, some states have laws in place that require manufacturers of RVs to repurchase current inventory if a dealership exits the business. Our total contingent liability on all repurchase agreements and due to state law or regulatory requirements was approximately $749.2 million and $417.2 million at May 27, 2017 and August 27, 2016, respectively, with the increase attributed primarily to Grand Design.</w:t>
      </w:r>
    </w:p>
    <w:p>
      <w:pPr>
        <w:spacing w:after="0" w:line="123" w:lineRule="exact"/>
        <w:rPr>
          <w:sz w:val="20"/>
          <w:szCs w:val="20"/>
          <w:color w:val="auto"/>
        </w:rPr>
      </w:pPr>
    </w:p>
    <w:p>
      <w:pPr>
        <w:ind w:right="20"/>
        <w:spacing w:after="0" w:line="253" w:lineRule="auto"/>
        <w:rPr>
          <w:sz w:val="20"/>
          <w:szCs w:val="20"/>
          <w:color w:val="auto"/>
        </w:rPr>
      </w:pPr>
      <w:r>
        <w:rPr>
          <w:rFonts w:ascii="Arial" w:cs="Arial" w:eastAsia="Arial" w:hAnsi="Arial"/>
          <w:sz w:val="16"/>
          <w:szCs w:val="16"/>
          <w:color w:val="auto"/>
        </w:rPr>
        <w:t>Our risk of loss related to our repurchase commitments is significantly reduced by the potential resale value of any products that are subject to repurchase and is spread over numerous dealers and lenders although two dealer organizations account for approximately 22% of our revenues in the first nine months of Fiscal 2017. The aggregate contingent liability related to our repurchase agreements represents all financed dealer inventory at the period reporting date subject to a repurchase agreement, net of the greater of periodic reductions per the agreement or dealer principal payments. Based on the repurchase exposure as previously described and our historical loss experience, we established an associated loss reserve. Our accrued losses on repurchases were $1.0 million as of May 27, 2017 and $0.9 million as of August 27, 2016 and are included in Accrued expenses - Other on the Consolidated Balance Sheets. Repurchase risk is affected by the credit worthiness of our dealer network and we do not believe there is a reasonable likelihood that there will be a material change in the estimates or assumptions used to establish the loss reserve for repurchase commitments.</w:t>
      </w:r>
    </w:p>
    <w:p>
      <w:pPr>
        <w:spacing w:after="0" w:line="123"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5480" w:type="dxa"/>
            <w:vAlign w:val="bottom"/>
            <w:gridSpan w:val="2"/>
          </w:tcPr>
          <w:p>
            <w:pPr>
              <w:spacing w:after="0"/>
              <w:rPr>
                <w:sz w:val="20"/>
                <w:szCs w:val="20"/>
                <w:color w:val="auto"/>
              </w:rPr>
            </w:pPr>
            <w:r>
              <w:rPr>
                <w:rFonts w:ascii="Arial" w:cs="Arial" w:eastAsia="Arial" w:hAnsi="Arial"/>
                <w:sz w:val="16"/>
                <w:szCs w:val="16"/>
                <w:color w:val="auto"/>
              </w:rPr>
              <w:t>A summary of repurchase activity is as follows:</w:t>
            </w: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390"/>
        </w:trPr>
        <w:tc>
          <w:tcPr>
            <w:tcW w:w="5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20" w:type="dxa"/>
            <w:vAlign w:val="bottom"/>
            <w:tcBorders>
              <w:bottom w:val="single" w:sz="8" w:color="auto"/>
            </w:tcBorders>
            <w:gridSpan w:val="4"/>
          </w:tcPr>
          <w:p>
            <w:pPr>
              <w:jc w:val="right"/>
              <w:ind w:right="119"/>
              <w:spacing w:after="0"/>
              <w:rPr>
                <w:sz w:val="20"/>
                <w:szCs w:val="20"/>
                <w:color w:val="auto"/>
              </w:rPr>
            </w:pPr>
            <w:r>
              <w:rPr>
                <w:rFonts w:ascii="Arial" w:cs="Arial" w:eastAsia="Arial" w:hAnsi="Arial"/>
                <w:sz w:val="16"/>
                <w:szCs w:val="16"/>
                <w:b w:val="1"/>
                <w:bCs w:val="1"/>
                <w:color w:val="auto"/>
              </w:rPr>
              <w:t>Three Months Ended</w:t>
            </w:r>
          </w:p>
        </w:tc>
        <w:tc>
          <w:tcPr>
            <w:tcW w:w="3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80" w:type="dxa"/>
            <w:vAlign w:val="bottom"/>
            <w:tcBorders>
              <w:bottom w:val="single" w:sz="8" w:color="auto"/>
            </w:tcBorders>
            <w:gridSpan w:val="4"/>
          </w:tcPr>
          <w:p>
            <w:pPr>
              <w:jc w:val="center"/>
              <w:ind w:right="13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3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May 27,</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tcPr>
          <w:p>
            <w:pPr>
              <w:jc w:val="right"/>
              <w:spacing w:after="0"/>
              <w:rPr>
                <w:sz w:val="20"/>
                <w:szCs w:val="20"/>
                <w:color w:val="auto"/>
              </w:rPr>
            </w:pPr>
            <w:r>
              <w:rPr>
                <w:rFonts w:ascii="Arial" w:cs="Arial" w:eastAsia="Arial" w:hAnsi="Arial"/>
                <w:sz w:val="16"/>
                <w:szCs w:val="16"/>
                <w:b w:val="1"/>
                <w:bCs w:val="1"/>
                <w:color w:val="auto"/>
              </w:rPr>
              <w:t>May 28,</w:t>
            </w:r>
          </w:p>
        </w:tc>
        <w:tc>
          <w:tcPr>
            <w:tcW w:w="3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2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8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53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96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2016</w:t>
            </w:r>
          </w:p>
        </w:tc>
        <w:tc>
          <w:tcPr>
            <w:tcW w:w="38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r>
      <w:tr>
        <w:trPr>
          <w:trHeight w:val="254"/>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Inventory repurchased</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408</w:t>
            </w:r>
          </w:p>
        </w:tc>
        <w:tc>
          <w:tcPr>
            <w:tcW w:w="120" w:type="dxa"/>
            <w:vAlign w:val="bottom"/>
            <w:shd w:val="clear" w:color="auto" w:fill="CCEEFF"/>
          </w:tcPr>
          <w:p>
            <w:pPr>
              <w:spacing w:after="0"/>
              <w:rPr>
                <w:sz w:val="22"/>
                <w:szCs w:val="22"/>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w w:val="97"/>
              </w:rPr>
              <w:t>445</w:t>
            </w:r>
          </w:p>
        </w:tc>
        <w:tc>
          <w:tcPr>
            <w:tcW w:w="12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408</w:t>
            </w:r>
          </w:p>
        </w:tc>
        <w:tc>
          <w:tcPr>
            <w:tcW w:w="120" w:type="dxa"/>
            <w:vAlign w:val="bottom"/>
            <w:shd w:val="clear" w:color="auto" w:fill="CCEEFF"/>
          </w:tcPr>
          <w:p>
            <w:pPr>
              <w:spacing w:after="0"/>
              <w:rPr>
                <w:sz w:val="22"/>
                <w:szCs w:val="22"/>
                <w:color w:val="auto"/>
              </w:rPr>
            </w:pPr>
          </w:p>
        </w:tc>
        <w:tc>
          <w:tcPr>
            <w:tcW w:w="2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445</w:t>
            </w:r>
          </w:p>
        </w:tc>
      </w:tr>
      <w:tr>
        <w:trPr>
          <w:trHeight w:val="262"/>
        </w:trPr>
        <w:tc>
          <w:tcPr>
            <w:tcW w:w="5480" w:type="dxa"/>
            <w:vAlign w:val="bottom"/>
            <w:gridSpan w:val="2"/>
          </w:tcPr>
          <w:p>
            <w:pPr>
              <w:ind w:left="40"/>
              <w:spacing w:after="0"/>
              <w:rPr>
                <w:sz w:val="20"/>
                <w:szCs w:val="20"/>
                <w:color w:val="auto"/>
              </w:rPr>
            </w:pPr>
            <w:r>
              <w:rPr>
                <w:rFonts w:ascii="Arial" w:cs="Arial" w:eastAsia="Arial" w:hAnsi="Arial"/>
                <w:sz w:val="16"/>
                <w:szCs w:val="16"/>
                <w:color w:val="auto"/>
              </w:rPr>
              <w:t>Cash collected on resold inventory</w:t>
            </w: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tcPr>
          <w:p>
            <w:pPr>
              <w:jc w:val="right"/>
              <w:ind w:right="19"/>
              <w:spacing w:after="0"/>
              <w:rPr>
                <w:sz w:val="20"/>
                <w:szCs w:val="20"/>
                <w:color w:val="auto"/>
              </w:rPr>
            </w:pPr>
            <w:r>
              <w:rPr>
                <w:rFonts w:ascii="Arial" w:cs="Arial" w:eastAsia="Arial" w:hAnsi="Arial"/>
                <w:sz w:val="16"/>
                <w:szCs w:val="16"/>
                <w:color w:val="auto"/>
                <w:w w:val="97"/>
              </w:rPr>
              <w:t>370</w:t>
            </w:r>
          </w:p>
        </w:tc>
        <w:tc>
          <w:tcPr>
            <w:tcW w:w="120" w:type="dxa"/>
            <w:vAlign w:val="bottom"/>
          </w:tcPr>
          <w:p>
            <w:pPr>
              <w:spacing w:after="0"/>
              <w:rPr>
                <w:sz w:val="22"/>
                <w:szCs w:val="22"/>
                <w:color w:val="auto"/>
              </w:rPr>
            </w:pPr>
          </w:p>
        </w:tc>
        <w:tc>
          <w:tcPr>
            <w:tcW w:w="960" w:type="dxa"/>
            <w:vAlign w:val="bottom"/>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19"/>
              <w:spacing w:after="0"/>
              <w:rPr>
                <w:sz w:val="20"/>
                <w:szCs w:val="20"/>
                <w:color w:val="auto"/>
              </w:rPr>
            </w:pPr>
            <w:r>
              <w:rPr>
                <w:rFonts w:ascii="Arial" w:cs="Arial" w:eastAsia="Arial" w:hAnsi="Arial"/>
                <w:sz w:val="16"/>
                <w:szCs w:val="16"/>
                <w:color w:val="auto"/>
              </w:rPr>
              <w:t>393</w:t>
            </w:r>
          </w:p>
        </w:tc>
        <w:tc>
          <w:tcPr>
            <w:tcW w:w="120" w:type="dxa"/>
            <w:vAlign w:val="bottom"/>
          </w:tcPr>
          <w:p>
            <w:pPr>
              <w:spacing w:after="0"/>
              <w:rPr>
                <w:sz w:val="22"/>
                <w:szCs w:val="22"/>
                <w:color w:val="auto"/>
              </w:rPr>
            </w:pPr>
          </w:p>
        </w:tc>
        <w:tc>
          <w:tcPr>
            <w:tcW w:w="280" w:type="dxa"/>
            <w:vAlign w:val="bottom"/>
          </w:tcPr>
          <w:p>
            <w:pPr>
              <w:jc w:val="center"/>
              <w:ind w:right="59"/>
              <w:spacing w:after="0"/>
              <w:rPr>
                <w:sz w:val="20"/>
                <w:szCs w:val="20"/>
                <w:color w:val="auto"/>
              </w:rPr>
            </w:pPr>
            <w:r>
              <w:rPr>
                <w:rFonts w:ascii="Arial" w:cs="Arial" w:eastAsia="Arial" w:hAnsi="Arial"/>
                <w:sz w:val="16"/>
                <w:szCs w:val="16"/>
                <w:color w:val="auto"/>
              </w:rPr>
              <w:t>$</w:t>
            </w:r>
          </w:p>
        </w:tc>
        <w:tc>
          <w:tcPr>
            <w:tcW w:w="1280" w:type="dxa"/>
            <w:vAlign w:val="bottom"/>
          </w:tcPr>
          <w:p>
            <w:pPr>
              <w:jc w:val="right"/>
              <w:ind w:right="239"/>
              <w:spacing w:after="0"/>
              <w:rPr>
                <w:sz w:val="20"/>
                <w:szCs w:val="20"/>
                <w:color w:val="auto"/>
              </w:rPr>
            </w:pPr>
            <w:r>
              <w:rPr>
                <w:rFonts w:ascii="Arial" w:cs="Arial" w:eastAsia="Arial" w:hAnsi="Arial"/>
                <w:sz w:val="16"/>
                <w:szCs w:val="16"/>
                <w:color w:val="auto"/>
              </w:rPr>
              <w:t>36</w:t>
            </w:r>
          </w:p>
        </w:tc>
      </w:tr>
      <w:tr>
        <w:trPr>
          <w:trHeight w:val="278"/>
        </w:trPr>
        <w:tc>
          <w:tcPr>
            <w:tcW w:w="54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Loss (gain) realized on resold inventory</w:t>
            </w: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3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38</w:t>
            </w:r>
          </w:p>
        </w:tc>
        <w:tc>
          <w:tcPr>
            <w:tcW w:w="120" w:type="dxa"/>
            <w:vAlign w:val="bottom"/>
            <w:shd w:val="clear" w:color="auto" w:fill="CCEEFF"/>
          </w:tcPr>
          <w:p>
            <w:pPr>
              <w:spacing w:after="0"/>
              <w:rPr>
                <w:sz w:val="24"/>
                <w:szCs w:val="24"/>
                <w:color w:val="auto"/>
              </w:rPr>
            </w:pPr>
          </w:p>
        </w:tc>
        <w:tc>
          <w:tcPr>
            <w:tcW w:w="960" w:type="dxa"/>
            <w:vAlign w:val="bottom"/>
            <w:shd w:val="clear" w:color="auto" w:fill="CCEEFF"/>
          </w:tcPr>
          <w:p>
            <w:pPr>
              <w:jc w:val="right"/>
              <w:ind w:right="759"/>
              <w:spacing w:after="0"/>
              <w:rPr>
                <w:sz w:val="20"/>
                <w:szCs w:val="20"/>
                <w:color w:val="auto"/>
              </w:rPr>
            </w:pPr>
            <w:r>
              <w:rPr>
                <w:rFonts w:ascii="Arial" w:cs="Arial" w:eastAsia="Arial" w:hAnsi="Arial"/>
                <w:sz w:val="16"/>
                <w:szCs w:val="16"/>
                <w:color w:val="auto"/>
              </w:rPr>
              <w:t>$</w:t>
            </w:r>
          </w:p>
        </w:tc>
        <w:tc>
          <w:tcPr>
            <w:tcW w:w="50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center"/>
              <w:ind w:right="59"/>
              <w:spacing w:after="0"/>
              <w:rPr>
                <w:sz w:val="20"/>
                <w:szCs w:val="20"/>
                <w:color w:val="auto"/>
              </w:rPr>
            </w:pPr>
            <w:r>
              <w:rPr>
                <w:rFonts w:ascii="Arial" w:cs="Arial" w:eastAsia="Arial" w:hAnsi="Arial"/>
                <w:sz w:val="16"/>
                <w:szCs w:val="16"/>
                <w:color w:val="auto"/>
              </w:rPr>
              <w:t>$</w:t>
            </w:r>
          </w:p>
        </w:tc>
        <w:tc>
          <w:tcPr>
            <w:tcW w:w="12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w:t>
            </w:r>
          </w:p>
        </w:tc>
      </w:tr>
    </w:tbl>
    <w:p>
      <w:pPr>
        <w:spacing w:after="0" w:line="16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Litigation</w:t>
      </w:r>
    </w:p>
    <w:p>
      <w:pPr>
        <w:spacing w:after="0" w:line="27" w:lineRule="exact"/>
        <w:rPr>
          <w:sz w:val="20"/>
          <w:szCs w:val="20"/>
          <w:color w:val="auto"/>
        </w:rPr>
      </w:pPr>
    </w:p>
    <w:p>
      <w:pPr>
        <w:ind w:right="40"/>
        <w:spacing w:after="0" w:line="251"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25" w:lineRule="exact"/>
        <w:rPr>
          <w:sz w:val="20"/>
          <w:szCs w:val="20"/>
          <w:color w:val="auto"/>
        </w:rPr>
      </w:pPr>
    </w:p>
    <w:p>
      <w:pPr>
        <w:ind w:right="80"/>
        <w:spacing w:after="0" w:line="291" w:lineRule="auto"/>
        <w:rPr>
          <w:sz w:val="20"/>
          <w:szCs w:val="20"/>
          <w:color w:val="auto"/>
        </w:rPr>
      </w:pPr>
      <w:r>
        <w:rPr>
          <w:rFonts w:ascii="Arial" w:cs="Arial" w:eastAsia="Arial" w:hAnsi="Arial"/>
          <w:sz w:val="16"/>
          <w:szCs w:val="16"/>
          <w:color w:val="auto"/>
        </w:rPr>
        <w:t>In May 2016, Winnebago was awarded a favorable settlement of $2.75 million that was recorded within general and administrative expense in the third quarter of Fiscal 2016.</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Lease Commitments</w:t>
      </w:r>
    </w:p>
    <w:p>
      <w:pPr>
        <w:spacing w:after="0" w:line="27" w:lineRule="exact"/>
        <w:rPr>
          <w:sz w:val="20"/>
          <w:szCs w:val="20"/>
          <w:color w:val="auto"/>
        </w:rPr>
      </w:pPr>
    </w:p>
    <w:p>
      <w:pPr>
        <w:ind w:right="200"/>
        <w:spacing w:after="0" w:line="251" w:lineRule="auto"/>
        <w:rPr>
          <w:sz w:val="20"/>
          <w:szCs w:val="20"/>
          <w:color w:val="auto"/>
        </w:rPr>
      </w:pPr>
      <w:r>
        <w:rPr>
          <w:rFonts w:ascii="Arial" w:cs="Arial" w:eastAsia="Arial" w:hAnsi="Arial"/>
          <w:sz w:val="16"/>
          <w:szCs w:val="16"/>
          <w:color w:val="auto"/>
        </w:rPr>
        <w:t>As part of our acquisition of Grand Design, we acquired leases to two properties which hold Grand Design’s current principal facilities, and facilities under construction for expansion. The lessor under these leases is an Indiana limited liability company, Three Oaks, LLC, owned by three of Grand Design's selling equity holders. One of the selling equity holders, Mr. Don Clark, has assumed the position of Vice President for Winnebago and is the President of Grand Design. Upon joining our company, Mr. Clark has agreed that as long as he is an employee of Grand Design he has relinquished his voting rights in Three Oaks, LLC while retaining all other economic rights in Three Oaks, LLC.</w:t>
      </w:r>
    </w:p>
    <w:p>
      <w:pPr>
        <w:spacing w:after="0" w:line="39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17</w:t>
      </w:r>
    </w:p>
    <w:p>
      <w:pPr>
        <w:sectPr>
          <w:pgSz w:w="11900" w:h="16838" w:orient="portrait"/>
          <w:cols w:equalWidth="0" w:num="1">
            <w:col w:w="11420"/>
          </w:cols>
          <w:pgMar w:left="240" w:top="121" w:right="239" w:bottom="1440" w:gutter="0" w:footer="0" w:header="0"/>
        </w:sectPr>
      </w:pPr>
    </w:p>
    <w:bookmarkStart w:id="19" w:name="page20"/>
    <w:bookmarkEnd w:id="19"/>
    <w:tbl>
      <w:tblPr>
        <w:tblLayout w:type="fixed"/>
        <w:tblInd w:w="0" w:type="dxa"/>
        <w:tblCellMar>
          <w:top w:w="0" w:type="dxa"/>
          <w:left w:w="0" w:type="dxa"/>
          <w:bottom w:w="0" w:type="dxa"/>
          <w:right w:w="0" w:type="dxa"/>
        </w:tblCellMar>
      </w:tblPr>
      <w:tr>
        <w:trPr>
          <w:trHeight w:val="184"/>
        </w:trPr>
        <w:tc>
          <w:tcPr>
            <w:tcW w:w="1260" w:type="dxa"/>
            <w:vAlign w:val="bottom"/>
            <w:tcBorders>
              <w:bottom w:val="single" w:sz="8" w:color="0000EE"/>
            </w:tcBorders>
          </w:tcPr>
          <w:p>
            <w:pPr>
              <w:spacing w:after="0"/>
              <w:rPr>
                <w:rFonts w:ascii="Arial" w:cs="Arial" w:eastAsia="Arial" w:hAnsi="Arial"/>
                <w:sz w:val="16"/>
                <w:szCs w:val="16"/>
                <w:color w:val="0000EE"/>
                <w:w w:val="98"/>
              </w:rPr>
            </w:pPr>
            <w:hyperlink w:anchor="page2">
              <w:r>
                <w:rPr>
                  <w:rFonts w:ascii="Arial" w:cs="Arial" w:eastAsia="Arial" w:hAnsi="Arial"/>
                  <w:sz w:val="16"/>
                  <w:szCs w:val="16"/>
                  <w:color w:val="0000EE"/>
                  <w:w w:val="98"/>
                </w:rPr>
                <w:t>Table of Contents</w:t>
              </w:r>
            </w:hyperlink>
          </w:p>
        </w:tc>
        <w:tc>
          <w:tcPr>
            <w:tcW w:w="5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140" w:type="dxa"/>
            <w:vAlign w:val="bottom"/>
          </w:tcPr>
          <w:p>
            <w:pPr>
              <w:spacing w:after="0"/>
              <w:rPr>
                <w:sz w:val="16"/>
                <w:szCs w:val="16"/>
                <w:color w:val="auto"/>
              </w:rPr>
            </w:pPr>
          </w:p>
        </w:tc>
      </w:tr>
      <w:tr>
        <w:trPr>
          <w:trHeight w:val="464"/>
        </w:trPr>
        <w:tc>
          <w:tcPr>
            <w:tcW w:w="9940" w:type="dxa"/>
            <w:vAlign w:val="bottom"/>
            <w:gridSpan w:val="7"/>
          </w:tcPr>
          <w:p>
            <w:pPr>
              <w:spacing w:after="0"/>
              <w:rPr>
                <w:sz w:val="20"/>
                <w:szCs w:val="20"/>
                <w:color w:val="auto"/>
              </w:rPr>
            </w:pPr>
            <w:r>
              <w:rPr>
                <w:rFonts w:ascii="Arial" w:cs="Arial" w:eastAsia="Arial" w:hAnsi="Arial"/>
                <w:sz w:val="16"/>
                <w:szCs w:val="16"/>
                <w:color w:val="auto"/>
              </w:rPr>
              <w:t>Our future lease commitments included these related party leases as well as a non-related party lease of an office facility as follows: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333"/>
        </w:trPr>
        <w:tc>
          <w:tcPr>
            <w:tcW w:w="1260" w:type="dxa"/>
            <w:vAlign w:val="bottom"/>
          </w:tcPr>
          <w:p>
            <w:pPr>
              <w:spacing w:after="0"/>
              <w:rPr>
                <w:sz w:val="24"/>
                <w:szCs w:val="24"/>
                <w:color w:val="auto"/>
              </w:rPr>
            </w:pPr>
          </w:p>
        </w:tc>
        <w:tc>
          <w:tcPr>
            <w:tcW w:w="56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ind w:right="99"/>
              <w:spacing w:after="0"/>
              <w:rPr>
                <w:sz w:val="20"/>
                <w:szCs w:val="20"/>
                <w:color w:val="auto"/>
              </w:rPr>
            </w:pPr>
            <w:r>
              <w:rPr>
                <w:rFonts w:ascii="Arial" w:cs="Arial" w:eastAsia="Arial" w:hAnsi="Arial"/>
                <w:sz w:val="16"/>
                <w:szCs w:val="16"/>
                <w:b w:val="1"/>
                <w:bCs w:val="1"/>
                <w:color w:val="auto"/>
              </w:rPr>
              <w:t>Related Party</w:t>
            </w:r>
          </w:p>
        </w:tc>
        <w:tc>
          <w:tcPr>
            <w:tcW w:w="1500" w:type="dxa"/>
            <w:vAlign w:val="bottom"/>
            <w:gridSpan w:val="2"/>
          </w:tcPr>
          <w:p>
            <w:pPr>
              <w:jc w:val="right"/>
              <w:spacing w:after="0"/>
              <w:rPr>
                <w:sz w:val="20"/>
                <w:szCs w:val="20"/>
                <w:color w:val="auto"/>
              </w:rPr>
            </w:pPr>
            <w:r>
              <w:rPr>
                <w:rFonts w:ascii="Arial" w:cs="Arial" w:eastAsia="Arial" w:hAnsi="Arial"/>
                <w:sz w:val="16"/>
                <w:szCs w:val="16"/>
                <w:b w:val="1"/>
                <w:bCs w:val="1"/>
                <w:color w:val="auto"/>
              </w:rPr>
              <w:t>Non-related Party</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r>
      <w:tr>
        <w:trPr>
          <w:trHeight w:val="232"/>
        </w:trPr>
        <w:tc>
          <w:tcPr>
            <w:tcW w:w="12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5600" w:type="dxa"/>
            <w:vAlign w:val="bottom"/>
            <w:tcBorders>
              <w:bottom w:val="single" w:sz="8" w:color="auto"/>
            </w:tcBorders>
          </w:tcPr>
          <w:p>
            <w:pPr>
              <w:spacing w:after="0"/>
              <w:rPr>
                <w:sz w:val="20"/>
                <w:szCs w:val="20"/>
                <w:color w:val="auto"/>
              </w:rPr>
            </w:pPr>
          </w:p>
        </w:tc>
        <w:tc>
          <w:tcPr>
            <w:tcW w:w="14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Amount</w:t>
            </w:r>
          </w:p>
        </w:tc>
        <w:tc>
          <w:tcPr>
            <w:tcW w:w="3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Amount</w:t>
            </w:r>
          </w:p>
        </w:tc>
        <w:tc>
          <w:tcPr>
            <w:tcW w:w="34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Total</w:t>
            </w:r>
          </w:p>
        </w:tc>
      </w:tr>
      <w:tr>
        <w:trPr>
          <w:trHeight w:val="254"/>
        </w:trPr>
        <w:tc>
          <w:tcPr>
            <w:tcW w:w="1260" w:type="dxa"/>
            <w:vAlign w:val="bottom"/>
            <w:shd w:val="clear" w:color="auto" w:fill="CCEEFF"/>
          </w:tcPr>
          <w:p>
            <w:pPr>
              <w:ind w:left="40"/>
              <w:spacing w:after="0"/>
              <w:rPr>
                <w:sz w:val="20"/>
                <w:szCs w:val="20"/>
                <w:color w:val="auto"/>
              </w:rPr>
            </w:pPr>
            <w:r>
              <w:rPr>
                <w:rFonts w:ascii="Arial" w:cs="Arial" w:eastAsia="Arial" w:hAnsi="Arial"/>
                <w:sz w:val="16"/>
                <w:szCs w:val="16"/>
                <w:color w:val="auto"/>
              </w:rPr>
              <w:t>Year Ended:</w:t>
            </w: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2017</w:t>
            </w:r>
          </w:p>
        </w:tc>
        <w:tc>
          <w:tcPr>
            <w:tcW w:w="14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479</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591</w:t>
            </w:r>
          </w:p>
        </w:tc>
      </w:tr>
      <w:tr>
        <w:trPr>
          <w:trHeight w:val="262"/>
        </w:trPr>
        <w:tc>
          <w:tcPr>
            <w:tcW w:w="126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2018</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1,897</w:t>
            </w:r>
          </w:p>
        </w:tc>
        <w:tc>
          <w:tcPr>
            <w:tcW w:w="3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477</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2,374</w:t>
            </w:r>
          </w:p>
        </w:tc>
      </w:tr>
      <w:tr>
        <w:trPr>
          <w:trHeight w:val="278"/>
        </w:trPr>
        <w:tc>
          <w:tcPr>
            <w:tcW w:w="126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2019</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505</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2,305</w:t>
            </w:r>
          </w:p>
        </w:tc>
      </w:tr>
      <w:tr>
        <w:trPr>
          <w:trHeight w:val="262"/>
        </w:trPr>
        <w:tc>
          <w:tcPr>
            <w:tcW w:w="1260" w:type="dxa"/>
            <w:vAlign w:val="bottom"/>
          </w:tcPr>
          <w:p>
            <w:pPr>
              <w:spacing w:after="0"/>
              <w:rPr>
                <w:sz w:val="22"/>
                <w:szCs w:val="22"/>
                <w:color w:val="auto"/>
              </w:rPr>
            </w:pPr>
          </w:p>
        </w:tc>
        <w:tc>
          <w:tcPr>
            <w:tcW w:w="5600" w:type="dxa"/>
            <w:vAlign w:val="bottom"/>
          </w:tcPr>
          <w:p>
            <w:pPr>
              <w:ind w:left="260"/>
              <w:spacing w:after="0"/>
              <w:rPr>
                <w:sz w:val="20"/>
                <w:szCs w:val="20"/>
                <w:color w:val="auto"/>
              </w:rPr>
            </w:pPr>
            <w:r>
              <w:rPr>
                <w:rFonts w:ascii="Arial" w:cs="Arial" w:eastAsia="Arial" w:hAnsi="Arial"/>
                <w:sz w:val="16"/>
                <w:szCs w:val="16"/>
                <w:color w:val="auto"/>
              </w:rPr>
              <w:t>2020</w:t>
            </w:r>
          </w:p>
        </w:tc>
        <w:tc>
          <w:tcPr>
            <w:tcW w:w="14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1,800</w:t>
            </w:r>
          </w:p>
        </w:tc>
        <w:tc>
          <w:tcPr>
            <w:tcW w:w="30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518</w:t>
            </w:r>
          </w:p>
        </w:tc>
        <w:tc>
          <w:tcPr>
            <w:tcW w:w="340" w:type="dxa"/>
            <w:vAlign w:val="bottom"/>
          </w:tcPr>
          <w:p>
            <w:pPr>
              <w:spacing w:after="0"/>
              <w:rPr>
                <w:sz w:val="22"/>
                <w:szCs w:val="22"/>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2,318</w:t>
            </w:r>
          </w:p>
        </w:tc>
      </w:tr>
      <w:tr>
        <w:trPr>
          <w:trHeight w:val="278"/>
        </w:trPr>
        <w:tc>
          <w:tcPr>
            <w:tcW w:w="1260" w:type="dxa"/>
            <w:vAlign w:val="bottom"/>
            <w:shd w:val="clear" w:color="auto" w:fill="CCEEFF"/>
          </w:tcPr>
          <w:p>
            <w:pPr>
              <w:spacing w:after="0"/>
              <w:rPr>
                <w:sz w:val="24"/>
                <w:szCs w:val="24"/>
                <w:color w:val="auto"/>
              </w:rPr>
            </w:pPr>
          </w:p>
        </w:tc>
        <w:tc>
          <w:tcPr>
            <w:tcW w:w="5600" w:type="dxa"/>
            <w:vAlign w:val="bottom"/>
            <w:shd w:val="clear" w:color="auto" w:fill="CCEEFF"/>
          </w:tcPr>
          <w:p>
            <w:pPr>
              <w:ind w:left="260"/>
              <w:spacing w:after="0"/>
              <w:rPr>
                <w:sz w:val="20"/>
                <w:szCs w:val="20"/>
                <w:color w:val="auto"/>
              </w:rPr>
            </w:pPr>
            <w:r>
              <w:rPr>
                <w:rFonts w:ascii="Arial" w:cs="Arial" w:eastAsia="Arial" w:hAnsi="Arial"/>
                <w:sz w:val="16"/>
                <w:szCs w:val="16"/>
                <w:color w:val="auto"/>
              </w:rPr>
              <w:t>2021</w:t>
            </w:r>
          </w:p>
        </w:tc>
        <w:tc>
          <w:tcPr>
            <w:tcW w:w="14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1,800</w:t>
            </w:r>
          </w:p>
        </w:tc>
        <w:tc>
          <w:tcPr>
            <w:tcW w:w="30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523</w:t>
            </w:r>
          </w:p>
        </w:tc>
        <w:tc>
          <w:tcPr>
            <w:tcW w:w="340" w:type="dxa"/>
            <w:vAlign w:val="bottom"/>
            <w:shd w:val="clear" w:color="auto" w:fill="CCEEFF"/>
          </w:tcPr>
          <w:p>
            <w:pPr>
              <w:spacing w:after="0"/>
              <w:rPr>
                <w:sz w:val="24"/>
                <w:szCs w:val="24"/>
                <w:color w:val="auto"/>
              </w:rPr>
            </w:pPr>
          </w:p>
        </w:tc>
        <w:tc>
          <w:tcPr>
            <w:tcW w:w="114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2,323</w:t>
            </w:r>
          </w:p>
        </w:tc>
      </w:tr>
      <w:tr>
        <w:trPr>
          <w:trHeight w:val="264"/>
        </w:trPr>
        <w:tc>
          <w:tcPr>
            <w:tcW w:w="1260" w:type="dxa"/>
            <w:vAlign w:val="bottom"/>
            <w:tcBorders>
              <w:bottom w:val="single" w:sz="8" w:color="CCEEFF"/>
            </w:tcBorders>
          </w:tcPr>
          <w:p>
            <w:pPr>
              <w:spacing w:after="0"/>
              <w:rPr>
                <w:sz w:val="22"/>
                <w:szCs w:val="22"/>
                <w:color w:val="auto"/>
              </w:rPr>
            </w:pPr>
          </w:p>
        </w:tc>
        <w:tc>
          <w:tcPr>
            <w:tcW w:w="5740" w:type="dxa"/>
            <w:vAlign w:val="bottom"/>
            <w:tcBorders>
              <w:bottom w:val="single" w:sz="8" w:color="CCEEFF"/>
            </w:tcBorders>
            <w:gridSpan w:val="2"/>
          </w:tcPr>
          <w:p>
            <w:pPr>
              <w:ind w:left="260"/>
              <w:spacing w:after="0"/>
              <w:rPr>
                <w:sz w:val="20"/>
                <w:szCs w:val="20"/>
                <w:color w:val="auto"/>
              </w:rPr>
            </w:pPr>
            <w:r>
              <w:rPr>
                <w:rFonts w:ascii="Arial" w:cs="Arial" w:eastAsia="Arial" w:hAnsi="Arial"/>
                <w:sz w:val="16"/>
                <w:szCs w:val="16"/>
                <w:color w:val="auto"/>
              </w:rPr>
              <w:t>Thereafter</w:t>
            </w:r>
          </w:p>
        </w:tc>
        <w:tc>
          <w:tcPr>
            <w:tcW w:w="160" w:type="dxa"/>
            <w:vAlign w:val="bottom"/>
            <w:tcBorders>
              <w:bottom w:val="single" w:sz="8" w:color="auto"/>
            </w:tcBorders>
          </w:tcPr>
          <w:p>
            <w:pPr>
              <w:spacing w:after="0"/>
              <w:rPr>
                <w:sz w:val="22"/>
                <w:szCs w:val="22"/>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8,374</w:t>
            </w:r>
          </w:p>
        </w:tc>
        <w:tc>
          <w:tcPr>
            <w:tcW w:w="3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766</w:t>
            </w: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9,140</w:t>
            </w:r>
          </w:p>
        </w:tc>
      </w:tr>
      <w:tr>
        <w:trPr>
          <w:trHeight w:val="242"/>
        </w:trPr>
        <w:tc>
          <w:tcPr>
            <w:tcW w:w="1260" w:type="dxa"/>
            <w:vAlign w:val="bottom"/>
            <w:tcBorders>
              <w:bottom w:val="single" w:sz="8" w:color="CCEEFF"/>
            </w:tcBorders>
            <w:shd w:val="clear" w:color="auto" w:fill="CCEEFF"/>
          </w:tcPr>
          <w:p>
            <w:pPr>
              <w:spacing w:after="0"/>
              <w:rPr>
                <w:sz w:val="21"/>
                <w:szCs w:val="21"/>
                <w:color w:val="auto"/>
              </w:rPr>
            </w:pPr>
          </w:p>
        </w:tc>
        <w:tc>
          <w:tcPr>
            <w:tcW w:w="5740" w:type="dxa"/>
            <w:vAlign w:val="bottom"/>
            <w:tcBorders>
              <w:bottom w:val="single" w:sz="8" w:color="CCEEFF"/>
            </w:tcBorders>
            <w:gridSpan w:val="2"/>
            <w:shd w:val="clear" w:color="auto" w:fill="CCEEFF"/>
          </w:tcPr>
          <w:p>
            <w:pPr>
              <w:ind w:left="260"/>
              <w:spacing w:after="0"/>
              <w:rPr>
                <w:sz w:val="20"/>
                <w:szCs w:val="20"/>
                <w:color w:val="auto"/>
              </w:rPr>
            </w:pPr>
            <w:r>
              <w:rPr>
                <w:rFonts w:ascii="Arial" w:cs="Arial" w:eastAsia="Arial" w:hAnsi="Arial"/>
                <w:sz w:val="16"/>
                <w:szCs w:val="16"/>
                <w:color w:val="auto"/>
              </w:rPr>
              <w:t>Total</w:t>
            </w: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16,150</w:t>
            </w:r>
          </w:p>
        </w:tc>
        <w:tc>
          <w:tcPr>
            <w:tcW w:w="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2,901</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19,051</w:t>
            </w:r>
          </w:p>
        </w:tc>
      </w:tr>
      <w:tr>
        <w:trPr>
          <w:trHeight w:val="20"/>
        </w:trPr>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4" w:lineRule="exact"/>
        <w:rPr>
          <w:sz w:val="20"/>
          <w:szCs w:val="20"/>
          <w:color w:val="auto"/>
        </w:rPr>
      </w:pPr>
    </w:p>
    <w:p>
      <w:pPr>
        <w:ind w:right="1880"/>
        <w:spacing w:after="0" w:line="458" w:lineRule="auto"/>
        <w:rPr>
          <w:sz w:val="20"/>
          <w:szCs w:val="20"/>
          <w:color w:val="auto"/>
        </w:rPr>
      </w:pPr>
      <w:r>
        <w:rPr>
          <w:rFonts w:ascii="Arial" w:cs="Arial" w:eastAsia="Arial" w:hAnsi="Arial"/>
          <w:sz w:val="16"/>
          <w:szCs w:val="16"/>
          <w:color w:val="auto"/>
        </w:rPr>
        <w:t xml:space="preserve">No other significant changes have been made to lease commitments disclosed in our Form 10-K for the year ended August 27, 2016. </w:t>
      </w:r>
      <w:r>
        <w:rPr>
          <w:rFonts w:ascii="Arial" w:cs="Arial" w:eastAsia="Arial" w:hAnsi="Arial"/>
          <w:sz w:val="16"/>
          <w:szCs w:val="16"/>
          <w:b w:val="1"/>
          <w:bCs w:val="1"/>
          <w:color w:val="auto"/>
        </w:rPr>
        <w:t>Note 13: Income Taxes</w:t>
      </w:r>
    </w:p>
    <w:p>
      <w:pPr>
        <w:ind w:right="220"/>
        <w:spacing w:after="0" w:line="269" w:lineRule="auto"/>
        <w:rPr>
          <w:sz w:val="20"/>
          <w:szCs w:val="20"/>
          <w:color w:val="auto"/>
        </w:rPr>
      </w:pPr>
      <w:r>
        <w:rPr>
          <w:rFonts w:ascii="Arial" w:cs="Arial" w:eastAsia="Arial" w:hAnsi="Arial"/>
          <w:sz w:val="16"/>
          <w:szCs w:val="16"/>
          <w:color w:val="auto"/>
        </w:rPr>
        <w:t xml:space="preserve">We account for income taxes under ASC 740, </w:t>
      </w:r>
      <w:r>
        <w:rPr>
          <w:rFonts w:ascii="Arial" w:cs="Arial" w:eastAsia="Arial" w:hAnsi="Arial"/>
          <w:sz w:val="16"/>
          <w:szCs w:val="16"/>
          <w:i w:val="1"/>
          <w:iCs w:val="1"/>
          <w:color w:val="auto"/>
        </w:rPr>
        <w:t>Income Taxes</w:t>
      </w:r>
      <w:r>
        <w:rPr>
          <w:rFonts w:ascii="Arial" w:cs="Arial" w:eastAsia="Arial" w:hAnsi="Arial"/>
          <w:sz w:val="16"/>
          <w:szCs w:val="16"/>
          <w:color w:val="auto"/>
        </w:rPr>
        <w:t>. The objectives of accounting for income taxes are to recognize the amount of taxes payable or refundable for the current year and deferred tax liabilities and assets for the future tax consequences of events that have been recognized in our financial statements or tax returns.</w:t>
      </w:r>
    </w:p>
    <w:p>
      <w:pPr>
        <w:spacing w:after="0" w:line="138"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We file a US federal tax return, as well as returns in various international and state jurisdictions. Although certain years are no longer subject to examination by the IRS and various state taxing authorities, net operating loss carryforwards generated in those years may still be adjusted upon examination by the IRS or state taxing authorities. As of May 27, 2017, our federal returns from Fiscal 2014 to present continue to be subject to review by the IRS. With few exceptions, the state returns from Fiscal 2009 to present continue to be subject to review by the state taxing jurisdictions.</w:t>
      </w:r>
    </w:p>
    <w:p>
      <w:pPr>
        <w:spacing w:after="0" w:line="145"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As of May 27, 2017, our unrecognized tax benefits were $1.8 million including accrued interest and penalties of $0.5 million. If we were to prevail on all unrecognized tax benefits recorded, $1.3 million of the $1.8 million would benefit the overall effective tax rate. It is our policy to recognize interest and penalties accrued relative to unrecognized tax benefits as tax expense. We do not believe that there will be a significant change in the total amount of unrecognized tax benefits within the next twelve months.</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14: Earnings Per Share</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reflects the calculation of basic and diluted net income per share: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820" w:type="dxa"/>
            <w:vAlign w:val="bottom"/>
            <w:tcBorders>
              <w:bottom w:val="single" w:sz="8" w:color="auto"/>
            </w:tcBorders>
            <w:gridSpan w:val="4"/>
          </w:tcPr>
          <w:p>
            <w:pPr>
              <w:jc w:val="right"/>
              <w:ind w:right="659"/>
              <w:spacing w:after="0"/>
              <w:rPr>
                <w:sz w:val="20"/>
                <w:szCs w:val="20"/>
                <w:color w:val="auto"/>
              </w:rPr>
            </w:pPr>
            <w:r>
              <w:rPr>
                <w:rFonts w:ascii="Arial" w:cs="Arial" w:eastAsia="Arial" w:hAnsi="Arial"/>
                <w:sz w:val="16"/>
                <w:szCs w:val="16"/>
                <w:b w:val="1"/>
                <w:bCs w:val="1"/>
                <w:color w:val="auto"/>
              </w:rPr>
              <w:t>Three Months Ended</w:t>
            </w: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2780" w:type="dxa"/>
            <w:vAlign w:val="bottom"/>
            <w:tcBorders>
              <w:bottom w:val="single" w:sz="8" w:color="auto"/>
            </w:tcBorders>
            <w:gridSpan w:val="4"/>
          </w:tcPr>
          <w:p>
            <w:pPr>
              <w:jc w:val="right"/>
              <w:ind w:right="6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50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gridSpan w:val="2"/>
          </w:tcPr>
          <w:p>
            <w:pPr>
              <w:ind w:left="16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28,</w:t>
            </w:r>
          </w:p>
        </w:tc>
        <w:tc>
          <w:tcPr>
            <w:tcW w:w="280" w:type="dxa"/>
            <w:vAlign w:val="bottom"/>
          </w:tcPr>
          <w:p>
            <w:pPr>
              <w:spacing w:after="0"/>
              <w:rPr>
                <w:sz w:val="16"/>
                <w:szCs w:val="16"/>
                <w:color w:val="auto"/>
              </w:rPr>
            </w:pPr>
          </w:p>
        </w:tc>
        <w:tc>
          <w:tcPr>
            <w:tcW w:w="130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280" w:type="dxa"/>
            <w:vAlign w:val="bottom"/>
          </w:tcPr>
          <w:p>
            <w:pPr>
              <w:spacing w:after="0"/>
              <w:rPr>
                <w:sz w:val="16"/>
                <w:szCs w:val="16"/>
                <w:color w:val="auto"/>
              </w:rPr>
            </w:pPr>
          </w:p>
        </w:tc>
        <w:tc>
          <w:tcPr>
            <w:tcW w:w="120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 except per share data)</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2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79"/>
              <w:spacing w:after="0"/>
              <w:rPr>
                <w:sz w:val="20"/>
                <w:szCs w:val="20"/>
                <w:color w:val="auto"/>
              </w:rPr>
            </w:pPr>
            <w:r>
              <w:rPr>
                <w:rFonts w:ascii="Arial" w:cs="Arial" w:eastAsia="Arial" w:hAnsi="Arial"/>
                <w:sz w:val="16"/>
                <w:szCs w:val="16"/>
                <w:b w:val="1"/>
                <w:bCs w:val="1"/>
                <w:color w:val="auto"/>
              </w:rPr>
              <w:t>2016</w:t>
            </w:r>
          </w:p>
        </w:tc>
      </w:tr>
      <w:tr>
        <w:trPr>
          <w:trHeight w:val="267"/>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Income per share - basic</w:t>
            </w:r>
          </w:p>
        </w:tc>
        <w:tc>
          <w:tcPr>
            <w:tcW w:w="280" w:type="dxa"/>
            <w:vAlign w:val="bottom"/>
            <w:shd w:val="clear" w:color="auto" w:fill="CCEEFF"/>
          </w:tcPr>
          <w:p>
            <w:pPr>
              <w:spacing w:after="0"/>
              <w:rPr>
                <w:sz w:val="23"/>
                <w:szCs w:val="23"/>
                <w:color w:val="auto"/>
              </w:rPr>
            </w:pPr>
          </w:p>
        </w:tc>
        <w:tc>
          <w:tcPr>
            <w:tcW w:w="1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00" w:type="dxa"/>
            <w:vAlign w:val="bottom"/>
            <w:shd w:val="clear" w:color="auto" w:fill="CCEEFF"/>
          </w:tcPr>
          <w:p>
            <w:pPr>
              <w:spacing w:after="0"/>
              <w:rPr>
                <w:sz w:val="23"/>
                <w:szCs w:val="23"/>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19,391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14,438</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46,407</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32,350</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31,587</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26,892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30,333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26,935</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Net income per share - basic</w:t>
            </w: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0.61</w:t>
            </w:r>
          </w:p>
        </w:tc>
        <w:tc>
          <w:tcPr>
            <w:tcW w:w="12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0.54</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1.53</w:t>
            </w:r>
          </w:p>
        </w:tc>
        <w:tc>
          <w:tcPr>
            <w:tcW w:w="100" w:type="dxa"/>
            <w:vAlign w:val="bottom"/>
          </w:tcPr>
          <w:p>
            <w:pPr>
              <w:spacing w:after="0"/>
              <w:rPr>
                <w:sz w:val="22"/>
                <w:szCs w:val="22"/>
                <w:color w:val="auto"/>
              </w:rPr>
            </w:pPr>
          </w:p>
        </w:tc>
        <w:tc>
          <w:tcPr>
            <w:tcW w:w="280" w:type="dxa"/>
            <w:vAlign w:val="bottom"/>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1.20</w:t>
            </w:r>
          </w:p>
        </w:tc>
      </w:tr>
      <w:tr>
        <w:trPr>
          <w:trHeight w:val="291"/>
        </w:trPr>
        <w:tc>
          <w:tcPr>
            <w:tcW w:w="5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Income per share - assuming dilution</w:t>
            </w:r>
          </w:p>
        </w:tc>
        <w:tc>
          <w:tcPr>
            <w:tcW w:w="28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19,391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14,438</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46,407</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32,350</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31,587</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26,892</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30,333</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26,935</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Dilutive impact of awards and options outstanding</w:t>
            </w:r>
          </w:p>
        </w:tc>
        <w:tc>
          <w:tcPr>
            <w:tcW w:w="280" w:type="dxa"/>
            <w:vAlign w:val="bottom"/>
            <w:shd w:val="clear" w:color="auto" w:fill="CCEEFF"/>
          </w:tcPr>
          <w:p>
            <w:pPr>
              <w:spacing w:after="0"/>
              <w:rPr>
                <w:sz w:val="24"/>
                <w:szCs w:val="24"/>
                <w:color w:val="auto"/>
              </w:rPr>
            </w:pP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104</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115</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94</w:t>
            </w:r>
          </w:p>
        </w:tc>
      </w:tr>
      <w:tr>
        <w:trPr>
          <w:trHeight w:val="262"/>
        </w:trPr>
        <w:tc>
          <w:tcPr>
            <w:tcW w:w="5160" w:type="dxa"/>
            <w:vAlign w:val="bottom"/>
            <w:gridSpan w:val="2"/>
          </w:tcPr>
          <w:p>
            <w:pPr>
              <w:ind w:left="40"/>
              <w:spacing w:after="0"/>
              <w:rPr>
                <w:sz w:val="20"/>
                <w:szCs w:val="20"/>
                <w:color w:val="auto"/>
              </w:rPr>
            </w:pPr>
            <w:r>
              <w:rPr>
                <w:rFonts w:ascii="Arial" w:cs="Arial" w:eastAsia="Arial" w:hAnsi="Arial"/>
                <w:sz w:val="16"/>
                <w:szCs w:val="16"/>
                <w:color w:val="auto"/>
              </w:rPr>
              <w:t>Weighted average shares and potential dilutive shares outstanding</w:t>
            </w:r>
          </w:p>
        </w:tc>
        <w:tc>
          <w:tcPr>
            <w:tcW w:w="280" w:type="dxa"/>
            <w:vAlign w:val="bottom"/>
          </w:tcPr>
          <w:p>
            <w:pPr>
              <w:spacing w:after="0"/>
              <w:rPr>
                <w:sz w:val="22"/>
                <w:szCs w:val="22"/>
                <w:color w:val="auto"/>
              </w:rPr>
            </w:pPr>
          </w:p>
        </w:tc>
        <w:tc>
          <w:tcPr>
            <w:tcW w:w="1220" w:type="dxa"/>
            <w:vAlign w:val="bottom"/>
          </w:tcPr>
          <w:p>
            <w:pPr>
              <w:jc w:val="right"/>
              <w:ind w:right="39"/>
              <w:spacing w:after="0"/>
              <w:rPr>
                <w:sz w:val="20"/>
                <w:szCs w:val="20"/>
                <w:color w:val="auto"/>
              </w:rPr>
            </w:pPr>
            <w:r>
              <w:rPr>
                <w:rFonts w:ascii="Arial" w:cs="Arial" w:eastAsia="Arial" w:hAnsi="Arial"/>
                <w:sz w:val="16"/>
                <w:szCs w:val="16"/>
                <w:color w:val="auto"/>
              </w:rPr>
              <w:t>31,691</w:t>
            </w:r>
          </w:p>
        </w:tc>
        <w:tc>
          <w:tcPr>
            <w:tcW w:w="12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27,004</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30,448</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27,029</w:t>
            </w:r>
          </w:p>
        </w:tc>
      </w:tr>
      <w:tr>
        <w:trPr>
          <w:trHeight w:val="278"/>
        </w:trPr>
        <w:tc>
          <w:tcPr>
            <w:tcW w:w="51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 per share - assuming dilution</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0.61</w:t>
            </w:r>
          </w:p>
        </w:tc>
        <w:tc>
          <w:tcPr>
            <w:tcW w:w="12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0.53</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1.52</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1.20</w:t>
            </w:r>
          </w:p>
        </w:tc>
      </w:tr>
    </w:tbl>
    <w:p>
      <w:pPr>
        <w:spacing w:after="0" w:line="17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The computation of weighted average shares and potential dilutive shares outstanding excludes the effect of options to purchase 61,000 and 10,000 shares of common stock at May 27, 2017 and May 28, 2016, respectively. These amounts were not included in the computation of diluted income per share because they are considered anti-dilutive under the treasury stock method per ASC 260, </w:t>
      </w:r>
      <w:r>
        <w:rPr>
          <w:rFonts w:ascii="Arial" w:cs="Arial" w:eastAsia="Arial" w:hAnsi="Arial"/>
          <w:sz w:val="16"/>
          <w:szCs w:val="16"/>
          <w:i w:val="1"/>
          <w:iCs w:val="1"/>
          <w:color w:val="auto"/>
        </w:rPr>
        <w:t>Earnings Per Share</w:t>
      </w:r>
      <w:r>
        <w:rPr>
          <w:rFonts w:ascii="Arial" w:cs="Arial" w:eastAsia="Arial" w:hAnsi="Arial"/>
          <w:sz w:val="16"/>
          <w:szCs w:val="16"/>
          <w:color w:val="auto"/>
        </w:rPr>
        <w:t>.</w:t>
      </w:r>
    </w:p>
    <w:p>
      <w:pPr>
        <w:spacing w:after="0" w:line="38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18</w:t>
      </w:r>
    </w:p>
    <w:p>
      <w:pPr>
        <w:sectPr>
          <w:pgSz w:w="11900" w:h="16838" w:orient="portrait"/>
          <w:cols w:equalWidth="0" w:num="1">
            <w:col w:w="11420"/>
          </w:cols>
          <w:pgMar w:left="240" w:top="118" w:right="239" w:bottom="1440" w:gutter="0" w:footer="0" w:header="0"/>
        </w:sectPr>
      </w:pPr>
    </w:p>
    <w:bookmarkStart w:id="20" w:name="page21"/>
    <w:bookmarkEnd w:id="2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Note 15: Accumulated Other Comprehensive Income (Loss)</w:t>
      </w:r>
    </w:p>
    <w:p>
      <w:pPr>
        <w:spacing w:after="0" w:line="196" w:lineRule="exact"/>
        <w:rPr>
          <w:sz w:val="20"/>
          <w:szCs w:val="20"/>
          <w:color w:val="auto"/>
        </w:rPr>
      </w:pPr>
    </w:p>
    <w:p>
      <w:pPr>
        <w:spacing w:after="0"/>
        <w:rPr>
          <w:sz w:val="20"/>
          <w:szCs w:val="20"/>
          <w:color w:val="auto"/>
        </w:rPr>
      </w:pPr>
      <w:r>
        <w:rPr>
          <w:rFonts w:ascii="Arial" w:cs="Arial" w:eastAsia="Arial" w:hAnsi="Arial"/>
          <w:sz w:val="16"/>
          <w:szCs w:val="16"/>
          <w:color w:val="auto"/>
        </w:rPr>
        <w:t>Changes in AOCI by component,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27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2740" w:type="dxa"/>
            <w:vAlign w:val="bottom"/>
            <w:tcBorders>
              <w:bottom w:val="single" w:sz="8" w:color="auto"/>
            </w:tcBorders>
            <w:gridSpan w:val="9"/>
          </w:tcPr>
          <w:p>
            <w:pPr>
              <w:ind w:left="300"/>
              <w:spacing w:after="0"/>
              <w:rPr>
                <w:sz w:val="20"/>
                <w:szCs w:val="20"/>
                <w:color w:val="auto"/>
              </w:rPr>
            </w:pPr>
            <w:r>
              <w:rPr>
                <w:rFonts w:ascii="Arial" w:cs="Arial" w:eastAsia="Arial" w:hAnsi="Arial"/>
                <w:sz w:val="16"/>
                <w:szCs w:val="16"/>
                <w:b w:val="1"/>
                <w:bCs w:val="1"/>
                <w:color w:val="auto"/>
              </w:rPr>
              <w:t>Three Months Ended</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spacing w:after="0"/>
              <w:rPr>
                <w:sz w:val="20"/>
                <w:szCs w:val="20"/>
                <w:color w:val="auto"/>
              </w:rPr>
            </w:pPr>
          </w:p>
        </w:tc>
      </w:tr>
      <w:tr>
        <w:trPr>
          <w:trHeight w:val="264"/>
        </w:trPr>
        <w:tc>
          <w:tcPr>
            <w:tcW w:w="2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gridSpan w:val="3"/>
          </w:tcPr>
          <w:p>
            <w:pPr>
              <w:jc w:val="center"/>
              <w:ind w:right="180"/>
              <w:spacing w:after="0"/>
              <w:rPr>
                <w:sz w:val="20"/>
                <w:szCs w:val="20"/>
                <w:color w:val="auto"/>
              </w:rPr>
            </w:pPr>
            <w:r>
              <w:rPr>
                <w:rFonts w:ascii="Arial" w:cs="Arial" w:eastAsia="Arial" w:hAnsi="Arial"/>
                <w:sz w:val="16"/>
                <w:szCs w:val="16"/>
                <w:b w:val="1"/>
                <w:bCs w:val="1"/>
                <w:color w:val="auto"/>
              </w:rPr>
              <w:t>May 27, 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ind w:left="100"/>
              <w:spacing w:after="0"/>
              <w:rPr>
                <w:sz w:val="20"/>
                <w:szCs w:val="20"/>
                <w:color w:val="auto"/>
              </w:rPr>
            </w:pPr>
            <w:r>
              <w:rPr>
                <w:rFonts w:ascii="Arial" w:cs="Arial" w:eastAsia="Arial" w:hAnsi="Arial"/>
                <w:sz w:val="16"/>
                <w:szCs w:val="16"/>
                <w:b w:val="1"/>
                <w:bCs w:val="1"/>
                <w:color w:val="auto"/>
              </w:rPr>
              <w:t>May 28, 2016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2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300" w:type="dxa"/>
            <w:vAlign w:val="bottom"/>
            <w:gridSpan w:val="3"/>
          </w:tcPr>
          <w:p>
            <w:pPr>
              <w:jc w:val="center"/>
              <w:ind w:right="240"/>
              <w:spacing w:after="0"/>
              <w:rPr>
                <w:sz w:val="20"/>
                <w:szCs w:val="20"/>
                <w:color w:val="auto"/>
              </w:rPr>
            </w:pPr>
            <w:r>
              <w:rPr>
                <w:rFonts w:ascii="Arial" w:cs="Arial" w:eastAsia="Arial" w:hAnsi="Arial"/>
                <w:sz w:val="16"/>
                <w:szCs w:val="16"/>
                <w:b w:val="1"/>
                <w:bCs w:val="1"/>
                <w:color w:val="auto"/>
              </w:rPr>
              <w:t>Interest Rate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tcPr>
          <w:p>
            <w:pPr>
              <w:ind w:left="100"/>
              <w:spacing w:after="0"/>
              <w:rPr>
                <w:sz w:val="20"/>
                <w:szCs w:val="20"/>
                <w:color w:val="auto"/>
              </w:rPr>
            </w:pPr>
            <w:r>
              <w:rPr>
                <w:rFonts w:ascii="Arial" w:cs="Arial" w:eastAsia="Arial" w:hAnsi="Arial"/>
                <w:sz w:val="16"/>
                <w:szCs w:val="16"/>
                <w:b w:val="1"/>
                <w:bCs w:val="1"/>
                <w:color w:val="auto"/>
              </w:rPr>
              <w:t>Defined Benefit</w:t>
            </w:r>
          </w:p>
        </w:tc>
        <w:tc>
          <w:tcPr>
            <w:tcW w:w="1260" w:type="dxa"/>
            <w:vAlign w:val="bottom"/>
            <w:gridSpan w:val="5"/>
          </w:tcPr>
          <w:p>
            <w:pPr>
              <w:jc w:val="center"/>
              <w:ind w:right="12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27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gridSpan w:val="2"/>
          </w:tcPr>
          <w:p>
            <w:pPr>
              <w:spacing w:after="0"/>
              <w:rPr>
                <w:sz w:val="20"/>
                <w:szCs w:val="20"/>
                <w:color w:val="auto"/>
              </w:rPr>
            </w:pPr>
          </w:p>
        </w:tc>
        <w:tc>
          <w:tcPr>
            <w:tcW w:w="60" w:type="dxa"/>
            <w:vAlign w:val="bottom"/>
            <w:tcBorders>
              <w:bottom w:val="single" w:sz="8" w:color="auto"/>
            </w:tcBorders>
          </w:tcPr>
          <w:p>
            <w:pPr>
              <w:spacing w:after="0"/>
              <w:rPr>
                <w:sz w:val="20"/>
                <w:szCs w:val="20"/>
                <w:color w:val="auto"/>
              </w:rPr>
            </w:pPr>
          </w:p>
        </w:tc>
        <w:tc>
          <w:tcPr>
            <w:tcW w:w="1360" w:type="dxa"/>
            <w:vAlign w:val="bottom"/>
            <w:tcBorders>
              <w:bottom w:val="single" w:sz="8" w:color="auto"/>
            </w:tcBorders>
            <w:gridSpan w:val="3"/>
          </w:tcPr>
          <w:p>
            <w:pPr>
              <w:ind w:left="40"/>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38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39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CCEEFF"/>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CCEEFF"/>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gridSpan w:val="4"/>
          </w:tcPr>
          <w:p>
            <w:pPr>
              <w:spacing w:after="0"/>
              <w:rPr>
                <w:sz w:val="20"/>
                <w:szCs w:val="20"/>
                <w:color w:val="auto"/>
              </w:rPr>
            </w:pPr>
            <w:r>
              <w:rPr>
                <w:rFonts w:ascii="Arial" w:cs="Arial" w:eastAsia="Arial" w:hAnsi="Arial"/>
                <w:sz w:val="16"/>
                <w:szCs w:val="16"/>
                <w:b w:val="1"/>
                <w:bCs w:val="1"/>
                <w:color w:val="auto"/>
              </w:rPr>
              <w:t>Pension Items</w:t>
            </w:r>
          </w:p>
        </w:tc>
        <w:tc>
          <w:tcPr>
            <w:tcW w:w="22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gridSpan w:val="2"/>
          </w:tcPr>
          <w:p>
            <w:pPr>
              <w:jc w:val="center"/>
              <w:ind w:right="240"/>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gridSpan w:val="2"/>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67"/>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(461)</w:t>
            </w:r>
          </w:p>
        </w:tc>
        <w:tc>
          <w:tcPr>
            <w:tcW w:w="12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(439)</w:t>
            </w:r>
          </w:p>
        </w:tc>
        <w:tc>
          <w:tcPr>
            <w:tcW w:w="100" w:type="dxa"/>
            <w:vAlign w:val="bottom"/>
            <w:shd w:val="clear" w:color="auto" w:fill="CCEEFF"/>
          </w:tcPr>
          <w:p>
            <w:pPr>
              <w:spacing w:after="0"/>
              <w:rPr>
                <w:sz w:val="23"/>
                <w:szCs w:val="23"/>
                <w:color w:val="auto"/>
              </w:rPr>
            </w:pPr>
          </w:p>
        </w:tc>
        <w:tc>
          <w:tcPr>
            <w:tcW w:w="120" w:type="dxa"/>
            <w:vAlign w:val="bottom"/>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(900)</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13,616</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1040" w:type="dxa"/>
            <w:vAlign w:val="bottom"/>
            <w:gridSpan w:val="4"/>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13,616</w:t>
            </w:r>
          </w:p>
        </w:tc>
      </w:tr>
      <w:tr>
        <w:trPr>
          <w:trHeight w:val="270"/>
        </w:trPr>
        <w:tc>
          <w:tcPr>
            <w:tcW w:w="2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340" w:type="dxa"/>
            <w:vAlign w:val="bottom"/>
            <w:gridSpan w:val="4"/>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2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Amounts reclassified from AOCI</w:t>
            </w:r>
          </w:p>
        </w:tc>
        <w:tc>
          <w:tcPr>
            <w:tcW w:w="6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6</w:t>
            </w:r>
          </w:p>
        </w:tc>
        <w:tc>
          <w:tcPr>
            <w:tcW w:w="16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(983)</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40" w:type="dxa"/>
            <w:vAlign w:val="bottom"/>
            <w:tcBorders>
              <w:bottom w:val="single" w:sz="8" w:color="auto"/>
            </w:tcBorders>
            <w:gridSpan w:val="2"/>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(983)</w:t>
            </w:r>
          </w:p>
        </w:tc>
      </w:tr>
      <w:tr>
        <w:trPr>
          <w:trHeight w:val="26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(983)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(983)</w:t>
            </w:r>
          </w:p>
        </w:tc>
      </w:tr>
      <w:tr>
        <w:trPr>
          <w:trHeight w:val="270"/>
        </w:trPr>
        <w:tc>
          <w:tcPr>
            <w:tcW w:w="2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6"/>
        </w:trPr>
        <w:tc>
          <w:tcPr>
            <w:tcW w:w="2860" w:type="dxa"/>
            <w:vAlign w:val="bottom"/>
            <w:tcBorders>
              <w:bottom w:val="single" w:sz="8" w:color="CCEEFF"/>
            </w:tcBorders>
            <w:gridSpan w:val="3"/>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8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(455)</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0" w:type="dxa"/>
            <w:vAlign w:val="bottom"/>
            <w:tcBorders>
              <w:bottom w:val="single" w:sz="8" w:color="auto"/>
            </w:tcBorders>
            <w:shd w:val="clear" w:color="auto" w:fill="CCEEFF"/>
          </w:tcPr>
          <w:p>
            <w:pPr>
              <w:spacing w:after="0"/>
              <w:rPr>
                <w:sz w:val="22"/>
                <w:szCs w:val="22"/>
                <w:color w:val="auto"/>
              </w:rPr>
            </w:pPr>
          </w:p>
        </w:tc>
        <w:tc>
          <w:tcPr>
            <w:tcW w:w="10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40" w:type="dxa"/>
            <w:vAlign w:val="bottom"/>
            <w:tcBorders>
              <w:bottom w:val="single" w:sz="8" w:color="auto"/>
            </w:tcBorders>
            <w:shd w:val="clear" w:color="auto" w:fill="CCEEFF"/>
          </w:tcPr>
          <w:p>
            <w:pPr>
              <w:spacing w:after="0"/>
              <w:rPr>
                <w:sz w:val="22"/>
                <w:szCs w:val="22"/>
                <w:color w:val="auto"/>
              </w:rPr>
            </w:pPr>
          </w:p>
        </w:tc>
        <w:tc>
          <w:tcPr>
            <w:tcW w:w="98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(952)</w:t>
            </w:r>
          </w:p>
        </w:tc>
        <w:tc>
          <w:tcPr>
            <w:tcW w:w="280" w:type="dxa"/>
            <w:vAlign w:val="bottom"/>
            <w:tcBorders>
              <w:bottom w:val="single" w:sz="8" w:color="CCEEFF"/>
            </w:tcBorders>
            <w:gridSpan w:val="3"/>
            <w:shd w:val="clear" w:color="auto" w:fill="CCEEFF"/>
          </w:tcPr>
          <w:p>
            <w:pPr>
              <w:spacing w:after="0"/>
              <w:rPr>
                <w:sz w:val="22"/>
                <w:szCs w:val="22"/>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12,633</w:t>
            </w:r>
          </w:p>
        </w:tc>
        <w:tc>
          <w:tcPr>
            <w:tcW w:w="40" w:type="dxa"/>
            <w:vAlign w:val="bottom"/>
            <w:tcBorders>
              <w:bottom w:val="single" w:sz="8" w:color="auto"/>
            </w:tcBorders>
            <w:shd w:val="clear" w:color="auto" w:fill="CCEEFF"/>
          </w:tcPr>
          <w:p>
            <w:pPr>
              <w:spacing w:after="0"/>
              <w:rPr>
                <w:sz w:val="22"/>
                <w:szCs w:val="22"/>
                <w:color w:val="auto"/>
              </w:rPr>
            </w:pPr>
          </w:p>
        </w:tc>
        <w:tc>
          <w:tcPr>
            <w:tcW w:w="80" w:type="dxa"/>
            <w:vAlign w:val="bottom"/>
            <w:tcBorders>
              <w:bottom w:val="single" w:sz="8" w:color="CCEEFF"/>
            </w:tcBorders>
            <w:shd w:val="clear" w:color="auto" w:fill="CCEEFF"/>
          </w:tcPr>
          <w:p>
            <w:pPr>
              <w:spacing w:after="0"/>
              <w:rPr>
                <w:sz w:val="22"/>
                <w:szCs w:val="22"/>
                <w:color w:val="auto"/>
              </w:rPr>
            </w:pPr>
          </w:p>
        </w:tc>
        <w:tc>
          <w:tcPr>
            <w:tcW w:w="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gridSpan w:val="2"/>
            <w:shd w:val="clear" w:color="auto" w:fill="CCEEFF"/>
          </w:tcPr>
          <w:p>
            <w:pPr>
              <w:ind w:left="66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12,633</w:t>
            </w:r>
          </w:p>
        </w:tc>
      </w:tr>
      <w:tr>
        <w:trPr>
          <w:trHeight w:val="20"/>
        </w:trPr>
        <w:tc>
          <w:tcPr>
            <w:tcW w:w="2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340" w:type="dxa"/>
            <w:vAlign w:val="bottom"/>
            <w:tcBorders>
              <w:bottom w:val="single" w:sz="8" w:color="auto"/>
            </w:tcBorders>
            <w:gridSpan w:val="2"/>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r>
      <w:tr>
        <w:trPr>
          <w:trHeight w:val="383"/>
        </w:trPr>
        <w:tc>
          <w:tcPr>
            <w:tcW w:w="27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740" w:type="dxa"/>
            <w:vAlign w:val="bottom"/>
            <w:tcBorders>
              <w:bottom w:val="single" w:sz="8" w:color="auto"/>
            </w:tcBorders>
            <w:gridSpan w:val="9"/>
          </w:tcPr>
          <w:p>
            <w:pPr>
              <w:ind w:left="360"/>
              <w:spacing w:after="0"/>
              <w:rPr>
                <w:sz w:val="20"/>
                <w:szCs w:val="20"/>
                <w:color w:val="auto"/>
              </w:rPr>
            </w:pPr>
            <w:r>
              <w:rPr>
                <w:rFonts w:ascii="Arial" w:cs="Arial" w:eastAsia="Arial" w:hAnsi="Arial"/>
                <w:sz w:val="16"/>
                <w:szCs w:val="16"/>
                <w:b w:val="1"/>
                <w:bCs w:val="1"/>
                <w:color w:val="auto"/>
              </w:rPr>
              <w:t>Nine Months Ended</w:t>
            </w:r>
          </w:p>
        </w:tc>
        <w:tc>
          <w:tcPr>
            <w:tcW w:w="2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spacing w:after="0"/>
              <w:rPr>
                <w:sz w:val="24"/>
                <w:szCs w:val="24"/>
                <w:color w:val="auto"/>
              </w:rPr>
            </w:pPr>
          </w:p>
        </w:tc>
      </w:tr>
      <w:tr>
        <w:trPr>
          <w:trHeight w:val="264"/>
        </w:trPr>
        <w:tc>
          <w:tcPr>
            <w:tcW w:w="27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center"/>
              <w:ind w:right="100"/>
              <w:spacing w:after="0"/>
              <w:rPr>
                <w:sz w:val="20"/>
                <w:szCs w:val="20"/>
                <w:color w:val="auto"/>
              </w:rPr>
            </w:pPr>
            <w:r>
              <w:rPr>
                <w:rFonts w:ascii="Arial" w:cs="Arial" w:eastAsia="Arial" w:hAnsi="Arial"/>
                <w:sz w:val="16"/>
                <w:szCs w:val="16"/>
                <w:b w:val="1"/>
                <w:bCs w:val="1"/>
                <w:color w:val="auto"/>
              </w:rPr>
              <w:t>May 27, 2017</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auto"/>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spacing w:after="0"/>
              <w:rPr>
                <w:sz w:val="22"/>
                <w:szCs w:val="22"/>
                <w:color w:val="auto"/>
              </w:rPr>
            </w:pP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gridSpan w:val="5"/>
          </w:tcPr>
          <w:p>
            <w:pPr>
              <w:jc w:val="center"/>
              <w:ind w:right="120"/>
              <w:spacing w:after="0"/>
              <w:rPr>
                <w:sz w:val="20"/>
                <w:szCs w:val="20"/>
                <w:color w:val="auto"/>
              </w:rPr>
            </w:pPr>
            <w:r>
              <w:rPr>
                <w:rFonts w:ascii="Arial" w:cs="Arial" w:eastAsia="Arial" w:hAnsi="Arial"/>
                <w:sz w:val="16"/>
                <w:szCs w:val="16"/>
                <w:b w:val="1"/>
                <w:bCs w:val="1"/>
                <w:color w:val="auto"/>
              </w:rPr>
              <w:t>May 28, 2016</w:t>
            </w: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spacing w:after="0"/>
              <w:rPr>
                <w:sz w:val="22"/>
                <w:szCs w:val="22"/>
                <w:color w:val="auto"/>
              </w:rPr>
            </w:pPr>
          </w:p>
        </w:tc>
      </w:tr>
      <w:tr>
        <w:trPr>
          <w:trHeight w:val="193"/>
        </w:trPr>
        <w:tc>
          <w:tcPr>
            <w:tcW w:w="27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360" w:type="dxa"/>
            <w:vAlign w:val="bottom"/>
            <w:gridSpan w:val="3"/>
          </w:tcPr>
          <w:p>
            <w:pPr>
              <w:jc w:val="center"/>
              <w:ind w:right="20"/>
              <w:spacing w:after="0"/>
              <w:rPr>
                <w:sz w:val="20"/>
                <w:szCs w:val="20"/>
                <w:color w:val="auto"/>
              </w:rPr>
            </w:pPr>
            <w:r>
              <w:rPr>
                <w:rFonts w:ascii="Arial" w:cs="Arial" w:eastAsia="Arial" w:hAnsi="Arial"/>
                <w:sz w:val="16"/>
                <w:szCs w:val="16"/>
                <w:b w:val="1"/>
                <w:bCs w:val="1"/>
                <w:color w:val="auto"/>
              </w:rPr>
              <w:t>Defined Benefit</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16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Interest Rate</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480" w:type="dxa"/>
            <w:vAlign w:val="bottom"/>
            <w:gridSpan w:val="5"/>
          </w:tcPr>
          <w:p>
            <w:pPr>
              <w:ind w:left="60"/>
              <w:spacing w:after="0"/>
              <w:rPr>
                <w:sz w:val="20"/>
                <w:szCs w:val="20"/>
                <w:color w:val="auto"/>
              </w:rPr>
            </w:pPr>
            <w:r>
              <w:rPr>
                <w:rFonts w:ascii="Arial" w:cs="Arial" w:eastAsia="Arial" w:hAnsi="Arial"/>
                <w:sz w:val="16"/>
                <w:szCs w:val="16"/>
                <w:b w:val="1"/>
                <w:bCs w:val="1"/>
                <w:color w:val="auto"/>
              </w:rPr>
              <w:t>Defined Benefit</w:t>
            </w:r>
          </w:p>
        </w:tc>
        <w:tc>
          <w:tcPr>
            <w:tcW w:w="1260" w:type="dxa"/>
            <w:vAlign w:val="bottom"/>
            <w:gridSpan w:val="5"/>
          </w:tcPr>
          <w:p>
            <w:pPr>
              <w:jc w:val="center"/>
              <w:ind w:right="160"/>
              <w:spacing w:after="0"/>
              <w:rPr>
                <w:sz w:val="20"/>
                <w:szCs w:val="20"/>
                <w:color w:val="auto"/>
              </w:rPr>
            </w:pPr>
            <w:r>
              <w:rPr>
                <w:rFonts w:ascii="Arial" w:cs="Arial" w:eastAsia="Arial" w:hAnsi="Arial"/>
                <w:sz w:val="16"/>
                <w:szCs w:val="16"/>
                <w:b w:val="1"/>
                <w:bCs w:val="1"/>
                <w:color w:val="auto"/>
              </w:rPr>
              <w:t>Interest Rate</w:t>
            </w:r>
          </w:p>
        </w:tc>
        <w:tc>
          <w:tcPr>
            <w:tcW w:w="300" w:type="dxa"/>
            <w:vAlign w:val="bottom"/>
          </w:tcPr>
          <w:p>
            <w:pPr>
              <w:spacing w:after="0"/>
              <w:rPr>
                <w:sz w:val="16"/>
                <w:szCs w:val="16"/>
                <w:color w:val="auto"/>
              </w:rPr>
            </w:pPr>
          </w:p>
        </w:tc>
        <w:tc>
          <w:tcPr>
            <w:tcW w:w="1060" w:type="dxa"/>
            <w:vAlign w:val="bottom"/>
          </w:tcPr>
          <w:p>
            <w:pPr>
              <w:spacing w:after="0"/>
              <w:rPr>
                <w:sz w:val="16"/>
                <w:szCs w:val="16"/>
                <w:color w:val="auto"/>
              </w:rPr>
            </w:pPr>
          </w:p>
        </w:tc>
      </w:tr>
      <w:tr>
        <w:trPr>
          <w:trHeight w:val="232"/>
        </w:trPr>
        <w:tc>
          <w:tcPr>
            <w:tcW w:w="28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(In thousands)</w:t>
            </w:r>
          </w:p>
        </w:tc>
        <w:tc>
          <w:tcPr>
            <w:tcW w:w="60" w:type="dxa"/>
            <w:vAlign w:val="bottom"/>
            <w:tcBorders>
              <w:bottom w:val="single" w:sz="8" w:color="CCEEFF"/>
            </w:tcBorders>
          </w:tcPr>
          <w:p>
            <w:pPr>
              <w:spacing w:after="0"/>
              <w:rPr>
                <w:sz w:val="20"/>
                <w:szCs w:val="20"/>
                <w:color w:val="auto"/>
              </w:rPr>
            </w:pPr>
          </w:p>
        </w:tc>
        <w:tc>
          <w:tcPr>
            <w:tcW w:w="60" w:type="dxa"/>
            <w:vAlign w:val="bottom"/>
            <w:tcBorders>
              <w:bottom w:val="single" w:sz="8" w:color="CCEEFF"/>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Pension Items</w:t>
            </w:r>
          </w:p>
        </w:tc>
        <w:tc>
          <w:tcPr>
            <w:tcW w:w="100" w:type="dxa"/>
            <w:vAlign w:val="bottom"/>
            <w:tcBorders>
              <w:bottom w:val="single" w:sz="8" w:color="auto"/>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gridSpan w:val="2"/>
          </w:tcPr>
          <w:p>
            <w:pPr>
              <w:jc w:val="center"/>
              <w:ind w:right="140"/>
              <w:spacing w:after="0"/>
              <w:rPr>
                <w:sz w:val="20"/>
                <w:szCs w:val="20"/>
                <w:color w:val="auto"/>
              </w:rPr>
            </w:pPr>
            <w:r>
              <w:rPr>
                <w:rFonts w:ascii="Arial" w:cs="Arial" w:eastAsia="Arial" w:hAnsi="Arial"/>
                <w:sz w:val="16"/>
                <w:szCs w:val="16"/>
                <w:b w:val="1"/>
                <w:bCs w:val="1"/>
                <w:color w:val="auto"/>
              </w:rPr>
              <w:t>Swap</w:t>
            </w:r>
          </w:p>
        </w:tc>
        <w:tc>
          <w:tcPr>
            <w:tcW w:w="20" w:type="dxa"/>
            <w:vAlign w:val="bottom"/>
            <w:tcBorders>
              <w:bottom w:val="single" w:sz="8" w:color="auto"/>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Total</w:t>
            </w:r>
          </w:p>
        </w:tc>
        <w:tc>
          <w:tcPr>
            <w:tcW w:w="16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1480" w:type="dxa"/>
            <w:vAlign w:val="bottom"/>
            <w:tcBorders>
              <w:bottom w:val="single" w:sz="8" w:color="auto"/>
            </w:tcBorders>
            <w:gridSpan w:val="5"/>
          </w:tcPr>
          <w:p>
            <w:pPr>
              <w:ind w:left="120"/>
              <w:spacing w:after="0"/>
              <w:rPr>
                <w:sz w:val="20"/>
                <w:szCs w:val="20"/>
                <w:color w:val="auto"/>
              </w:rPr>
            </w:pPr>
            <w:r>
              <w:rPr>
                <w:rFonts w:ascii="Arial" w:cs="Arial" w:eastAsia="Arial" w:hAnsi="Arial"/>
                <w:sz w:val="16"/>
                <w:szCs w:val="16"/>
                <w:b w:val="1"/>
                <w:bCs w:val="1"/>
                <w:color w:val="auto"/>
              </w:rPr>
              <w:t>Pension Items</w:t>
            </w:r>
          </w:p>
        </w:tc>
        <w:tc>
          <w:tcPr>
            <w:tcW w:w="220" w:type="dxa"/>
            <w:vAlign w:val="bottom"/>
            <w:tcBorders>
              <w:bottom w:val="single" w:sz="8" w:color="auto"/>
            </w:tcBorders>
          </w:tcPr>
          <w:p>
            <w:pPr>
              <w:spacing w:after="0"/>
              <w:rPr>
                <w:sz w:val="20"/>
                <w:szCs w:val="20"/>
                <w:color w:val="auto"/>
              </w:rPr>
            </w:pPr>
          </w:p>
        </w:tc>
        <w:tc>
          <w:tcPr>
            <w:tcW w:w="92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Swap</w:t>
            </w:r>
          </w:p>
        </w:tc>
        <w:tc>
          <w:tcPr>
            <w:tcW w:w="100" w:type="dxa"/>
            <w:vAlign w:val="bottom"/>
            <w:tcBorders>
              <w:bottom w:val="single" w:sz="8" w:color="CCEEFF"/>
            </w:tcBorders>
            <w:gridSpan w:val="2"/>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419"/>
              <w:spacing w:after="0"/>
              <w:rPr>
                <w:sz w:val="20"/>
                <w:szCs w:val="20"/>
                <w:color w:val="auto"/>
              </w:rPr>
            </w:pPr>
            <w:r>
              <w:rPr>
                <w:rFonts w:ascii="Arial" w:cs="Arial" w:eastAsia="Arial" w:hAnsi="Arial"/>
                <w:sz w:val="16"/>
                <w:szCs w:val="16"/>
                <w:b w:val="1"/>
                <w:bCs w:val="1"/>
                <w:color w:val="auto"/>
              </w:rPr>
              <w:t>Total</w:t>
            </w:r>
          </w:p>
        </w:tc>
      </w:tr>
      <w:tr>
        <w:trPr>
          <w:trHeight w:val="267"/>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beginning of period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10,975</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6"/>
                <w:szCs w:val="16"/>
                <w:color w:val="auto"/>
              </w:rPr>
              <w:t>—</w:t>
            </w: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10,975</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(2,274)</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(2,274)</w:t>
            </w:r>
          </w:p>
        </w:tc>
      </w:tr>
      <w:tr>
        <w:trPr>
          <w:trHeight w:val="270"/>
        </w:trPr>
        <w:tc>
          <w:tcPr>
            <w:tcW w:w="280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spacing w:after="0"/>
              <w:rPr>
                <w:sz w:val="23"/>
                <w:szCs w:val="23"/>
                <w:color w:val="auto"/>
              </w:rPr>
            </w:pPr>
          </w:p>
        </w:tc>
      </w:tr>
      <w:tr>
        <w:trPr>
          <w:trHeight w:val="270"/>
        </w:trPr>
        <w:tc>
          <w:tcPr>
            <w:tcW w:w="2860" w:type="dxa"/>
            <w:vAlign w:val="bottom"/>
            <w:gridSpan w:val="3"/>
            <w:shd w:val="clear" w:color="auto" w:fill="CCEEFF"/>
          </w:tcPr>
          <w:p>
            <w:pPr>
              <w:ind w:left="180"/>
              <w:spacing w:after="0"/>
              <w:rPr>
                <w:sz w:val="20"/>
                <w:szCs w:val="20"/>
                <w:color w:val="auto"/>
              </w:rPr>
            </w:pPr>
            <w:r>
              <w:rPr>
                <w:rFonts w:ascii="Arial" w:cs="Arial" w:eastAsia="Arial" w:hAnsi="Arial"/>
                <w:sz w:val="16"/>
                <w:szCs w:val="16"/>
                <w:color w:val="auto"/>
              </w:rPr>
              <w:t>OCI before reclassifications</w:t>
            </w:r>
          </w:p>
        </w:tc>
        <w:tc>
          <w:tcPr>
            <w:tcW w:w="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1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3,903</w:t>
            </w: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9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3,406</w:t>
            </w:r>
          </w:p>
        </w:tc>
        <w:tc>
          <w:tcPr>
            <w:tcW w:w="1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220" w:type="dxa"/>
            <w:vAlign w:val="bottom"/>
            <w:shd w:val="clear" w:color="auto" w:fill="CCEEFF"/>
          </w:tcPr>
          <w:p>
            <w:pPr>
              <w:spacing w:after="0"/>
              <w:rPr>
                <w:sz w:val="23"/>
                <w:szCs w:val="23"/>
                <w:color w:val="auto"/>
              </w:rPr>
            </w:pP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3"/>
                <w:szCs w:val="23"/>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17,701</w:t>
            </w:r>
          </w:p>
        </w:tc>
      </w:tr>
      <w:tr>
        <w:trPr>
          <w:trHeight w:val="264"/>
        </w:trPr>
        <w:tc>
          <w:tcPr>
            <w:tcW w:w="2860" w:type="dxa"/>
            <w:vAlign w:val="bottom"/>
            <w:tcBorders>
              <w:bottom w:val="single" w:sz="8" w:color="CCEEFF"/>
            </w:tcBorders>
            <w:gridSpan w:val="3"/>
          </w:tcPr>
          <w:p>
            <w:pPr>
              <w:ind w:left="180"/>
              <w:spacing w:after="0"/>
              <w:rPr>
                <w:sz w:val="20"/>
                <w:szCs w:val="20"/>
                <w:color w:val="auto"/>
              </w:rPr>
            </w:pPr>
            <w:r>
              <w:rPr>
                <w:rFonts w:ascii="Arial" w:cs="Arial" w:eastAsia="Arial" w:hAnsi="Arial"/>
                <w:sz w:val="16"/>
                <w:szCs w:val="16"/>
                <w:color w:val="auto"/>
              </w:rPr>
              <w:t>Amounts reclassified from AOCI</w:t>
            </w:r>
          </w:p>
        </w:tc>
        <w:tc>
          <w:tcPr>
            <w:tcW w:w="6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(15,333)</w:t>
            </w:r>
          </w:p>
        </w:tc>
        <w:tc>
          <w:tcPr>
            <w:tcW w:w="1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gridSpan w:val="2"/>
          </w:tcPr>
          <w:p>
            <w:pPr>
              <w:jc w:val="right"/>
              <w:ind w:right="300"/>
              <w:spacing w:after="0"/>
              <w:rPr>
                <w:sz w:val="20"/>
                <w:szCs w:val="20"/>
                <w:color w:val="auto"/>
              </w:rPr>
            </w:pPr>
            <w:r>
              <w:rPr>
                <w:rFonts w:ascii="Arial" w:cs="Arial" w:eastAsia="Arial" w:hAnsi="Arial"/>
                <w:sz w:val="16"/>
                <w:szCs w:val="16"/>
                <w:color w:val="auto"/>
              </w:rPr>
              <w:t>—</w:t>
            </w:r>
          </w:p>
        </w:tc>
        <w:tc>
          <w:tcPr>
            <w:tcW w:w="2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980" w:type="dxa"/>
            <w:vAlign w:val="bottom"/>
            <w:tcBorders>
              <w:bottom w:val="single" w:sz="8" w:color="auto"/>
            </w:tcBorders>
          </w:tcPr>
          <w:p>
            <w:pPr>
              <w:jc w:val="right"/>
              <w:ind w:right="39"/>
              <w:spacing w:after="0"/>
              <w:rPr>
                <w:sz w:val="20"/>
                <w:szCs w:val="20"/>
                <w:color w:val="auto"/>
              </w:rPr>
            </w:pPr>
            <w:r>
              <w:rPr>
                <w:rFonts w:ascii="Arial" w:cs="Arial" w:eastAsia="Arial" w:hAnsi="Arial"/>
                <w:sz w:val="16"/>
                <w:szCs w:val="16"/>
                <w:color w:val="auto"/>
              </w:rPr>
              <w:t>(15,333)</w:t>
            </w:r>
          </w:p>
        </w:tc>
        <w:tc>
          <w:tcPr>
            <w:tcW w:w="160" w:type="dxa"/>
            <w:vAlign w:val="bottom"/>
            <w:tcBorders>
              <w:bottom w:val="single" w:sz="8" w:color="auto"/>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1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(2,794)</w:t>
            </w:r>
          </w:p>
        </w:tc>
        <w:tc>
          <w:tcPr>
            <w:tcW w:w="40" w:type="dxa"/>
            <w:vAlign w:val="bottom"/>
            <w:tcBorders>
              <w:bottom w:val="single" w:sz="8" w:color="auto"/>
            </w:tcBorders>
          </w:tcPr>
          <w:p>
            <w:pPr>
              <w:spacing w:after="0"/>
              <w:rPr>
                <w:sz w:val="22"/>
                <w:szCs w:val="22"/>
                <w:color w:val="auto"/>
              </w:rPr>
            </w:pPr>
          </w:p>
        </w:tc>
        <w:tc>
          <w:tcPr>
            <w:tcW w:w="80" w:type="dxa"/>
            <w:vAlign w:val="bottom"/>
            <w:tcBorders>
              <w:bottom w:val="single" w:sz="8" w:color="auto"/>
            </w:tcBorders>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ind w:left="640"/>
              <w:spacing w:after="0"/>
              <w:rPr>
                <w:sz w:val="20"/>
                <w:szCs w:val="20"/>
                <w:color w:val="auto"/>
              </w:rPr>
            </w:pPr>
            <w:r>
              <w:rPr>
                <w:rFonts w:ascii="Arial" w:cs="Arial" w:eastAsia="Arial" w:hAnsi="Arial"/>
                <w:sz w:val="16"/>
                <w:szCs w:val="16"/>
                <w:color w:val="auto"/>
              </w:rPr>
              <w:t>—</w:t>
            </w:r>
          </w:p>
        </w:tc>
        <w:tc>
          <w:tcPr>
            <w:tcW w:w="100" w:type="dxa"/>
            <w:vAlign w:val="bottom"/>
            <w:tcBorders>
              <w:bottom w:val="single" w:sz="8" w:color="CCEEFF"/>
            </w:tcBorders>
            <w:gridSpan w:val="2"/>
          </w:tcPr>
          <w:p>
            <w:pPr>
              <w:spacing w:after="0"/>
              <w:rPr>
                <w:sz w:val="22"/>
                <w:szCs w:val="22"/>
                <w:color w:val="auto"/>
              </w:rPr>
            </w:pPr>
          </w:p>
        </w:tc>
        <w:tc>
          <w:tcPr>
            <w:tcW w:w="20" w:type="dxa"/>
            <w:vAlign w:val="bottom"/>
            <w:tcBorders>
              <w:bottom w:val="single" w:sz="8" w:color="auto"/>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0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(2,794)</w:t>
            </w:r>
          </w:p>
        </w:tc>
      </w:tr>
      <w:tr>
        <w:trPr>
          <w:trHeight w:val="264"/>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Net current-period OCI</w:t>
            </w:r>
          </w:p>
        </w:tc>
        <w:tc>
          <w:tcPr>
            <w:tcW w:w="6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(11,430)</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spacing w:after="0"/>
              <w:rPr>
                <w:sz w:val="22"/>
                <w:szCs w:val="22"/>
                <w:color w:val="auto"/>
              </w:rPr>
            </w:pP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(11,927)</w:t>
            </w:r>
          </w:p>
        </w:tc>
        <w:tc>
          <w:tcPr>
            <w:tcW w:w="16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14,907</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spacing w:after="0"/>
              <w:rPr>
                <w:sz w:val="22"/>
                <w:szCs w:val="22"/>
                <w:color w:val="auto"/>
              </w:rPr>
            </w:pP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spacing w:after="0"/>
              <w:rPr>
                <w:sz w:val="22"/>
                <w:szCs w:val="22"/>
                <w:color w:val="auto"/>
              </w:rPr>
            </w:pP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14,907</w:t>
            </w:r>
          </w:p>
        </w:tc>
      </w:tr>
      <w:tr>
        <w:trPr>
          <w:trHeight w:val="270"/>
        </w:trPr>
        <w:tc>
          <w:tcPr>
            <w:tcW w:w="27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12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40" w:type="dxa"/>
            <w:vAlign w:val="bottom"/>
            <w:tcBorders>
              <w:top w:val="single" w:sz="8" w:color="auto"/>
            </w:tcBorders>
          </w:tcPr>
          <w:p>
            <w:pPr>
              <w:spacing w:after="0"/>
              <w:rPr>
                <w:sz w:val="23"/>
                <w:szCs w:val="23"/>
                <w:color w:val="auto"/>
              </w:rPr>
            </w:pPr>
          </w:p>
        </w:tc>
        <w:tc>
          <w:tcPr>
            <w:tcW w:w="98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40" w:type="dxa"/>
            <w:vAlign w:val="bottom"/>
            <w:tcBorders>
              <w:top w:val="single" w:sz="8" w:color="auto"/>
            </w:tcBorders>
          </w:tcPr>
          <w:p>
            <w:pPr>
              <w:spacing w:after="0"/>
              <w:rPr>
                <w:sz w:val="23"/>
                <w:szCs w:val="23"/>
                <w:color w:val="auto"/>
              </w:rPr>
            </w:pPr>
          </w:p>
        </w:tc>
        <w:tc>
          <w:tcPr>
            <w:tcW w:w="120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92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300" w:type="dxa"/>
            <w:vAlign w:val="bottom"/>
            <w:tcBorders>
              <w:top w:val="single" w:sz="8" w:color="auto"/>
            </w:tcBorders>
          </w:tcPr>
          <w:p>
            <w:pPr>
              <w:spacing w:after="0"/>
              <w:rPr>
                <w:sz w:val="23"/>
                <w:szCs w:val="23"/>
                <w:color w:val="auto"/>
              </w:rPr>
            </w:pPr>
          </w:p>
        </w:tc>
        <w:tc>
          <w:tcPr>
            <w:tcW w:w="1060" w:type="dxa"/>
            <w:vAlign w:val="bottom"/>
            <w:tcBorders>
              <w:top w:val="single" w:sz="8" w:color="auto"/>
            </w:tcBorders>
          </w:tcPr>
          <w:p>
            <w:pPr>
              <w:spacing w:after="0"/>
              <w:rPr>
                <w:sz w:val="23"/>
                <w:szCs w:val="23"/>
                <w:color w:val="auto"/>
              </w:rPr>
            </w:pPr>
          </w:p>
        </w:tc>
      </w:tr>
      <w:tr>
        <w:trPr>
          <w:trHeight w:val="256"/>
        </w:trPr>
        <w:tc>
          <w:tcPr>
            <w:tcW w:w="2860" w:type="dxa"/>
            <w:vAlign w:val="bottom"/>
            <w:gridSpan w:val="3"/>
            <w:shd w:val="clear" w:color="auto" w:fill="CCEEFF"/>
          </w:tcPr>
          <w:p>
            <w:pPr>
              <w:ind w:left="40"/>
              <w:spacing w:after="0"/>
              <w:rPr>
                <w:sz w:val="20"/>
                <w:szCs w:val="20"/>
                <w:color w:val="auto"/>
              </w:rPr>
            </w:pPr>
            <w:r>
              <w:rPr>
                <w:rFonts w:ascii="Arial" w:cs="Arial" w:eastAsia="Arial" w:hAnsi="Arial"/>
                <w:sz w:val="16"/>
                <w:szCs w:val="16"/>
                <w:color w:val="auto"/>
              </w:rPr>
              <w:t>Balance at end of period</w:t>
            </w:r>
          </w:p>
        </w:tc>
        <w:tc>
          <w:tcPr>
            <w:tcW w:w="180" w:type="dxa"/>
            <w:vAlign w:val="bottom"/>
            <w:gridSpan w:val="2"/>
            <w:shd w:val="clear" w:color="auto" w:fill="CCEEFF"/>
          </w:tcPr>
          <w:p>
            <w:pPr>
              <w:ind w:left="80"/>
              <w:spacing w:after="0"/>
              <w:rPr>
                <w:sz w:val="20"/>
                <w:szCs w:val="20"/>
                <w:color w:val="auto"/>
              </w:rPr>
            </w:pPr>
            <w:r>
              <w:rPr>
                <w:rFonts w:ascii="Arial" w:cs="Arial" w:eastAsia="Arial" w:hAnsi="Arial"/>
                <w:sz w:val="16"/>
                <w:szCs w:val="16"/>
                <w:color w:val="auto"/>
                <w:w w:val="89"/>
              </w:rPr>
              <w:t>$</w:t>
            </w:r>
          </w:p>
        </w:tc>
        <w:tc>
          <w:tcPr>
            <w:tcW w:w="11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(455)</w:t>
            </w:r>
          </w:p>
        </w:tc>
        <w:tc>
          <w:tcPr>
            <w:tcW w:w="12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(497)</w:t>
            </w:r>
          </w:p>
        </w:tc>
        <w:tc>
          <w:tcPr>
            <w:tcW w:w="100" w:type="dxa"/>
            <w:vAlign w:val="bottom"/>
            <w:shd w:val="clear" w:color="auto" w:fill="CCEEFF"/>
          </w:tcPr>
          <w:p>
            <w:pPr>
              <w:spacing w:after="0"/>
              <w:rPr>
                <w:sz w:val="22"/>
                <w:szCs w:val="22"/>
                <w:color w:val="auto"/>
              </w:rPr>
            </w:pPr>
          </w:p>
        </w:tc>
        <w:tc>
          <w:tcPr>
            <w:tcW w:w="360" w:type="dxa"/>
            <w:vAlign w:val="bottom"/>
            <w:gridSpan w:val="3"/>
            <w:shd w:val="clear" w:color="auto" w:fill="CCEEFF"/>
          </w:tcPr>
          <w:p>
            <w:pPr>
              <w:jc w:val="right"/>
              <w:ind w:right="120"/>
              <w:spacing w:after="0"/>
              <w:rPr>
                <w:sz w:val="20"/>
                <w:szCs w:val="20"/>
                <w:color w:val="auto"/>
              </w:rPr>
            </w:pPr>
            <w:r>
              <w:rPr>
                <w:rFonts w:ascii="Arial" w:cs="Arial" w:eastAsia="Arial" w:hAnsi="Arial"/>
                <w:sz w:val="16"/>
                <w:szCs w:val="16"/>
                <w:color w:val="auto"/>
              </w:rPr>
              <w:t>$</w:t>
            </w:r>
          </w:p>
        </w:tc>
        <w:tc>
          <w:tcPr>
            <w:tcW w:w="98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(952)</w:t>
            </w:r>
          </w:p>
        </w:tc>
        <w:tc>
          <w:tcPr>
            <w:tcW w:w="420" w:type="dxa"/>
            <w:vAlign w:val="bottom"/>
            <w:gridSpan w:val="4"/>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0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12,633</w:t>
            </w:r>
          </w:p>
        </w:tc>
        <w:tc>
          <w:tcPr>
            <w:tcW w:w="4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w w:val="89"/>
              </w:rPr>
              <w:t>$</w:t>
            </w:r>
          </w:p>
        </w:tc>
        <w:tc>
          <w:tcPr>
            <w:tcW w:w="1040" w:type="dxa"/>
            <w:vAlign w:val="bottom"/>
            <w:gridSpan w:val="4"/>
            <w:shd w:val="clear" w:color="auto" w:fill="CCEEFF"/>
          </w:tcPr>
          <w:p>
            <w:pPr>
              <w:ind w:left="64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06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12,633</w:t>
            </w:r>
          </w:p>
        </w:tc>
      </w:tr>
      <w:tr>
        <w:trPr>
          <w:trHeight w:val="20"/>
        </w:trPr>
        <w:tc>
          <w:tcPr>
            <w:tcW w:w="27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16"/>
          <w:szCs w:val="16"/>
          <w:color w:val="auto"/>
        </w:rPr>
        <w:t>Reclassifications out of AOCI in net periodic benefit costs, net of tax, were:</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980" w:type="dxa"/>
            <w:vAlign w:val="bottom"/>
            <w:gridSpan w:val="5"/>
          </w:tcPr>
          <w:p>
            <w:pPr>
              <w:jc w:val="center"/>
              <w:ind w:right="340"/>
              <w:spacing w:after="0"/>
              <w:rPr>
                <w:sz w:val="20"/>
                <w:szCs w:val="20"/>
                <w:color w:val="auto"/>
              </w:rPr>
            </w:pPr>
            <w:r>
              <w:rPr>
                <w:rFonts w:ascii="Arial" w:cs="Arial" w:eastAsia="Arial" w:hAnsi="Arial"/>
                <w:sz w:val="16"/>
                <w:szCs w:val="16"/>
                <w:b w:val="1"/>
                <w:bCs w:val="1"/>
                <w:color w:val="auto"/>
              </w:rPr>
              <w:t>Three Months Ended</w:t>
            </w:r>
          </w:p>
        </w:tc>
        <w:tc>
          <w:tcPr>
            <w:tcW w:w="300" w:type="dxa"/>
            <w:vAlign w:val="bottom"/>
          </w:tcPr>
          <w:p>
            <w:pPr>
              <w:spacing w:after="0"/>
              <w:rPr>
                <w:sz w:val="19"/>
                <w:szCs w:val="19"/>
                <w:color w:val="auto"/>
              </w:rPr>
            </w:pPr>
          </w:p>
        </w:tc>
        <w:tc>
          <w:tcPr>
            <w:tcW w:w="3040" w:type="dxa"/>
            <w:vAlign w:val="bottom"/>
            <w:gridSpan w:val="4"/>
          </w:tcPr>
          <w:p>
            <w:pPr>
              <w:jc w:val="right"/>
              <w:ind w:right="819"/>
              <w:spacing w:after="0"/>
              <w:rPr>
                <w:sz w:val="20"/>
                <w:szCs w:val="20"/>
                <w:color w:val="auto"/>
              </w:rPr>
            </w:pPr>
            <w:r>
              <w:rPr>
                <w:rFonts w:ascii="Arial" w:cs="Arial" w:eastAsia="Arial" w:hAnsi="Arial"/>
                <w:sz w:val="16"/>
                <w:szCs w:val="16"/>
                <w:b w:val="1"/>
                <w:bCs w:val="1"/>
                <w:color w:val="auto"/>
              </w:rPr>
              <w:t>Nine Months Ended</w:t>
            </w:r>
          </w:p>
        </w:tc>
      </w:tr>
      <w:tr>
        <w:trPr>
          <w:trHeight w:val="182"/>
        </w:trPr>
        <w:tc>
          <w:tcPr>
            <w:tcW w:w="27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960" w:type="dxa"/>
            <w:vAlign w:val="bottom"/>
            <w:gridSpan w:val="2"/>
          </w:tcPr>
          <w:p>
            <w:pPr>
              <w:jc w:val="center"/>
              <w:ind w:right="120"/>
              <w:spacing w:after="0" w:line="183" w:lineRule="exact"/>
              <w:rPr>
                <w:sz w:val="20"/>
                <w:szCs w:val="20"/>
                <w:color w:val="auto"/>
              </w:rPr>
            </w:pPr>
            <w:r>
              <w:rPr>
                <w:rFonts w:ascii="Arial" w:cs="Arial" w:eastAsia="Arial" w:hAnsi="Arial"/>
                <w:sz w:val="16"/>
                <w:szCs w:val="16"/>
                <w:b w:val="1"/>
                <w:bCs w:val="1"/>
                <w:color w:val="auto"/>
              </w:rPr>
              <w:t>Location on</w:t>
            </w:r>
          </w:p>
        </w:tc>
        <w:tc>
          <w:tcPr>
            <w:tcW w:w="260" w:type="dxa"/>
            <w:vAlign w:val="bottom"/>
            <w:tcBorders>
              <w:top w:val="single" w:sz="8" w:color="auto"/>
            </w:tcBorders>
          </w:tcPr>
          <w:p>
            <w:pPr>
              <w:spacing w:after="0"/>
              <w:rPr>
                <w:sz w:val="15"/>
                <w:szCs w:val="15"/>
                <w:color w:val="auto"/>
              </w:rPr>
            </w:pPr>
          </w:p>
        </w:tc>
        <w:tc>
          <w:tcPr>
            <w:tcW w:w="114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0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c>
          <w:tcPr>
            <w:tcW w:w="100" w:type="dxa"/>
            <w:vAlign w:val="bottom"/>
            <w:tcBorders>
              <w:top w:val="single" w:sz="8" w:color="auto"/>
            </w:tcBorders>
          </w:tcPr>
          <w:p>
            <w:pPr>
              <w:spacing w:after="0"/>
              <w:rPr>
                <w:sz w:val="15"/>
                <w:szCs w:val="15"/>
                <w:color w:val="auto"/>
              </w:rPr>
            </w:pPr>
          </w:p>
        </w:tc>
        <w:tc>
          <w:tcPr>
            <w:tcW w:w="300" w:type="dxa"/>
            <w:vAlign w:val="bottom"/>
            <w:tcBorders>
              <w:top w:val="single" w:sz="8" w:color="auto"/>
            </w:tcBorders>
          </w:tcPr>
          <w:p>
            <w:pPr>
              <w:spacing w:after="0"/>
              <w:rPr>
                <w:sz w:val="15"/>
                <w:szCs w:val="15"/>
                <w:color w:val="auto"/>
              </w:rPr>
            </w:pPr>
          </w:p>
        </w:tc>
        <w:tc>
          <w:tcPr>
            <w:tcW w:w="1320" w:type="dxa"/>
            <w:vAlign w:val="bottom"/>
            <w:tcBorders>
              <w:top w:val="single" w:sz="8" w:color="auto"/>
            </w:tcBorders>
          </w:tcPr>
          <w:p>
            <w:pPr>
              <w:spacing w:after="0"/>
              <w:rPr>
                <w:sz w:val="15"/>
                <w:szCs w:val="15"/>
                <w:color w:val="auto"/>
              </w:rPr>
            </w:pPr>
          </w:p>
        </w:tc>
      </w:tr>
      <w:tr>
        <w:trPr>
          <w:trHeight w:val="189"/>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Consolidated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Statements</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of Income and</w:t>
            </w:r>
          </w:p>
        </w:tc>
        <w:tc>
          <w:tcPr>
            <w:tcW w:w="26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320" w:type="dxa"/>
            <w:vAlign w:val="bottom"/>
          </w:tcPr>
          <w:p>
            <w:pPr>
              <w:spacing w:after="0"/>
              <w:rPr>
                <w:sz w:val="16"/>
                <w:szCs w:val="16"/>
                <w:color w:val="auto"/>
              </w:rPr>
            </w:pPr>
          </w:p>
        </w:tc>
      </w:tr>
      <w:tr>
        <w:trPr>
          <w:trHeight w:val="189"/>
        </w:trPr>
        <w:tc>
          <w:tcPr>
            <w:tcW w:w="2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96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rPr>
              <w:t>Comprehensive</w:t>
            </w:r>
          </w:p>
        </w:tc>
        <w:tc>
          <w:tcPr>
            <w:tcW w:w="260" w:type="dxa"/>
            <w:vAlign w:val="bottom"/>
          </w:tcPr>
          <w:p>
            <w:pPr>
              <w:spacing w:after="0"/>
              <w:rPr>
                <w:sz w:val="16"/>
                <w:szCs w:val="16"/>
                <w:color w:val="auto"/>
              </w:rPr>
            </w:pPr>
          </w:p>
        </w:tc>
        <w:tc>
          <w:tcPr>
            <w:tcW w:w="1260" w:type="dxa"/>
            <w:vAlign w:val="bottom"/>
            <w:gridSpan w:val="2"/>
          </w:tcPr>
          <w:p>
            <w:pPr>
              <w:ind w:left="140"/>
              <w:spacing w:after="0"/>
              <w:rPr>
                <w:sz w:val="20"/>
                <w:szCs w:val="20"/>
                <w:color w:val="auto"/>
              </w:rPr>
            </w:pPr>
            <w:r>
              <w:rPr>
                <w:rFonts w:ascii="Arial" w:cs="Arial" w:eastAsia="Arial" w:hAnsi="Arial"/>
                <w:sz w:val="16"/>
                <w:szCs w:val="16"/>
                <w:b w:val="1"/>
                <w:bCs w:val="1"/>
                <w:color w:val="auto"/>
              </w:rPr>
              <w:t>May 27,</w:t>
            </w: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28,</w:t>
            </w:r>
          </w:p>
        </w:tc>
        <w:tc>
          <w:tcPr>
            <w:tcW w:w="300" w:type="dxa"/>
            <w:vAlign w:val="bottom"/>
          </w:tcPr>
          <w:p>
            <w:pPr>
              <w:spacing w:after="0"/>
              <w:rPr>
                <w:sz w:val="16"/>
                <w:szCs w:val="16"/>
                <w:color w:val="auto"/>
              </w:rPr>
            </w:pPr>
          </w:p>
        </w:tc>
        <w:tc>
          <w:tcPr>
            <w:tcW w:w="1420" w:type="dxa"/>
            <w:vAlign w:val="bottom"/>
            <w:gridSpan w:val="2"/>
          </w:tcPr>
          <w:p>
            <w:pPr>
              <w:ind w:left="180"/>
              <w:spacing w:after="0"/>
              <w:rPr>
                <w:sz w:val="20"/>
                <w:szCs w:val="20"/>
                <w:color w:val="auto"/>
              </w:rPr>
            </w:pPr>
            <w:r>
              <w:rPr>
                <w:rFonts w:ascii="Arial" w:cs="Arial" w:eastAsia="Arial" w:hAnsi="Arial"/>
                <w:sz w:val="16"/>
                <w:szCs w:val="16"/>
                <w:b w:val="1"/>
                <w:bCs w:val="1"/>
                <w:color w:val="auto"/>
              </w:rPr>
              <w:t>May 27,</w:t>
            </w:r>
          </w:p>
        </w:tc>
        <w:tc>
          <w:tcPr>
            <w:tcW w:w="300" w:type="dxa"/>
            <w:vAlign w:val="bottom"/>
          </w:tcPr>
          <w:p>
            <w:pPr>
              <w:spacing w:after="0"/>
              <w:rPr>
                <w:sz w:val="16"/>
                <w:szCs w:val="16"/>
                <w:color w:val="auto"/>
              </w:rPr>
            </w:pPr>
          </w:p>
        </w:tc>
        <w:tc>
          <w:tcPr>
            <w:tcW w:w="1320" w:type="dxa"/>
            <w:vAlign w:val="bottom"/>
          </w:tcPr>
          <w:p>
            <w:pPr>
              <w:jc w:val="right"/>
              <w:ind w:right="459"/>
              <w:spacing w:after="0"/>
              <w:rPr>
                <w:sz w:val="20"/>
                <w:szCs w:val="20"/>
                <w:color w:val="auto"/>
              </w:rPr>
            </w:pPr>
            <w:r>
              <w:rPr>
                <w:rFonts w:ascii="Arial" w:cs="Arial" w:eastAsia="Arial" w:hAnsi="Arial"/>
                <w:sz w:val="16"/>
                <w:szCs w:val="16"/>
                <w:b w:val="1"/>
                <w:bCs w:val="1"/>
                <w:color w:val="auto"/>
              </w:rPr>
              <w:t>May 28,</w:t>
            </w:r>
          </w:p>
        </w:tc>
      </w:tr>
      <w:tr>
        <w:trPr>
          <w:trHeight w:val="232"/>
        </w:trPr>
        <w:tc>
          <w:tcPr>
            <w:tcW w:w="27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18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Income</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2017</w:t>
            </w:r>
          </w:p>
        </w:tc>
        <w:tc>
          <w:tcPr>
            <w:tcW w:w="100" w:type="dxa"/>
            <w:vAlign w:val="bottom"/>
            <w:tcBorders>
              <w:bottom w:val="single" w:sz="8" w:color="CCEEFF"/>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132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r>
      <w:tr>
        <w:trPr>
          <w:trHeight w:val="254"/>
        </w:trPr>
        <w:tc>
          <w:tcPr>
            <w:tcW w:w="28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prior service credit</w:t>
            </w:r>
          </w:p>
        </w:tc>
        <w:tc>
          <w:tcPr>
            <w:tcW w:w="1960" w:type="dxa"/>
            <w:vAlign w:val="bottom"/>
            <w:gridSpan w:val="2"/>
            <w:shd w:val="clear" w:color="auto" w:fill="CCEEFF"/>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(1,243)</w:t>
            </w:r>
          </w:p>
        </w:tc>
        <w:tc>
          <w:tcPr>
            <w:tcW w:w="12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(25,035)</w:t>
            </w:r>
          </w:p>
        </w:tc>
        <w:tc>
          <w:tcPr>
            <w:tcW w:w="100" w:type="dxa"/>
            <w:vAlign w:val="bottom"/>
            <w:shd w:val="clear" w:color="auto" w:fill="CCEEFF"/>
          </w:tcPr>
          <w:p>
            <w:pPr>
              <w:spacing w:after="0"/>
              <w:rPr>
                <w:sz w:val="22"/>
                <w:szCs w:val="22"/>
                <w:color w:val="auto"/>
              </w:rPr>
            </w:pPr>
          </w:p>
        </w:tc>
        <w:tc>
          <w:tcPr>
            <w:tcW w:w="300" w:type="dxa"/>
            <w:vAlign w:val="bottom"/>
            <w:shd w:val="clear" w:color="auto" w:fill="CCEEFF"/>
          </w:tcPr>
          <w:p>
            <w:pPr>
              <w:spacing w:after="0"/>
              <w:rPr>
                <w:sz w:val="22"/>
                <w:szCs w:val="22"/>
                <w:color w:val="auto"/>
              </w:rPr>
            </w:pPr>
          </w:p>
        </w:tc>
        <w:tc>
          <w:tcPr>
            <w:tcW w:w="13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(3,545)</w:t>
            </w:r>
          </w:p>
        </w:tc>
      </w:tr>
      <w:tr>
        <w:trPr>
          <w:trHeight w:val="264"/>
        </w:trPr>
        <w:tc>
          <w:tcPr>
            <w:tcW w:w="28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Amortization of net actuarial loss</w:t>
            </w:r>
          </w:p>
        </w:tc>
        <w:tc>
          <w:tcPr>
            <w:tcW w:w="1960" w:type="dxa"/>
            <w:vAlign w:val="bottom"/>
            <w:tcBorders>
              <w:bottom w:val="single" w:sz="8" w:color="CCEEFF"/>
            </w:tcBorders>
            <w:gridSpan w:val="2"/>
          </w:tcPr>
          <w:p>
            <w:pPr>
              <w:ind w:left="20"/>
              <w:spacing w:after="0"/>
              <w:rPr>
                <w:sz w:val="20"/>
                <w:szCs w:val="20"/>
                <w:color w:val="auto"/>
              </w:rPr>
            </w:pPr>
            <w:r>
              <w:rPr>
                <w:rFonts w:ascii="Arial" w:cs="Arial" w:eastAsia="Arial" w:hAnsi="Arial"/>
                <w:sz w:val="16"/>
                <w:szCs w:val="16"/>
                <w:color w:val="auto"/>
              </w:rPr>
              <w:t>Operating expenses</w:t>
            </w:r>
          </w:p>
        </w:tc>
        <w:tc>
          <w:tcPr>
            <w:tcW w:w="26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260</w:t>
            </w:r>
          </w:p>
        </w:tc>
        <w:tc>
          <w:tcPr>
            <w:tcW w:w="12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color w:val="auto"/>
              </w:rPr>
              <w:t>9,702</w:t>
            </w:r>
          </w:p>
        </w:tc>
        <w:tc>
          <w:tcPr>
            <w:tcW w:w="100" w:type="dxa"/>
            <w:vAlign w:val="bottom"/>
            <w:tcBorders>
              <w:bottom w:val="single" w:sz="8" w:color="CCEEFF"/>
            </w:tcBorders>
          </w:tcPr>
          <w:p>
            <w:pPr>
              <w:spacing w:after="0"/>
              <w:rPr>
                <w:sz w:val="22"/>
                <w:szCs w:val="22"/>
                <w:color w:val="auto"/>
              </w:rPr>
            </w:pPr>
          </w:p>
        </w:tc>
        <w:tc>
          <w:tcPr>
            <w:tcW w:w="300" w:type="dxa"/>
            <w:vAlign w:val="bottom"/>
            <w:tcBorders>
              <w:bottom w:val="single" w:sz="8" w:color="auto"/>
            </w:tcBorders>
          </w:tcPr>
          <w:p>
            <w:pPr>
              <w:spacing w:after="0"/>
              <w:rPr>
                <w:sz w:val="22"/>
                <w:szCs w:val="22"/>
                <w:color w:val="auto"/>
              </w:rPr>
            </w:pPr>
          </w:p>
        </w:tc>
        <w:tc>
          <w:tcPr>
            <w:tcW w:w="132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751</w:t>
            </w:r>
          </w:p>
        </w:tc>
      </w:tr>
      <w:tr>
        <w:trPr>
          <w:trHeight w:val="242"/>
        </w:trPr>
        <w:tc>
          <w:tcPr>
            <w:tcW w:w="28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 reclassifications</w:t>
            </w:r>
          </w:p>
        </w:tc>
        <w:tc>
          <w:tcPr>
            <w:tcW w:w="1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14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6</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center"/>
              <w:ind w:right="79"/>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(983)</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w w:val="89"/>
              </w:rPr>
              <w:t>$</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(15,333)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132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(2,794)</w:t>
            </w:r>
          </w:p>
        </w:tc>
      </w:tr>
      <w:tr>
        <w:trPr>
          <w:trHeight w:val="20"/>
        </w:trPr>
        <w:tc>
          <w:tcPr>
            <w:tcW w:w="27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r>
    </w:tbl>
    <w:p>
      <w:pPr>
        <w:spacing w:after="0" w:line="19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Management's Discussion and Analysis of Financial Condition and Results of Operations</w:t>
      </w:r>
    </w:p>
    <w:p>
      <w:pPr>
        <w:spacing w:after="0" w:line="169" w:lineRule="exact"/>
        <w:rPr>
          <w:sz w:val="20"/>
          <w:szCs w:val="20"/>
          <w:color w:val="auto"/>
        </w:rPr>
      </w:pPr>
    </w:p>
    <w:p>
      <w:pPr>
        <w:jc w:val="both"/>
        <w:ind w:right="40"/>
        <w:spacing w:after="0" w:line="199" w:lineRule="exact"/>
        <w:rPr>
          <w:sz w:val="20"/>
          <w:szCs w:val="20"/>
          <w:color w:val="auto"/>
        </w:rPr>
      </w:pPr>
      <w:r>
        <w:rPr>
          <w:rFonts w:ascii="Arial" w:cs="Arial" w:eastAsia="Arial" w:hAnsi="Arial"/>
          <w:sz w:val="16"/>
          <w:szCs w:val="16"/>
          <w:color w:val="auto"/>
        </w:rPr>
        <w:t>This management's discussion should be read in conjunction with the Unaudited Consolidated Financial Statements contained in this Form 10-Q as well as the Management's Discussion and Analysis and Risk Factors included in our Annual Report on Form 10</w:t>
      </w:r>
      <w:r>
        <w:rPr>
          <w:rFonts w:ascii="MS PGothic" w:cs="MS PGothic" w:eastAsia="MS PGothic" w:hAnsi="MS PGothic"/>
          <w:sz w:val="16"/>
          <w:szCs w:val="16"/>
          <w:color w:val="auto"/>
        </w:rPr>
        <w:t>‑</w:t>
      </w:r>
      <w:r>
        <w:rPr>
          <w:rFonts w:ascii="Arial" w:cs="Arial" w:eastAsia="Arial" w:hAnsi="Arial"/>
          <w:sz w:val="16"/>
          <w:szCs w:val="16"/>
          <w:color w:val="auto"/>
        </w:rPr>
        <w:t>K for the fiscal year ended August 27, 2016 and in Part II, Item 1A of this Quarterly Report on Form 10-Q.</w:t>
      </w:r>
    </w:p>
    <w:p>
      <w:pPr>
        <w:spacing w:after="0" w:line="15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Forward-Looking Information</w:t>
      </w:r>
    </w:p>
    <w:p>
      <w:pPr>
        <w:spacing w:after="0" w:line="196" w:lineRule="exact"/>
        <w:rPr>
          <w:sz w:val="20"/>
          <w:szCs w:val="20"/>
          <w:color w:val="auto"/>
        </w:rPr>
      </w:pPr>
    </w:p>
    <w:p>
      <w:pPr>
        <w:ind w:right="140"/>
        <w:spacing w:after="0" w:line="254" w:lineRule="auto"/>
        <w:rPr>
          <w:sz w:val="20"/>
          <w:szCs w:val="20"/>
          <w:color w:val="auto"/>
        </w:rPr>
      </w:pPr>
      <w:r>
        <w:rPr>
          <w:rFonts w:ascii="Arial" w:cs="Arial" w:eastAsia="Arial" w:hAnsi="Arial"/>
          <w:sz w:val="16"/>
          <w:szCs w:val="16"/>
          <w:color w:val="auto"/>
        </w:rPr>
        <w:t>This Quarterly Report on Form 10-Q may contain forward-looking statements within the meaning of the Private Securities Litigation Reform Act of 1995. Investors are cautioned that forward-looking statements are inherently uncertain. A number of factors could cause actual results to differ materially from these statements, including, but not limited to increases in interest rates, availability of credit, low consumer confidence, availability of labor, significant increase in repurchase obligations, inadequate liquidity or capital resources, availability and price of fuel, a slowdown in the economy, increased material and component costs, availability of chassis and other key component parts, sales order cancellations, slower than anticipated sales of new or existing products, new product introductions by competitors, the effect of global tensions, integration of operations relating to mergers and acquisitions activities, any unexpected expenses related to ERP, risks relating to the integration of our acquisition of Grand Design including:</w:t>
      </w:r>
    </w:p>
    <w:p>
      <w:pPr>
        <w:sectPr>
          <w:pgSz w:w="11900" w:h="16838" w:orient="portrait"/>
          <w:cols w:equalWidth="0" w:num="1">
            <w:col w:w="11420"/>
          </w:cols>
          <w:pgMar w:left="240" w:top="121" w:right="239" w:bottom="1440" w:gutter="0" w:footer="0" w:header="0"/>
        </w:sectPr>
      </w:pP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19</w:t>
      </w:r>
    </w:p>
    <w:p>
      <w:pPr>
        <w:sectPr>
          <w:pgSz w:w="11900" w:h="16838" w:orient="portrait"/>
          <w:cols w:equalWidth="0" w:num="1">
            <w:col w:w="11420"/>
          </w:cols>
          <w:pgMar w:left="240" w:top="121" w:right="239" w:bottom="1440" w:gutter="0" w:footer="0" w:header="0"/>
          <w:type w:val="continuous"/>
        </w:sectPr>
      </w:pPr>
    </w:p>
    <w:bookmarkStart w:id="21" w:name="page22"/>
    <w:bookmarkEnd w:id="2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60"/>
        <w:spacing w:after="0" w:line="254" w:lineRule="auto"/>
        <w:rPr>
          <w:sz w:val="20"/>
          <w:szCs w:val="20"/>
          <w:color w:val="auto"/>
        </w:rPr>
      </w:pPr>
      <w:r>
        <w:rPr>
          <w:rFonts w:ascii="Arial" w:cs="Arial" w:eastAsia="Arial" w:hAnsi="Arial"/>
          <w:sz w:val="16"/>
          <w:szCs w:val="16"/>
          <w:color w:val="auto"/>
        </w:rPr>
        <w:t>risks inherent in the achievement of cost synergies and the timing thereof, risks related to the disruption of the transaction to Winnebago and Grand Design and its management, the effect of the transaction on Grand Design's ability to retain and hire key personnel and maintain relationships with customers, suppliers and other third parties, risk related to compliance with debt covenants and leverage ratios, risks related to integration of the two companies and other factors. Additional information concerning certain risks and uncertainties that could cause actual results to differ materially from that projected or suggested is contained in our filings with the SEC over the last 12 months, copies of which are available from the SEC or from us upon request. We disclaim any obligation or undertaking to disseminate any updates or revisions to any forward-looking statements contained in this release or to reflect any changes in expectations after the date of this release or any change in events, conditions or circumstances on which any statement is based, except as required by law.</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Overview</w:t>
      </w:r>
    </w:p>
    <w:p>
      <w:pPr>
        <w:spacing w:after="0" w:line="169" w:lineRule="exact"/>
        <w:rPr>
          <w:sz w:val="20"/>
          <w:szCs w:val="20"/>
          <w:color w:val="auto"/>
        </w:rPr>
      </w:pPr>
    </w:p>
    <w:p>
      <w:pPr>
        <w:ind w:right="520"/>
        <w:spacing w:after="0" w:line="261" w:lineRule="auto"/>
        <w:rPr>
          <w:sz w:val="20"/>
          <w:szCs w:val="20"/>
          <w:color w:val="auto"/>
        </w:rPr>
      </w:pPr>
      <w:r>
        <w:rPr>
          <w:rFonts w:ascii="Arial" w:cs="Arial" w:eastAsia="Arial" w:hAnsi="Arial"/>
          <w:sz w:val="16"/>
          <w:szCs w:val="16"/>
          <w:color w:val="auto"/>
        </w:rPr>
        <w:t>Winnebago Industries, Inc. is a leading US manufacturer of RVs with a proud history of manufacturing RV products for more than 50 years. We currently produce the majority of our motorhomes in vertically integrated manufacturing facilities in Iowa and we produce all travel trailer and fifth wheel trailers in Indiana. We are in the process of expanding some motorhome manufacturing to Junction City, Oregon. We distribute our products primarily through independent dealers throughout the US and Canada, who then retail the products to the end consumer.</w:t>
      </w:r>
    </w:p>
    <w:p>
      <w:pPr>
        <w:spacing w:after="0" w:line="118"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Significant Transaction</w:t>
      </w:r>
    </w:p>
    <w:p>
      <w:pPr>
        <w:spacing w:after="0" w:line="194" w:lineRule="exact"/>
        <w:rPr>
          <w:sz w:val="20"/>
          <w:szCs w:val="20"/>
          <w:color w:val="auto"/>
        </w:rPr>
      </w:pPr>
    </w:p>
    <w:p>
      <w:pPr>
        <w:ind w:right="40"/>
        <w:spacing w:after="0" w:line="261" w:lineRule="auto"/>
        <w:rPr>
          <w:sz w:val="20"/>
          <w:szCs w:val="20"/>
          <w:color w:val="auto"/>
        </w:rPr>
      </w:pPr>
      <w:r>
        <w:rPr>
          <w:rFonts w:ascii="Arial" w:cs="Arial" w:eastAsia="Arial" w:hAnsi="Arial"/>
          <w:sz w:val="16"/>
          <w:szCs w:val="16"/>
          <w:color w:val="auto"/>
        </w:rPr>
        <w:t>On November 8, 2016, we closed on the acquisition of all the issued and outstanding capital stock of towable RV manufacturer Grand Design for initial consideration of $520.5 million. This acquisition was funded from our cash on hand, $353.0 million from asset-based revolving and term loan credit facilities, as well as stock consideration as is more fully described in Note 2 and Note 9 to the Consolidated Financial Statements. We purchased Grand Design to significantly expand our existing towable RV product offerings and dealer base and acquire executive talent in the RV industry.</w:t>
      </w:r>
    </w:p>
    <w:p>
      <w:pPr>
        <w:spacing w:after="0" w:line="145" w:lineRule="exact"/>
        <w:rPr>
          <w:sz w:val="20"/>
          <w:szCs w:val="20"/>
          <w:color w:val="auto"/>
        </w:rPr>
      </w:pPr>
    </w:p>
    <w:p>
      <w:pPr>
        <w:ind w:right="80"/>
        <w:spacing w:after="0" w:line="257" w:lineRule="auto"/>
        <w:rPr>
          <w:sz w:val="20"/>
          <w:szCs w:val="20"/>
          <w:color w:val="auto"/>
        </w:rPr>
      </w:pPr>
      <w:r>
        <w:rPr>
          <w:rFonts w:ascii="Arial" w:cs="Arial" w:eastAsia="Arial" w:hAnsi="Arial"/>
          <w:sz w:val="16"/>
          <w:szCs w:val="16"/>
          <w:color w:val="auto"/>
        </w:rPr>
        <w:t>In the first quarter of Fiscal 2017, we revised our reporting segments. Previously, we had one reporting segment which included all RV products and services. With the acquisition of Grand Design in the first quarter, we expanded the number of reporting segments to two: (1) Motorized products and services and (2) Towable products and services. The Motorized segment includes all products that include a motorized chassis as well as other related manufactured products. The Towable segment includes all products which are not motorized and are generally towed by another vehicle. Prior year segment information has been restated to conform to the current reporting segment presentation.</w:t>
      </w:r>
    </w:p>
    <w:p>
      <w:pPr>
        <w:spacing w:after="0" w:line="149"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Market Share</w:t>
      </w:r>
    </w:p>
    <w:p>
      <w:pPr>
        <w:spacing w:after="0" w:line="208" w:lineRule="exact"/>
        <w:rPr>
          <w:sz w:val="20"/>
          <w:szCs w:val="20"/>
          <w:color w:val="auto"/>
        </w:rPr>
      </w:pPr>
    </w:p>
    <w:p>
      <w:pPr>
        <w:ind w:right="640"/>
        <w:spacing w:after="0" w:line="327" w:lineRule="auto"/>
        <w:rPr>
          <w:sz w:val="20"/>
          <w:szCs w:val="20"/>
          <w:color w:val="auto"/>
        </w:rPr>
      </w:pPr>
      <w:r>
        <w:rPr>
          <w:rFonts w:ascii="Arial" w:cs="Arial" w:eastAsia="Arial" w:hAnsi="Arial"/>
          <w:sz w:val="16"/>
          <w:szCs w:val="16"/>
          <w:color w:val="auto"/>
        </w:rPr>
        <w:t>Our retail unit market share, as reported by Stat Surveys based on state records, is illustrated below. Note that this data is subject to adjustment and is continuously updated.</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Rolling 12 Months</w:t>
            </w:r>
          </w:p>
        </w:tc>
        <w:tc>
          <w:tcPr>
            <w:tcW w:w="140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180" w:type="dxa"/>
            <w:vAlign w:val="bottom"/>
          </w:tcPr>
          <w:p>
            <w:pPr>
              <w:spacing w:after="0"/>
              <w:rPr>
                <w:sz w:val="14"/>
                <w:szCs w:val="14"/>
                <w:color w:val="auto"/>
              </w:rPr>
            </w:pPr>
          </w:p>
        </w:tc>
      </w:tr>
      <w:tr>
        <w:trPr>
          <w:trHeight w:val="203"/>
        </w:trPr>
        <w:tc>
          <w:tcPr>
            <w:tcW w:w="3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Through April</w:t>
            </w:r>
          </w:p>
        </w:tc>
        <w:tc>
          <w:tcPr>
            <w:tcW w:w="1400" w:type="dxa"/>
            <w:vAlign w:val="bottom"/>
          </w:tcPr>
          <w:p>
            <w:pPr>
              <w:spacing w:after="0"/>
              <w:rPr>
                <w:sz w:val="17"/>
                <w:szCs w:val="17"/>
                <w:color w:val="auto"/>
              </w:rPr>
            </w:pPr>
          </w:p>
        </w:tc>
        <w:tc>
          <w:tcPr>
            <w:tcW w:w="2580" w:type="dxa"/>
            <w:vAlign w:val="bottom"/>
            <w:gridSpan w:val="2"/>
          </w:tcPr>
          <w:p>
            <w:pPr>
              <w:jc w:val="right"/>
              <w:ind w:right="822"/>
              <w:spacing w:after="0"/>
              <w:rPr>
                <w:sz w:val="20"/>
                <w:szCs w:val="20"/>
                <w:color w:val="auto"/>
              </w:rPr>
            </w:pPr>
            <w:r>
              <w:rPr>
                <w:rFonts w:ascii="Arial" w:cs="Arial" w:eastAsia="Arial" w:hAnsi="Arial"/>
                <w:sz w:val="14"/>
                <w:szCs w:val="14"/>
                <w:b w:val="1"/>
                <w:bCs w:val="1"/>
                <w:color w:val="auto"/>
              </w:rPr>
              <w:t>Calendar Year</w:t>
            </w:r>
          </w:p>
        </w:tc>
        <w:tc>
          <w:tcPr>
            <w:tcW w:w="1180" w:type="dxa"/>
            <w:vAlign w:val="bottom"/>
          </w:tcPr>
          <w:p>
            <w:pPr>
              <w:spacing w:after="0"/>
              <w:rPr>
                <w:sz w:val="17"/>
                <w:szCs w:val="17"/>
                <w:color w:val="auto"/>
              </w:rPr>
            </w:pPr>
          </w:p>
        </w:tc>
      </w:tr>
      <w:tr>
        <w:trPr>
          <w:trHeight w:val="250"/>
        </w:trPr>
        <w:tc>
          <w:tcPr>
            <w:tcW w:w="35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US and Canada</w:t>
            </w:r>
          </w:p>
        </w:tc>
        <w:tc>
          <w:tcPr>
            <w:tcW w:w="120" w:type="dxa"/>
            <w:vAlign w:val="bottom"/>
            <w:tcBorders>
              <w:bottom w:val="single" w:sz="8" w:color="CCEEFF"/>
            </w:tcBorders>
          </w:tcPr>
          <w:p>
            <w:pPr>
              <w:spacing w:after="0"/>
              <w:rPr>
                <w:sz w:val="21"/>
                <w:szCs w:val="21"/>
                <w:color w:val="auto"/>
              </w:rPr>
            </w:pPr>
          </w:p>
        </w:tc>
        <w:tc>
          <w:tcPr>
            <w:tcW w:w="1320" w:type="dxa"/>
            <w:vAlign w:val="bottom"/>
            <w:tcBorders>
              <w:top w:val="single" w:sz="8" w:color="auto"/>
              <w:bottom w:val="single" w:sz="8" w:color="auto"/>
            </w:tcBorders>
          </w:tcPr>
          <w:p>
            <w:pPr>
              <w:jc w:val="right"/>
              <w:ind w:right="484"/>
              <w:spacing w:after="0"/>
              <w:rPr>
                <w:sz w:val="20"/>
                <w:szCs w:val="20"/>
                <w:color w:val="auto"/>
              </w:rPr>
            </w:pPr>
            <w:r>
              <w:rPr>
                <w:rFonts w:ascii="Arial" w:cs="Arial" w:eastAsia="Arial" w:hAnsi="Arial"/>
                <w:sz w:val="14"/>
                <w:szCs w:val="14"/>
                <w:b w:val="1"/>
                <w:bCs w:val="1"/>
                <w:color w:val="auto"/>
              </w:rPr>
              <w:t>2017</w:t>
            </w:r>
          </w:p>
        </w:tc>
        <w:tc>
          <w:tcPr>
            <w:tcW w:w="11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1"/>
                <w:szCs w:val="21"/>
                <w:color w:val="auto"/>
              </w:rPr>
            </w:pPr>
          </w:p>
        </w:tc>
        <w:tc>
          <w:tcPr>
            <w:tcW w:w="14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2016</w:t>
            </w:r>
          </w:p>
        </w:tc>
        <w:tc>
          <w:tcPr>
            <w:tcW w:w="1280" w:type="dxa"/>
            <w:vAlign w:val="bottom"/>
            <w:tcBorders>
              <w:top w:val="single" w:sz="8" w:color="auto"/>
              <w:bottom w:val="single" w:sz="8" w:color="auto"/>
            </w:tcBorders>
          </w:tcPr>
          <w:p>
            <w:pPr>
              <w:jc w:val="right"/>
              <w:ind w:right="503"/>
              <w:spacing w:after="0"/>
              <w:rPr>
                <w:sz w:val="20"/>
                <w:szCs w:val="20"/>
                <w:color w:val="auto"/>
              </w:rPr>
            </w:pPr>
            <w:r>
              <w:rPr>
                <w:rFonts w:ascii="Arial" w:cs="Arial" w:eastAsia="Arial" w:hAnsi="Arial"/>
                <w:sz w:val="14"/>
                <w:szCs w:val="14"/>
                <w:b w:val="1"/>
                <w:bCs w:val="1"/>
                <w:color w:val="auto"/>
              </w:rPr>
              <w:t>2015</w:t>
            </w:r>
          </w:p>
        </w:tc>
        <w:tc>
          <w:tcPr>
            <w:tcW w:w="1300" w:type="dxa"/>
            <w:vAlign w:val="bottom"/>
            <w:tcBorders>
              <w:top w:val="single" w:sz="8" w:color="auto"/>
              <w:bottom w:val="single" w:sz="8" w:color="auto"/>
            </w:tcBorders>
          </w:tcPr>
          <w:p>
            <w:pPr>
              <w:jc w:val="right"/>
              <w:ind w:right="522"/>
              <w:spacing w:after="0"/>
              <w:rPr>
                <w:sz w:val="20"/>
                <w:szCs w:val="20"/>
                <w:color w:val="auto"/>
              </w:rPr>
            </w:pPr>
            <w:r>
              <w:rPr>
                <w:rFonts w:ascii="Arial" w:cs="Arial" w:eastAsia="Arial" w:hAnsi="Arial"/>
                <w:sz w:val="14"/>
                <w:szCs w:val="14"/>
                <w:b w:val="1"/>
                <w:bCs w:val="1"/>
                <w:color w:val="auto"/>
              </w:rPr>
              <w:t>2014</w:t>
            </w:r>
          </w:p>
        </w:tc>
        <w:tc>
          <w:tcPr>
            <w:tcW w:w="1180" w:type="dxa"/>
            <w:vAlign w:val="bottom"/>
            <w:tcBorders>
              <w:top w:val="single" w:sz="8" w:color="auto"/>
              <w:bottom w:val="single" w:sz="8" w:color="auto"/>
            </w:tcBorders>
          </w:tcPr>
          <w:p>
            <w:pPr>
              <w:jc w:val="right"/>
              <w:ind w:right="402"/>
              <w:spacing w:after="0"/>
              <w:rPr>
                <w:sz w:val="20"/>
                <w:szCs w:val="20"/>
                <w:color w:val="auto"/>
              </w:rPr>
            </w:pPr>
            <w:r>
              <w:rPr>
                <w:rFonts w:ascii="Arial" w:cs="Arial" w:eastAsia="Arial" w:hAnsi="Arial"/>
                <w:sz w:val="14"/>
                <w:szCs w:val="14"/>
                <w:b w:val="1"/>
                <w:bCs w:val="1"/>
                <w:color w:val="auto"/>
              </w:rPr>
              <w:t>2013</w:t>
            </w:r>
          </w:p>
        </w:tc>
      </w:tr>
      <w:tr>
        <w:trPr>
          <w:trHeight w:val="251"/>
        </w:trPr>
        <w:tc>
          <w:tcPr>
            <w:tcW w:w="36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Motorized A, B, C</w:t>
            </w:r>
          </w:p>
        </w:tc>
        <w:tc>
          <w:tcPr>
            <w:tcW w:w="1320" w:type="dxa"/>
            <w:vAlign w:val="bottom"/>
            <w:shd w:val="clear" w:color="auto" w:fill="CCEEFF"/>
          </w:tcPr>
          <w:p>
            <w:pPr>
              <w:jc w:val="right"/>
              <w:ind w:right="304"/>
              <w:spacing w:after="0"/>
              <w:rPr>
                <w:sz w:val="20"/>
                <w:szCs w:val="20"/>
                <w:color w:val="auto"/>
              </w:rPr>
            </w:pPr>
            <w:r>
              <w:rPr>
                <w:rFonts w:ascii="Arial" w:cs="Arial" w:eastAsia="Arial" w:hAnsi="Arial"/>
                <w:sz w:val="16"/>
                <w:szCs w:val="16"/>
                <w:color w:val="auto"/>
              </w:rPr>
              <w:t>16.8%</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19.5%</w:t>
            </w:r>
          </w:p>
        </w:tc>
        <w:tc>
          <w:tcPr>
            <w:tcW w:w="100" w:type="dxa"/>
            <w:vAlign w:val="bottom"/>
            <w:shd w:val="clear" w:color="auto" w:fill="CCEEFF"/>
          </w:tcPr>
          <w:p>
            <w:pPr>
              <w:spacing w:after="0"/>
              <w:rPr>
                <w:sz w:val="21"/>
                <w:szCs w:val="21"/>
                <w:color w:val="auto"/>
              </w:rPr>
            </w:pPr>
          </w:p>
        </w:tc>
        <w:tc>
          <w:tcPr>
            <w:tcW w:w="1400" w:type="dxa"/>
            <w:vAlign w:val="bottom"/>
            <w:shd w:val="clear" w:color="auto" w:fill="CCEEFF"/>
          </w:tcPr>
          <w:p>
            <w:pPr>
              <w:jc w:val="right"/>
              <w:ind w:right="302"/>
              <w:spacing w:after="0"/>
              <w:rPr>
                <w:sz w:val="20"/>
                <w:szCs w:val="20"/>
                <w:color w:val="auto"/>
              </w:rPr>
            </w:pPr>
            <w:r>
              <w:rPr>
                <w:rFonts w:ascii="Arial" w:cs="Arial" w:eastAsia="Arial" w:hAnsi="Arial"/>
                <w:sz w:val="16"/>
                <w:szCs w:val="16"/>
                <w:color w:val="auto"/>
              </w:rPr>
              <w:t>18.0%</w:t>
            </w:r>
          </w:p>
        </w:tc>
        <w:tc>
          <w:tcPr>
            <w:tcW w:w="1280" w:type="dxa"/>
            <w:vAlign w:val="bottom"/>
            <w:shd w:val="clear" w:color="auto" w:fill="CCEEFF"/>
          </w:tcPr>
          <w:p>
            <w:pPr>
              <w:jc w:val="right"/>
              <w:ind w:right="303"/>
              <w:spacing w:after="0"/>
              <w:rPr>
                <w:sz w:val="20"/>
                <w:szCs w:val="20"/>
                <w:color w:val="auto"/>
              </w:rPr>
            </w:pPr>
            <w:r>
              <w:rPr>
                <w:rFonts w:ascii="Arial" w:cs="Arial" w:eastAsia="Arial" w:hAnsi="Arial"/>
                <w:sz w:val="16"/>
                <w:szCs w:val="16"/>
                <w:color w:val="auto"/>
              </w:rPr>
              <w:t>20.5%</w:t>
            </w:r>
          </w:p>
        </w:tc>
        <w:tc>
          <w:tcPr>
            <w:tcW w:w="1300" w:type="dxa"/>
            <w:vAlign w:val="bottom"/>
            <w:shd w:val="clear" w:color="auto" w:fill="CCEEFF"/>
          </w:tcPr>
          <w:p>
            <w:pPr>
              <w:jc w:val="right"/>
              <w:ind w:right="322"/>
              <w:spacing w:after="0"/>
              <w:rPr>
                <w:sz w:val="20"/>
                <w:szCs w:val="20"/>
                <w:color w:val="auto"/>
              </w:rPr>
            </w:pPr>
            <w:r>
              <w:rPr>
                <w:rFonts w:ascii="Arial" w:cs="Arial" w:eastAsia="Arial" w:hAnsi="Arial"/>
                <w:sz w:val="16"/>
                <w:szCs w:val="16"/>
                <w:color w:val="auto"/>
              </w:rPr>
              <w:t>20.7%</w:t>
            </w:r>
          </w:p>
        </w:tc>
        <w:tc>
          <w:tcPr>
            <w:tcW w:w="1180" w:type="dxa"/>
            <w:vAlign w:val="bottom"/>
            <w:shd w:val="clear" w:color="auto" w:fill="CCEEFF"/>
          </w:tcPr>
          <w:p>
            <w:pPr>
              <w:jc w:val="right"/>
              <w:ind w:right="202"/>
              <w:spacing w:after="0"/>
              <w:rPr>
                <w:sz w:val="20"/>
                <w:szCs w:val="20"/>
                <w:color w:val="auto"/>
              </w:rPr>
            </w:pPr>
            <w:r>
              <w:rPr>
                <w:rFonts w:ascii="Arial" w:cs="Arial" w:eastAsia="Arial" w:hAnsi="Arial"/>
                <w:sz w:val="16"/>
                <w:szCs w:val="16"/>
                <w:color w:val="auto"/>
              </w:rPr>
              <w:t>18.6%</w:t>
            </w:r>
          </w:p>
        </w:tc>
      </w:tr>
      <w:tr>
        <w:trPr>
          <w:trHeight w:val="324"/>
        </w:trPr>
        <w:tc>
          <w:tcPr>
            <w:tcW w:w="3660" w:type="dxa"/>
            <w:vAlign w:val="bottom"/>
            <w:gridSpan w:val="2"/>
          </w:tcPr>
          <w:p>
            <w:pPr>
              <w:ind w:left="40"/>
              <w:spacing w:after="0"/>
              <w:rPr>
                <w:sz w:val="20"/>
                <w:szCs w:val="20"/>
                <w:color w:val="auto"/>
              </w:rPr>
            </w:pPr>
            <w:r>
              <w:rPr>
                <w:rFonts w:ascii="Arial" w:cs="Arial" w:eastAsia="Arial" w:hAnsi="Arial"/>
                <w:sz w:val="16"/>
                <w:szCs w:val="16"/>
                <w:color w:val="auto"/>
              </w:rPr>
              <w:t>Travel trailer and fifth wheels</w:t>
            </w:r>
          </w:p>
        </w:tc>
        <w:tc>
          <w:tcPr>
            <w:tcW w:w="1320" w:type="dxa"/>
            <w:vAlign w:val="bottom"/>
          </w:tcPr>
          <w:p>
            <w:pPr>
              <w:jc w:val="right"/>
              <w:ind w:right="444"/>
              <w:spacing w:after="0"/>
              <w:rPr>
                <w:sz w:val="20"/>
                <w:szCs w:val="20"/>
                <w:color w:val="auto"/>
              </w:rPr>
            </w:pPr>
            <w:r>
              <w:rPr>
                <w:rFonts w:ascii="Arial" w:cs="Arial" w:eastAsia="Arial" w:hAnsi="Arial"/>
                <w:sz w:val="16"/>
                <w:szCs w:val="16"/>
                <w:color w:val="auto"/>
              </w:rPr>
              <w:t xml:space="preserve">3.1% </w:t>
            </w:r>
            <w:r>
              <w:rPr>
                <w:rFonts w:ascii="Arial" w:cs="Arial" w:eastAsia="Arial" w:hAnsi="Arial"/>
                <w:sz w:val="21"/>
                <w:szCs w:val="21"/>
                <w:color w:val="auto"/>
                <w:vertAlign w:val="superscript"/>
              </w:rPr>
              <w:t>(1)</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1.0%</w:t>
            </w:r>
          </w:p>
        </w:tc>
        <w:tc>
          <w:tcPr>
            <w:tcW w:w="100" w:type="dxa"/>
            <w:vAlign w:val="bottom"/>
          </w:tcPr>
          <w:p>
            <w:pPr>
              <w:spacing w:after="0"/>
              <w:rPr>
                <w:sz w:val="24"/>
                <w:szCs w:val="24"/>
                <w:color w:val="auto"/>
              </w:rPr>
            </w:pPr>
          </w:p>
        </w:tc>
        <w:tc>
          <w:tcPr>
            <w:tcW w:w="1400" w:type="dxa"/>
            <w:vAlign w:val="bottom"/>
          </w:tcPr>
          <w:p>
            <w:pPr>
              <w:jc w:val="right"/>
              <w:ind w:right="442"/>
              <w:spacing w:after="0"/>
              <w:rPr>
                <w:sz w:val="20"/>
                <w:szCs w:val="20"/>
                <w:color w:val="auto"/>
              </w:rPr>
            </w:pPr>
            <w:r>
              <w:rPr>
                <w:rFonts w:ascii="Arial" w:cs="Arial" w:eastAsia="Arial" w:hAnsi="Arial"/>
                <w:sz w:val="16"/>
                <w:szCs w:val="16"/>
                <w:color w:val="auto"/>
              </w:rPr>
              <w:t xml:space="preserve">1.7% </w:t>
            </w:r>
            <w:r>
              <w:rPr>
                <w:rFonts w:ascii="Arial" w:cs="Arial" w:eastAsia="Arial" w:hAnsi="Arial"/>
                <w:sz w:val="21"/>
                <w:szCs w:val="21"/>
                <w:color w:val="auto"/>
                <w:vertAlign w:val="superscript"/>
              </w:rPr>
              <w:t>(1)</w:t>
            </w:r>
          </w:p>
        </w:tc>
        <w:tc>
          <w:tcPr>
            <w:tcW w:w="1280" w:type="dxa"/>
            <w:vAlign w:val="bottom"/>
          </w:tcPr>
          <w:p>
            <w:pPr>
              <w:jc w:val="right"/>
              <w:ind w:right="303"/>
              <w:spacing w:after="0"/>
              <w:rPr>
                <w:sz w:val="20"/>
                <w:szCs w:val="20"/>
                <w:color w:val="auto"/>
              </w:rPr>
            </w:pPr>
            <w:r>
              <w:rPr>
                <w:rFonts w:ascii="Arial" w:cs="Arial" w:eastAsia="Arial" w:hAnsi="Arial"/>
                <w:sz w:val="16"/>
                <w:szCs w:val="16"/>
                <w:color w:val="auto"/>
              </w:rPr>
              <w:t>0.9%</w:t>
            </w:r>
          </w:p>
        </w:tc>
        <w:tc>
          <w:tcPr>
            <w:tcW w:w="1300" w:type="dxa"/>
            <w:vAlign w:val="bottom"/>
          </w:tcPr>
          <w:p>
            <w:pPr>
              <w:jc w:val="right"/>
              <w:ind w:right="322"/>
              <w:spacing w:after="0"/>
              <w:rPr>
                <w:sz w:val="20"/>
                <w:szCs w:val="20"/>
                <w:color w:val="auto"/>
              </w:rPr>
            </w:pPr>
            <w:r>
              <w:rPr>
                <w:rFonts w:ascii="Arial" w:cs="Arial" w:eastAsia="Arial" w:hAnsi="Arial"/>
                <w:sz w:val="16"/>
                <w:szCs w:val="16"/>
                <w:color w:val="auto"/>
              </w:rPr>
              <w:t>0.8%</w:t>
            </w:r>
          </w:p>
        </w:tc>
        <w:tc>
          <w:tcPr>
            <w:tcW w:w="1180" w:type="dxa"/>
            <w:vAlign w:val="bottom"/>
          </w:tcPr>
          <w:p>
            <w:pPr>
              <w:jc w:val="right"/>
              <w:ind w:right="202"/>
              <w:spacing w:after="0"/>
              <w:rPr>
                <w:sz w:val="20"/>
                <w:szCs w:val="20"/>
                <w:color w:val="auto"/>
              </w:rPr>
            </w:pPr>
            <w:r>
              <w:rPr>
                <w:rFonts w:ascii="Arial" w:cs="Arial" w:eastAsia="Arial" w:hAnsi="Arial"/>
                <w:sz w:val="16"/>
                <w:szCs w:val="16"/>
                <w:color w:val="auto"/>
              </w:rPr>
              <w:t>1.0%</w:t>
            </w:r>
          </w:p>
        </w:tc>
      </w:tr>
    </w:tbl>
    <w:p>
      <w:pPr>
        <w:ind w:left="340" w:hanging="332"/>
        <w:spacing w:after="0" w:line="210" w:lineRule="auto"/>
        <w:tabs>
          <w:tab w:leader="none" w:pos="340" w:val="left"/>
        </w:tabs>
        <w:numPr>
          <w:ilvl w:val="0"/>
          <w:numId w:val="6"/>
        </w:numPr>
        <w:rPr>
          <w:rFonts w:ascii="Arial" w:cs="Arial" w:eastAsia="Arial" w:hAnsi="Arial"/>
          <w:sz w:val="18"/>
          <w:szCs w:val="18"/>
          <w:color w:val="auto"/>
          <w:vertAlign w:val="superscript"/>
        </w:rPr>
      </w:pPr>
      <w:r>
        <w:rPr>
          <w:rFonts w:ascii="Arial" w:cs="Arial" w:eastAsia="Arial" w:hAnsi="Arial"/>
          <w:sz w:val="14"/>
          <w:szCs w:val="14"/>
          <w:color w:val="auto"/>
        </w:rPr>
        <w:t>Includes retail unit market share for Grand Design since acquisition on November 8, 2016.</w:t>
      </w:r>
    </w:p>
    <w:p>
      <w:pPr>
        <w:spacing w:after="0" w:line="152"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Industry Trends</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color w:val="auto"/>
        </w:rPr>
        <w:t>Key reported statistics for the North American RV industry are as follows:</w:t>
      </w:r>
    </w:p>
    <w:p>
      <w:pPr>
        <w:spacing w:after="0" w:line="25" w:lineRule="exact"/>
        <w:rPr>
          <w:sz w:val="20"/>
          <w:szCs w:val="20"/>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Wholesale unit shipments: RV product delivered to the dealers, which is reported monthly by RVIA</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7"/>
        </w:numPr>
        <w:rPr>
          <w:rFonts w:ascii="Arial" w:cs="Arial" w:eastAsia="Arial" w:hAnsi="Arial"/>
          <w:sz w:val="16"/>
          <w:szCs w:val="16"/>
          <w:color w:val="auto"/>
        </w:rPr>
      </w:pPr>
      <w:r>
        <w:rPr>
          <w:rFonts w:ascii="Arial" w:cs="Arial" w:eastAsia="Arial" w:hAnsi="Arial"/>
          <w:sz w:val="16"/>
          <w:szCs w:val="16"/>
          <w:color w:val="auto"/>
        </w:rPr>
        <w:t>Retail unit registrations: consumer purchases of RVs from the dealer, which is reported monthly by Stat Surveys</w:t>
      </w:r>
    </w:p>
    <w:p>
      <w:pPr>
        <w:spacing w:after="0" w:line="174"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We track RV industry conditions using these key statistics to monitor trends and evaluate and understand our performance relative to the overall industry. The rolling twelve months shipment and retail information for 2017 and 2016 as noted in the next table illustrates that the RV industry continues to grow both at the wholesale and retail level. We believe that retail demand is the key driver to continued growth in the RV industry and that annual RV shipments will generally be in line with retail registrations in the future.</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20</w:t>
      </w:r>
    </w:p>
    <w:p>
      <w:pPr>
        <w:sectPr>
          <w:pgSz w:w="11900" w:h="16838" w:orient="portrait"/>
          <w:cols w:equalWidth="0" w:num="1">
            <w:col w:w="11420"/>
          </w:cols>
          <w:pgMar w:left="240" w:top="121" w:right="239" w:bottom="1440" w:gutter="0" w:footer="0" w:header="0"/>
        </w:sectPr>
      </w:pPr>
    </w:p>
    <w:bookmarkStart w:id="22" w:name="page23"/>
    <w:bookmarkEnd w:id="2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1980" w:type="dxa"/>
            <w:vAlign w:val="bottom"/>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c>
          <w:tcPr>
            <w:tcW w:w="140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3"/>
          </w:tcPr>
          <w:p>
            <w:pPr>
              <w:jc w:val="right"/>
              <w:ind w:right="243"/>
              <w:spacing w:after="0"/>
              <w:rPr>
                <w:sz w:val="20"/>
                <w:szCs w:val="20"/>
                <w:color w:val="auto"/>
              </w:rPr>
            </w:pPr>
            <w:r>
              <w:rPr>
                <w:rFonts w:ascii="Arial" w:cs="Arial" w:eastAsia="Arial" w:hAnsi="Arial"/>
                <w:sz w:val="14"/>
                <w:szCs w:val="14"/>
                <w:b w:val="1"/>
                <w:bCs w:val="1"/>
                <w:color w:val="auto"/>
              </w:rPr>
              <w:t>US and Canada Industry</w:t>
            </w:r>
          </w:p>
        </w:tc>
        <w:tc>
          <w:tcPr>
            <w:tcW w:w="108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spacing w:after="0"/>
              <w:rPr>
                <w:sz w:val="17"/>
                <w:szCs w:val="17"/>
                <w:color w:val="auto"/>
              </w:rPr>
            </w:pPr>
          </w:p>
        </w:tc>
      </w:tr>
      <w:tr>
        <w:trPr>
          <w:trHeight w:val="263"/>
        </w:trPr>
        <w:tc>
          <w:tcPr>
            <w:tcW w:w="198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540" w:type="dxa"/>
            <w:vAlign w:val="bottom"/>
            <w:gridSpan w:val="2"/>
          </w:tcPr>
          <w:p>
            <w:pPr>
              <w:jc w:val="right"/>
              <w:spacing w:after="0"/>
              <w:rPr>
                <w:sz w:val="20"/>
                <w:szCs w:val="20"/>
                <w:color w:val="auto"/>
              </w:rPr>
            </w:pPr>
            <w:r>
              <w:rPr>
                <w:rFonts w:ascii="Arial" w:cs="Arial" w:eastAsia="Arial" w:hAnsi="Arial"/>
                <w:sz w:val="14"/>
                <w:szCs w:val="14"/>
                <w:b w:val="1"/>
                <w:bCs w:val="1"/>
                <w:color w:val="auto"/>
              </w:rPr>
              <w:t>Wholesale Unit Shipments per RVIA</w:t>
            </w:r>
          </w:p>
        </w:tc>
        <w:tc>
          <w:tcPr>
            <w:tcW w:w="10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680" w:type="dxa"/>
            <w:vAlign w:val="bottom"/>
            <w:gridSpan w:val="4"/>
          </w:tcPr>
          <w:p>
            <w:pPr>
              <w:jc w:val="right"/>
              <w:ind w:right="821"/>
              <w:spacing w:after="0"/>
              <w:rPr>
                <w:sz w:val="20"/>
                <w:szCs w:val="20"/>
                <w:color w:val="auto"/>
              </w:rPr>
            </w:pPr>
            <w:r>
              <w:rPr>
                <w:rFonts w:ascii="Arial" w:cs="Arial" w:eastAsia="Arial" w:hAnsi="Arial"/>
                <w:sz w:val="14"/>
                <w:szCs w:val="14"/>
                <w:b w:val="1"/>
                <w:bCs w:val="1"/>
                <w:color w:val="auto"/>
              </w:rPr>
              <w:t>Retail Unit Registrations per Stat Surveys</w:t>
            </w:r>
          </w:p>
        </w:tc>
      </w:tr>
      <w:tr>
        <w:trPr>
          <w:trHeight w:val="271"/>
        </w:trPr>
        <w:tc>
          <w:tcPr>
            <w:tcW w:w="1980" w:type="dxa"/>
            <w:vAlign w:val="bottom"/>
          </w:tcPr>
          <w:p>
            <w:pPr>
              <w:spacing w:after="0"/>
              <w:rPr>
                <w:sz w:val="23"/>
                <w:szCs w:val="23"/>
                <w:color w:val="auto"/>
              </w:rPr>
            </w:pPr>
          </w:p>
        </w:tc>
        <w:tc>
          <w:tcPr>
            <w:tcW w:w="1060" w:type="dxa"/>
            <w:vAlign w:val="bottom"/>
            <w:tcBorders>
              <w:bottom w:val="single" w:sz="8" w:color="auto"/>
            </w:tcBorders>
          </w:tcPr>
          <w:p>
            <w:pPr>
              <w:spacing w:after="0"/>
              <w:rPr>
                <w:sz w:val="23"/>
                <w:szCs w:val="23"/>
                <w:color w:val="auto"/>
              </w:rPr>
            </w:pPr>
          </w:p>
        </w:tc>
        <w:tc>
          <w:tcPr>
            <w:tcW w:w="2540" w:type="dxa"/>
            <w:vAlign w:val="bottom"/>
            <w:tcBorders>
              <w:bottom w:val="single" w:sz="8" w:color="auto"/>
            </w:tcBorders>
            <w:gridSpan w:val="2"/>
          </w:tcPr>
          <w:p>
            <w:pPr>
              <w:jc w:val="right"/>
              <w:ind w:right="81"/>
              <w:spacing w:after="0"/>
              <w:rPr>
                <w:sz w:val="20"/>
                <w:szCs w:val="20"/>
                <w:color w:val="auto"/>
              </w:rPr>
            </w:pPr>
            <w:r>
              <w:rPr>
                <w:rFonts w:ascii="Arial" w:cs="Arial" w:eastAsia="Arial" w:hAnsi="Arial"/>
                <w:sz w:val="14"/>
                <w:szCs w:val="14"/>
                <w:b w:val="1"/>
                <w:bCs w:val="1"/>
                <w:color w:val="auto"/>
              </w:rPr>
              <w:t>Rolling 12 Months through April</w:t>
            </w:r>
          </w:p>
        </w:tc>
        <w:tc>
          <w:tcPr>
            <w:tcW w:w="1060" w:type="dxa"/>
            <w:vAlign w:val="bottom"/>
            <w:tcBorders>
              <w:bottom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2420" w:type="dxa"/>
            <w:vAlign w:val="bottom"/>
            <w:tcBorders>
              <w:bottom w:val="single" w:sz="8" w:color="auto"/>
            </w:tcBorders>
            <w:gridSpan w:val="2"/>
          </w:tcPr>
          <w:p>
            <w:pPr>
              <w:jc w:val="right"/>
              <w:ind w:right="1"/>
              <w:spacing w:after="0"/>
              <w:rPr>
                <w:sz w:val="20"/>
                <w:szCs w:val="20"/>
                <w:color w:val="auto"/>
              </w:rPr>
            </w:pPr>
            <w:r>
              <w:rPr>
                <w:rFonts w:ascii="Arial" w:cs="Arial" w:eastAsia="Arial" w:hAnsi="Arial"/>
                <w:sz w:val="14"/>
                <w:szCs w:val="14"/>
                <w:b w:val="1"/>
                <w:bCs w:val="1"/>
                <w:color w:val="auto"/>
              </w:rPr>
              <w:t>Rolling 12 Months through April</w:t>
            </w:r>
          </w:p>
        </w:tc>
        <w:tc>
          <w:tcPr>
            <w:tcW w:w="1140" w:type="dxa"/>
            <w:vAlign w:val="bottom"/>
            <w:tcBorders>
              <w:bottom w:val="single" w:sz="8" w:color="auto"/>
            </w:tcBorders>
          </w:tcPr>
          <w:p>
            <w:pPr>
              <w:spacing w:after="0"/>
              <w:rPr>
                <w:sz w:val="23"/>
                <w:szCs w:val="23"/>
                <w:color w:val="auto"/>
              </w:rPr>
            </w:pPr>
          </w:p>
        </w:tc>
      </w:tr>
      <w:tr>
        <w:trPr>
          <w:trHeight w:val="250"/>
        </w:trPr>
        <w:tc>
          <w:tcPr>
            <w:tcW w:w="1980" w:type="dxa"/>
            <w:vAlign w:val="bottom"/>
          </w:tcPr>
          <w:p>
            <w:pPr>
              <w:spacing w:after="0"/>
              <w:rPr>
                <w:sz w:val="21"/>
                <w:szCs w:val="21"/>
                <w:color w:val="auto"/>
              </w:rPr>
            </w:pPr>
          </w:p>
        </w:tc>
        <w:tc>
          <w:tcPr>
            <w:tcW w:w="1060" w:type="dxa"/>
            <w:vAlign w:val="bottom"/>
          </w:tcPr>
          <w:p>
            <w:pPr>
              <w:jc w:val="right"/>
              <w:ind w:right="1"/>
              <w:spacing w:after="0"/>
              <w:rPr>
                <w:sz w:val="20"/>
                <w:szCs w:val="20"/>
                <w:color w:val="auto"/>
              </w:rPr>
            </w:pPr>
            <w:r>
              <w:rPr>
                <w:rFonts w:ascii="Arial" w:cs="Arial" w:eastAsia="Arial" w:hAnsi="Arial"/>
                <w:sz w:val="14"/>
                <w:szCs w:val="14"/>
                <w:b w:val="1"/>
                <w:bCs w:val="1"/>
                <w:color w:val="auto"/>
              </w:rPr>
              <w:t>2017</w:t>
            </w:r>
          </w:p>
        </w:tc>
        <w:tc>
          <w:tcPr>
            <w:tcW w:w="114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400" w:type="dxa"/>
            <w:vAlign w:val="bottom"/>
          </w:tcPr>
          <w:p>
            <w:pPr>
              <w:jc w:val="right"/>
              <w:ind w:right="361"/>
              <w:spacing w:after="0"/>
              <w:rPr>
                <w:sz w:val="20"/>
                <w:szCs w:val="20"/>
                <w:color w:val="auto"/>
              </w:rPr>
            </w:pPr>
            <w:r>
              <w:rPr>
                <w:rFonts w:ascii="Arial" w:cs="Arial" w:eastAsia="Arial" w:hAnsi="Arial"/>
                <w:sz w:val="14"/>
                <w:szCs w:val="14"/>
                <w:b w:val="1"/>
                <w:bCs w:val="1"/>
                <w:color w:val="auto"/>
              </w:rPr>
              <w:t>Unit Change</w:t>
            </w:r>
          </w:p>
        </w:tc>
        <w:tc>
          <w:tcPr>
            <w:tcW w:w="1160" w:type="dxa"/>
            <w:vAlign w:val="bottom"/>
            <w:gridSpan w:val="2"/>
          </w:tcPr>
          <w:p>
            <w:pPr>
              <w:ind w:left="20"/>
              <w:spacing w:after="0"/>
              <w:rPr>
                <w:sz w:val="20"/>
                <w:szCs w:val="20"/>
                <w:color w:val="auto"/>
              </w:rPr>
            </w:pPr>
            <w:r>
              <w:rPr>
                <w:rFonts w:ascii="Arial" w:cs="Arial" w:eastAsia="Arial" w:hAnsi="Arial"/>
                <w:sz w:val="14"/>
                <w:szCs w:val="14"/>
                <w:b w:val="1"/>
                <w:bCs w:val="1"/>
                <w:color w:val="auto"/>
              </w:rPr>
              <w:t>% Change</w:t>
            </w:r>
          </w:p>
        </w:tc>
        <w:tc>
          <w:tcPr>
            <w:tcW w:w="1120" w:type="dxa"/>
            <w:vAlign w:val="bottom"/>
          </w:tcPr>
          <w:p>
            <w:pPr>
              <w:jc w:val="right"/>
              <w:ind w:right="43"/>
              <w:spacing w:after="0"/>
              <w:rPr>
                <w:sz w:val="20"/>
                <w:szCs w:val="20"/>
                <w:color w:val="auto"/>
              </w:rPr>
            </w:pPr>
            <w:r>
              <w:rPr>
                <w:rFonts w:ascii="Arial" w:cs="Arial" w:eastAsia="Arial" w:hAnsi="Arial"/>
                <w:sz w:val="14"/>
                <w:szCs w:val="14"/>
                <w:b w:val="1"/>
                <w:bCs w:val="1"/>
                <w:color w:val="auto"/>
              </w:rPr>
              <w:t>2017</w:t>
            </w:r>
          </w:p>
        </w:tc>
        <w:tc>
          <w:tcPr>
            <w:tcW w:w="1080" w:type="dxa"/>
            <w:vAlign w:val="bottom"/>
          </w:tcPr>
          <w:p>
            <w:pPr>
              <w:jc w:val="right"/>
              <w:ind w:right="43"/>
              <w:spacing w:after="0"/>
              <w:rPr>
                <w:sz w:val="20"/>
                <w:szCs w:val="20"/>
                <w:color w:val="auto"/>
              </w:rPr>
            </w:pPr>
            <w:r>
              <w:rPr>
                <w:rFonts w:ascii="Arial" w:cs="Arial" w:eastAsia="Arial" w:hAnsi="Arial"/>
                <w:sz w:val="14"/>
                <w:szCs w:val="14"/>
                <w:b w:val="1"/>
                <w:bCs w:val="1"/>
                <w:color w:val="auto"/>
              </w:rPr>
              <w:t>2016</w:t>
            </w:r>
          </w:p>
        </w:tc>
        <w:tc>
          <w:tcPr>
            <w:tcW w:w="1340" w:type="dxa"/>
            <w:vAlign w:val="bottom"/>
          </w:tcPr>
          <w:p>
            <w:pPr>
              <w:jc w:val="right"/>
              <w:ind w:right="301"/>
              <w:spacing w:after="0"/>
              <w:rPr>
                <w:sz w:val="20"/>
                <w:szCs w:val="20"/>
                <w:color w:val="auto"/>
              </w:rPr>
            </w:pPr>
            <w:r>
              <w:rPr>
                <w:rFonts w:ascii="Arial" w:cs="Arial" w:eastAsia="Arial" w:hAnsi="Arial"/>
                <w:sz w:val="14"/>
                <w:szCs w:val="14"/>
                <w:b w:val="1"/>
                <w:bCs w:val="1"/>
                <w:color w:val="auto"/>
              </w:rPr>
              <w:t>Unit Change</w:t>
            </w:r>
          </w:p>
        </w:tc>
        <w:tc>
          <w:tcPr>
            <w:tcW w:w="1140" w:type="dxa"/>
            <w:vAlign w:val="bottom"/>
          </w:tcPr>
          <w:p>
            <w:pPr>
              <w:jc w:val="right"/>
              <w:ind w:right="261"/>
              <w:spacing w:after="0"/>
              <w:rPr>
                <w:sz w:val="20"/>
                <w:szCs w:val="20"/>
                <w:color w:val="auto"/>
              </w:rPr>
            </w:pPr>
            <w:r>
              <w:rPr>
                <w:rFonts w:ascii="Arial" w:cs="Arial" w:eastAsia="Arial" w:hAnsi="Arial"/>
                <w:sz w:val="14"/>
                <w:szCs w:val="14"/>
                <w:b w:val="1"/>
                <w:bCs w:val="1"/>
                <w:color w:val="auto"/>
              </w:rPr>
              <w:t>% Change</w:t>
            </w:r>
          </w:p>
        </w:tc>
      </w:tr>
      <w:tr>
        <w:trPr>
          <w:trHeight w:val="251"/>
        </w:trPr>
        <w:tc>
          <w:tcPr>
            <w:tcW w:w="1980" w:type="dxa"/>
            <w:vAlign w:val="bottom"/>
            <w:tcBorders>
              <w:top w:val="single" w:sz="8" w:color="auto"/>
            </w:tcBorders>
            <w:shd w:val="clear" w:color="auto" w:fill="CCEEFF"/>
          </w:tcPr>
          <w:p>
            <w:pPr>
              <w:ind w:left="40"/>
              <w:spacing w:after="0"/>
              <w:rPr>
                <w:sz w:val="20"/>
                <w:szCs w:val="20"/>
                <w:color w:val="auto"/>
              </w:rPr>
            </w:pPr>
            <w:r>
              <w:rPr>
                <w:rFonts w:ascii="Arial" w:cs="Arial" w:eastAsia="Arial" w:hAnsi="Arial"/>
                <w:sz w:val="16"/>
                <w:szCs w:val="16"/>
                <w:color w:val="auto"/>
              </w:rPr>
              <w:t xml:space="preserve">Towable </w:t>
            </w:r>
            <w:r>
              <w:rPr>
                <w:rFonts w:ascii="Arial" w:cs="Arial" w:eastAsia="Arial" w:hAnsi="Arial"/>
                <w:sz w:val="21"/>
                <w:szCs w:val="21"/>
                <w:color w:val="auto"/>
                <w:vertAlign w:val="superscript"/>
              </w:rPr>
              <w:t>(1)</w:t>
            </w:r>
          </w:p>
        </w:tc>
        <w:tc>
          <w:tcPr>
            <w:tcW w:w="1060" w:type="dxa"/>
            <w:vAlign w:val="bottom"/>
            <w:tcBorders>
              <w:top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376,022</w:t>
            </w:r>
          </w:p>
        </w:tc>
        <w:tc>
          <w:tcPr>
            <w:tcW w:w="114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324,552</w:t>
            </w:r>
          </w:p>
        </w:tc>
        <w:tc>
          <w:tcPr>
            <w:tcW w:w="1400" w:type="dxa"/>
            <w:vAlign w:val="bottom"/>
            <w:tcBorders>
              <w:top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51,470</w:t>
            </w:r>
          </w:p>
        </w:tc>
        <w:tc>
          <w:tcPr>
            <w:tcW w:w="1060" w:type="dxa"/>
            <w:vAlign w:val="bottom"/>
            <w:tcBorders>
              <w:top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15.9%</w:t>
            </w:r>
          </w:p>
        </w:tc>
        <w:tc>
          <w:tcPr>
            <w:tcW w:w="100" w:type="dxa"/>
            <w:vAlign w:val="bottom"/>
            <w:tcBorders>
              <w:top w:val="single" w:sz="8" w:color="CCEEFF"/>
            </w:tcBorders>
            <w:shd w:val="clear" w:color="auto" w:fill="CCEEFF"/>
          </w:tcPr>
          <w:p>
            <w:pPr>
              <w:spacing w:after="0"/>
              <w:rPr>
                <w:sz w:val="21"/>
                <w:szCs w:val="21"/>
                <w:color w:val="auto"/>
              </w:rPr>
            </w:pPr>
          </w:p>
        </w:tc>
        <w:tc>
          <w:tcPr>
            <w:tcW w:w="112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355,913</w:t>
            </w:r>
          </w:p>
        </w:tc>
        <w:tc>
          <w:tcPr>
            <w:tcW w:w="1080" w:type="dxa"/>
            <w:vAlign w:val="bottom"/>
            <w:tcBorders>
              <w:top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320,900</w:t>
            </w:r>
          </w:p>
        </w:tc>
        <w:tc>
          <w:tcPr>
            <w:tcW w:w="1340" w:type="dxa"/>
            <w:vAlign w:val="bottom"/>
            <w:tcBorders>
              <w:top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35,013</w:t>
            </w:r>
          </w:p>
        </w:tc>
        <w:tc>
          <w:tcPr>
            <w:tcW w:w="1140" w:type="dxa"/>
            <w:vAlign w:val="bottom"/>
            <w:tcBorders>
              <w:top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10.9%</w:t>
            </w:r>
          </w:p>
        </w:tc>
      </w:tr>
      <w:tr>
        <w:trPr>
          <w:trHeight w:val="270"/>
        </w:trPr>
        <w:tc>
          <w:tcPr>
            <w:tcW w:w="1980" w:type="dxa"/>
            <w:vAlign w:val="bottom"/>
            <w:tcBorders>
              <w:bottom w:val="single" w:sz="8" w:color="CCEEFF"/>
            </w:tcBorders>
          </w:tcPr>
          <w:p>
            <w:pPr>
              <w:ind w:left="40"/>
              <w:spacing w:after="0"/>
              <w:rPr>
                <w:sz w:val="20"/>
                <w:szCs w:val="20"/>
                <w:color w:val="auto"/>
              </w:rPr>
            </w:pPr>
            <w:r>
              <w:rPr>
                <w:rFonts w:ascii="Arial" w:cs="Arial" w:eastAsia="Arial" w:hAnsi="Arial"/>
                <w:sz w:val="16"/>
                <w:szCs w:val="16"/>
                <w:color w:val="auto"/>
              </w:rPr>
              <w:t xml:space="preserve">Motorized </w:t>
            </w:r>
            <w:r>
              <w:rPr>
                <w:rFonts w:ascii="Arial" w:cs="Arial" w:eastAsia="Arial" w:hAnsi="Arial"/>
                <w:sz w:val="21"/>
                <w:szCs w:val="21"/>
                <w:color w:val="auto"/>
                <w:vertAlign w:val="superscript"/>
              </w:rPr>
              <w:t>(2)</w:t>
            </w:r>
          </w:p>
        </w:tc>
        <w:tc>
          <w:tcPr>
            <w:tcW w:w="1060" w:type="dxa"/>
            <w:vAlign w:val="bottom"/>
            <w:tcBorders>
              <w:bottom w:val="single" w:sz="8" w:color="auto"/>
            </w:tcBorders>
          </w:tcPr>
          <w:p>
            <w:pPr>
              <w:jc w:val="right"/>
              <w:ind w:right="1"/>
              <w:spacing w:after="0"/>
              <w:rPr>
                <w:sz w:val="20"/>
                <w:szCs w:val="20"/>
                <w:color w:val="auto"/>
              </w:rPr>
            </w:pPr>
            <w:r>
              <w:rPr>
                <w:rFonts w:ascii="Arial" w:cs="Arial" w:eastAsia="Arial" w:hAnsi="Arial"/>
                <w:sz w:val="16"/>
                <w:szCs w:val="16"/>
                <w:color w:val="auto"/>
              </w:rPr>
              <w:t>57,133</w:t>
            </w:r>
          </w:p>
        </w:tc>
        <w:tc>
          <w:tcPr>
            <w:tcW w:w="114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49,943</w:t>
            </w:r>
          </w:p>
        </w:tc>
        <w:tc>
          <w:tcPr>
            <w:tcW w:w="1400" w:type="dxa"/>
            <w:vAlign w:val="bottom"/>
            <w:tcBorders>
              <w:bottom w:val="single" w:sz="8" w:color="auto"/>
            </w:tcBorders>
          </w:tcPr>
          <w:p>
            <w:pPr>
              <w:jc w:val="right"/>
              <w:ind w:right="341"/>
              <w:spacing w:after="0"/>
              <w:rPr>
                <w:sz w:val="20"/>
                <w:szCs w:val="20"/>
                <w:color w:val="auto"/>
              </w:rPr>
            </w:pPr>
            <w:r>
              <w:rPr>
                <w:rFonts w:ascii="Arial" w:cs="Arial" w:eastAsia="Arial" w:hAnsi="Arial"/>
                <w:sz w:val="16"/>
                <w:szCs w:val="16"/>
                <w:color w:val="auto"/>
              </w:rPr>
              <w:t>7,190</w:t>
            </w:r>
          </w:p>
        </w:tc>
        <w:tc>
          <w:tcPr>
            <w:tcW w:w="1060" w:type="dxa"/>
            <w:vAlign w:val="bottom"/>
            <w:tcBorders>
              <w:bottom w:val="single" w:sz="8" w:color="auto"/>
            </w:tcBorders>
          </w:tcPr>
          <w:p>
            <w:pPr>
              <w:jc w:val="right"/>
              <w:ind w:right="203"/>
              <w:spacing w:after="0"/>
              <w:rPr>
                <w:sz w:val="20"/>
                <w:szCs w:val="20"/>
                <w:color w:val="auto"/>
              </w:rPr>
            </w:pPr>
            <w:r>
              <w:rPr>
                <w:rFonts w:ascii="Arial" w:cs="Arial" w:eastAsia="Arial" w:hAnsi="Arial"/>
                <w:sz w:val="16"/>
                <w:szCs w:val="16"/>
                <w:color w:val="auto"/>
              </w:rPr>
              <w:t>14.4%</w:t>
            </w:r>
          </w:p>
        </w:tc>
        <w:tc>
          <w:tcPr>
            <w:tcW w:w="100" w:type="dxa"/>
            <w:vAlign w:val="bottom"/>
            <w:tcBorders>
              <w:bottom w:val="single" w:sz="8" w:color="CCEEFF"/>
            </w:tcBorders>
          </w:tcPr>
          <w:p>
            <w:pPr>
              <w:spacing w:after="0"/>
              <w:rPr>
                <w:sz w:val="23"/>
                <w:szCs w:val="23"/>
                <w:color w:val="auto"/>
              </w:rPr>
            </w:pPr>
          </w:p>
        </w:tc>
        <w:tc>
          <w:tcPr>
            <w:tcW w:w="112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52,164</w:t>
            </w:r>
          </w:p>
        </w:tc>
        <w:tc>
          <w:tcPr>
            <w:tcW w:w="108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46,421</w:t>
            </w:r>
          </w:p>
        </w:tc>
        <w:tc>
          <w:tcPr>
            <w:tcW w:w="1340" w:type="dxa"/>
            <w:vAlign w:val="bottom"/>
            <w:tcBorders>
              <w:bottom w:val="single" w:sz="8" w:color="auto"/>
            </w:tcBorders>
          </w:tcPr>
          <w:p>
            <w:pPr>
              <w:jc w:val="right"/>
              <w:ind w:right="281"/>
              <w:spacing w:after="0"/>
              <w:rPr>
                <w:sz w:val="20"/>
                <w:szCs w:val="20"/>
                <w:color w:val="auto"/>
              </w:rPr>
            </w:pPr>
            <w:r>
              <w:rPr>
                <w:rFonts w:ascii="Arial" w:cs="Arial" w:eastAsia="Arial" w:hAnsi="Arial"/>
                <w:sz w:val="16"/>
                <w:szCs w:val="16"/>
                <w:color w:val="auto"/>
              </w:rPr>
              <w:t>5,743</w:t>
            </w:r>
          </w:p>
        </w:tc>
        <w:tc>
          <w:tcPr>
            <w:tcW w:w="114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12.4%</w:t>
            </w:r>
          </w:p>
        </w:tc>
      </w:tr>
      <w:tr>
        <w:trPr>
          <w:trHeight w:val="236"/>
        </w:trPr>
        <w:tc>
          <w:tcPr>
            <w:tcW w:w="1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060" w:type="dxa"/>
            <w:vAlign w:val="bottom"/>
            <w:tcBorders>
              <w:bottom w:val="single" w:sz="8" w:color="auto"/>
            </w:tcBorders>
            <w:shd w:val="clear" w:color="auto" w:fill="CCEEFF"/>
          </w:tcPr>
          <w:p>
            <w:pPr>
              <w:jc w:val="right"/>
              <w:ind w:right="1"/>
              <w:spacing w:after="0"/>
              <w:rPr>
                <w:sz w:val="20"/>
                <w:szCs w:val="20"/>
                <w:color w:val="auto"/>
              </w:rPr>
            </w:pPr>
            <w:r>
              <w:rPr>
                <w:rFonts w:ascii="Arial" w:cs="Arial" w:eastAsia="Arial" w:hAnsi="Arial"/>
                <w:sz w:val="16"/>
                <w:szCs w:val="16"/>
                <w:color w:val="auto"/>
              </w:rPr>
              <w:t>433,155</w:t>
            </w:r>
          </w:p>
        </w:tc>
        <w:tc>
          <w:tcPr>
            <w:tcW w:w="114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374,495</w:t>
            </w:r>
          </w:p>
        </w:tc>
        <w:tc>
          <w:tcPr>
            <w:tcW w:w="1400" w:type="dxa"/>
            <w:vAlign w:val="bottom"/>
            <w:tcBorders>
              <w:bottom w:val="single" w:sz="8" w:color="auto"/>
            </w:tcBorders>
            <w:shd w:val="clear" w:color="auto" w:fill="CCEEFF"/>
          </w:tcPr>
          <w:p>
            <w:pPr>
              <w:jc w:val="right"/>
              <w:ind w:right="341"/>
              <w:spacing w:after="0"/>
              <w:rPr>
                <w:sz w:val="20"/>
                <w:szCs w:val="20"/>
                <w:color w:val="auto"/>
              </w:rPr>
            </w:pPr>
            <w:r>
              <w:rPr>
                <w:rFonts w:ascii="Arial" w:cs="Arial" w:eastAsia="Arial" w:hAnsi="Arial"/>
                <w:sz w:val="16"/>
                <w:szCs w:val="16"/>
                <w:color w:val="auto"/>
              </w:rPr>
              <w:t>58,660</w:t>
            </w:r>
          </w:p>
        </w:tc>
        <w:tc>
          <w:tcPr>
            <w:tcW w:w="1060" w:type="dxa"/>
            <w:vAlign w:val="bottom"/>
            <w:tcBorders>
              <w:bottom w:val="single" w:sz="8" w:color="auto"/>
            </w:tcBorders>
            <w:shd w:val="clear" w:color="auto" w:fill="CCEEFF"/>
          </w:tcPr>
          <w:p>
            <w:pPr>
              <w:jc w:val="right"/>
              <w:ind w:right="203"/>
              <w:spacing w:after="0"/>
              <w:rPr>
                <w:sz w:val="20"/>
                <w:szCs w:val="20"/>
                <w:color w:val="auto"/>
              </w:rPr>
            </w:pPr>
            <w:r>
              <w:rPr>
                <w:rFonts w:ascii="Arial" w:cs="Arial" w:eastAsia="Arial" w:hAnsi="Arial"/>
                <w:sz w:val="16"/>
                <w:szCs w:val="16"/>
                <w:color w:val="auto"/>
              </w:rPr>
              <w:t>15.7%</w:t>
            </w:r>
          </w:p>
        </w:tc>
        <w:tc>
          <w:tcPr>
            <w:tcW w:w="10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408,077</w:t>
            </w:r>
          </w:p>
        </w:tc>
        <w:tc>
          <w:tcPr>
            <w:tcW w:w="108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367,321</w:t>
            </w:r>
          </w:p>
        </w:tc>
        <w:tc>
          <w:tcPr>
            <w:tcW w:w="1340" w:type="dxa"/>
            <w:vAlign w:val="bottom"/>
            <w:tcBorders>
              <w:bottom w:val="single" w:sz="8" w:color="auto"/>
            </w:tcBorders>
            <w:shd w:val="clear" w:color="auto" w:fill="CCEEFF"/>
          </w:tcPr>
          <w:p>
            <w:pPr>
              <w:jc w:val="right"/>
              <w:ind w:right="281"/>
              <w:spacing w:after="0"/>
              <w:rPr>
                <w:sz w:val="20"/>
                <w:szCs w:val="20"/>
                <w:color w:val="auto"/>
              </w:rPr>
            </w:pPr>
            <w:r>
              <w:rPr>
                <w:rFonts w:ascii="Arial" w:cs="Arial" w:eastAsia="Arial" w:hAnsi="Arial"/>
                <w:sz w:val="16"/>
                <w:szCs w:val="16"/>
                <w:color w:val="auto"/>
              </w:rPr>
              <w:t>40,756</w:t>
            </w:r>
          </w:p>
        </w:tc>
        <w:tc>
          <w:tcPr>
            <w:tcW w:w="1140" w:type="dxa"/>
            <w:vAlign w:val="bottom"/>
            <w:tcBorders>
              <w:bottom w:val="single" w:sz="8" w:color="auto"/>
            </w:tcBorders>
            <w:shd w:val="clear" w:color="auto" w:fill="CCEEFF"/>
          </w:tcPr>
          <w:p>
            <w:pPr>
              <w:jc w:val="right"/>
              <w:ind w:right="201"/>
              <w:spacing w:after="0"/>
              <w:rPr>
                <w:sz w:val="20"/>
                <w:szCs w:val="20"/>
                <w:color w:val="auto"/>
              </w:rPr>
            </w:pPr>
            <w:r>
              <w:rPr>
                <w:rFonts w:ascii="Arial" w:cs="Arial" w:eastAsia="Arial" w:hAnsi="Arial"/>
                <w:sz w:val="16"/>
                <w:szCs w:val="16"/>
                <w:color w:val="auto"/>
              </w:rPr>
              <w:t>11.1%</w:t>
            </w:r>
          </w:p>
        </w:tc>
      </w:tr>
      <w:tr>
        <w:trPr>
          <w:trHeight w:val="20"/>
        </w:trPr>
        <w:tc>
          <w:tcPr>
            <w:tcW w:w="1980" w:type="dxa"/>
            <w:vAlign w:val="bottom"/>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4" w:lineRule="exact"/>
        <w:rPr>
          <w:sz w:val="20"/>
          <w:szCs w:val="20"/>
          <w:color w:val="auto"/>
        </w:rPr>
      </w:pPr>
    </w:p>
    <w:p>
      <w:pPr>
        <w:ind w:left="340" w:hanging="332"/>
        <w:spacing w:after="0"/>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Towable: Fifth wheel and travel trailer products</w:t>
      </w:r>
    </w:p>
    <w:p>
      <w:pPr>
        <w:ind w:left="340" w:hanging="332"/>
        <w:spacing w:after="0" w:line="204" w:lineRule="auto"/>
        <w:tabs>
          <w:tab w:leader="none" w:pos="340" w:val="left"/>
        </w:tabs>
        <w:numPr>
          <w:ilvl w:val="0"/>
          <w:numId w:val="8"/>
        </w:numPr>
        <w:rPr>
          <w:rFonts w:ascii="Arial" w:cs="Arial" w:eastAsia="Arial" w:hAnsi="Arial"/>
          <w:sz w:val="18"/>
          <w:szCs w:val="18"/>
          <w:color w:val="auto"/>
          <w:vertAlign w:val="superscript"/>
        </w:rPr>
      </w:pPr>
      <w:r>
        <w:rPr>
          <w:rFonts w:ascii="Arial" w:cs="Arial" w:eastAsia="Arial" w:hAnsi="Arial"/>
          <w:sz w:val="14"/>
          <w:szCs w:val="14"/>
          <w:color w:val="auto"/>
        </w:rPr>
        <w:t>Motorized: Class A, B and C products</w:t>
      </w:r>
    </w:p>
    <w:p>
      <w:pPr>
        <w:spacing w:after="0" w:line="125"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The most recent towable and motorized RVIA wholesale shipment forecasts for calendar year 2017 compared to actual 2016 shipments as noted in the table below illustrates continued projected growth of the industry. The outlook for future growth in RV sales is based on continued modest gains in job and disposable income prospects as well as low inflation, and takes into account the impact of slowly rising interest rates, a strong U.S. dollar and continued weakness in energy production and prices.</w:t>
      </w:r>
    </w:p>
    <w:p>
      <w:pPr>
        <w:spacing w:after="0" w:line="17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60" w:type="dxa"/>
            <w:vAlign w:val="bottom"/>
            <w:tcBorders>
              <w:bottom w:val="single" w:sz="8" w:color="auto"/>
            </w:tcBorders>
          </w:tcPr>
          <w:p>
            <w:pPr>
              <w:spacing w:after="0"/>
              <w:rPr>
                <w:sz w:val="17"/>
                <w:szCs w:val="17"/>
                <w:color w:val="auto"/>
              </w:rPr>
            </w:pPr>
          </w:p>
        </w:tc>
        <w:tc>
          <w:tcPr>
            <w:tcW w:w="2280" w:type="dxa"/>
            <w:vAlign w:val="bottom"/>
            <w:tcBorders>
              <w:bottom w:val="single" w:sz="8" w:color="auto"/>
            </w:tcBorders>
            <w:gridSpan w:val="2"/>
          </w:tcPr>
          <w:p>
            <w:pPr>
              <w:jc w:val="right"/>
              <w:ind w:right="501"/>
              <w:spacing w:after="0"/>
              <w:rPr>
                <w:sz w:val="20"/>
                <w:szCs w:val="20"/>
                <w:color w:val="auto"/>
              </w:rPr>
            </w:pPr>
            <w:r>
              <w:rPr>
                <w:rFonts w:ascii="Arial" w:cs="Arial" w:eastAsia="Arial" w:hAnsi="Arial"/>
                <w:sz w:val="14"/>
                <w:szCs w:val="14"/>
                <w:b w:val="1"/>
                <w:bCs w:val="1"/>
                <w:color w:val="auto"/>
              </w:rPr>
              <w:t>Calendar Year</w:t>
            </w:r>
          </w:p>
        </w:tc>
        <w:tc>
          <w:tcPr>
            <w:tcW w:w="1400" w:type="dxa"/>
            <w:vAlign w:val="bottom"/>
            <w:tcBorders>
              <w:bottom w:val="single" w:sz="8" w:color="auto"/>
            </w:tcBorders>
          </w:tcPr>
          <w:p>
            <w:pPr>
              <w:spacing w:after="0"/>
              <w:rPr>
                <w:sz w:val="17"/>
                <w:szCs w:val="17"/>
                <w:color w:val="auto"/>
              </w:rPr>
            </w:pPr>
          </w:p>
        </w:tc>
      </w:tr>
      <w:tr>
        <w:trPr>
          <w:trHeight w:val="251"/>
        </w:trPr>
        <w:tc>
          <w:tcPr>
            <w:tcW w:w="61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Wholesale Unit Shipments per RVIA</w:t>
            </w:r>
          </w:p>
        </w:tc>
        <w:tc>
          <w:tcPr>
            <w:tcW w:w="100" w:type="dxa"/>
            <w:vAlign w:val="bottom"/>
            <w:tcBorders>
              <w:bottom w:val="single" w:sz="8" w:color="CCEEFF"/>
            </w:tcBorders>
          </w:tcPr>
          <w:p>
            <w:pPr>
              <w:spacing w:after="0"/>
              <w:rPr>
                <w:sz w:val="21"/>
                <w:szCs w:val="21"/>
                <w:color w:val="auto"/>
              </w:rPr>
            </w:pPr>
          </w:p>
        </w:tc>
        <w:tc>
          <w:tcPr>
            <w:tcW w:w="1260" w:type="dxa"/>
            <w:vAlign w:val="bottom"/>
            <w:tcBorders>
              <w:bottom w:val="single" w:sz="8" w:color="auto"/>
            </w:tcBorders>
          </w:tcPr>
          <w:p>
            <w:pPr>
              <w:jc w:val="right"/>
              <w:ind w:right="1"/>
              <w:spacing w:after="0"/>
              <w:rPr>
                <w:sz w:val="20"/>
                <w:szCs w:val="20"/>
                <w:color w:val="auto"/>
              </w:rPr>
            </w:pPr>
            <w:r>
              <w:rPr>
                <w:rFonts w:ascii="Arial" w:cs="Arial" w:eastAsia="Arial" w:hAnsi="Arial"/>
                <w:sz w:val="14"/>
                <w:szCs w:val="14"/>
                <w:b w:val="1"/>
                <w:bCs w:val="1"/>
                <w:color w:val="auto"/>
              </w:rPr>
              <w:t xml:space="preserve">2017 Forecast </w:t>
            </w:r>
            <w:r>
              <w:rPr>
                <w:rFonts w:ascii="Arial" w:cs="Arial" w:eastAsia="Arial" w:hAnsi="Arial"/>
                <w:sz w:val="17"/>
                <w:szCs w:val="17"/>
                <w:b w:val="1"/>
                <w:bCs w:val="1"/>
                <w:color w:val="auto"/>
                <w:vertAlign w:val="superscript"/>
              </w:rPr>
              <w:t>(1)</w:t>
            </w:r>
          </w:p>
        </w:tc>
        <w:tc>
          <w:tcPr>
            <w:tcW w:w="1180" w:type="dxa"/>
            <w:vAlign w:val="bottom"/>
            <w:tcBorders>
              <w:bottom w:val="single" w:sz="8" w:color="auto"/>
            </w:tcBorders>
          </w:tcPr>
          <w:p>
            <w:pPr>
              <w:jc w:val="right"/>
              <w:ind w:right="203"/>
              <w:spacing w:after="0"/>
              <w:rPr>
                <w:sz w:val="20"/>
                <w:szCs w:val="20"/>
                <w:color w:val="auto"/>
              </w:rPr>
            </w:pPr>
            <w:r>
              <w:rPr>
                <w:rFonts w:ascii="Arial" w:cs="Arial" w:eastAsia="Arial" w:hAnsi="Arial"/>
                <w:sz w:val="14"/>
                <w:szCs w:val="14"/>
                <w:b w:val="1"/>
                <w:bCs w:val="1"/>
                <w:color w:val="auto"/>
              </w:rPr>
              <w:t>2016 Actual</w:t>
            </w:r>
          </w:p>
        </w:tc>
        <w:tc>
          <w:tcPr>
            <w:tcW w:w="1100" w:type="dxa"/>
            <w:vAlign w:val="bottom"/>
            <w:tcBorders>
              <w:bottom w:val="single" w:sz="8" w:color="auto"/>
            </w:tcBorders>
          </w:tcPr>
          <w:p>
            <w:pPr>
              <w:jc w:val="right"/>
              <w:ind w:right="61"/>
              <w:spacing w:after="0"/>
              <w:rPr>
                <w:sz w:val="20"/>
                <w:szCs w:val="20"/>
                <w:color w:val="auto"/>
              </w:rPr>
            </w:pPr>
            <w:r>
              <w:rPr>
                <w:rFonts w:ascii="Arial" w:cs="Arial" w:eastAsia="Arial" w:hAnsi="Arial"/>
                <w:sz w:val="14"/>
                <w:szCs w:val="14"/>
                <w:b w:val="1"/>
                <w:bCs w:val="1"/>
                <w:color w:val="auto"/>
              </w:rPr>
              <w:t>Unit Change</w:t>
            </w:r>
          </w:p>
        </w:tc>
        <w:tc>
          <w:tcPr>
            <w:tcW w:w="1400" w:type="dxa"/>
            <w:vAlign w:val="bottom"/>
            <w:tcBorders>
              <w:bottom w:val="single" w:sz="8" w:color="auto"/>
            </w:tcBorders>
          </w:tcPr>
          <w:p>
            <w:pPr>
              <w:jc w:val="right"/>
              <w:ind w:right="281"/>
              <w:spacing w:after="0"/>
              <w:rPr>
                <w:sz w:val="20"/>
                <w:szCs w:val="20"/>
                <w:color w:val="auto"/>
              </w:rPr>
            </w:pPr>
            <w:r>
              <w:rPr>
                <w:rFonts w:ascii="Arial" w:cs="Arial" w:eastAsia="Arial" w:hAnsi="Arial"/>
                <w:sz w:val="14"/>
                <w:szCs w:val="14"/>
                <w:b w:val="1"/>
                <w:bCs w:val="1"/>
                <w:color w:val="auto"/>
              </w:rPr>
              <w:t>% Change</w:t>
            </w:r>
          </w:p>
        </w:tc>
      </w:tr>
      <w:tr>
        <w:trPr>
          <w:trHeight w:val="250"/>
        </w:trPr>
        <w:tc>
          <w:tcPr>
            <w:tcW w:w="6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w:t>
            </w:r>
          </w:p>
        </w:tc>
        <w:tc>
          <w:tcPr>
            <w:tcW w:w="1260" w:type="dxa"/>
            <w:vAlign w:val="bottom"/>
            <w:shd w:val="clear" w:color="auto" w:fill="CCEEFF"/>
          </w:tcPr>
          <w:p>
            <w:pPr>
              <w:jc w:val="right"/>
              <w:ind w:right="61"/>
              <w:spacing w:after="0"/>
              <w:rPr>
                <w:sz w:val="20"/>
                <w:szCs w:val="20"/>
                <w:color w:val="auto"/>
              </w:rPr>
            </w:pPr>
            <w:r>
              <w:rPr>
                <w:rFonts w:ascii="Arial" w:cs="Arial" w:eastAsia="Arial" w:hAnsi="Arial"/>
                <w:sz w:val="16"/>
                <w:szCs w:val="16"/>
                <w:color w:val="auto"/>
              </w:rPr>
              <w:t>397,000</w:t>
            </w:r>
          </w:p>
        </w:tc>
        <w:tc>
          <w:tcPr>
            <w:tcW w:w="118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362,685</w:t>
            </w:r>
          </w:p>
        </w:tc>
        <w:tc>
          <w:tcPr>
            <w:tcW w:w="1100" w:type="dxa"/>
            <w:vAlign w:val="bottom"/>
            <w:shd w:val="clear" w:color="auto" w:fill="CCEEFF"/>
          </w:tcPr>
          <w:p>
            <w:pPr>
              <w:jc w:val="right"/>
              <w:ind w:right="41"/>
              <w:spacing w:after="0"/>
              <w:rPr>
                <w:sz w:val="20"/>
                <w:szCs w:val="20"/>
                <w:color w:val="auto"/>
              </w:rPr>
            </w:pPr>
            <w:r>
              <w:rPr>
                <w:rFonts w:ascii="Arial" w:cs="Arial" w:eastAsia="Arial" w:hAnsi="Arial"/>
                <w:sz w:val="16"/>
                <w:szCs w:val="16"/>
                <w:color w:val="auto"/>
              </w:rPr>
              <w:t>34,315</w:t>
            </w:r>
          </w:p>
        </w:tc>
        <w:tc>
          <w:tcPr>
            <w:tcW w:w="1400" w:type="dxa"/>
            <w:vAlign w:val="bottom"/>
            <w:shd w:val="clear" w:color="auto" w:fill="CCEEFF"/>
          </w:tcPr>
          <w:p>
            <w:pPr>
              <w:jc w:val="right"/>
              <w:ind w:right="201"/>
              <w:spacing w:after="0"/>
              <w:rPr>
                <w:sz w:val="20"/>
                <w:szCs w:val="20"/>
                <w:color w:val="auto"/>
              </w:rPr>
            </w:pPr>
            <w:r>
              <w:rPr>
                <w:rFonts w:ascii="Arial" w:cs="Arial" w:eastAsia="Arial" w:hAnsi="Arial"/>
                <w:sz w:val="16"/>
                <w:szCs w:val="16"/>
                <w:color w:val="auto"/>
              </w:rPr>
              <w:t>9.5%</w:t>
            </w:r>
          </w:p>
        </w:tc>
      </w:tr>
      <w:tr>
        <w:trPr>
          <w:trHeight w:val="264"/>
        </w:trPr>
        <w:tc>
          <w:tcPr>
            <w:tcW w:w="6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Motorized</w:t>
            </w:r>
          </w:p>
        </w:tc>
        <w:tc>
          <w:tcPr>
            <w:tcW w:w="1260" w:type="dxa"/>
            <w:vAlign w:val="bottom"/>
            <w:tcBorders>
              <w:bottom w:val="single" w:sz="8" w:color="auto"/>
            </w:tcBorders>
          </w:tcPr>
          <w:p>
            <w:pPr>
              <w:jc w:val="right"/>
              <w:ind w:right="61"/>
              <w:spacing w:after="0"/>
              <w:rPr>
                <w:sz w:val="20"/>
                <w:szCs w:val="20"/>
                <w:color w:val="auto"/>
              </w:rPr>
            </w:pPr>
            <w:r>
              <w:rPr>
                <w:rFonts w:ascii="Arial" w:cs="Arial" w:eastAsia="Arial" w:hAnsi="Arial"/>
                <w:sz w:val="16"/>
                <w:szCs w:val="16"/>
                <w:color w:val="auto"/>
              </w:rPr>
              <w:t>62,600</w:t>
            </w:r>
          </w:p>
        </w:tc>
        <w:tc>
          <w:tcPr>
            <w:tcW w:w="118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54,741</w:t>
            </w:r>
          </w:p>
        </w:tc>
        <w:tc>
          <w:tcPr>
            <w:tcW w:w="1100" w:type="dxa"/>
            <w:vAlign w:val="bottom"/>
            <w:tcBorders>
              <w:bottom w:val="single" w:sz="8" w:color="auto"/>
            </w:tcBorders>
          </w:tcPr>
          <w:p>
            <w:pPr>
              <w:jc w:val="right"/>
              <w:ind w:right="41"/>
              <w:spacing w:after="0"/>
              <w:rPr>
                <w:sz w:val="20"/>
                <w:szCs w:val="20"/>
                <w:color w:val="auto"/>
              </w:rPr>
            </w:pPr>
            <w:r>
              <w:rPr>
                <w:rFonts w:ascii="Arial" w:cs="Arial" w:eastAsia="Arial" w:hAnsi="Arial"/>
                <w:sz w:val="16"/>
                <w:szCs w:val="16"/>
                <w:color w:val="auto"/>
              </w:rPr>
              <w:t>7,859</w:t>
            </w:r>
          </w:p>
        </w:tc>
        <w:tc>
          <w:tcPr>
            <w:tcW w:w="1400" w:type="dxa"/>
            <w:vAlign w:val="bottom"/>
            <w:tcBorders>
              <w:bottom w:val="single" w:sz="8" w:color="auto"/>
            </w:tcBorders>
          </w:tcPr>
          <w:p>
            <w:pPr>
              <w:jc w:val="right"/>
              <w:ind w:right="201"/>
              <w:spacing w:after="0"/>
              <w:rPr>
                <w:sz w:val="20"/>
                <w:szCs w:val="20"/>
                <w:color w:val="auto"/>
              </w:rPr>
            </w:pPr>
            <w:r>
              <w:rPr>
                <w:rFonts w:ascii="Arial" w:cs="Arial" w:eastAsia="Arial" w:hAnsi="Arial"/>
                <w:sz w:val="16"/>
                <w:szCs w:val="16"/>
                <w:color w:val="auto"/>
              </w:rPr>
              <w:t>14.4%</w:t>
            </w:r>
          </w:p>
        </w:tc>
      </w:tr>
      <w:tr>
        <w:trPr>
          <w:trHeight w:val="242"/>
        </w:trPr>
        <w:tc>
          <w:tcPr>
            <w:tcW w:w="62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Combined</w:t>
            </w:r>
          </w:p>
        </w:tc>
        <w:tc>
          <w:tcPr>
            <w:tcW w:w="1260" w:type="dxa"/>
            <w:vAlign w:val="bottom"/>
            <w:tcBorders>
              <w:bottom w:val="single" w:sz="8" w:color="auto"/>
            </w:tcBorders>
            <w:shd w:val="clear" w:color="auto" w:fill="CCEEFF"/>
          </w:tcPr>
          <w:p>
            <w:pPr>
              <w:jc w:val="right"/>
              <w:ind w:right="61"/>
              <w:spacing w:after="0"/>
              <w:rPr>
                <w:sz w:val="20"/>
                <w:szCs w:val="20"/>
                <w:color w:val="auto"/>
              </w:rPr>
            </w:pPr>
            <w:r>
              <w:rPr>
                <w:rFonts w:ascii="Arial" w:cs="Arial" w:eastAsia="Arial" w:hAnsi="Arial"/>
                <w:sz w:val="16"/>
                <w:szCs w:val="16"/>
                <w:color w:val="auto"/>
              </w:rPr>
              <w:t>459,600</w:t>
            </w:r>
          </w:p>
        </w:tc>
        <w:tc>
          <w:tcPr>
            <w:tcW w:w="118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417,426</w:t>
            </w:r>
          </w:p>
        </w:tc>
        <w:tc>
          <w:tcPr>
            <w:tcW w:w="1100" w:type="dxa"/>
            <w:vAlign w:val="bottom"/>
            <w:tcBorders>
              <w:bottom w:val="single" w:sz="8" w:color="auto"/>
            </w:tcBorders>
            <w:shd w:val="clear" w:color="auto" w:fill="CCEEFF"/>
          </w:tcPr>
          <w:p>
            <w:pPr>
              <w:jc w:val="right"/>
              <w:ind w:right="41"/>
              <w:spacing w:after="0"/>
              <w:rPr>
                <w:sz w:val="20"/>
                <w:szCs w:val="20"/>
                <w:color w:val="auto"/>
              </w:rPr>
            </w:pPr>
            <w:r>
              <w:rPr>
                <w:rFonts w:ascii="Arial" w:cs="Arial" w:eastAsia="Arial" w:hAnsi="Arial"/>
                <w:sz w:val="16"/>
                <w:szCs w:val="16"/>
                <w:color w:val="auto"/>
              </w:rPr>
              <w:t>42,174</w:t>
            </w:r>
          </w:p>
        </w:tc>
        <w:tc>
          <w:tcPr>
            <w:tcW w:w="1400" w:type="dxa"/>
            <w:vAlign w:val="bottom"/>
            <w:tcBorders>
              <w:bottom w:val="single" w:sz="8" w:color="CCEEFF"/>
            </w:tcBorders>
            <w:shd w:val="clear" w:color="auto" w:fill="CCEEFF"/>
          </w:tcPr>
          <w:p>
            <w:pPr>
              <w:jc w:val="right"/>
              <w:ind w:right="201"/>
              <w:spacing w:after="0"/>
              <w:rPr>
                <w:sz w:val="20"/>
                <w:szCs w:val="20"/>
                <w:color w:val="auto"/>
              </w:rPr>
            </w:pPr>
            <w:r>
              <w:rPr>
                <w:rFonts w:ascii="Arial" w:cs="Arial" w:eastAsia="Arial" w:hAnsi="Arial"/>
                <w:sz w:val="16"/>
                <w:szCs w:val="16"/>
                <w:color w:val="auto"/>
              </w:rPr>
              <w:t>10.1%</w:t>
            </w:r>
          </w:p>
        </w:tc>
      </w:tr>
      <w:tr>
        <w:trPr>
          <w:trHeight w:val="20"/>
        </w:trPr>
        <w:tc>
          <w:tcPr>
            <w:tcW w:w="6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bl>
    <w:p>
      <w:pPr>
        <w:spacing w:after="0" w:line="41" w:lineRule="exact"/>
        <w:rPr>
          <w:sz w:val="20"/>
          <w:szCs w:val="20"/>
          <w:color w:val="auto"/>
        </w:rPr>
      </w:pPr>
    </w:p>
    <w:p>
      <w:pPr>
        <w:ind w:left="180" w:right="240" w:hanging="172"/>
        <w:spacing w:after="0" w:line="232" w:lineRule="auto"/>
        <w:tabs>
          <w:tab w:leader="none" w:pos="180" w:val="left"/>
        </w:tabs>
        <w:numPr>
          <w:ilvl w:val="0"/>
          <w:numId w:val="9"/>
        </w:numPr>
        <w:rPr>
          <w:rFonts w:ascii="Arial" w:cs="Arial" w:eastAsia="Arial" w:hAnsi="Arial"/>
          <w:sz w:val="18"/>
          <w:szCs w:val="18"/>
          <w:color w:val="auto"/>
          <w:vertAlign w:val="superscript"/>
        </w:rPr>
      </w:pPr>
      <w:r>
        <w:rPr>
          <w:rFonts w:ascii="Arial" w:cs="Arial" w:eastAsia="Arial" w:hAnsi="Arial"/>
          <w:sz w:val="14"/>
          <w:szCs w:val="14"/>
          <w:color w:val="auto"/>
        </w:rPr>
        <w:t>Forecast prepared by Dr. Richard Curtin of the University of Michigan Consumer Survey Research Center for RVIA and reported in the Roadsigns RV Summer 2017 Industry Forecast Issue.</w:t>
      </w:r>
    </w:p>
    <w:p>
      <w:pPr>
        <w:spacing w:after="0" w:line="153" w:lineRule="exact"/>
        <w:rPr>
          <w:sz w:val="20"/>
          <w:szCs w:val="20"/>
          <w:color w:val="auto"/>
        </w:rPr>
      </w:pPr>
    </w:p>
    <w:p>
      <w:pPr>
        <w:spacing w:after="0"/>
        <w:rPr>
          <w:sz w:val="20"/>
          <w:szCs w:val="20"/>
          <w:color w:val="auto"/>
        </w:rPr>
      </w:pPr>
      <w:r>
        <w:rPr>
          <w:rFonts w:ascii="Arial" w:cs="Arial" w:eastAsia="Arial" w:hAnsi="Arial"/>
          <w:sz w:val="16"/>
          <w:szCs w:val="16"/>
          <w:b w:val="1"/>
          <w:bCs w:val="1"/>
          <w:i w:val="1"/>
          <w:iCs w:val="1"/>
          <w:color w:val="auto"/>
        </w:rPr>
        <w:t>ERP System</w:t>
      </w:r>
    </w:p>
    <w:p>
      <w:pPr>
        <w:spacing w:after="0" w:line="194" w:lineRule="exact"/>
        <w:rPr>
          <w:sz w:val="20"/>
          <w:szCs w:val="20"/>
          <w:color w:val="auto"/>
        </w:rPr>
      </w:pPr>
    </w:p>
    <w:p>
      <w:pPr>
        <w:ind w:right="180"/>
        <w:spacing w:after="0" w:line="255" w:lineRule="auto"/>
        <w:rPr>
          <w:sz w:val="20"/>
          <w:szCs w:val="20"/>
          <w:color w:val="auto"/>
        </w:rPr>
      </w:pPr>
      <w:r>
        <w:rPr>
          <w:rFonts w:ascii="Arial" w:cs="Arial" w:eastAsia="Arial" w:hAnsi="Arial"/>
          <w:sz w:val="16"/>
          <w:szCs w:val="16"/>
          <w:color w:val="auto"/>
        </w:rPr>
        <w:t>In the second quarter of Fiscal 2015, the Board of Directors approved the strategic initiative of implementing an ERP system to replace our legacy business applications. The new ERP platform will provide better support for our changing business needs and plans for future growth. Our initial cost estimates have grown for additional needs of the business such as the acquisition of the Junction City, Oregon plant and the opportunity to integrate the ERP system with additional manufacturing systems. The project includes software, external implementation assistance and increased internal staffing directly related to this initiative. We anticipate that approximately 40% of the cost will be expensed in the period incurred and 60% will be capitalized and depreciated over its useful life.</w:t>
      </w:r>
    </w:p>
    <w:p>
      <w:pPr>
        <w:spacing w:after="0" w:line="151" w:lineRule="exact"/>
        <w:rPr>
          <w:sz w:val="20"/>
          <w:szCs w:val="20"/>
          <w:color w:val="auto"/>
        </w:rPr>
      </w:pPr>
    </w:p>
    <w:p>
      <w:pPr>
        <w:spacing w:after="0"/>
        <w:rPr>
          <w:sz w:val="20"/>
          <w:szCs w:val="20"/>
          <w:color w:val="auto"/>
        </w:rPr>
      </w:pPr>
      <w:r>
        <w:rPr>
          <w:rFonts w:ascii="Arial" w:cs="Arial" w:eastAsia="Arial" w:hAnsi="Arial"/>
          <w:sz w:val="16"/>
          <w:szCs w:val="16"/>
          <w:color w:val="auto"/>
        </w:rPr>
        <w:t>The following table illustrates the cumulative project costs:</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w:t>
            </w:r>
          </w:p>
        </w:tc>
        <w:tc>
          <w:tcPr>
            <w:tcW w:w="260" w:type="dxa"/>
            <w:vAlign w:val="bottom"/>
          </w:tcPr>
          <w:p>
            <w:pPr>
              <w:spacing w:after="0"/>
              <w:rPr>
                <w:sz w:val="17"/>
                <w:szCs w:val="17"/>
                <w:color w:val="auto"/>
              </w:rPr>
            </w:pPr>
          </w:p>
        </w:tc>
        <w:tc>
          <w:tcPr>
            <w:tcW w:w="1060" w:type="dxa"/>
            <w:vAlign w:val="bottom"/>
            <w:gridSpan w:val="2"/>
          </w:tcPr>
          <w:p>
            <w:pPr>
              <w:ind w:left="140"/>
              <w:spacing w:after="0"/>
              <w:rPr>
                <w:sz w:val="20"/>
                <w:szCs w:val="20"/>
                <w:color w:val="auto"/>
              </w:rPr>
            </w:pPr>
            <w:r>
              <w:rPr>
                <w:rFonts w:ascii="Arial" w:cs="Arial" w:eastAsia="Arial" w:hAnsi="Arial"/>
                <w:sz w:val="14"/>
                <w:szCs w:val="14"/>
                <w:b w:val="1"/>
                <w:bCs w:val="1"/>
                <w:color w:val="auto"/>
              </w:rPr>
              <w:t>Fiscal</w:t>
            </w:r>
          </w:p>
        </w:tc>
        <w:tc>
          <w:tcPr>
            <w:tcW w:w="32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gridSpan w:val="2"/>
          </w:tcPr>
          <w:p>
            <w:pPr>
              <w:ind w:left="120"/>
              <w:spacing w:after="0"/>
              <w:rPr>
                <w:sz w:val="20"/>
                <w:szCs w:val="20"/>
                <w:color w:val="auto"/>
              </w:rPr>
            </w:pPr>
            <w:r>
              <w:rPr>
                <w:rFonts w:ascii="Arial" w:cs="Arial" w:eastAsia="Arial" w:hAnsi="Arial"/>
                <w:sz w:val="14"/>
                <w:szCs w:val="14"/>
                <w:b w:val="1"/>
                <w:bCs w:val="1"/>
                <w:color w:val="auto"/>
              </w:rPr>
              <w:t>Fiscal 2017</w:t>
            </w:r>
          </w:p>
        </w:tc>
        <w:tc>
          <w:tcPr>
            <w:tcW w:w="34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200" w:type="dxa"/>
            <w:vAlign w:val="bottom"/>
            <w:gridSpan w:val="2"/>
          </w:tcPr>
          <w:p>
            <w:pPr>
              <w:ind w:left="400"/>
              <w:spacing w:after="0"/>
              <w:rPr>
                <w:sz w:val="20"/>
                <w:szCs w:val="20"/>
                <w:color w:val="auto"/>
              </w:rPr>
            </w:pPr>
            <w:r>
              <w:rPr>
                <w:rFonts w:ascii="Arial" w:cs="Arial" w:eastAsia="Arial" w:hAnsi="Arial"/>
                <w:sz w:val="14"/>
                <w:szCs w:val="14"/>
                <w:b w:val="1"/>
                <w:bCs w:val="1"/>
                <w:color w:val="auto"/>
              </w:rPr>
              <w:t>Cumulative</w:t>
            </w:r>
          </w:p>
        </w:tc>
        <w:tc>
          <w:tcPr>
            <w:tcW w:w="740" w:type="dxa"/>
            <w:vAlign w:val="bottom"/>
          </w:tcPr>
          <w:p>
            <w:pPr>
              <w:spacing w:after="0"/>
              <w:rPr>
                <w:sz w:val="17"/>
                <w:szCs w:val="17"/>
                <w:color w:val="auto"/>
              </w:rPr>
            </w:pPr>
          </w:p>
        </w:tc>
      </w:tr>
      <w:tr>
        <w:trPr>
          <w:trHeight w:val="265"/>
        </w:trPr>
        <w:tc>
          <w:tcPr>
            <w:tcW w:w="20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(In thousands)</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63"/>
              <w:spacing w:after="0"/>
              <w:rPr>
                <w:sz w:val="20"/>
                <w:szCs w:val="20"/>
                <w:color w:val="auto"/>
              </w:rPr>
            </w:pPr>
            <w:r>
              <w:rPr>
                <w:rFonts w:ascii="Arial" w:cs="Arial" w:eastAsia="Arial" w:hAnsi="Arial"/>
                <w:sz w:val="14"/>
                <w:szCs w:val="14"/>
                <w:b w:val="1"/>
                <w:bCs w:val="1"/>
                <w:color w:val="auto"/>
              </w:rPr>
              <w:t>2015</w:t>
            </w:r>
          </w:p>
        </w:tc>
        <w:tc>
          <w:tcPr>
            <w:tcW w:w="120" w:type="dxa"/>
            <w:vAlign w:val="bottom"/>
            <w:tcBorders>
              <w:bottom w:val="single" w:sz="8" w:color="CCEEFF"/>
            </w:tcBorders>
          </w:tcPr>
          <w:p>
            <w:pPr>
              <w:spacing w:after="0"/>
              <w:rPr>
                <w:sz w:val="23"/>
                <w:szCs w:val="23"/>
                <w:color w:val="auto"/>
              </w:rPr>
            </w:pPr>
          </w:p>
        </w:tc>
        <w:tc>
          <w:tcPr>
            <w:tcW w:w="260" w:type="dxa"/>
            <w:vAlign w:val="bottom"/>
            <w:tcBorders>
              <w:bottom w:val="single" w:sz="8" w:color="auto"/>
            </w:tcBorders>
          </w:tcPr>
          <w:p>
            <w:pPr>
              <w:spacing w:after="0"/>
              <w:rPr>
                <w:sz w:val="23"/>
                <w:szCs w:val="23"/>
                <w:color w:val="auto"/>
              </w:rPr>
            </w:pPr>
          </w:p>
        </w:tc>
        <w:tc>
          <w:tcPr>
            <w:tcW w:w="960" w:type="dxa"/>
            <w:vAlign w:val="bottom"/>
            <w:tcBorders>
              <w:bottom w:val="single" w:sz="8" w:color="auto"/>
            </w:tcBorders>
          </w:tcPr>
          <w:p>
            <w:pPr>
              <w:jc w:val="right"/>
              <w:ind w:right="383"/>
              <w:spacing w:after="0"/>
              <w:rPr>
                <w:sz w:val="20"/>
                <w:szCs w:val="20"/>
                <w:color w:val="auto"/>
              </w:rPr>
            </w:pPr>
            <w:r>
              <w:rPr>
                <w:rFonts w:ascii="Arial" w:cs="Arial" w:eastAsia="Arial" w:hAnsi="Arial"/>
                <w:sz w:val="14"/>
                <w:szCs w:val="14"/>
                <w:b w:val="1"/>
                <w:bCs w:val="1"/>
                <w:color w:val="auto"/>
              </w:rPr>
              <w:t>2016</w:t>
            </w:r>
          </w:p>
        </w:tc>
        <w:tc>
          <w:tcPr>
            <w:tcW w:w="100" w:type="dxa"/>
            <w:vAlign w:val="bottom"/>
            <w:tcBorders>
              <w:bottom w:val="single" w:sz="8" w:color="CCEEFF"/>
            </w:tcBorders>
          </w:tcPr>
          <w:p>
            <w:pPr>
              <w:spacing w:after="0"/>
              <w:rPr>
                <w:sz w:val="23"/>
                <w:szCs w:val="23"/>
                <w:color w:val="auto"/>
              </w:rPr>
            </w:pPr>
          </w:p>
        </w:tc>
        <w:tc>
          <w:tcPr>
            <w:tcW w:w="320" w:type="dxa"/>
            <w:vAlign w:val="bottom"/>
            <w:tcBorders>
              <w:bottom w:val="single" w:sz="8" w:color="auto"/>
            </w:tcBorders>
          </w:tcPr>
          <w:p>
            <w:pPr>
              <w:spacing w:after="0"/>
              <w:rPr>
                <w:sz w:val="23"/>
                <w:szCs w:val="23"/>
                <w:color w:val="auto"/>
              </w:rPr>
            </w:pPr>
          </w:p>
        </w:tc>
        <w:tc>
          <w:tcPr>
            <w:tcW w:w="920" w:type="dxa"/>
            <w:vAlign w:val="bottom"/>
            <w:tcBorders>
              <w:bottom w:val="single" w:sz="8" w:color="auto"/>
            </w:tcBorders>
          </w:tcPr>
          <w:p>
            <w:pPr>
              <w:jc w:val="right"/>
              <w:ind w:right="441"/>
              <w:spacing w:after="0"/>
              <w:rPr>
                <w:sz w:val="20"/>
                <w:szCs w:val="20"/>
                <w:color w:val="auto"/>
              </w:rPr>
            </w:pPr>
            <w:r>
              <w:rPr>
                <w:rFonts w:ascii="Arial" w:cs="Arial" w:eastAsia="Arial" w:hAnsi="Arial"/>
                <w:sz w:val="14"/>
                <w:szCs w:val="14"/>
                <w:b w:val="1"/>
                <w:bCs w:val="1"/>
                <w:color w:val="auto"/>
              </w:rPr>
              <w:t>Q1</w:t>
            </w:r>
          </w:p>
        </w:tc>
        <w:tc>
          <w:tcPr>
            <w:tcW w:w="100" w:type="dxa"/>
            <w:vAlign w:val="bottom"/>
            <w:tcBorders>
              <w:bottom w:val="single" w:sz="8" w:color="CCEEFF"/>
            </w:tcBorders>
          </w:tcPr>
          <w:p>
            <w:pPr>
              <w:spacing w:after="0"/>
              <w:rPr>
                <w:sz w:val="23"/>
                <w:szCs w:val="23"/>
                <w:color w:val="auto"/>
              </w:rPr>
            </w:pPr>
          </w:p>
        </w:tc>
        <w:tc>
          <w:tcPr>
            <w:tcW w:w="240" w:type="dxa"/>
            <w:vAlign w:val="bottom"/>
            <w:tcBorders>
              <w:bottom w:val="single" w:sz="8" w:color="auto"/>
            </w:tcBorders>
          </w:tcPr>
          <w:p>
            <w:pPr>
              <w:spacing w:after="0"/>
              <w:rPr>
                <w:sz w:val="23"/>
                <w:szCs w:val="23"/>
                <w:color w:val="auto"/>
              </w:rPr>
            </w:pPr>
          </w:p>
        </w:tc>
        <w:tc>
          <w:tcPr>
            <w:tcW w:w="1000" w:type="dxa"/>
            <w:vAlign w:val="bottom"/>
            <w:tcBorders>
              <w:bottom w:val="single" w:sz="8" w:color="auto"/>
            </w:tcBorders>
          </w:tcPr>
          <w:p>
            <w:pPr>
              <w:jc w:val="right"/>
              <w:ind w:right="443"/>
              <w:spacing w:after="0"/>
              <w:rPr>
                <w:sz w:val="20"/>
                <w:szCs w:val="20"/>
                <w:color w:val="auto"/>
              </w:rPr>
            </w:pPr>
            <w:r>
              <w:rPr>
                <w:rFonts w:ascii="Arial" w:cs="Arial" w:eastAsia="Arial" w:hAnsi="Arial"/>
                <w:sz w:val="14"/>
                <w:szCs w:val="14"/>
                <w:b w:val="1"/>
                <w:bCs w:val="1"/>
                <w:color w:val="auto"/>
              </w:rPr>
              <w:t>Q2</w:t>
            </w:r>
          </w:p>
        </w:tc>
        <w:tc>
          <w:tcPr>
            <w:tcW w:w="100" w:type="dxa"/>
            <w:vAlign w:val="bottom"/>
            <w:tcBorders>
              <w:bottom w:val="single" w:sz="8" w:color="CCEEFF"/>
            </w:tcBorders>
          </w:tcPr>
          <w:p>
            <w:pPr>
              <w:spacing w:after="0"/>
              <w:rPr>
                <w:sz w:val="23"/>
                <w:szCs w:val="23"/>
                <w:color w:val="auto"/>
              </w:rPr>
            </w:pPr>
          </w:p>
        </w:tc>
        <w:tc>
          <w:tcPr>
            <w:tcW w:w="340" w:type="dxa"/>
            <w:vAlign w:val="bottom"/>
            <w:tcBorders>
              <w:bottom w:val="single" w:sz="8" w:color="auto"/>
            </w:tcBorders>
          </w:tcPr>
          <w:p>
            <w:pPr>
              <w:spacing w:after="0"/>
              <w:rPr>
                <w:sz w:val="23"/>
                <w:szCs w:val="23"/>
                <w:color w:val="auto"/>
              </w:rPr>
            </w:pPr>
          </w:p>
        </w:tc>
        <w:tc>
          <w:tcPr>
            <w:tcW w:w="1100" w:type="dxa"/>
            <w:vAlign w:val="bottom"/>
            <w:tcBorders>
              <w:bottom w:val="single" w:sz="8" w:color="auto"/>
            </w:tcBorders>
          </w:tcPr>
          <w:p>
            <w:pPr>
              <w:jc w:val="right"/>
              <w:ind w:right="488"/>
              <w:spacing w:after="0" w:line="265" w:lineRule="exact"/>
              <w:rPr>
                <w:sz w:val="20"/>
                <w:szCs w:val="20"/>
                <w:color w:val="auto"/>
              </w:rPr>
            </w:pPr>
            <w:r>
              <w:rPr>
                <w:rFonts w:ascii="Arial" w:cs="Arial" w:eastAsia="Arial" w:hAnsi="Arial"/>
                <w:sz w:val="28"/>
                <w:szCs w:val="28"/>
                <w:b w:val="1"/>
                <w:bCs w:val="1"/>
                <w:color w:val="auto"/>
                <w:vertAlign w:val="subscript"/>
              </w:rPr>
              <w:t>Q3</w:t>
            </w:r>
            <w:r>
              <w:rPr>
                <w:rFonts w:ascii="Arial" w:cs="Arial" w:eastAsia="Arial" w:hAnsi="Arial"/>
                <w:sz w:val="9"/>
                <w:szCs w:val="9"/>
                <w:b w:val="1"/>
                <w:bCs w:val="1"/>
                <w:color w:val="auto"/>
              </w:rPr>
              <w:t>(1)</w:t>
            </w:r>
          </w:p>
        </w:tc>
        <w:tc>
          <w:tcPr>
            <w:tcW w:w="120" w:type="dxa"/>
            <w:vAlign w:val="bottom"/>
            <w:tcBorders>
              <w:bottom w:val="single" w:sz="8" w:color="CCEEFF"/>
            </w:tcBorders>
          </w:tcPr>
          <w:p>
            <w:pPr>
              <w:spacing w:after="0"/>
              <w:rPr>
                <w:sz w:val="23"/>
                <w:szCs w:val="23"/>
                <w:color w:val="auto"/>
              </w:rPr>
            </w:pPr>
          </w:p>
        </w:tc>
        <w:tc>
          <w:tcPr>
            <w:tcW w:w="380" w:type="dxa"/>
            <w:vAlign w:val="bottom"/>
            <w:tcBorders>
              <w:bottom w:val="single" w:sz="8" w:color="auto"/>
            </w:tcBorders>
          </w:tcPr>
          <w:p>
            <w:pPr>
              <w:spacing w:after="0"/>
              <w:rPr>
                <w:sz w:val="23"/>
                <w:szCs w:val="23"/>
                <w:color w:val="auto"/>
              </w:rPr>
            </w:pPr>
          </w:p>
        </w:tc>
        <w:tc>
          <w:tcPr>
            <w:tcW w:w="1200" w:type="dxa"/>
            <w:vAlign w:val="bottom"/>
            <w:tcBorders>
              <w:bottom w:val="single" w:sz="8" w:color="auto"/>
            </w:tcBorders>
            <w:gridSpan w:val="2"/>
          </w:tcPr>
          <w:p>
            <w:pPr>
              <w:ind w:left="420"/>
              <w:spacing w:after="0"/>
              <w:rPr>
                <w:sz w:val="20"/>
                <w:szCs w:val="20"/>
                <w:color w:val="auto"/>
              </w:rPr>
            </w:pPr>
            <w:r>
              <w:rPr>
                <w:rFonts w:ascii="Arial" w:cs="Arial" w:eastAsia="Arial" w:hAnsi="Arial"/>
                <w:sz w:val="14"/>
                <w:szCs w:val="14"/>
                <w:b w:val="1"/>
                <w:bCs w:val="1"/>
                <w:color w:val="auto"/>
              </w:rPr>
              <w:t>Investment</w:t>
            </w:r>
          </w:p>
        </w:tc>
        <w:tc>
          <w:tcPr>
            <w:tcW w:w="740" w:type="dxa"/>
            <w:vAlign w:val="bottom"/>
            <w:tcBorders>
              <w:bottom w:val="single" w:sz="8" w:color="auto"/>
            </w:tcBorders>
          </w:tcPr>
          <w:p>
            <w:pPr>
              <w:spacing w:after="0"/>
              <w:rPr>
                <w:sz w:val="23"/>
                <w:szCs w:val="23"/>
                <w:color w:val="auto"/>
              </w:rPr>
            </w:pPr>
          </w:p>
        </w:tc>
      </w:tr>
      <w:tr>
        <w:trPr>
          <w:trHeight w:val="264"/>
        </w:trPr>
        <w:tc>
          <w:tcPr>
            <w:tcW w:w="2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Capitalized</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3,291</w:t>
            </w:r>
          </w:p>
        </w:tc>
        <w:tc>
          <w:tcPr>
            <w:tcW w:w="120" w:type="dxa"/>
            <w:vAlign w:val="bottom"/>
            <w:shd w:val="clear" w:color="auto" w:fill="CCEEFF"/>
          </w:tcPr>
          <w:p>
            <w:pPr>
              <w:spacing w:after="0"/>
              <w:rPr>
                <w:sz w:val="22"/>
                <w:szCs w:val="22"/>
                <w:color w:val="auto"/>
              </w:rPr>
            </w:pP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7,798</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shd w:val="clear" w:color="auto" w:fill="CCEEFF"/>
          </w:tcPr>
          <w:p>
            <w:pPr>
              <w:jc w:val="right"/>
              <w:ind w:right="21"/>
              <w:spacing w:after="0"/>
              <w:rPr>
                <w:sz w:val="20"/>
                <w:szCs w:val="20"/>
                <w:color w:val="auto"/>
              </w:rPr>
            </w:pPr>
            <w:r>
              <w:rPr>
                <w:rFonts w:ascii="Arial" w:cs="Arial" w:eastAsia="Arial" w:hAnsi="Arial"/>
                <w:sz w:val="16"/>
                <w:szCs w:val="16"/>
                <w:color w:val="auto"/>
              </w:rPr>
              <w:t>1,518</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shd w:val="clear" w:color="auto" w:fill="CCEEFF"/>
          </w:tcPr>
          <w:p>
            <w:pPr>
              <w:jc w:val="right"/>
              <w:ind w:right="43"/>
              <w:spacing w:after="0"/>
              <w:rPr>
                <w:sz w:val="20"/>
                <w:szCs w:val="20"/>
                <w:color w:val="auto"/>
              </w:rPr>
            </w:pPr>
            <w:r>
              <w:rPr>
                <w:rFonts w:ascii="Arial" w:cs="Arial" w:eastAsia="Arial" w:hAnsi="Arial"/>
                <w:sz w:val="16"/>
                <w:szCs w:val="16"/>
                <w:color w:val="auto"/>
              </w:rPr>
              <w:t>530</w:t>
            </w:r>
          </w:p>
        </w:tc>
        <w:tc>
          <w:tcPr>
            <w:tcW w:w="10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shd w:val="clear" w:color="auto" w:fill="CCEEFF"/>
          </w:tcPr>
          <w:p>
            <w:pPr>
              <w:jc w:val="right"/>
              <w:ind w:right="188"/>
              <w:spacing w:after="0"/>
              <w:rPr>
                <w:sz w:val="20"/>
                <w:szCs w:val="20"/>
                <w:color w:val="auto"/>
              </w:rPr>
            </w:pPr>
            <w:r>
              <w:rPr>
                <w:rFonts w:ascii="Arial" w:cs="Arial" w:eastAsia="Arial" w:hAnsi="Arial"/>
                <w:sz w:val="16"/>
                <w:szCs w:val="16"/>
                <w:color w:val="auto"/>
              </w:rPr>
              <w:t>(348)</w:t>
            </w:r>
          </w:p>
        </w:tc>
        <w:tc>
          <w:tcPr>
            <w:tcW w:w="12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shd w:val="clear" w:color="auto" w:fill="CCEEFF"/>
          </w:tcPr>
          <w:p>
            <w:pPr>
              <w:jc w:val="right"/>
              <w:ind w:right="23"/>
              <w:spacing w:after="0"/>
              <w:rPr>
                <w:sz w:val="20"/>
                <w:szCs w:val="20"/>
                <w:color w:val="auto"/>
              </w:rPr>
            </w:pPr>
            <w:r>
              <w:rPr>
                <w:rFonts w:ascii="Arial" w:cs="Arial" w:eastAsia="Arial" w:hAnsi="Arial"/>
                <w:sz w:val="16"/>
                <w:szCs w:val="16"/>
                <w:color w:val="auto"/>
              </w:rPr>
              <w:t>12,789</w:t>
            </w:r>
          </w:p>
        </w:tc>
        <w:tc>
          <w:tcPr>
            <w:tcW w:w="340" w:type="dxa"/>
            <w:vAlign w:val="bottom"/>
            <w:shd w:val="clear" w:color="auto" w:fill="CCEEFF"/>
          </w:tcPr>
          <w:p>
            <w:pPr>
              <w:spacing w:after="0"/>
              <w:rPr>
                <w:sz w:val="22"/>
                <w:szCs w:val="22"/>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64"/>
        </w:trPr>
        <w:tc>
          <w:tcPr>
            <w:tcW w:w="22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Expensed</w:t>
            </w: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2,528</w:t>
            </w:r>
          </w:p>
        </w:tc>
        <w:tc>
          <w:tcPr>
            <w:tcW w:w="12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5,930</w:t>
            </w:r>
          </w:p>
        </w:tc>
        <w:tc>
          <w:tcPr>
            <w:tcW w:w="100" w:type="dxa"/>
            <w:vAlign w:val="bottom"/>
            <w:tcBorders>
              <w:bottom w:val="single" w:sz="8" w:color="CCEEFF"/>
            </w:tcBorders>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920" w:type="dxa"/>
            <w:vAlign w:val="bottom"/>
            <w:tcBorders>
              <w:bottom w:val="single" w:sz="8" w:color="auto"/>
            </w:tcBorders>
          </w:tcPr>
          <w:p>
            <w:pPr>
              <w:jc w:val="right"/>
              <w:ind w:right="21"/>
              <w:spacing w:after="0"/>
              <w:rPr>
                <w:sz w:val="20"/>
                <w:szCs w:val="20"/>
                <w:color w:val="auto"/>
              </w:rPr>
            </w:pPr>
            <w:r>
              <w:rPr>
                <w:rFonts w:ascii="Arial" w:cs="Arial" w:eastAsia="Arial" w:hAnsi="Arial"/>
                <w:sz w:val="16"/>
                <w:szCs w:val="16"/>
                <w:color w:val="auto"/>
              </w:rPr>
              <w:t>1,165</w:t>
            </w:r>
          </w:p>
        </w:tc>
        <w:tc>
          <w:tcPr>
            <w:tcW w:w="10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000" w:type="dxa"/>
            <w:vAlign w:val="bottom"/>
            <w:tcBorders>
              <w:bottom w:val="single" w:sz="8" w:color="auto"/>
            </w:tcBorders>
          </w:tcPr>
          <w:p>
            <w:pPr>
              <w:jc w:val="right"/>
              <w:ind w:right="43"/>
              <w:spacing w:after="0"/>
              <w:rPr>
                <w:sz w:val="20"/>
                <w:szCs w:val="20"/>
                <w:color w:val="auto"/>
              </w:rPr>
            </w:pPr>
            <w:r>
              <w:rPr>
                <w:rFonts w:ascii="Arial" w:cs="Arial" w:eastAsia="Arial" w:hAnsi="Arial"/>
                <w:sz w:val="16"/>
                <w:szCs w:val="16"/>
                <w:color w:val="auto"/>
              </w:rPr>
              <w:t>517</w:t>
            </w:r>
          </w:p>
        </w:tc>
        <w:tc>
          <w:tcPr>
            <w:tcW w:w="10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248"/>
              <w:spacing w:after="0"/>
              <w:rPr>
                <w:sz w:val="20"/>
                <w:szCs w:val="20"/>
                <w:color w:val="auto"/>
              </w:rPr>
            </w:pPr>
            <w:r>
              <w:rPr>
                <w:rFonts w:ascii="Arial" w:cs="Arial" w:eastAsia="Arial" w:hAnsi="Arial"/>
                <w:sz w:val="16"/>
                <w:szCs w:val="16"/>
                <w:color w:val="auto"/>
              </w:rPr>
              <w:t>533</w:t>
            </w:r>
          </w:p>
        </w:tc>
        <w:tc>
          <w:tcPr>
            <w:tcW w:w="120" w:type="dxa"/>
            <w:vAlign w:val="bottom"/>
            <w:tcBorders>
              <w:bottom w:val="single" w:sz="8" w:color="CCEEFF"/>
            </w:tcBorders>
          </w:tcPr>
          <w:p>
            <w:pPr>
              <w:spacing w:after="0"/>
              <w:rPr>
                <w:sz w:val="22"/>
                <w:szCs w:val="22"/>
                <w:color w:val="auto"/>
              </w:rPr>
            </w:pPr>
          </w:p>
        </w:tc>
        <w:tc>
          <w:tcPr>
            <w:tcW w:w="380" w:type="dxa"/>
            <w:vAlign w:val="bottom"/>
            <w:tcBorders>
              <w:bottom w:val="single" w:sz="8" w:color="auto"/>
            </w:tcBorders>
          </w:tcPr>
          <w:p>
            <w:pPr>
              <w:spacing w:after="0"/>
              <w:rPr>
                <w:sz w:val="22"/>
                <w:szCs w:val="22"/>
                <w:color w:val="auto"/>
              </w:rPr>
            </w:pPr>
          </w:p>
        </w:tc>
        <w:tc>
          <w:tcPr>
            <w:tcW w:w="860" w:type="dxa"/>
            <w:vAlign w:val="bottom"/>
            <w:tcBorders>
              <w:bottom w:val="single" w:sz="8" w:color="auto"/>
            </w:tcBorders>
          </w:tcPr>
          <w:p>
            <w:pPr>
              <w:jc w:val="right"/>
              <w:ind w:right="23"/>
              <w:spacing w:after="0"/>
              <w:rPr>
                <w:sz w:val="20"/>
                <w:szCs w:val="20"/>
                <w:color w:val="auto"/>
              </w:rPr>
            </w:pPr>
            <w:r>
              <w:rPr>
                <w:rFonts w:ascii="Arial" w:cs="Arial" w:eastAsia="Arial" w:hAnsi="Arial"/>
                <w:sz w:val="16"/>
                <w:szCs w:val="16"/>
                <w:color w:val="auto"/>
              </w:rPr>
              <w:t>10,673</w:t>
            </w:r>
          </w:p>
        </w:tc>
        <w:tc>
          <w:tcPr>
            <w:tcW w:w="340" w:type="dxa"/>
            <w:vAlign w:val="bottom"/>
            <w:tcBorders>
              <w:bottom w:val="single" w:sz="8" w:color="CCEEFF"/>
            </w:tcBorders>
          </w:tcPr>
          <w:p>
            <w:pPr>
              <w:spacing w:after="0"/>
              <w:rPr>
                <w:sz w:val="22"/>
                <w:szCs w:val="22"/>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45%</w:t>
            </w:r>
          </w:p>
        </w:tc>
      </w:tr>
      <w:tr>
        <w:trPr>
          <w:trHeight w:val="242"/>
        </w:trPr>
        <w:tc>
          <w:tcPr>
            <w:tcW w:w="22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Total</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5,819</w:t>
            </w: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13,728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920" w:type="dxa"/>
            <w:vAlign w:val="bottom"/>
            <w:tcBorders>
              <w:bottom w:val="single" w:sz="8" w:color="auto"/>
            </w:tcBorders>
            <w:shd w:val="clear" w:color="auto" w:fill="CCEEFF"/>
          </w:tcPr>
          <w:p>
            <w:pPr>
              <w:jc w:val="right"/>
              <w:ind w:right="21"/>
              <w:spacing w:after="0"/>
              <w:rPr>
                <w:sz w:val="20"/>
                <w:szCs w:val="20"/>
                <w:color w:val="auto"/>
              </w:rPr>
            </w:pPr>
            <w:r>
              <w:rPr>
                <w:rFonts w:ascii="Arial" w:cs="Arial" w:eastAsia="Arial" w:hAnsi="Arial"/>
                <w:sz w:val="16"/>
                <w:szCs w:val="16"/>
                <w:color w:val="auto"/>
              </w:rPr>
              <w:t>2,683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000" w:type="dxa"/>
            <w:vAlign w:val="bottom"/>
            <w:tcBorders>
              <w:bottom w:val="single" w:sz="8" w:color="auto"/>
            </w:tcBorders>
            <w:shd w:val="clear" w:color="auto" w:fill="CCEEFF"/>
          </w:tcPr>
          <w:p>
            <w:pPr>
              <w:jc w:val="right"/>
              <w:ind w:right="43"/>
              <w:spacing w:after="0"/>
              <w:rPr>
                <w:sz w:val="20"/>
                <w:szCs w:val="20"/>
                <w:color w:val="auto"/>
              </w:rPr>
            </w:pPr>
            <w:r>
              <w:rPr>
                <w:rFonts w:ascii="Arial" w:cs="Arial" w:eastAsia="Arial" w:hAnsi="Arial"/>
                <w:sz w:val="16"/>
                <w:szCs w:val="16"/>
                <w:color w:val="auto"/>
              </w:rPr>
              <w:t>1,047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100" w:type="dxa"/>
            <w:vAlign w:val="bottom"/>
            <w:tcBorders>
              <w:bottom w:val="single" w:sz="8" w:color="auto"/>
            </w:tcBorders>
            <w:shd w:val="clear" w:color="auto" w:fill="CCEEFF"/>
          </w:tcPr>
          <w:p>
            <w:pPr>
              <w:jc w:val="right"/>
              <w:ind w:right="248"/>
              <w:spacing w:after="0"/>
              <w:rPr>
                <w:sz w:val="20"/>
                <w:szCs w:val="20"/>
                <w:color w:val="auto"/>
              </w:rPr>
            </w:pPr>
            <w:r>
              <w:rPr>
                <w:rFonts w:ascii="Arial" w:cs="Arial" w:eastAsia="Arial" w:hAnsi="Arial"/>
                <w:sz w:val="16"/>
                <w:szCs w:val="16"/>
                <w:color w:val="auto"/>
              </w:rPr>
              <w:t>185</w:t>
            </w:r>
          </w:p>
        </w:tc>
        <w:tc>
          <w:tcPr>
            <w:tcW w:w="12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860" w:type="dxa"/>
            <w:vAlign w:val="bottom"/>
            <w:tcBorders>
              <w:bottom w:val="single" w:sz="8" w:color="auto"/>
            </w:tcBorders>
            <w:shd w:val="clear" w:color="auto" w:fill="CCEEFF"/>
          </w:tcPr>
          <w:p>
            <w:pPr>
              <w:jc w:val="right"/>
              <w:ind w:right="23"/>
              <w:spacing w:after="0"/>
              <w:rPr>
                <w:sz w:val="20"/>
                <w:szCs w:val="20"/>
                <w:color w:val="auto"/>
              </w:rPr>
            </w:pPr>
            <w:r>
              <w:rPr>
                <w:rFonts w:ascii="Arial" w:cs="Arial" w:eastAsia="Arial" w:hAnsi="Arial"/>
                <w:sz w:val="16"/>
                <w:szCs w:val="16"/>
                <w:color w:val="auto"/>
              </w:rPr>
              <w:t>23,462</w:t>
            </w:r>
          </w:p>
        </w:tc>
        <w:tc>
          <w:tcPr>
            <w:tcW w:w="3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100%</w:t>
            </w:r>
          </w:p>
        </w:tc>
      </w:tr>
      <w:tr>
        <w:trPr>
          <w:trHeight w:val="20"/>
        </w:trPr>
        <w:tc>
          <w:tcPr>
            <w:tcW w:w="20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r>
    </w:tbl>
    <w:p>
      <w:pPr>
        <w:spacing w:after="0" w:line="54" w:lineRule="exact"/>
        <w:rPr>
          <w:sz w:val="20"/>
          <w:szCs w:val="20"/>
          <w:color w:val="auto"/>
        </w:rPr>
      </w:pPr>
    </w:p>
    <w:p>
      <w:pPr>
        <w:ind w:right="40" w:firstLine="8"/>
        <w:spacing w:after="0"/>
        <w:tabs>
          <w:tab w:leader="none" w:pos="162" w:val="left"/>
        </w:tabs>
        <w:numPr>
          <w:ilvl w:val="0"/>
          <w:numId w:val="10"/>
        </w:numPr>
        <w:rPr>
          <w:rFonts w:ascii="Arial" w:cs="Arial" w:eastAsia="Arial" w:hAnsi="Arial"/>
          <w:sz w:val="18"/>
          <w:szCs w:val="18"/>
          <w:color w:val="auto"/>
          <w:vertAlign w:val="superscript"/>
        </w:rPr>
      </w:pPr>
      <w:r>
        <w:rPr>
          <w:rFonts w:ascii="Arial" w:cs="Arial" w:eastAsia="Arial" w:hAnsi="Arial"/>
          <w:sz w:val="12"/>
          <w:szCs w:val="12"/>
          <w:color w:val="auto"/>
        </w:rPr>
        <w:t>During the third quarter of Fiscal 2017, we re-evaluated certain project costs and recorded an adjustment to capitalized ERP costs of $348 thousand, which was expensed in the quarter.</w:t>
      </w:r>
    </w:p>
    <w:p>
      <w:pPr>
        <w:spacing w:after="0" w:line="342"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During the third quarter of Fiscal 2017, we paused the ERP project to allow our recently hired Chief Information Officer time to evaluate the project and our implementation partners. In May of 2017, the Board approved continued investment in the ERP system and a change in implementation partner. The project is proceeding and the benefits are expected to be realized over the next several years. Total project costs are expected to be approximately $38 million.</w:t>
      </w:r>
    </w:p>
    <w:p>
      <w:pPr>
        <w:spacing w:after="0" w:line="200" w:lineRule="exact"/>
        <w:rPr>
          <w:sz w:val="20"/>
          <w:szCs w:val="20"/>
          <w:color w:val="auto"/>
        </w:rPr>
      </w:pPr>
    </w:p>
    <w:p>
      <w:pPr>
        <w:spacing w:after="0" w:line="37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21</w:t>
      </w:r>
    </w:p>
    <w:p>
      <w:pPr>
        <w:sectPr>
          <w:pgSz w:w="11900" w:h="16838" w:orient="portrait"/>
          <w:cols w:equalWidth="0" w:num="1">
            <w:col w:w="11420"/>
          </w:cols>
          <w:pgMar w:left="240" w:top="121" w:right="239" w:bottom="1440" w:gutter="0" w:footer="0" w:header="0"/>
        </w:sectPr>
      </w:pPr>
    </w:p>
    <w:bookmarkStart w:id="23" w:name="page24"/>
    <w:bookmarkEnd w:id="2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16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Current Quarter Compared to the Comparable Quarter Last Year</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consolidated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3"/>
          </w:tcPr>
          <w:p>
            <w:pPr>
              <w:ind w:left="200"/>
              <w:spacing w:after="0"/>
              <w:rPr>
                <w:sz w:val="20"/>
                <w:szCs w:val="20"/>
                <w:color w:val="auto"/>
              </w:rPr>
            </w:pPr>
            <w:r>
              <w:rPr>
                <w:rFonts w:ascii="Arial" w:cs="Arial" w:eastAsia="Arial" w:hAnsi="Arial"/>
                <w:sz w:val="16"/>
                <w:szCs w:val="16"/>
                <w:b w:val="1"/>
                <w:bCs w:val="1"/>
                <w:color w:val="auto"/>
              </w:rPr>
              <w:t>Three Months Ended</w:t>
            </w:r>
          </w:p>
        </w:tc>
        <w:tc>
          <w:tcPr>
            <w:tcW w:w="160" w:type="dxa"/>
            <w:vAlign w:val="bottom"/>
            <w:tcBorders>
              <w:bottom w:val="single" w:sz="8" w:color="auto"/>
            </w:tcBorders>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6"/>
        </w:trPr>
        <w:tc>
          <w:tcPr>
            <w:tcW w:w="29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60" w:type="dxa"/>
            <w:vAlign w:val="bottom"/>
          </w:tcPr>
          <w:p>
            <w:pPr>
              <w:spacing w:after="0"/>
              <w:rPr>
                <w:sz w:val="17"/>
                <w:szCs w:val="17"/>
                <w:color w:val="auto"/>
              </w:rPr>
            </w:pPr>
          </w:p>
        </w:tc>
        <w:tc>
          <w:tcPr>
            <w:tcW w:w="126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27,</w:t>
            </w:r>
          </w:p>
        </w:tc>
        <w:tc>
          <w:tcPr>
            <w:tcW w:w="1480" w:type="dxa"/>
            <w:vAlign w:val="bottom"/>
            <w:gridSpan w:val="2"/>
          </w:tcPr>
          <w:p>
            <w:pPr>
              <w:ind w:left="480"/>
              <w:spacing w:after="0"/>
              <w:rPr>
                <w:sz w:val="20"/>
                <w:szCs w:val="20"/>
                <w:color w:val="auto"/>
              </w:rPr>
            </w:pPr>
            <w:r>
              <w:rPr>
                <w:rFonts w:ascii="Arial" w:cs="Arial" w:eastAsia="Arial" w:hAnsi="Arial"/>
                <w:sz w:val="16"/>
                <w:szCs w:val="16"/>
                <w:b w:val="1"/>
                <w:bCs w:val="1"/>
                <w:color w:val="auto"/>
              </w:rPr>
              <w:t>% of</w:t>
            </w:r>
          </w:p>
        </w:tc>
        <w:tc>
          <w:tcPr>
            <w:tcW w:w="280" w:type="dxa"/>
            <w:vAlign w:val="bottom"/>
          </w:tcPr>
          <w:p>
            <w:pPr>
              <w:spacing w:after="0"/>
              <w:rPr>
                <w:sz w:val="17"/>
                <w:szCs w:val="17"/>
                <w:color w:val="auto"/>
              </w:rPr>
            </w:pPr>
          </w:p>
        </w:tc>
        <w:tc>
          <w:tcPr>
            <w:tcW w:w="1240" w:type="dxa"/>
            <w:vAlign w:val="bottom"/>
          </w:tcPr>
          <w:p>
            <w:pPr>
              <w:jc w:val="right"/>
              <w:ind w:right="439"/>
              <w:spacing w:after="0"/>
              <w:rPr>
                <w:sz w:val="20"/>
                <w:szCs w:val="20"/>
                <w:color w:val="auto"/>
              </w:rPr>
            </w:pPr>
            <w:r>
              <w:rPr>
                <w:rFonts w:ascii="Arial" w:cs="Arial" w:eastAsia="Arial" w:hAnsi="Arial"/>
                <w:sz w:val="16"/>
                <w:szCs w:val="16"/>
                <w:b w:val="1"/>
                <w:bCs w:val="1"/>
                <w:color w:val="auto"/>
              </w:rPr>
              <w:t>May 28,</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7"/>
                <w:szCs w:val="17"/>
                <w:color w:val="auto"/>
              </w:rPr>
            </w:pPr>
          </w:p>
        </w:tc>
        <w:tc>
          <w:tcPr>
            <w:tcW w:w="1160" w:type="dxa"/>
            <w:vAlign w:val="bottom"/>
          </w:tcPr>
          <w:p>
            <w:pPr>
              <w:jc w:val="right"/>
              <w:ind w:right="29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99"/>
              <w:spacing w:after="0"/>
              <w:rPr>
                <w:sz w:val="20"/>
                <w:szCs w:val="20"/>
                <w:color w:val="auto"/>
              </w:rPr>
            </w:pPr>
            <w:r>
              <w:rPr>
                <w:rFonts w:ascii="Arial" w:cs="Arial" w:eastAsia="Arial" w:hAnsi="Arial"/>
                <w:sz w:val="16"/>
                <w:szCs w:val="16"/>
                <w:b w:val="1"/>
                <w:bCs w:val="1"/>
                <w:color w:val="auto"/>
              </w:rPr>
              <w:t>%</w:t>
            </w:r>
          </w:p>
        </w:tc>
      </w:tr>
      <w:tr>
        <w:trPr>
          <w:trHeight w:val="236"/>
        </w:trPr>
        <w:tc>
          <w:tcPr>
            <w:tcW w:w="28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00" w:type="dxa"/>
            <w:vAlign w:val="bottom"/>
            <w:tcBorders>
              <w:bottom w:val="single" w:sz="8" w:color="CCEEFF"/>
            </w:tcBorders>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3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9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right"/>
              <w:ind w:right="519"/>
              <w:spacing w:after="0"/>
              <w:rPr>
                <w:sz w:val="20"/>
                <w:szCs w:val="20"/>
                <w:color w:val="auto"/>
              </w:rPr>
            </w:pPr>
            <w:r>
              <w:rPr>
                <w:rFonts w:ascii="Arial" w:cs="Arial" w:eastAsia="Arial" w:hAnsi="Arial"/>
                <w:sz w:val="16"/>
                <w:szCs w:val="16"/>
                <w:b w:val="1"/>
                <w:bCs w:val="1"/>
                <w:color w:val="auto"/>
              </w:rPr>
              <w:t>2016</w:t>
            </w:r>
          </w:p>
        </w:tc>
        <w:tc>
          <w:tcPr>
            <w:tcW w:w="1400" w:type="dxa"/>
            <w:vAlign w:val="bottom"/>
            <w:tcBorders>
              <w:bottom w:val="single" w:sz="8" w:color="auto"/>
            </w:tcBorders>
          </w:tcPr>
          <w:p>
            <w:pPr>
              <w:jc w:val="right"/>
              <w:ind w:right="19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476,364</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272,077</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204,287</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75.1 %</w:t>
            </w:r>
          </w:p>
        </w:tc>
      </w:tr>
      <w:tr>
        <w:trPr>
          <w:trHeight w:val="264"/>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405,560</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85.1 %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241,820</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88.9 %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163,740</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67.7 %</w:t>
            </w:r>
          </w:p>
        </w:tc>
      </w:tr>
      <w:tr>
        <w:trPr>
          <w:trHeight w:val="25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6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70,804</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14.9 %</w:t>
            </w:r>
          </w:p>
        </w:tc>
        <w:tc>
          <w:tcPr>
            <w:tcW w:w="100" w:type="dxa"/>
            <w:vAlign w:val="bottom"/>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spacing w:after="0"/>
              <w:rPr>
                <w:sz w:val="21"/>
                <w:szCs w:val="21"/>
                <w:color w:val="auto"/>
              </w:rPr>
            </w:pP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30,257</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11.1 %</w:t>
            </w:r>
          </w:p>
        </w:tc>
        <w:tc>
          <w:tcPr>
            <w:tcW w:w="100" w:type="dxa"/>
            <w:vAlign w:val="bottom"/>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40,547</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134.0 %</w:t>
            </w:r>
          </w:p>
        </w:tc>
      </w:tr>
      <w:tr>
        <w:trPr>
          <w:trHeight w:val="284"/>
        </w:trPr>
        <w:tc>
          <w:tcPr>
            <w:tcW w:w="2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10,141</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4,770</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1.8 %</w:t>
            </w: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5,371</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112.6 %</w:t>
            </w: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15,194</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3.2 %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6,487</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2.4 %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8,707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134.2 %</w:t>
            </w:r>
          </w:p>
        </w:tc>
      </w:tr>
      <w:tr>
        <w:trPr>
          <w:trHeight w:val="206"/>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w:t>
            </w:r>
          </w:p>
        </w:tc>
        <w:tc>
          <w:tcPr>
            <w:tcW w:w="26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4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290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26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w:t>
            </w:r>
          </w:p>
        </w:tc>
        <w:tc>
          <w:tcPr>
            <w:tcW w:w="148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280" w:type="dxa"/>
            <w:vAlign w:val="bottom"/>
            <w:shd w:val="clear" w:color="auto" w:fill="CCEEFF"/>
          </w:tcPr>
          <w:p>
            <w:pPr>
              <w:spacing w:after="0"/>
              <w:rPr>
                <w:sz w:val="20"/>
                <w:szCs w:val="20"/>
                <w:color w:val="auto"/>
              </w:rPr>
            </w:pPr>
          </w:p>
        </w:tc>
        <w:tc>
          <w:tcPr>
            <w:tcW w:w="12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(1,593)</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1,593</w:t>
            </w:r>
          </w:p>
        </w:tc>
        <w:tc>
          <w:tcPr>
            <w:tcW w:w="11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w:t>
            </w: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450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0.1 %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450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1"/>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6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10,159</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10,159</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0"/>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6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35,944</w:t>
            </w:r>
          </w:p>
        </w:tc>
        <w:tc>
          <w:tcPr>
            <w:tcW w:w="13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7.5 %</w:t>
            </w:r>
          </w:p>
        </w:tc>
        <w:tc>
          <w:tcPr>
            <w:tcW w:w="100" w:type="dxa"/>
            <w:vAlign w:val="bottom"/>
            <w:tcBorders>
              <w:bottom w:val="single" w:sz="8" w:color="CCEEFF"/>
            </w:tcBorders>
          </w:tcPr>
          <w:p>
            <w:pPr>
              <w:spacing w:after="0"/>
              <w:rPr>
                <w:sz w:val="21"/>
                <w:szCs w:val="21"/>
                <w:color w:val="auto"/>
              </w:rPr>
            </w:pPr>
          </w:p>
        </w:tc>
        <w:tc>
          <w:tcPr>
            <w:tcW w:w="280" w:type="dxa"/>
            <w:vAlign w:val="bottom"/>
            <w:tcBorders>
              <w:top w:val="single" w:sz="8" w:color="auto"/>
              <w:bottom w:val="single" w:sz="8" w:color="auto"/>
            </w:tcBorders>
          </w:tcPr>
          <w:p>
            <w:pPr>
              <w:spacing w:after="0"/>
              <w:rPr>
                <w:sz w:val="21"/>
                <w:szCs w:val="21"/>
                <w:color w:val="auto"/>
              </w:rPr>
            </w:pPr>
          </w:p>
        </w:tc>
        <w:tc>
          <w:tcPr>
            <w:tcW w:w="124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9,664</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3.6 %</w:t>
            </w:r>
          </w:p>
        </w:tc>
        <w:tc>
          <w:tcPr>
            <w:tcW w:w="100" w:type="dxa"/>
            <w:vAlign w:val="bottom"/>
            <w:tcBorders>
              <w:bottom w:val="single" w:sz="8" w:color="CCEEFF"/>
            </w:tcBorders>
          </w:tcPr>
          <w:p>
            <w:pPr>
              <w:spacing w:after="0"/>
              <w:rPr>
                <w:sz w:val="21"/>
                <w:szCs w:val="21"/>
                <w:color w:val="auto"/>
              </w:rPr>
            </w:pPr>
          </w:p>
        </w:tc>
        <w:tc>
          <w:tcPr>
            <w:tcW w:w="16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39"/>
              <w:spacing w:after="0"/>
              <w:rPr>
                <w:sz w:val="20"/>
                <w:szCs w:val="20"/>
                <w:color w:val="auto"/>
              </w:rPr>
            </w:pPr>
            <w:r>
              <w:rPr>
                <w:rFonts w:ascii="Arial" w:cs="Arial" w:eastAsia="Arial" w:hAnsi="Arial"/>
                <w:sz w:val="16"/>
                <w:szCs w:val="16"/>
                <w:color w:val="auto"/>
              </w:rPr>
              <w:t>26,280</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271.9 %</w:t>
            </w:r>
          </w:p>
        </w:tc>
      </w:tr>
      <w:tr>
        <w:trPr>
          <w:trHeight w:val="284"/>
        </w:trPr>
        <w:tc>
          <w:tcPr>
            <w:tcW w:w="2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2"/>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34,860</w:t>
            </w:r>
          </w:p>
        </w:tc>
        <w:tc>
          <w:tcPr>
            <w:tcW w:w="1380" w:type="dxa"/>
            <w:vAlign w:val="bottom"/>
          </w:tcPr>
          <w:p>
            <w:pPr>
              <w:jc w:val="right"/>
              <w:ind w:right="99"/>
              <w:spacing w:after="0"/>
              <w:rPr>
                <w:sz w:val="20"/>
                <w:szCs w:val="20"/>
                <w:color w:val="auto"/>
              </w:rPr>
            </w:pPr>
            <w:r>
              <w:rPr>
                <w:rFonts w:ascii="Arial" w:cs="Arial" w:eastAsia="Arial" w:hAnsi="Arial"/>
                <w:sz w:val="16"/>
                <w:szCs w:val="16"/>
                <w:color w:val="auto"/>
              </w:rPr>
              <w:t>7.3 %</w:t>
            </w: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20,593</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7.6 %</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14,267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69.3 %</w:t>
            </w:r>
          </w:p>
        </w:tc>
      </w:tr>
      <w:tr>
        <w:trPr>
          <w:trHeight w:val="278"/>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6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5,265</w:t>
            </w:r>
          </w:p>
        </w:tc>
        <w:tc>
          <w:tcPr>
            <w:tcW w:w="13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1.1 %</w:t>
            </w:r>
          </w:p>
        </w:tc>
        <w:tc>
          <w:tcPr>
            <w:tcW w:w="100" w:type="dxa"/>
            <w:vAlign w:val="bottom"/>
            <w:shd w:val="clear" w:color="auto" w:fill="CCEEFF"/>
          </w:tcPr>
          <w:p>
            <w:pPr>
              <w:spacing w:after="0"/>
              <w:rPr>
                <w:sz w:val="24"/>
                <w:szCs w:val="24"/>
                <w:color w:val="auto"/>
              </w:rPr>
            </w:pPr>
          </w:p>
        </w:tc>
        <w:tc>
          <w:tcPr>
            <w:tcW w:w="280" w:type="dxa"/>
            <w:vAlign w:val="bottom"/>
            <w:shd w:val="clear" w:color="auto" w:fill="CCEEFF"/>
          </w:tcPr>
          <w:p>
            <w:pPr>
              <w:spacing w:after="0"/>
              <w:rPr>
                <w:sz w:val="24"/>
                <w:szCs w:val="24"/>
                <w:color w:val="auto"/>
              </w:rPr>
            </w:pP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5,265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4"/>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260" w:type="dxa"/>
            <w:vAlign w:val="bottom"/>
          </w:tcPr>
          <w:p>
            <w:pPr>
              <w:spacing w:after="0"/>
              <w:rPr>
                <w:sz w:val="22"/>
                <w:szCs w:val="22"/>
                <w:color w:val="auto"/>
              </w:rPr>
            </w:pPr>
          </w:p>
        </w:tc>
        <w:tc>
          <w:tcPr>
            <w:tcW w:w="1260" w:type="dxa"/>
            <w:vAlign w:val="bottom"/>
          </w:tcPr>
          <w:p>
            <w:pPr>
              <w:jc w:val="right"/>
              <w:ind w:right="139"/>
              <w:spacing w:after="0"/>
              <w:rPr>
                <w:sz w:val="20"/>
                <w:szCs w:val="20"/>
                <w:color w:val="auto"/>
              </w:rPr>
            </w:pPr>
            <w:r>
              <w:rPr>
                <w:rFonts w:ascii="Arial" w:cs="Arial" w:eastAsia="Arial" w:hAnsi="Arial"/>
                <w:sz w:val="16"/>
                <w:szCs w:val="16"/>
                <w:color w:val="auto"/>
              </w:rPr>
              <w:t>(54)</w:t>
            </w:r>
          </w:p>
        </w:tc>
        <w:tc>
          <w:tcPr>
            <w:tcW w:w="148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280" w:type="dxa"/>
            <w:vAlign w:val="bottom"/>
          </w:tcPr>
          <w:p>
            <w:pPr>
              <w:spacing w:after="0"/>
              <w:rPr>
                <w:sz w:val="22"/>
                <w:szCs w:val="22"/>
                <w:color w:val="auto"/>
              </w:rPr>
            </w:pPr>
          </w:p>
        </w:tc>
        <w:tc>
          <w:tcPr>
            <w:tcW w:w="1240" w:type="dxa"/>
            <w:vAlign w:val="bottom"/>
          </w:tcPr>
          <w:p>
            <w:pPr>
              <w:jc w:val="right"/>
              <w:ind w:right="139"/>
              <w:spacing w:after="0"/>
              <w:rPr>
                <w:sz w:val="20"/>
                <w:szCs w:val="20"/>
                <w:color w:val="auto"/>
              </w:rPr>
            </w:pPr>
            <w:r>
              <w:rPr>
                <w:rFonts w:ascii="Arial" w:cs="Arial" w:eastAsia="Arial" w:hAnsi="Arial"/>
                <w:sz w:val="16"/>
                <w:szCs w:val="16"/>
                <w:color w:val="auto"/>
              </w:rPr>
              <w:t>(77)</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6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23</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(29.9)%</w:t>
            </w:r>
          </w:p>
        </w:tc>
      </w:tr>
      <w:tr>
        <w:trPr>
          <w:trHeight w:val="257"/>
        </w:trPr>
        <w:tc>
          <w:tcPr>
            <w:tcW w:w="290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6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29,649</w:t>
            </w:r>
          </w:p>
        </w:tc>
        <w:tc>
          <w:tcPr>
            <w:tcW w:w="13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6.2 %</w:t>
            </w:r>
          </w:p>
        </w:tc>
        <w:tc>
          <w:tcPr>
            <w:tcW w:w="100" w:type="dxa"/>
            <w:vAlign w:val="bottom"/>
            <w:tcBorders>
              <w:top w:val="single" w:sz="8" w:color="CCEEFF"/>
            </w:tcBorders>
            <w:shd w:val="clear" w:color="auto" w:fill="CCEEFF"/>
          </w:tcPr>
          <w:p>
            <w:pPr>
              <w:spacing w:after="0"/>
              <w:rPr>
                <w:sz w:val="22"/>
                <w:szCs w:val="22"/>
                <w:color w:val="auto"/>
              </w:rPr>
            </w:pPr>
          </w:p>
        </w:tc>
        <w:tc>
          <w:tcPr>
            <w:tcW w:w="280" w:type="dxa"/>
            <w:vAlign w:val="bottom"/>
            <w:tcBorders>
              <w:top w:val="single" w:sz="8" w:color="auto"/>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20,670</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7.6 %</w:t>
            </w:r>
          </w:p>
        </w:tc>
        <w:tc>
          <w:tcPr>
            <w:tcW w:w="100" w:type="dxa"/>
            <w:vAlign w:val="bottom"/>
            <w:tcBorders>
              <w:top w:val="single" w:sz="8" w:color="CCEEFF"/>
            </w:tcBorders>
            <w:shd w:val="clear" w:color="auto" w:fill="CCEEFF"/>
          </w:tcPr>
          <w:p>
            <w:pPr>
              <w:spacing w:after="0"/>
              <w:rPr>
                <w:sz w:val="22"/>
                <w:szCs w:val="22"/>
                <w:color w:val="auto"/>
              </w:rPr>
            </w:pPr>
          </w:p>
        </w:tc>
        <w:tc>
          <w:tcPr>
            <w:tcW w:w="16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8,979</w:t>
            </w:r>
          </w:p>
        </w:tc>
        <w:tc>
          <w:tcPr>
            <w:tcW w:w="11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43.4 %</w:t>
            </w:r>
          </w:p>
        </w:tc>
      </w:tr>
      <w:tr>
        <w:trPr>
          <w:trHeight w:val="264"/>
        </w:trPr>
        <w:tc>
          <w:tcPr>
            <w:tcW w:w="290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2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10,258</w:t>
            </w:r>
          </w:p>
        </w:tc>
        <w:tc>
          <w:tcPr>
            <w:tcW w:w="13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2.2 %</w:t>
            </w:r>
          </w:p>
        </w:tc>
        <w:tc>
          <w:tcPr>
            <w:tcW w:w="100" w:type="dxa"/>
            <w:vAlign w:val="bottom"/>
            <w:tcBorders>
              <w:bottom w:val="single" w:sz="8" w:color="CCEEFF"/>
            </w:tcBorders>
          </w:tcPr>
          <w:p>
            <w:pPr>
              <w:spacing w:after="0"/>
              <w:rPr>
                <w:sz w:val="22"/>
                <w:szCs w:val="22"/>
                <w:color w:val="auto"/>
              </w:rPr>
            </w:pPr>
          </w:p>
        </w:tc>
        <w:tc>
          <w:tcPr>
            <w:tcW w:w="2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6,232</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2.3 %</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color w:val="auto"/>
              </w:rPr>
              <w:t>4,026</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64.6 %</w:t>
            </w:r>
          </w:p>
        </w:tc>
      </w:tr>
      <w:tr>
        <w:trPr>
          <w:trHeight w:val="242"/>
        </w:trPr>
        <w:tc>
          <w:tcPr>
            <w:tcW w:w="29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6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19,391</w:t>
            </w:r>
          </w:p>
        </w:tc>
        <w:tc>
          <w:tcPr>
            <w:tcW w:w="13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4.1 %</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14,438</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5.3 %</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4,953</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34.3 %</w:t>
            </w:r>
          </w:p>
        </w:tc>
      </w:tr>
      <w:tr>
        <w:trPr>
          <w:trHeight w:val="20"/>
        </w:trPr>
        <w:tc>
          <w:tcPr>
            <w:tcW w:w="28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5"/>
        </w:trPr>
        <w:tc>
          <w:tcPr>
            <w:tcW w:w="28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24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9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6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0.61</w:t>
            </w:r>
          </w:p>
        </w:tc>
        <w:tc>
          <w:tcPr>
            <w:tcW w:w="13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12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0.53</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0.08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15.1 %</w:t>
            </w:r>
          </w:p>
        </w:tc>
      </w:tr>
      <w:tr>
        <w:trPr>
          <w:trHeight w:val="255"/>
        </w:trPr>
        <w:tc>
          <w:tcPr>
            <w:tcW w:w="290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6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31,691</w:t>
            </w:r>
          </w:p>
        </w:tc>
        <w:tc>
          <w:tcPr>
            <w:tcW w:w="13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240" w:type="dxa"/>
            <w:vAlign w:val="bottom"/>
          </w:tcPr>
          <w:p>
            <w:pPr>
              <w:jc w:val="right"/>
              <w:ind w:right="179"/>
              <w:spacing w:after="0"/>
              <w:rPr>
                <w:sz w:val="20"/>
                <w:szCs w:val="20"/>
                <w:color w:val="auto"/>
              </w:rPr>
            </w:pPr>
            <w:r>
              <w:rPr>
                <w:rFonts w:ascii="Arial" w:cs="Arial" w:eastAsia="Arial" w:hAnsi="Arial"/>
                <w:sz w:val="16"/>
                <w:szCs w:val="16"/>
                <w:color w:val="auto"/>
              </w:rPr>
              <w:t>27,004</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4,687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17.4 %</w:t>
            </w:r>
          </w:p>
        </w:tc>
      </w:tr>
    </w:tbl>
    <w:p>
      <w:pPr>
        <w:spacing w:after="0" w:line="44" w:lineRule="exact"/>
        <w:rPr>
          <w:sz w:val="20"/>
          <w:szCs w:val="20"/>
          <w:color w:val="auto"/>
        </w:rPr>
      </w:pPr>
    </w:p>
    <w:p>
      <w:pPr>
        <w:ind w:left="160" w:hanging="152"/>
        <w:spacing w:after="0"/>
        <w:tabs>
          <w:tab w:leader="none" w:pos="160" w:val="left"/>
        </w:tabs>
        <w:numPr>
          <w:ilvl w:val="0"/>
          <w:numId w:val="11"/>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25" w:lineRule="exact"/>
        <w:rPr>
          <w:sz w:val="20"/>
          <w:szCs w:val="20"/>
          <w:color w:val="auto"/>
        </w:rPr>
      </w:pPr>
    </w:p>
    <w:p>
      <w:pPr>
        <w:jc w:val="both"/>
        <w:ind w:right="100"/>
        <w:spacing w:after="0" w:line="269" w:lineRule="auto"/>
        <w:rPr>
          <w:sz w:val="20"/>
          <w:szCs w:val="20"/>
          <w:color w:val="auto"/>
        </w:rPr>
      </w:pPr>
      <w:r>
        <w:rPr>
          <w:rFonts w:ascii="Arial" w:cs="Arial" w:eastAsia="Arial" w:hAnsi="Arial"/>
          <w:sz w:val="16"/>
          <w:szCs w:val="16"/>
          <w:color w:val="auto"/>
        </w:rPr>
        <w:t>Consolidated net revenues increased $204.3 million or 75.1% in the third quarter of Fiscal 2017 over the third quarter of Fiscal 2016. This was primarily due to the acquisition of Grand Design which added revenues of $196.9 million in the quarter. In addition, Winnebago-branded Towables revenues rose $12.4 million or 48.9% in the quarter over the third quarter of Fiscal 2016, helping to offset a decline of 2.0% in Motorized revenues.</w:t>
      </w:r>
    </w:p>
    <w:p>
      <w:pPr>
        <w:spacing w:after="0" w:line="138" w:lineRule="exact"/>
        <w:rPr>
          <w:sz w:val="20"/>
          <w:szCs w:val="20"/>
          <w:color w:val="auto"/>
        </w:rPr>
      </w:pPr>
    </w:p>
    <w:p>
      <w:pPr>
        <w:ind w:right="180"/>
        <w:spacing w:after="0" w:line="259" w:lineRule="auto"/>
        <w:rPr>
          <w:sz w:val="20"/>
          <w:szCs w:val="20"/>
          <w:color w:val="auto"/>
        </w:rPr>
      </w:pPr>
      <w:r>
        <w:rPr>
          <w:rFonts w:ascii="Arial" w:cs="Arial" w:eastAsia="Arial" w:hAnsi="Arial"/>
          <w:sz w:val="16"/>
          <w:szCs w:val="16"/>
          <w:color w:val="auto"/>
        </w:rPr>
        <w:t>Cost of goods sold was $405.6 million, or 85.1% of net revenues for the third quarter of Fiscal 2017 compared to $241.8 million, or 88.9% of net revenues for the same period a year ago due to the following:</w:t>
      </w:r>
    </w:p>
    <w:p>
      <w:pPr>
        <w:spacing w:after="0" w:line="1" w:lineRule="exact"/>
        <w:rPr>
          <w:sz w:val="20"/>
          <w:szCs w:val="20"/>
          <w:color w:val="auto"/>
        </w:rPr>
      </w:pPr>
    </w:p>
    <w:p>
      <w:pPr>
        <w:ind w:left="340" w:right="2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Total variable costs (materials, direct labor, variable overhead, delivery expense and warranty), as a percent of net revenues, decreased from 83.5% to 80.8%, primarily due to a higher proportion of Towable revenue in the quarter as the Towable segment operates at a higher gross profit rate. Also, favorable product mix and improved warranty experience in the Towables segment was partially offset by margin pressure in the Motorized segment due in part to the ramp up of the Junction City production facility.</w:t>
      </w:r>
    </w:p>
    <w:p>
      <w:pPr>
        <w:spacing w:after="0" w:line="1" w:lineRule="exact"/>
        <w:rPr>
          <w:rFonts w:ascii="Arial" w:cs="Arial" w:eastAsia="Arial" w:hAnsi="Arial"/>
          <w:sz w:val="16"/>
          <w:szCs w:val="16"/>
          <w:color w:val="auto"/>
        </w:rPr>
      </w:pPr>
    </w:p>
    <w:p>
      <w:pPr>
        <w:ind w:left="340" w:right="160" w:hanging="332"/>
        <w:spacing w:after="0" w:line="246" w:lineRule="auto"/>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Fixed overhead (manufacturing support labor, depreciation and facility costs) and research and development-related costs decreased from 5.4% to 4.4% of net revenues due mainly to a higher proportion of Towable revenue in the quarter which operates at a lower fixed cost per unit.</w:t>
      </w:r>
    </w:p>
    <w:p>
      <w:pPr>
        <w:ind w:left="340" w:hanging="332"/>
        <w:spacing w:after="0"/>
        <w:tabs>
          <w:tab w:leader="none" w:pos="340" w:val="left"/>
        </w:tabs>
        <w:numPr>
          <w:ilvl w:val="0"/>
          <w:numId w:val="12"/>
        </w:numPr>
        <w:rPr>
          <w:rFonts w:ascii="Arial" w:cs="Arial" w:eastAsia="Arial" w:hAnsi="Arial"/>
          <w:sz w:val="16"/>
          <w:szCs w:val="16"/>
          <w:color w:val="auto"/>
        </w:rPr>
      </w:pPr>
      <w:r>
        <w:rPr>
          <w:rFonts w:ascii="Arial" w:cs="Arial" w:eastAsia="Arial" w:hAnsi="Arial"/>
          <w:sz w:val="16"/>
          <w:szCs w:val="16"/>
          <w:color w:val="auto"/>
        </w:rPr>
        <w:t>All factors considered, gross profit increased from 11.1% to 14.9% of net revenues.</w:t>
      </w:r>
    </w:p>
    <w:p>
      <w:pPr>
        <w:spacing w:after="0" w:line="147"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Selling expenses were $10.1 million and $4.8 million, or 2.1% and 1.8% of net revenues in the third quarter of Fiscal 2017 and Fiscal 2016, respectively. The increase in the third quarter of Fiscal 2017 was primarily due to an additional $5.1 million in Towable segment selling expenses including those associated with the acquired Grand Design operation and due to Towable net revenue growth.</w:t>
      </w:r>
    </w:p>
    <w:p>
      <w:pPr>
        <w:spacing w:after="0" w:line="11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General and administrative expenses were $15.2 million and $6.5 million, or 3.2% and 2.4% of net revenues in the third quarter of Fiscal 2017 and Fiscal 2016, respectively. This increase was due to the addition of $5.0 million of general and administrative expenses related to Towable segment expenses including the costs associated with the acquired Grand Design operation, an increase in salaried wages, and a decrease in the third quarter of Fiscal 2016 related to a favorable legal settlement of $2.75 million.</w:t>
      </w: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22</w:t>
      </w:r>
    </w:p>
    <w:p>
      <w:pPr>
        <w:sectPr>
          <w:pgSz w:w="11900" w:h="16838" w:orient="portrait"/>
          <w:cols w:equalWidth="0" w:num="1">
            <w:col w:w="11420"/>
          </w:cols>
          <w:pgMar w:left="240" w:top="121" w:right="239" w:bottom="1440" w:gutter="0" w:footer="0" w:header="0"/>
        </w:sectPr>
      </w:pPr>
    </w:p>
    <w:bookmarkStart w:id="24" w:name="page25"/>
    <w:bookmarkEnd w:id="2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480"/>
        <w:spacing w:after="0" w:line="291" w:lineRule="auto"/>
        <w:rPr>
          <w:sz w:val="20"/>
          <w:szCs w:val="20"/>
          <w:color w:val="auto"/>
        </w:rPr>
      </w:pPr>
      <w:r>
        <w:rPr>
          <w:rFonts w:ascii="Arial" w:cs="Arial" w:eastAsia="Arial" w:hAnsi="Arial"/>
          <w:sz w:val="16"/>
          <w:szCs w:val="16"/>
          <w:color w:val="auto"/>
        </w:rPr>
        <w:t>Postretirement health care benefit income decreased by $1.6 million in the third quarter of Fiscal 2017 due to a plan amendment that terminated the plan effective January 1, 2017. As a result of that amendment, our liability for postretirement health care was eliminated in the second quarter of Fiscal 2017.</w:t>
      </w:r>
    </w:p>
    <w:p>
      <w:pPr>
        <w:spacing w:after="0" w:line="175"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$0.5 million in the third quarter of Fiscal 2017 relate to the acquisition of Grand Design.</w:t>
      </w:r>
    </w:p>
    <w:p>
      <w:pPr>
        <w:spacing w:after="0" w:line="24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Amortization of intangible assets expense of $10.2 million is related to definite-lived intangible assets established as a result of the acquisition of Grand Design in the first quarter of Fiscal 2017.</w:t>
      </w:r>
    </w:p>
    <w:p>
      <w:pPr>
        <w:spacing w:after="0" w:line="175" w:lineRule="exact"/>
        <w:rPr>
          <w:sz w:val="20"/>
          <w:szCs w:val="20"/>
          <w:color w:val="auto"/>
        </w:rPr>
      </w:pPr>
    </w:p>
    <w:p>
      <w:pPr>
        <w:ind w:right="440"/>
        <w:spacing w:after="0" w:line="291" w:lineRule="auto"/>
        <w:rPr>
          <w:sz w:val="20"/>
          <w:szCs w:val="20"/>
          <w:color w:val="auto"/>
        </w:rPr>
      </w:pPr>
      <w:r>
        <w:rPr>
          <w:rFonts w:ascii="Arial" w:cs="Arial" w:eastAsia="Arial" w:hAnsi="Arial"/>
          <w:sz w:val="16"/>
          <w:szCs w:val="16"/>
          <w:color w:val="auto"/>
        </w:rPr>
        <w:t>Interest expense was $5.3 million in the third quarter of Fiscal 2017. It is related to the ABL and Term Loan agreements as we borrowed $353.0 million on November 8, 2016 for the acquisition of Grand Design. See Analysis of Financial Condition, Liquidity, and Resources and Note 9 for further information.</w:t>
      </w:r>
    </w:p>
    <w:p>
      <w:pPr>
        <w:spacing w:after="0" w:line="175"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The overall effective income tax rate for the third quarter of Fiscal 2017 was 34.6% compared to the effective tax rate of 30.2% for the same period in Fiscal 2016. The effective rate for the third quarter of Fiscal 2016 was favorably impacted by retroactive reinstatements of the federal research and development credit and other credits that were enacted in December 2015. The increase in the effective rate is also due to higher pre-tax income in Fiscal 2017 associated with the acquisition of Grand Design. This results in various permanent deductions having less of an impact on the overall tax rate.</w:t>
      </w:r>
    </w:p>
    <w:p>
      <w:pPr>
        <w:spacing w:after="0" w:line="118" w:lineRule="exact"/>
        <w:rPr>
          <w:sz w:val="20"/>
          <w:szCs w:val="20"/>
          <w:color w:val="auto"/>
        </w:rPr>
      </w:pPr>
    </w:p>
    <w:p>
      <w:pPr>
        <w:ind w:right="100"/>
        <w:spacing w:after="0" w:line="291" w:lineRule="auto"/>
        <w:rPr>
          <w:sz w:val="20"/>
          <w:szCs w:val="20"/>
          <w:color w:val="auto"/>
        </w:rPr>
      </w:pPr>
      <w:r>
        <w:rPr>
          <w:rFonts w:ascii="Arial" w:cs="Arial" w:eastAsia="Arial" w:hAnsi="Arial"/>
          <w:sz w:val="16"/>
          <w:szCs w:val="16"/>
          <w:color w:val="auto"/>
        </w:rPr>
        <w:t>Net income and diluted income per share were $19.4 million and $0.61 per share, respectively, for the third quarter of Fiscal 2017. In the third quarter of Fiscal 2016, net income was $14.4 million and diluted income was $0.53 per share.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7"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80" w:type="dxa"/>
            <w:vAlign w:val="bottom"/>
            <w:gridSpan w:val="2"/>
          </w:tcPr>
          <w:p>
            <w:pPr>
              <w:spacing w:after="0"/>
              <w:rPr>
                <w:sz w:val="20"/>
                <w:szCs w:val="20"/>
                <w:color w:val="auto"/>
              </w:rPr>
            </w:pPr>
            <w:r>
              <w:rPr>
                <w:rFonts w:ascii="Arial" w:cs="Arial" w:eastAsia="Arial" w:hAnsi="Arial"/>
                <w:sz w:val="16"/>
                <w:szCs w:val="16"/>
                <w:color w:val="auto"/>
              </w:rPr>
              <w:t>The following table reconciles net income to consolidated Adjusted EBITDA.</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90"/>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19"/>
              <w:spacing w:after="0"/>
              <w:rPr>
                <w:sz w:val="20"/>
                <w:szCs w:val="20"/>
                <w:color w:val="auto"/>
              </w:rPr>
            </w:pPr>
            <w:r>
              <w:rPr>
                <w:rFonts w:ascii="Arial" w:cs="Arial" w:eastAsia="Arial" w:hAnsi="Arial"/>
                <w:sz w:val="16"/>
                <w:szCs w:val="16"/>
                <w:b w:val="1"/>
                <w:bCs w:val="1"/>
                <w:color w:val="auto"/>
              </w:rPr>
              <w:t>Three Months Ended</w:t>
            </w:r>
          </w:p>
        </w:tc>
      </w:tr>
      <w:tr>
        <w:trPr>
          <w:trHeight w:val="193"/>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27,</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254"/>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19,391</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14,438</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5,265</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10,258</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6,232</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1,859</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1,480</w:t>
            </w:r>
          </w:p>
        </w:tc>
      </w:tr>
      <w:tr>
        <w:trPr>
          <w:trHeight w:val="271"/>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10,159</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9"/>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46,932</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22,150</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40" w:type="dxa"/>
            <w:vAlign w:val="bottom"/>
            <w:shd w:val="clear" w:color="auto" w:fill="CCEEFF"/>
          </w:tcPr>
          <w:p>
            <w:pPr>
              <w:spacing w:after="0"/>
              <w:rPr>
                <w:sz w:val="24"/>
                <w:szCs w:val="24"/>
                <w:color w:val="auto"/>
              </w:rPr>
            </w:pPr>
          </w:p>
        </w:tc>
        <w:tc>
          <w:tcPr>
            <w:tcW w:w="1540" w:type="dxa"/>
            <w:vAlign w:val="bottom"/>
            <w:gridSpan w:val="2"/>
            <w:shd w:val="clear" w:color="auto" w:fill="CCEEFF"/>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(1,593)</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(2,750)</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450</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(54)</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(77)</w:t>
            </w:r>
          </w:p>
        </w:tc>
      </w:tr>
      <w:tr>
        <w:trPr>
          <w:trHeight w:val="242"/>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47,328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17,730</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 favorable legal settlement, and the transaction costs related to our acquisition of Grand Design.</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23</w:t>
      </w:r>
    </w:p>
    <w:p>
      <w:pPr>
        <w:sectPr>
          <w:pgSz w:w="11900" w:h="16838" w:orient="portrait"/>
          <w:cols w:equalWidth="0" w:num="1">
            <w:col w:w="11420"/>
          </w:cols>
          <w:pgMar w:left="240" w:top="121" w:right="239" w:bottom="1440" w:gutter="0" w:footer="0" w:header="0"/>
        </w:sectPr>
      </w:pPr>
    </w:p>
    <w:bookmarkStart w:id="25" w:name="page26"/>
    <w:bookmarkEnd w:id="25"/>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74"/>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ind w:left="44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c>
          <w:tcPr>
            <w:tcW w:w="1260" w:type="dxa"/>
            <w:vAlign w:val="bottom"/>
            <w:tcBorders>
              <w:bottom w:val="single" w:sz="8" w:color="auto"/>
            </w:tcBorders>
          </w:tcPr>
          <w:p>
            <w:pPr>
              <w:spacing w:after="0"/>
              <w:rPr>
                <w:sz w:val="23"/>
                <w:szCs w:val="23"/>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rPr>
              <w:t>% of</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6"/>
                <w:szCs w:val="16"/>
                <w:color w:val="auto"/>
              </w:rPr>
            </w:pPr>
          </w:p>
        </w:tc>
        <w:tc>
          <w:tcPr>
            <w:tcW w:w="136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2"/>
        </w:trPr>
        <w:tc>
          <w:tcPr>
            <w:tcW w:w="3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rPr>
                <w:sz w:val="20"/>
                <w:szCs w:val="20"/>
                <w:color w:val="auto"/>
              </w:rPr>
            </w:pPr>
            <w:r>
              <w:rPr>
                <w:rFonts w:ascii="Arial" w:cs="Arial" w:eastAsia="Arial" w:hAnsi="Arial"/>
                <w:sz w:val="16"/>
                <w:szCs w:val="16"/>
                <w:b w:val="1"/>
                <w:bCs w:val="1"/>
                <w:color w:val="auto"/>
              </w:rPr>
              <w:t>Revenue</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241,670</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246,684</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(5,014)</w:t>
            </w:r>
          </w:p>
        </w:tc>
        <w:tc>
          <w:tcPr>
            <w:tcW w:w="126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w:t>
            </w:r>
          </w:p>
        </w:tc>
      </w:tr>
      <w:tr>
        <w:trPr>
          <w:trHeight w:val="255"/>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12,598</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5.2%</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16,218</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6.6%</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(3,620)</w:t>
            </w:r>
          </w:p>
        </w:tc>
        <w:tc>
          <w:tcPr>
            <w:tcW w:w="1260" w:type="dxa"/>
            <w:vAlign w:val="bottom"/>
          </w:tcPr>
          <w:p>
            <w:pPr>
              <w:jc w:val="right"/>
              <w:ind w:right="79"/>
              <w:spacing w:after="0"/>
              <w:rPr>
                <w:sz w:val="20"/>
                <w:szCs w:val="20"/>
                <w:color w:val="auto"/>
              </w:rPr>
            </w:pPr>
            <w:r>
              <w:rPr>
                <w:rFonts w:ascii="Arial" w:cs="Arial" w:eastAsia="Arial" w:hAnsi="Arial"/>
                <w:sz w:val="16"/>
                <w:szCs w:val="16"/>
                <w:color w:val="auto"/>
              </w:rPr>
              <w:t>(22.3)%</w:t>
            </w:r>
          </w:p>
        </w:tc>
      </w:tr>
      <w:tr>
        <w:trPr>
          <w:trHeight w:val="482"/>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59"/>
              <w:spacing w:after="0"/>
              <w:rPr>
                <w:sz w:val="20"/>
                <w:szCs w:val="20"/>
                <w:color w:val="auto"/>
              </w:rPr>
            </w:pPr>
            <w:r>
              <w:rPr>
                <w:rFonts w:ascii="Arial" w:cs="Arial" w:eastAsia="Arial" w:hAnsi="Arial"/>
                <w:sz w:val="16"/>
                <w:szCs w:val="16"/>
                <w:b w:val="1"/>
                <w:bCs w:val="1"/>
                <w:color w:val="auto"/>
                <w:w w:val="99"/>
              </w:rPr>
              <w:t>Product</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right"/>
              <w:ind w:right="239"/>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24"/>
                <w:szCs w:val="24"/>
                <w:color w:val="auto"/>
              </w:rPr>
            </w:pPr>
          </w:p>
        </w:tc>
        <w:tc>
          <w:tcPr>
            <w:tcW w:w="136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260" w:type="dxa"/>
            <w:vAlign w:val="bottom"/>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7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rPr>
              <w:t>(Decrease)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797</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28.5%</w:t>
            </w:r>
          </w:p>
        </w:tc>
        <w:tc>
          <w:tcPr>
            <w:tcW w:w="10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654</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22.4%</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143</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21.9 %</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471</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16.9%</w:t>
            </w: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334</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11.5%</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137</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41.0 %</w:t>
            </w:r>
          </w:p>
        </w:tc>
      </w:tr>
      <w:tr>
        <w:trPr>
          <w:trHeight w:val="271"/>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1,524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54.6%</w:t>
            </w:r>
          </w:p>
        </w:tc>
        <w:tc>
          <w:tcPr>
            <w:tcW w:w="10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1,929</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66.1%</w:t>
            </w:r>
          </w:p>
        </w:tc>
        <w:tc>
          <w:tcPr>
            <w:tcW w:w="100" w:type="dxa"/>
            <w:vAlign w:val="bottom"/>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(405)</w:t>
            </w:r>
          </w:p>
        </w:tc>
        <w:tc>
          <w:tcPr>
            <w:tcW w:w="1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(21.0)%</w:t>
            </w:r>
          </w:p>
        </w:tc>
      </w:tr>
      <w:tr>
        <w:trPr>
          <w:trHeight w:val="242"/>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2,792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2,917</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(125)</w:t>
            </w:r>
          </w:p>
        </w:tc>
        <w:tc>
          <w:tcPr>
            <w:tcW w:w="126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(4.3)%</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r>
        <w:trPr>
          <w:trHeight w:val="252"/>
        </w:trPr>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85,953</w:t>
            </w:r>
          </w:p>
        </w:tc>
        <w:tc>
          <w:tcPr>
            <w:tcW w:w="1300" w:type="dxa"/>
            <w:vAlign w:val="bottom"/>
            <w:shd w:val="clear" w:color="auto" w:fill="CCEEFF"/>
          </w:tcPr>
          <w:p>
            <w:pPr>
              <w:spacing w:after="0"/>
              <w:rPr>
                <w:sz w:val="23"/>
                <w:szCs w:val="23"/>
                <w:color w:val="auto"/>
              </w:rPr>
            </w:pPr>
          </w:p>
        </w:tc>
        <w:tc>
          <w:tcPr>
            <w:tcW w:w="26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83,758</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2,195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2.6 %</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39"/>
              <w:spacing w:after="0"/>
              <w:rPr>
                <w:sz w:val="20"/>
                <w:szCs w:val="20"/>
                <w:color w:val="auto"/>
              </w:rPr>
            </w:pPr>
            <w:r>
              <w:rPr>
                <w:rFonts w:ascii="Arial" w:cs="Arial" w:eastAsia="Arial" w:hAnsi="Arial"/>
                <w:sz w:val="16"/>
                <w:szCs w:val="16"/>
                <w:b w:val="1"/>
                <w:bCs w:val="1"/>
                <w:color w:val="auto"/>
              </w:rPr>
              <w:t>As Of</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60" w:type="dxa"/>
            <w:vAlign w:val="bottom"/>
          </w:tcPr>
          <w:p>
            <w:pPr>
              <w:spacing w:after="0"/>
              <w:rPr>
                <w:sz w:val="24"/>
                <w:szCs w:val="24"/>
                <w:color w:val="auto"/>
              </w:rPr>
            </w:pPr>
          </w:p>
        </w:tc>
      </w:tr>
      <w:tr>
        <w:trPr>
          <w:trHeight w:val="19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5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7"/>
                <w:szCs w:val="17"/>
                <w:color w:val="auto"/>
              </w:rPr>
            </w:pPr>
          </w:p>
        </w:tc>
        <w:tc>
          <w:tcPr>
            <w:tcW w:w="1360" w:type="dxa"/>
            <w:vAlign w:val="bottom"/>
            <w:gridSpan w:val="2"/>
          </w:tcPr>
          <w:p>
            <w:pPr>
              <w:ind w:left="120"/>
              <w:spacing w:after="0"/>
              <w:rPr>
                <w:sz w:val="20"/>
                <w:szCs w:val="20"/>
                <w:color w:val="auto"/>
              </w:rPr>
            </w:pPr>
            <w:r>
              <w:rPr>
                <w:rFonts w:ascii="Arial" w:cs="Arial" w:eastAsia="Arial" w:hAnsi="Arial"/>
                <w:sz w:val="16"/>
                <w:szCs w:val="16"/>
                <w:b w:val="1"/>
                <w:bCs w:val="1"/>
                <w:color w:val="auto"/>
              </w:rPr>
              <w:t>May 28,</w:t>
            </w:r>
          </w:p>
        </w:tc>
        <w:tc>
          <w:tcPr>
            <w:tcW w:w="18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260" w:type="dxa"/>
            <w:vAlign w:val="bottom"/>
          </w:tcPr>
          <w:p>
            <w:pPr>
              <w:jc w:val="center"/>
              <w:ind w:right="3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200" w:type="dxa"/>
            <w:vAlign w:val="bottom"/>
            <w:tcBorders>
              <w:bottom w:val="single" w:sz="8" w:color="auto"/>
            </w:tcBorders>
            <w:gridSpan w:val="2"/>
          </w:tcPr>
          <w:p>
            <w:pPr>
              <w:ind w:left="40"/>
              <w:spacing w:after="0" w:line="236"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219"/>
              <w:spacing w:after="0"/>
              <w:rPr>
                <w:sz w:val="20"/>
                <w:szCs w:val="20"/>
                <w:color w:val="auto"/>
              </w:rPr>
            </w:pPr>
            <w:r>
              <w:rPr>
                <w:rFonts w:ascii="Arial" w:cs="Arial" w:eastAsia="Arial" w:hAnsi="Arial"/>
                <w:sz w:val="16"/>
                <w:szCs w:val="16"/>
                <w:b w:val="1"/>
                <w:bCs w:val="1"/>
                <w:color w:val="auto"/>
                <w:w w:val="98"/>
              </w:rPr>
              <w:t>Increase</w:t>
            </w:r>
          </w:p>
        </w:tc>
        <w:tc>
          <w:tcPr>
            <w:tcW w:w="126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1,513</w:t>
            </w:r>
          </w:p>
        </w:tc>
        <w:tc>
          <w:tcPr>
            <w:tcW w:w="10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127</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8.4 %</w:t>
            </w:r>
          </w:p>
        </w:tc>
      </w:tr>
      <w:tr>
        <w:trPr>
          <w:trHeight w:val="255"/>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6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141,998</w:t>
            </w:r>
          </w:p>
        </w:tc>
        <w:tc>
          <w:tcPr>
            <w:tcW w:w="32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134,495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259"/>
              <w:spacing w:after="0"/>
              <w:rPr>
                <w:sz w:val="20"/>
                <w:szCs w:val="20"/>
                <w:color w:val="auto"/>
              </w:rPr>
            </w:pPr>
            <w:r>
              <w:rPr>
                <w:rFonts w:ascii="Arial" w:cs="Arial" w:eastAsia="Arial" w:hAnsi="Arial"/>
                <w:sz w:val="16"/>
                <w:szCs w:val="16"/>
                <w:color w:val="auto"/>
              </w:rPr>
              <w:t>7,503</w:t>
            </w:r>
          </w:p>
        </w:tc>
        <w:tc>
          <w:tcPr>
            <w:tcW w:w="1260" w:type="dxa"/>
            <w:vAlign w:val="bottom"/>
          </w:tcPr>
          <w:p>
            <w:pPr>
              <w:jc w:val="right"/>
              <w:ind w:right="99"/>
              <w:spacing w:after="0"/>
              <w:rPr>
                <w:sz w:val="20"/>
                <w:szCs w:val="20"/>
                <w:color w:val="auto"/>
              </w:rPr>
            </w:pPr>
            <w:r>
              <w:rPr>
                <w:rFonts w:ascii="Arial" w:cs="Arial" w:eastAsia="Arial" w:hAnsi="Arial"/>
                <w:sz w:val="16"/>
                <w:szCs w:val="16"/>
                <w:color w:val="auto"/>
              </w:rPr>
              <w:t>5.6 %</w:t>
            </w:r>
          </w:p>
        </w:tc>
      </w:tr>
      <w:tr>
        <w:trPr>
          <w:trHeight w:val="552"/>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r>
      <w:tr>
        <w:trPr>
          <w:trHeight w:val="26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4,585</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59"/>
              <w:spacing w:after="0"/>
              <w:rPr>
                <w:sz w:val="20"/>
                <w:szCs w:val="20"/>
                <w:color w:val="auto"/>
              </w:rPr>
            </w:pPr>
            <w:r>
              <w:rPr>
                <w:rFonts w:ascii="Arial" w:cs="Arial" w:eastAsia="Arial" w:hAnsi="Arial"/>
                <w:sz w:val="16"/>
                <w:szCs w:val="16"/>
                <w:color w:val="auto"/>
              </w:rPr>
              <w:t>85</w:t>
            </w:r>
          </w:p>
        </w:tc>
        <w:tc>
          <w:tcPr>
            <w:tcW w:w="126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r>
    </w:tbl>
    <w:p>
      <w:pPr>
        <w:spacing w:after="0" w:line="32" w:lineRule="exact"/>
        <w:rPr>
          <w:sz w:val="20"/>
          <w:szCs w:val="20"/>
          <w:color w:val="auto"/>
        </w:rPr>
      </w:pPr>
    </w:p>
    <w:p>
      <w:pPr>
        <w:ind w:left="160" w:hanging="152"/>
        <w:spacing w:after="0"/>
        <w:tabs>
          <w:tab w:leader="none" w:pos="160" w:val="left"/>
        </w:tabs>
        <w:numPr>
          <w:ilvl w:val="0"/>
          <w:numId w:val="13"/>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spacing w:after="0" w:line="15" w:lineRule="exact"/>
        <w:rPr>
          <w:rFonts w:ascii="Arial" w:cs="Arial" w:eastAsia="Arial" w:hAnsi="Arial"/>
          <w:sz w:val="9"/>
          <w:szCs w:val="9"/>
          <w:color w:val="auto"/>
        </w:rPr>
      </w:pPr>
    </w:p>
    <w:p>
      <w:pPr>
        <w:ind w:right="360" w:firstLine="8"/>
        <w:spacing w:after="0" w:line="245" w:lineRule="auto"/>
        <w:tabs>
          <w:tab w:leader="none" w:pos="145" w:val="left"/>
        </w:tabs>
        <w:numPr>
          <w:ilvl w:val="0"/>
          <w:numId w:val="13"/>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6" w:lineRule="exact"/>
        <w:rPr>
          <w:sz w:val="20"/>
          <w:szCs w:val="20"/>
          <w:color w:val="auto"/>
        </w:rPr>
      </w:pPr>
    </w:p>
    <w:p>
      <w:pPr>
        <w:ind w:right="240"/>
        <w:spacing w:after="0" w:line="291" w:lineRule="auto"/>
        <w:rPr>
          <w:sz w:val="20"/>
          <w:szCs w:val="20"/>
          <w:color w:val="auto"/>
        </w:rPr>
      </w:pPr>
      <w:r>
        <w:rPr>
          <w:rFonts w:ascii="Arial" w:cs="Arial" w:eastAsia="Arial" w:hAnsi="Arial"/>
          <w:sz w:val="16"/>
          <w:szCs w:val="16"/>
          <w:color w:val="auto"/>
        </w:rPr>
        <w:t>Motorized net revenues decreased $5.0 million or 2.0% in the third quarter of Fiscal 2017 as compared to the third quarter of Fiscal 2016. This was primarily due to less units sold, partially offset by a higher ASP.</w:t>
      </w:r>
    </w:p>
    <w:p>
      <w:pPr>
        <w:spacing w:after="0" w:line="121" w:lineRule="exact"/>
        <w:rPr>
          <w:sz w:val="20"/>
          <w:szCs w:val="20"/>
          <w:color w:val="auto"/>
        </w:rPr>
      </w:pPr>
    </w:p>
    <w:p>
      <w:pPr>
        <w:ind w:right="140"/>
        <w:spacing w:after="0" w:line="269" w:lineRule="auto"/>
        <w:rPr>
          <w:sz w:val="20"/>
          <w:szCs w:val="20"/>
          <w:color w:val="auto"/>
        </w:rPr>
      </w:pPr>
      <w:r>
        <w:rPr>
          <w:rFonts w:ascii="Arial" w:cs="Arial" w:eastAsia="Arial" w:hAnsi="Arial"/>
          <w:sz w:val="16"/>
          <w:szCs w:val="16"/>
          <w:color w:val="auto"/>
        </w:rPr>
        <w:t>Motorized unit deliveries decreased by 4.3% in the quarter. Though unit deliveries were down, most notably in our Class C products, our motorhome ASP increased 2.6%. We have seen an increase in the backlog volumes during the third quarter of Fiscal 2017. The increase in ASP was a result of an increase in our high-end Class A products as well as a decrease in the lower priced rental units.</w:t>
      </w:r>
    </w:p>
    <w:p>
      <w:pPr>
        <w:spacing w:after="0" w:line="138" w:lineRule="exact"/>
        <w:rPr>
          <w:sz w:val="20"/>
          <w:szCs w:val="20"/>
          <w:color w:val="auto"/>
        </w:rPr>
      </w:pPr>
    </w:p>
    <w:p>
      <w:pPr>
        <w:jc w:val="both"/>
        <w:ind w:right="80"/>
        <w:spacing w:after="0" w:line="269" w:lineRule="auto"/>
        <w:rPr>
          <w:sz w:val="20"/>
          <w:szCs w:val="20"/>
          <w:color w:val="auto"/>
        </w:rPr>
      </w:pPr>
      <w:r>
        <w:rPr>
          <w:rFonts w:ascii="Arial" w:cs="Arial" w:eastAsia="Arial" w:hAnsi="Arial"/>
          <w:sz w:val="16"/>
          <w:szCs w:val="16"/>
          <w:color w:val="auto"/>
        </w:rPr>
        <w:t>Motorized segment Adjusted EBITDA decreased $3.6 million or 22.3%. This reduction was primarily due to lower volume, partially offset by a higher ASP than Fiscal 2016. Adjusted EBITDA also decreased due to additional costs associated with the ramp up of our Junction City production facility and higher personnel expenses, partially offset by a decrease in ERP expenses.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24</w:t>
      </w:r>
    </w:p>
    <w:p>
      <w:pPr>
        <w:sectPr>
          <w:pgSz w:w="11900" w:h="16838" w:orient="portrait"/>
          <w:cols w:equalWidth="0" w:num="1">
            <w:col w:w="11420"/>
          </w:cols>
          <w:pgMar w:left="240" w:top="121" w:right="239" w:bottom="1440" w:gutter="0" w:footer="0" w:header="0"/>
        </w:sectPr>
      </w:pPr>
    </w:p>
    <w:bookmarkStart w:id="26" w:name="page27"/>
    <w:bookmarkEnd w:id="26"/>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4"/>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ind w:left="360"/>
              <w:spacing w:after="0"/>
              <w:rPr>
                <w:sz w:val="20"/>
                <w:szCs w:val="20"/>
                <w:color w:val="auto"/>
              </w:rPr>
            </w:pPr>
            <w:r>
              <w:rPr>
                <w:rFonts w:ascii="Arial" w:cs="Arial" w:eastAsia="Arial" w:hAnsi="Arial"/>
                <w:sz w:val="16"/>
                <w:szCs w:val="16"/>
                <w:b w:val="1"/>
                <w:bCs w:val="1"/>
                <w:color w:val="auto"/>
              </w:rPr>
              <w:t>Three Months Ended</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193"/>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480" w:type="dxa"/>
            <w:vAlign w:val="bottom"/>
          </w:tcPr>
          <w:p>
            <w:pPr>
              <w:spacing w:after="0"/>
              <w:rPr>
                <w:sz w:val="16"/>
                <w:szCs w:val="16"/>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2"/>
        </w:trPr>
        <w:tc>
          <w:tcPr>
            <w:tcW w:w="3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234,694</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25,393</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209,301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824.2%</w:t>
            </w:r>
          </w:p>
        </w:tc>
      </w:tr>
      <w:tr>
        <w:trPr>
          <w:trHeight w:val="255"/>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34,730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14.8%</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1,512</w:t>
            </w:r>
          </w:p>
        </w:tc>
        <w:tc>
          <w:tcPr>
            <w:tcW w:w="480" w:type="dxa"/>
            <w:vAlign w:val="bottom"/>
          </w:tcPr>
          <w:p>
            <w:pPr>
              <w:spacing w:after="0"/>
              <w:rPr>
                <w:sz w:val="22"/>
                <w:szCs w:val="22"/>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6.0%</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33,218</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2,197.0%</w:t>
            </w:r>
          </w:p>
        </w:tc>
      </w:tr>
      <w:tr>
        <w:trPr>
          <w:trHeight w:val="48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4,359</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58.5%</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1,042</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86.5%</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3,317</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318.3%</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3,092</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41.5%</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163</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13.5%</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2,929</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1,796.9%</w:t>
            </w:r>
          </w:p>
        </w:tc>
      </w:tr>
      <w:tr>
        <w:trPr>
          <w:trHeight w:val="242"/>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7,451</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1,205</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6,246</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518.3%</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2"/>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31,459</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21,177</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10,282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48.6%</w:t>
            </w:r>
          </w:p>
        </w:tc>
      </w:tr>
      <w:tr>
        <w:trPr>
          <w:trHeight w:val="53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17"/>
                <w:szCs w:val="17"/>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May 28,</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280" w:type="dxa"/>
            <w:vAlign w:val="bottom"/>
            <w:tcBorders>
              <w:bottom w:val="single" w:sz="8" w:color="auto"/>
            </w:tcBorders>
            <w:gridSpan w:val="2"/>
          </w:tcPr>
          <w:p>
            <w:pPr>
              <w:ind w:left="40"/>
              <w:spacing w:after="0" w:line="236"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8,245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2,001.2%</w:t>
            </w:r>
          </w:p>
        </w:tc>
      </w:tr>
      <w:tr>
        <w:trPr>
          <w:trHeight w:val="255"/>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269,965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8,058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261,907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3,250.3%</w:t>
            </w:r>
          </w:p>
        </w:tc>
      </w:tr>
      <w:tr>
        <w:trPr>
          <w:trHeight w:val="552"/>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52"/>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Units</w:t>
            </w: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9,520</w:t>
            </w:r>
          </w:p>
        </w:tc>
        <w:tc>
          <w:tcPr>
            <w:tcW w:w="480" w:type="dxa"/>
            <w:vAlign w:val="bottom"/>
          </w:tcPr>
          <w:p>
            <w:pPr>
              <w:spacing w:after="0"/>
              <w:rPr>
                <w:sz w:val="21"/>
                <w:szCs w:val="21"/>
                <w:color w:val="auto"/>
              </w:rPr>
            </w:pP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2,358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7,162</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303.7%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18034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180340"/>
                    </a:xfrm>
                    <a:prstGeom prst="rect">
                      <a:avLst/>
                    </a:prstGeom>
                    <a:noFill/>
                  </pic:spPr>
                </pic:pic>
              </a:graphicData>
            </a:graphic>
          </wp:anchor>
        </w:drawing>
      </w:r>
    </w:p>
    <w:p>
      <w:pPr>
        <w:ind w:left="160" w:hanging="152"/>
        <w:spacing w:after="0"/>
        <w:tabs>
          <w:tab w:leader="none" w:pos="160" w:val="left"/>
        </w:tabs>
        <w:numPr>
          <w:ilvl w:val="0"/>
          <w:numId w:val="14"/>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spacing w:after="0" w:line="8" w:lineRule="exact"/>
        <w:rPr>
          <w:rFonts w:ascii="Arial" w:cs="Arial" w:eastAsia="Arial" w:hAnsi="Arial"/>
          <w:sz w:val="9"/>
          <w:szCs w:val="9"/>
          <w:color w:val="auto"/>
        </w:rPr>
      </w:pPr>
    </w:p>
    <w:p>
      <w:pPr>
        <w:ind w:right="360" w:firstLine="8"/>
        <w:spacing w:after="0" w:line="245" w:lineRule="auto"/>
        <w:tabs>
          <w:tab w:leader="none" w:pos="145" w:val="left"/>
        </w:tabs>
        <w:numPr>
          <w:ilvl w:val="0"/>
          <w:numId w:val="14"/>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42"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Towable net revenues increased $209.3 million in the third quarter of Fiscal 2017 as compared to the third quarter of Fiscal 2016. This significant increase was primarily due to the acquisition of Grand Design which added revenues of $196.9 million in the quarter. In addition, Winnebago-branded towable revenues rose $12.4 million or 48.9% in the quarter compared to the same quarter in Fiscal 2016.</w:t>
      </w:r>
    </w:p>
    <w:p>
      <w:pPr>
        <w:spacing w:after="0" w:line="138" w:lineRule="exact"/>
        <w:rPr>
          <w:sz w:val="20"/>
          <w:szCs w:val="20"/>
          <w:color w:val="auto"/>
        </w:rPr>
      </w:pPr>
    </w:p>
    <w:p>
      <w:pPr>
        <w:ind w:right="120"/>
        <w:spacing w:after="0" w:line="257" w:lineRule="auto"/>
        <w:rPr>
          <w:sz w:val="20"/>
          <w:szCs w:val="20"/>
          <w:color w:val="auto"/>
        </w:rPr>
      </w:pPr>
      <w:r>
        <w:rPr>
          <w:rFonts w:ascii="Arial" w:cs="Arial" w:eastAsia="Arial" w:hAnsi="Arial"/>
          <w:sz w:val="16"/>
          <w:szCs w:val="16"/>
          <w:color w:val="auto"/>
        </w:rPr>
        <w:t>Towable unit deliveries grew by 518.3% in the quarter primarily due to the acquisition of Grand Design and also due to Towables growth in excess of recent industry trends. With the addition of Grand Design in November, our towables market share increased from 1.0% to 3.1% when comparing shipments during the twelve month trailing periods ended April 2016 and April 2017. The addition of Grand Design has also resulted in a higher ASP due to a greater proportion of higher-priced fifth wheel units for the third quarter of Fiscal 2017 compared to the same period in Fiscal 2016. Other strong increases in backlog and the dealer inventory turn ratio have been influenced by the acquisition of Grand Design.</w:t>
      </w:r>
    </w:p>
    <w:p>
      <w:pPr>
        <w:spacing w:after="0" w:line="14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Towable segment Adjusted EBITDA increased $33.2 million due to the favorable impact of Grand Design and the organic growth of Winnebago-branded towables. We achieved strong results in our towable operations, where shipments grew faster than the industry as a result of greater penetration of our new products and further expansion of our distribution base. We believe we can continue to achieve growth in excess of the overall towables market projections for the remainder of Fiscal 2017.</w:t>
      </w:r>
    </w:p>
    <w:p>
      <w:pPr>
        <w:spacing w:after="0" w:line="388"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25</w:t>
      </w:r>
    </w:p>
    <w:p>
      <w:pPr>
        <w:sectPr>
          <w:pgSz w:w="11900" w:h="16838" w:orient="portrait"/>
          <w:cols w:equalWidth="0" w:num="1">
            <w:col w:w="11420"/>
          </w:cols>
          <w:pgMar w:left="240" w:top="121" w:right="239" w:bottom="1440" w:gutter="0" w:footer="0" w:header="0"/>
        </w:sectPr>
      </w:pPr>
    </w:p>
    <w:bookmarkStart w:id="27" w:name="page28"/>
    <w:bookmarkEnd w:id="27"/>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Consolidated Results of Operations</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Nine Months of Fiscal 2017 Compared to the Comparable Nine Months of Fiscal 2016</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changes in key items included in the statements of operations:</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28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spacing w:after="0"/>
              <w:rPr>
                <w:sz w:val="19"/>
                <w:szCs w:val="19"/>
                <w:color w:val="auto"/>
              </w:rPr>
            </w:pPr>
          </w:p>
        </w:tc>
        <w:tc>
          <w:tcPr>
            <w:tcW w:w="1380" w:type="dxa"/>
            <w:vAlign w:val="bottom"/>
            <w:tcBorders>
              <w:bottom w:val="single" w:sz="8" w:color="auto"/>
            </w:tcBorders>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660" w:type="dxa"/>
            <w:vAlign w:val="bottom"/>
            <w:tcBorders>
              <w:bottom w:val="single" w:sz="8" w:color="auto"/>
            </w:tcBorders>
            <w:gridSpan w:val="3"/>
          </w:tcPr>
          <w:p>
            <w:pPr>
              <w:ind w:left="3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spacing w:after="0"/>
              <w:rPr>
                <w:sz w:val="19"/>
                <w:szCs w:val="19"/>
                <w:color w:val="auto"/>
              </w:rPr>
            </w:pPr>
          </w:p>
        </w:tc>
      </w:tr>
      <w:tr>
        <w:trPr>
          <w:trHeight w:val="196"/>
        </w:trPr>
        <w:tc>
          <w:tcPr>
            <w:tcW w:w="296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percent</w:t>
            </w:r>
          </w:p>
        </w:tc>
        <w:tc>
          <w:tcPr>
            <w:tcW w:w="240" w:type="dxa"/>
            <w:vAlign w:val="bottom"/>
          </w:tcPr>
          <w:p>
            <w:pPr>
              <w:spacing w:after="0"/>
              <w:rPr>
                <w:sz w:val="17"/>
                <w:szCs w:val="17"/>
                <w:color w:val="auto"/>
              </w:rPr>
            </w:pPr>
          </w:p>
        </w:tc>
        <w:tc>
          <w:tcPr>
            <w:tcW w:w="1200" w:type="dxa"/>
            <w:vAlign w:val="bottom"/>
          </w:tcPr>
          <w:p>
            <w:pPr>
              <w:jc w:val="right"/>
              <w:ind w:right="399"/>
              <w:spacing w:after="0"/>
              <w:rPr>
                <w:sz w:val="20"/>
                <w:szCs w:val="20"/>
                <w:color w:val="auto"/>
              </w:rPr>
            </w:pPr>
            <w:r>
              <w:rPr>
                <w:rFonts w:ascii="Arial" w:cs="Arial" w:eastAsia="Arial" w:hAnsi="Arial"/>
                <w:sz w:val="16"/>
                <w:szCs w:val="16"/>
                <w:b w:val="1"/>
                <w:bCs w:val="1"/>
                <w:color w:val="auto"/>
              </w:rPr>
              <w:t>May 27,</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240" w:type="dxa"/>
            <w:vAlign w:val="bottom"/>
          </w:tcPr>
          <w:p>
            <w:pPr>
              <w:spacing w:after="0"/>
              <w:rPr>
                <w:sz w:val="17"/>
                <w:szCs w:val="17"/>
                <w:color w:val="auto"/>
              </w:rPr>
            </w:pPr>
          </w:p>
        </w:tc>
        <w:tc>
          <w:tcPr>
            <w:tcW w:w="1160" w:type="dxa"/>
            <w:vAlign w:val="bottom"/>
          </w:tcPr>
          <w:p>
            <w:pPr>
              <w:jc w:val="right"/>
              <w:ind w:right="379"/>
              <w:spacing w:after="0"/>
              <w:rPr>
                <w:sz w:val="20"/>
                <w:szCs w:val="20"/>
                <w:color w:val="auto"/>
              </w:rPr>
            </w:pPr>
            <w:r>
              <w:rPr>
                <w:rFonts w:ascii="Arial" w:cs="Arial" w:eastAsia="Arial" w:hAnsi="Arial"/>
                <w:sz w:val="16"/>
                <w:szCs w:val="16"/>
                <w:b w:val="1"/>
                <w:bCs w:val="1"/>
                <w:color w:val="auto"/>
              </w:rPr>
              <w:t>May 28,</w:t>
            </w:r>
          </w:p>
        </w:tc>
        <w:tc>
          <w:tcPr>
            <w:tcW w:w="1500" w:type="dxa"/>
            <w:vAlign w:val="bottom"/>
            <w:gridSpan w:val="2"/>
          </w:tcPr>
          <w:p>
            <w:pPr>
              <w:ind w:left="50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7"/>
                <w:szCs w:val="17"/>
                <w:color w:val="auto"/>
              </w:rPr>
            </w:pPr>
          </w:p>
        </w:tc>
        <w:tc>
          <w:tcPr>
            <w:tcW w:w="1260" w:type="dxa"/>
            <w:vAlign w:val="bottom"/>
          </w:tcPr>
          <w:p>
            <w:pPr>
              <w:jc w:val="right"/>
              <w:ind w:right="359"/>
              <w:spacing w:after="0"/>
              <w:rPr>
                <w:sz w:val="20"/>
                <w:szCs w:val="20"/>
                <w:color w:val="auto"/>
              </w:rPr>
            </w:pPr>
            <w:r>
              <w:rPr>
                <w:rFonts w:ascii="Arial" w:cs="Arial" w:eastAsia="Arial" w:hAnsi="Arial"/>
                <w:sz w:val="16"/>
                <w:szCs w:val="16"/>
                <w:b w:val="1"/>
                <w:bCs w:val="1"/>
                <w:color w:val="auto"/>
              </w:rPr>
              <w:t>Increase</w:t>
            </w:r>
          </w:p>
        </w:tc>
        <w:tc>
          <w:tcPr>
            <w:tcW w:w="1180" w:type="dxa"/>
            <w:vAlign w:val="bottom"/>
          </w:tcPr>
          <w:p>
            <w:pPr>
              <w:jc w:val="right"/>
              <w:ind w:right="479"/>
              <w:spacing w:after="0"/>
              <w:rPr>
                <w:sz w:val="20"/>
                <w:szCs w:val="20"/>
                <w:color w:val="auto"/>
              </w:rPr>
            </w:pPr>
            <w:r>
              <w:rPr>
                <w:rFonts w:ascii="Arial" w:cs="Arial" w:eastAsia="Arial" w:hAnsi="Arial"/>
                <w:sz w:val="16"/>
                <w:szCs w:val="16"/>
                <w:b w:val="1"/>
                <w:bCs w:val="1"/>
                <w:color w:val="auto"/>
              </w:rPr>
              <w:t>%</w:t>
            </w:r>
          </w:p>
        </w:tc>
      </w:tr>
      <w:tr>
        <w:trPr>
          <w:trHeight w:val="236"/>
        </w:trPr>
        <w:tc>
          <w:tcPr>
            <w:tcW w:w="28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and per share data)</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jc w:val="right"/>
              <w:ind w:right="499"/>
              <w:spacing w:after="0"/>
              <w:rPr>
                <w:sz w:val="20"/>
                <w:szCs w:val="20"/>
                <w:color w:val="auto"/>
              </w:rPr>
            </w:pPr>
            <w:r>
              <w:rPr>
                <w:rFonts w:ascii="Arial" w:cs="Arial" w:eastAsia="Arial" w:hAnsi="Arial"/>
                <w:sz w:val="16"/>
                <w:szCs w:val="16"/>
                <w:b w:val="1"/>
                <w:bCs w:val="1"/>
                <w:color w:val="auto"/>
              </w:rPr>
              <w:t>2017</w:t>
            </w:r>
          </w:p>
        </w:tc>
        <w:tc>
          <w:tcPr>
            <w:tcW w:w="1380" w:type="dxa"/>
            <w:vAlign w:val="bottom"/>
            <w:tcBorders>
              <w:bottom w:val="single" w:sz="8" w:color="auto"/>
            </w:tcBorders>
          </w:tcPr>
          <w:p>
            <w:pPr>
              <w:jc w:val="right"/>
              <w:ind w:right="17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20" w:type="dxa"/>
            <w:vAlign w:val="bottom"/>
            <w:tcBorders>
              <w:bottom w:val="single" w:sz="8" w:color="CCEEFF"/>
            </w:tcBorders>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2016</w:t>
            </w:r>
          </w:p>
        </w:tc>
        <w:tc>
          <w:tcPr>
            <w:tcW w:w="1400" w:type="dxa"/>
            <w:vAlign w:val="bottom"/>
            <w:tcBorders>
              <w:bottom w:val="single" w:sz="8" w:color="auto"/>
            </w:tcBorders>
          </w:tcPr>
          <w:p>
            <w:pPr>
              <w:jc w:val="right"/>
              <w:ind w:right="199"/>
              <w:spacing w:after="0" w:line="236" w:lineRule="exact"/>
              <w:rPr>
                <w:sz w:val="20"/>
                <w:szCs w:val="20"/>
                <w:color w:val="auto"/>
              </w:rPr>
            </w:pPr>
            <w:r>
              <w:rPr>
                <w:rFonts w:ascii="Arial" w:cs="Arial" w:eastAsia="Arial" w:hAnsi="Arial"/>
                <w:sz w:val="16"/>
                <w:szCs w:val="16"/>
                <w:b w:val="1"/>
                <w:bCs w:val="1"/>
                <w:color w:val="auto"/>
              </w:rPr>
              <w:t>Revenues</w:t>
            </w:r>
            <w:r>
              <w:rPr>
                <w:rFonts w:ascii="Arial" w:cs="Arial" w:eastAsia="Arial" w:hAnsi="Arial"/>
                <w:sz w:val="21"/>
                <w:szCs w:val="21"/>
                <w:b w:val="1"/>
                <w:bCs w:val="1"/>
                <w:color w:val="auto"/>
                <w:vertAlign w:val="superscript"/>
              </w:rPr>
              <w:t>(1)</w:t>
            </w:r>
          </w:p>
        </w:tc>
        <w:tc>
          <w:tcPr>
            <w:tcW w:w="10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(Decrease)</w:t>
            </w:r>
          </w:p>
        </w:tc>
        <w:tc>
          <w:tcPr>
            <w:tcW w:w="11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Change</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1,092,183</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100.0 %</w:t>
            </w:r>
          </w:p>
        </w:tc>
        <w:tc>
          <w:tcPr>
            <w:tcW w:w="120" w:type="dxa"/>
            <w:vAlign w:val="bottom"/>
            <w:shd w:val="clear" w:color="auto" w:fill="CCEEFF"/>
          </w:tcPr>
          <w:p>
            <w:pPr>
              <w:spacing w:after="0"/>
              <w:rPr>
                <w:sz w:val="21"/>
                <w:szCs w:val="21"/>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711,972</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100.0 %</w:t>
            </w:r>
          </w:p>
        </w:tc>
        <w:tc>
          <w:tcPr>
            <w:tcW w:w="100" w:type="dxa"/>
            <w:vAlign w:val="bottom"/>
            <w:shd w:val="clear" w:color="auto" w:fill="CCEEFF"/>
          </w:tcPr>
          <w:p>
            <w:pPr>
              <w:spacing w:after="0"/>
              <w:rPr>
                <w:sz w:val="21"/>
                <w:szCs w:val="21"/>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380,211</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53.4 %</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Cost of goods sold</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943,188</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86.4 %</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631,191</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88.7 %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311,997</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49.4 %</w:t>
            </w:r>
          </w:p>
        </w:tc>
      </w:tr>
      <w:tr>
        <w:trPr>
          <w:trHeight w:val="25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Gross profit</w:t>
            </w:r>
          </w:p>
        </w:tc>
        <w:tc>
          <w:tcPr>
            <w:tcW w:w="240" w:type="dxa"/>
            <w:vAlign w:val="bottom"/>
            <w:tcBorders>
              <w:bottom w:val="single" w:sz="8" w:color="auto"/>
            </w:tcBorders>
            <w:shd w:val="clear" w:color="auto" w:fill="CCEEFF"/>
          </w:tcPr>
          <w:p>
            <w:pPr>
              <w:spacing w:after="0"/>
              <w:rPr>
                <w:sz w:val="21"/>
                <w:szCs w:val="21"/>
                <w:color w:val="auto"/>
              </w:rPr>
            </w:pP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148,995</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13.6 %</w:t>
            </w:r>
          </w:p>
        </w:tc>
        <w:tc>
          <w:tcPr>
            <w:tcW w:w="120" w:type="dxa"/>
            <w:vAlign w:val="bottom"/>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80,781</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11.3 %</w:t>
            </w:r>
          </w:p>
        </w:tc>
        <w:tc>
          <w:tcPr>
            <w:tcW w:w="100" w:type="dxa"/>
            <w:vAlign w:val="bottom"/>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68,214</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84.4 %</w:t>
            </w:r>
          </w:p>
        </w:tc>
      </w:tr>
      <w:tr>
        <w:trPr>
          <w:trHeight w:val="284"/>
        </w:trPr>
        <w:tc>
          <w:tcPr>
            <w:tcW w:w="2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27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Selling</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25,564</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14,714</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10,850</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73.7 %</w:t>
            </w:r>
          </w:p>
        </w:tc>
      </w:tr>
      <w:tr>
        <w:trPr>
          <w:trHeight w:val="262"/>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General and administrative</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37,640</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3.4 %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23,743</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3.3 %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13,897</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58.5 %</w:t>
            </w:r>
          </w:p>
        </w:tc>
      </w:tr>
      <w:tr>
        <w:trPr>
          <w:trHeight w:val="206"/>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Postretirement health care benefit</w:t>
            </w:r>
          </w:p>
        </w:tc>
        <w:tc>
          <w:tcPr>
            <w:tcW w:w="24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c>
          <w:tcPr>
            <w:tcW w:w="13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16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180" w:type="dxa"/>
            <w:vAlign w:val="bottom"/>
            <w:shd w:val="clear" w:color="auto" w:fill="CCEEFF"/>
          </w:tcPr>
          <w:p>
            <w:pPr>
              <w:spacing w:after="0"/>
              <w:rPr>
                <w:sz w:val="17"/>
                <w:szCs w:val="17"/>
                <w:color w:val="auto"/>
              </w:rPr>
            </w:pPr>
          </w:p>
        </w:tc>
      </w:tr>
      <w:tr>
        <w:trPr>
          <w:trHeight w:val="234"/>
        </w:trPr>
        <w:tc>
          <w:tcPr>
            <w:tcW w:w="2960" w:type="dxa"/>
            <w:vAlign w:val="bottom"/>
            <w:gridSpan w:val="2"/>
            <w:shd w:val="clear" w:color="auto" w:fill="CCEEFF"/>
          </w:tcPr>
          <w:p>
            <w:pPr>
              <w:ind w:left="200"/>
              <w:spacing w:after="0"/>
              <w:rPr>
                <w:sz w:val="20"/>
                <w:szCs w:val="20"/>
                <w:color w:val="auto"/>
              </w:rPr>
            </w:pPr>
            <w:r>
              <w:rPr>
                <w:rFonts w:ascii="Arial" w:cs="Arial" w:eastAsia="Arial" w:hAnsi="Arial"/>
                <w:sz w:val="16"/>
                <w:szCs w:val="16"/>
                <w:color w:val="auto"/>
              </w:rPr>
              <w:t>income</w:t>
            </w:r>
          </w:p>
        </w:tc>
        <w:tc>
          <w:tcPr>
            <w:tcW w:w="240" w:type="dxa"/>
            <w:vAlign w:val="bottom"/>
            <w:shd w:val="clear" w:color="auto" w:fill="CCEEFF"/>
          </w:tcPr>
          <w:p>
            <w:pPr>
              <w:spacing w:after="0"/>
              <w:rPr>
                <w:sz w:val="20"/>
                <w:szCs w:val="20"/>
                <w:color w:val="auto"/>
              </w:rPr>
            </w:pPr>
          </w:p>
        </w:tc>
        <w:tc>
          <w:tcPr>
            <w:tcW w:w="120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(24,796)</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(2.3)%</w:t>
            </w:r>
          </w:p>
        </w:tc>
        <w:tc>
          <w:tcPr>
            <w:tcW w:w="12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16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(4,531)</w:t>
            </w:r>
          </w:p>
        </w:tc>
        <w:tc>
          <w:tcPr>
            <w:tcW w:w="140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(0.6)%</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12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(20,265)</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447.3 %</w:t>
            </w:r>
          </w:p>
        </w:tc>
      </w:tr>
      <w:tr>
        <w:trPr>
          <w:trHeight w:val="262"/>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Transaction costs</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6,374</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0.6 %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6,374</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 %</w:t>
            </w:r>
          </w:p>
        </w:tc>
      </w:tr>
      <w:tr>
        <w:trPr>
          <w:trHeight w:val="271"/>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Amortization of intangible assets</w:t>
            </w:r>
          </w:p>
        </w:tc>
        <w:tc>
          <w:tcPr>
            <w:tcW w:w="240" w:type="dxa"/>
            <w:vAlign w:val="bottom"/>
            <w:shd w:val="clear" w:color="auto" w:fill="CCEEFF"/>
          </w:tcPr>
          <w:p>
            <w:pPr>
              <w:spacing w:after="0"/>
              <w:rPr>
                <w:sz w:val="23"/>
                <w:szCs w:val="23"/>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22,578</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2.1 %</w:t>
            </w: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22,578</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50"/>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Operating expenses</w:t>
            </w:r>
          </w:p>
        </w:tc>
        <w:tc>
          <w:tcPr>
            <w:tcW w:w="240" w:type="dxa"/>
            <w:vAlign w:val="bottom"/>
            <w:tcBorders>
              <w:top w:val="single" w:sz="8" w:color="auto"/>
              <w:bottom w:val="single" w:sz="8" w:color="auto"/>
            </w:tcBorders>
          </w:tcPr>
          <w:p>
            <w:pPr>
              <w:spacing w:after="0"/>
              <w:rPr>
                <w:sz w:val="21"/>
                <w:szCs w:val="21"/>
                <w:color w:val="auto"/>
              </w:rPr>
            </w:pPr>
          </w:p>
        </w:tc>
        <w:tc>
          <w:tcPr>
            <w:tcW w:w="1200" w:type="dxa"/>
            <w:vAlign w:val="bottom"/>
            <w:tcBorders>
              <w:top w:val="single" w:sz="8" w:color="auto"/>
              <w:bottom w:val="single" w:sz="8" w:color="auto"/>
            </w:tcBorders>
          </w:tcPr>
          <w:p>
            <w:pPr>
              <w:jc w:val="right"/>
              <w:ind w:right="199"/>
              <w:spacing w:after="0"/>
              <w:rPr>
                <w:sz w:val="20"/>
                <w:szCs w:val="20"/>
                <w:color w:val="auto"/>
              </w:rPr>
            </w:pPr>
            <w:r>
              <w:rPr>
                <w:rFonts w:ascii="Arial" w:cs="Arial" w:eastAsia="Arial" w:hAnsi="Arial"/>
                <w:sz w:val="16"/>
                <w:szCs w:val="16"/>
                <w:color w:val="auto"/>
              </w:rPr>
              <w:t>38,408</w:t>
            </w:r>
          </w:p>
        </w:tc>
        <w:tc>
          <w:tcPr>
            <w:tcW w:w="138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rPr>
              <w:t>6.2 %</w:t>
            </w:r>
          </w:p>
        </w:tc>
        <w:tc>
          <w:tcPr>
            <w:tcW w:w="120" w:type="dxa"/>
            <w:vAlign w:val="bottom"/>
            <w:tcBorders>
              <w:bottom w:val="single" w:sz="8" w:color="CCEEFF"/>
            </w:tcBorders>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179"/>
              <w:spacing w:after="0"/>
              <w:rPr>
                <w:sz w:val="20"/>
                <w:szCs w:val="20"/>
                <w:color w:val="auto"/>
              </w:rPr>
            </w:pPr>
            <w:r>
              <w:rPr>
                <w:rFonts w:ascii="Arial" w:cs="Arial" w:eastAsia="Arial" w:hAnsi="Arial"/>
                <w:sz w:val="16"/>
                <w:szCs w:val="16"/>
                <w:color w:val="auto"/>
              </w:rPr>
              <w:t>33,926</w:t>
            </w:r>
          </w:p>
        </w:tc>
        <w:tc>
          <w:tcPr>
            <w:tcW w:w="140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4.8 %</w:t>
            </w:r>
          </w:p>
        </w:tc>
        <w:tc>
          <w:tcPr>
            <w:tcW w:w="100" w:type="dxa"/>
            <w:vAlign w:val="bottom"/>
            <w:tcBorders>
              <w:bottom w:val="single" w:sz="8" w:color="CCEEFF"/>
            </w:tcBorders>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260" w:type="dxa"/>
            <w:vAlign w:val="bottom"/>
            <w:tcBorders>
              <w:top w:val="single" w:sz="8" w:color="auto"/>
              <w:bottom w:val="single" w:sz="8" w:color="auto"/>
            </w:tcBorders>
          </w:tcPr>
          <w:p>
            <w:pPr>
              <w:jc w:val="right"/>
              <w:ind w:right="219"/>
              <w:spacing w:after="0"/>
              <w:rPr>
                <w:sz w:val="20"/>
                <w:szCs w:val="20"/>
                <w:color w:val="auto"/>
              </w:rPr>
            </w:pPr>
            <w:r>
              <w:rPr>
                <w:rFonts w:ascii="Arial" w:cs="Arial" w:eastAsia="Arial" w:hAnsi="Arial"/>
                <w:sz w:val="16"/>
                <w:szCs w:val="16"/>
                <w:color w:val="auto"/>
              </w:rPr>
              <w:t>33,434</w:t>
            </w:r>
          </w:p>
        </w:tc>
        <w:tc>
          <w:tcPr>
            <w:tcW w:w="1180" w:type="dxa"/>
            <w:vAlign w:val="bottom"/>
            <w:tcBorders>
              <w:top w:val="single" w:sz="8" w:color="auto"/>
              <w:bottom w:val="single" w:sz="8" w:color="auto"/>
            </w:tcBorders>
          </w:tcPr>
          <w:p>
            <w:pPr>
              <w:jc w:val="right"/>
              <w:ind w:right="99"/>
              <w:spacing w:after="0"/>
              <w:rPr>
                <w:sz w:val="20"/>
                <w:szCs w:val="20"/>
                <w:color w:val="auto"/>
              </w:rPr>
            </w:pPr>
            <w:r>
              <w:rPr>
                <w:rFonts w:ascii="Arial" w:cs="Arial" w:eastAsia="Arial" w:hAnsi="Arial"/>
                <w:sz w:val="16"/>
                <w:szCs w:val="16"/>
                <w:color w:val="auto"/>
              </w:rPr>
              <w:t>98.5 %</w:t>
            </w:r>
          </w:p>
        </w:tc>
      </w:tr>
      <w:tr>
        <w:trPr>
          <w:trHeight w:val="284"/>
        </w:trPr>
        <w:tc>
          <w:tcPr>
            <w:tcW w:w="28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c>
          <w:tcPr>
            <w:tcW w:w="13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spacing w:after="0"/>
              <w:rPr>
                <w:sz w:val="24"/>
                <w:szCs w:val="24"/>
                <w:color w:val="auto"/>
              </w:rPr>
            </w:pPr>
          </w:p>
        </w:tc>
        <w:tc>
          <w:tcPr>
            <w:tcW w:w="1180" w:type="dxa"/>
            <w:vAlign w:val="bottom"/>
            <w:shd w:val="clear" w:color="auto" w:fill="CCEEFF"/>
          </w:tcPr>
          <w:p>
            <w:pPr>
              <w:spacing w:after="0"/>
              <w:rPr>
                <w:sz w:val="24"/>
                <w:szCs w:val="24"/>
                <w:color w:val="auto"/>
              </w:rPr>
            </w:pPr>
          </w:p>
        </w:tc>
      </w:tr>
      <w:tr>
        <w:trPr>
          <w:trHeight w:val="262"/>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Operating income</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81,635</w:t>
            </w:r>
          </w:p>
        </w:tc>
        <w:tc>
          <w:tcPr>
            <w:tcW w:w="1380" w:type="dxa"/>
            <w:vAlign w:val="bottom"/>
          </w:tcPr>
          <w:p>
            <w:pPr>
              <w:jc w:val="right"/>
              <w:ind w:right="79"/>
              <w:spacing w:after="0"/>
              <w:rPr>
                <w:sz w:val="20"/>
                <w:szCs w:val="20"/>
                <w:color w:val="auto"/>
              </w:rPr>
            </w:pPr>
            <w:r>
              <w:rPr>
                <w:rFonts w:ascii="Arial" w:cs="Arial" w:eastAsia="Arial" w:hAnsi="Arial"/>
                <w:sz w:val="16"/>
                <w:szCs w:val="16"/>
                <w:color w:val="auto"/>
              </w:rPr>
              <w:t>7.5 %</w:t>
            </w: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46,855</w:t>
            </w:r>
          </w:p>
        </w:tc>
        <w:tc>
          <w:tcPr>
            <w:tcW w:w="1400" w:type="dxa"/>
            <w:vAlign w:val="bottom"/>
          </w:tcPr>
          <w:p>
            <w:pPr>
              <w:jc w:val="right"/>
              <w:ind w:right="99"/>
              <w:spacing w:after="0"/>
              <w:rPr>
                <w:sz w:val="20"/>
                <w:szCs w:val="20"/>
                <w:color w:val="auto"/>
              </w:rPr>
            </w:pPr>
            <w:r>
              <w:rPr>
                <w:rFonts w:ascii="Arial" w:cs="Arial" w:eastAsia="Arial" w:hAnsi="Arial"/>
                <w:sz w:val="16"/>
                <w:szCs w:val="16"/>
                <w:color w:val="auto"/>
              </w:rPr>
              <w:t>6.6 %</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34,780</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74.2 %</w:t>
            </w:r>
          </w:p>
        </w:tc>
      </w:tr>
      <w:tr>
        <w:trPr>
          <w:trHeight w:val="278"/>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Interest Expense</w:t>
            </w:r>
          </w:p>
        </w:tc>
        <w:tc>
          <w:tcPr>
            <w:tcW w:w="24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11,571</w:t>
            </w:r>
          </w:p>
        </w:tc>
        <w:tc>
          <w:tcPr>
            <w:tcW w:w="13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1.1 %</w:t>
            </w:r>
          </w:p>
        </w:tc>
        <w:tc>
          <w:tcPr>
            <w:tcW w:w="12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1500" w:type="dxa"/>
            <w:vAlign w:val="bottom"/>
            <w:gridSpan w:val="2"/>
            <w:shd w:val="clear" w:color="auto" w:fill="CCEEFF"/>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shd w:val="clear" w:color="auto" w:fill="CCEEFF"/>
          </w:tcPr>
          <w:p>
            <w:pPr>
              <w:spacing w:after="0"/>
              <w:rPr>
                <w:sz w:val="24"/>
                <w:szCs w:val="24"/>
                <w:color w:val="auto"/>
              </w:rPr>
            </w:pP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11,571</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 %</w:t>
            </w:r>
          </w:p>
        </w:tc>
      </w:tr>
      <w:tr>
        <w:trPr>
          <w:trHeight w:val="264"/>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Non-operating income</w:t>
            </w:r>
          </w:p>
        </w:tc>
        <w:tc>
          <w:tcPr>
            <w:tcW w:w="240" w:type="dxa"/>
            <w:vAlign w:val="bottom"/>
          </w:tcPr>
          <w:p>
            <w:pPr>
              <w:spacing w:after="0"/>
              <w:rPr>
                <w:sz w:val="22"/>
                <w:szCs w:val="22"/>
                <w:color w:val="auto"/>
              </w:rPr>
            </w:pPr>
          </w:p>
        </w:tc>
        <w:tc>
          <w:tcPr>
            <w:tcW w:w="1200" w:type="dxa"/>
            <w:vAlign w:val="bottom"/>
          </w:tcPr>
          <w:p>
            <w:pPr>
              <w:jc w:val="right"/>
              <w:ind w:right="139"/>
              <w:spacing w:after="0"/>
              <w:rPr>
                <w:sz w:val="20"/>
                <w:szCs w:val="20"/>
                <w:color w:val="auto"/>
              </w:rPr>
            </w:pPr>
            <w:r>
              <w:rPr>
                <w:rFonts w:ascii="Arial" w:cs="Arial" w:eastAsia="Arial" w:hAnsi="Arial"/>
                <w:sz w:val="16"/>
                <w:szCs w:val="16"/>
                <w:color w:val="auto"/>
              </w:rPr>
              <w:t>(137)</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240" w:type="dxa"/>
            <w:vAlign w:val="bottom"/>
          </w:tcPr>
          <w:p>
            <w:pPr>
              <w:spacing w:after="0"/>
              <w:rPr>
                <w:sz w:val="22"/>
                <w:szCs w:val="22"/>
                <w:color w:val="auto"/>
              </w:rPr>
            </w:pPr>
          </w:p>
        </w:tc>
        <w:tc>
          <w:tcPr>
            <w:tcW w:w="1160" w:type="dxa"/>
            <w:vAlign w:val="bottom"/>
          </w:tcPr>
          <w:p>
            <w:pPr>
              <w:jc w:val="right"/>
              <w:ind w:right="139"/>
              <w:spacing w:after="0"/>
              <w:rPr>
                <w:sz w:val="20"/>
                <w:szCs w:val="20"/>
                <w:color w:val="auto"/>
              </w:rPr>
            </w:pPr>
            <w:r>
              <w:rPr>
                <w:rFonts w:ascii="Arial" w:cs="Arial" w:eastAsia="Arial" w:hAnsi="Arial"/>
                <w:sz w:val="16"/>
                <w:szCs w:val="16"/>
                <w:color w:val="auto"/>
              </w:rPr>
              <w:t>(194)</w:t>
            </w:r>
          </w:p>
        </w:tc>
        <w:tc>
          <w:tcPr>
            <w:tcW w:w="1500" w:type="dxa"/>
            <w:vAlign w:val="bottom"/>
            <w:gridSpan w:val="2"/>
          </w:tcPr>
          <w:p>
            <w:pPr>
              <w:jc w:val="right"/>
              <w:ind w:right="280"/>
              <w:spacing w:after="0"/>
              <w:rPr>
                <w:sz w:val="20"/>
                <w:szCs w:val="20"/>
                <w:color w:val="auto"/>
              </w:rPr>
            </w:pPr>
            <w:r>
              <w:rPr>
                <w:rFonts w:ascii="Arial" w:cs="Arial" w:eastAsia="Arial" w:hAnsi="Arial"/>
                <w:sz w:val="16"/>
                <w:szCs w:val="16"/>
                <w:color w:val="auto"/>
              </w:rPr>
              <w:t>— %</w:t>
            </w: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57</w:t>
            </w:r>
          </w:p>
        </w:tc>
        <w:tc>
          <w:tcPr>
            <w:tcW w:w="1180" w:type="dxa"/>
            <w:vAlign w:val="bottom"/>
          </w:tcPr>
          <w:p>
            <w:pPr>
              <w:jc w:val="right"/>
              <w:ind w:right="79"/>
              <w:spacing w:after="0"/>
              <w:rPr>
                <w:sz w:val="20"/>
                <w:szCs w:val="20"/>
                <w:color w:val="auto"/>
              </w:rPr>
            </w:pPr>
            <w:r>
              <w:rPr>
                <w:rFonts w:ascii="Arial" w:cs="Arial" w:eastAsia="Arial" w:hAnsi="Arial"/>
                <w:sz w:val="16"/>
                <w:szCs w:val="16"/>
                <w:color w:val="auto"/>
              </w:rPr>
              <w:t>(29.4)%</w:t>
            </w:r>
          </w:p>
        </w:tc>
      </w:tr>
      <w:tr>
        <w:trPr>
          <w:trHeight w:val="257"/>
        </w:trPr>
        <w:tc>
          <w:tcPr>
            <w:tcW w:w="2960" w:type="dxa"/>
            <w:vAlign w:val="bottom"/>
            <w:tcBorders>
              <w:top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Income before income taxes</w:t>
            </w:r>
          </w:p>
        </w:tc>
        <w:tc>
          <w:tcPr>
            <w:tcW w:w="240" w:type="dxa"/>
            <w:vAlign w:val="bottom"/>
            <w:tcBorders>
              <w:top w:val="single" w:sz="8" w:color="auto"/>
            </w:tcBorders>
            <w:shd w:val="clear" w:color="auto" w:fill="CCEEFF"/>
          </w:tcPr>
          <w:p>
            <w:pPr>
              <w:spacing w:after="0"/>
              <w:rPr>
                <w:sz w:val="22"/>
                <w:szCs w:val="22"/>
                <w:color w:val="auto"/>
              </w:rPr>
            </w:pPr>
          </w:p>
        </w:tc>
        <w:tc>
          <w:tcPr>
            <w:tcW w:w="1200" w:type="dxa"/>
            <w:vAlign w:val="bottom"/>
            <w:tcBorders>
              <w:top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70,201</w:t>
            </w:r>
          </w:p>
        </w:tc>
        <w:tc>
          <w:tcPr>
            <w:tcW w:w="1380" w:type="dxa"/>
            <w:vAlign w:val="bottom"/>
            <w:tcBorders>
              <w:top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6.4 %</w:t>
            </w:r>
          </w:p>
        </w:tc>
        <w:tc>
          <w:tcPr>
            <w:tcW w:w="120" w:type="dxa"/>
            <w:vAlign w:val="bottom"/>
            <w:tcBorders>
              <w:top w:val="single" w:sz="8" w:color="CCEEFF"/>
            </w:tcBorders>
            <w:shd w:val="clear" w:color="auto" w:fill="CCEEFF"/>
          </w:tcPr>
          <w:p>
            <w:pPr>
              <w:spacing w:after="0"/>
              <w:rPr>
                <w:sz w:val="22"/>
                <w:szCs w:val="22"/>
                <w:color w:val="auto"/>
              </w:rPr>
            </w:pPr>
          </w:p>
        </w:tc>
        <w:tc>
          <w:tcPr>
            <w:tcW w:w="240" w:type="dxa"/>
            <w:vAlign w:val="bottom"/>
            <w:tcBorders>
              <w:top w:val="single" w:sz="8" w:color="auto"/>
            </w:tcBorders>
            <w:shd w:val="clear" w:color="auto" w:fill="CCEEFF"/>
          </w:tcPr>
          <w:p>
            <w:pPr>
              <w:spacing w:after="0"/>
              <w:rPr>
                <w:sz w:val="22"/>
                <w:szCs w:val="22"/>
                <w:color w:val="auto"/>
              </w:rPr>
            </w:pPr>
          </w:p>
        </w:tc>
        <w:tc>
          <w:tcPr>
            <w:tcW w:w="1160" w:type="dxa"/>
            <w:vAlign w:val="bottom"/>
            <w:tcBorders>
              <w:top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47,049</w:t>
            </w:r>
          </w:p>
        </w:tc>
        <w:tc>
          <w:tcPr>
            <w:tcW w:w="140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6.6 %</w:t>
            </w: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1260" w:type="dxa"/>
            <w:vAlign w:val="bottom"/>
            <w:tcBorders>
              <w:top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23,152</w:t>
            </w:r>
          </w:p>
        </w:tc>
        <w:tc>
          <w:tcPr>
            <w:tcW w:w="1180" w:type="dxa"/>
            <w:vAlign w:val="bottom"/>
            <w:tcBorders>
              <w:top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49.2 %</w:t>
            </w:r>
          </w:p>
        </w:tc>
      </w:tr>
      <w:tr>
        <w:trPr>
          <w:trHeight w:val="264"/>
        </w:trPr>
        <w:tc>
          <w:tcPr>
            <w:tcW w:w="296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Provision for income taxes</w:t>
            </w:r>
          </w:p>
        </w:tc>
        <w:tc>
          <w:tcPr>
            <w:tcW w:w="24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23,794</w:t>
            </w:r>
          </w:p>
        </w:tc>
        <w:tc>
          <w:tcPr>
            <w:tcW w:w="13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2.2 %</w:t>
            </w:r>
          </w:p>
        </w:tc>
        <w:tc>
          <w:tcPr>
            <w:tcW w:w="120" w:type="dxa"/>
            <w:vAlign w:val="bottom"/>
            <w:tcBorders>
              <w:bottom w:val="single" w:sz="8" w:color="CCEEFF"/>
            </w:tcBorders>
          </w:tcPr>
          <w:p>
            <w:pPr>
              <w:spacing w:after="0"/>
              <w:rPr>
                <w:sz w:val="22"/>
                <w:szCs w:val="22"/>
                <w:color w:val="auto"/>
              </w:rPr>
            </w:pPr>
          </w:p>
        </w:tc>
        <w:tc>
          <w:tcPr>
            <w:tcW w:w="24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14,699</w:t>
            </w:r>
          </w:p>
        </w:tc>
        <w:tc>
          <w:tcPr>
            <w:tcW w:w="140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2.1 %</w:t>
            </w:r>
          </w:p>
        </w:tc>
        <w:tc>
          <w:tcPr>
            <w:tcW w:w="10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color w:val="auto"/>
              </w:rPr>
              <w:t>9,095</w:t>
            </w:r>
          </w:p>
        </w:tc>
        <w:tc>
          <w:tcPr>
            <w:tcW w:w="11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61.9 %</w:t>
            </w:r>
          </w:p>
        </w:tc>
      </w:tr>
      <w:tr>
        <w:trPr>
          <w:trHeight w:val="242"/>
        </w:trPr>
        <w:tc>
          <w:tcPr>
            <w:tcW w:w="296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2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46,407</w:t>
            </w:r>
          </w:p>
        </w:tc>
        <w:tc>
          <w:tcPr>
            <w:tcW w:w="13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4.2 %</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32,350</w:t>
            </w:r>
          </w:p>
        </w:tc>
        <w:tc>
          <w:tcPr>
            <w:tcW w:w="140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4.5 %</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rPr>
              <w:t>14,057</w:t>
            </w:r>
          </w:p>
        </w:tc>
        <w:tc>
          <w:tcPr>
            <w:tcW w:w="118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43.5 %</w:t>
            </w:r>
          </w:p>
        </w:tc>
      </w:tr>
      <w:tr>
        <w:trPr>
          <w:trHeight w:val="20"/>
        </w:trPr>
        <w:tc>
          <w:tcPr>
            <w:tcW w:w="28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r>
      <w:tr>
        <w:trPr>
          <w:trHeight w:val="265"/>
        </w:trPr>
        <w:tc>
          <w:tcPr>
            <w:tcW w:w="28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200" w:type="dxa"/>
            <w:vAlign w:val="bottom"/>
          </w:tcPr>
          <w:p>
            <w:pPr>
              <w:spacing w:after="0"/>
              <w:rPr>
                <w:sz w:val="23"/>
                <w:szCs w:val="23"/>
                <w:color w:val="auto"/>
              </w:rPr>
            </w:pPr>
          </w:p>
        </w:tc>
        <w:tc>
          <w:tcPr>
            <w:tcW w:w="13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60" w:type="dxa"/>
            <w:vAlign w:val="bottom"/>
          </w:tcPr>
          <w:p>
            <w:pPr>
              <w:spacing w:after="0"/>
              <w:rPr>
                <w:sz w:val="23"/>
                <w:szCs w:val="23"/>
                <w:color w:val="auto"/>
              </w:rPr>
            </w:pPr>
          </w:p>
        </w:tc>
        <w:tc>
          <w:tcPr>
            <w:tcW w:w="1180" w:type="dxa"/>
            <w:vAlign w:val="bottom"/>
          </w:tcPr>
          <w:p>
            <w:pPr>
              <w:spacing w:after="0"/>
              <w:rPr>
                <w:sz w:val="23"/>
                <w:szCs w:val="23"/>
                <w:color w:val="auto"/>
              </w:rPr>
            </w:pPr>
          </w:p>
        </w:tc>
      </w:tr>
      <w:tr>
        <w:trPr>
          <w:trHeight w:val="270"/>
        </w:trPr>
        <w:tc>
          <w:tcPr>
            <w:tcW w:w="296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Diluted income per share</w:t>
            </w:r>
          </w:p>
        </w:tc>
        <w:tc>
          <w:tcPr>
            <w:tcW w:w="24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w w:val="89"/>
              </w:rPr>
              <w:t>$</w:t>
            </w:r>
          </w:p>
        </w:tc>
        <w:tc>
          <w:tcPr>
            <w:tcW w:w="12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1.52</w:t>
            </w:r>
          </w:p>
        </w:tc>
        <w:tc>
          <w:tcPr>
            <w:tcW w:w="13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40" w:type="dxa"/>
            <w:vAlign w:val="bottom"/>
            <w:shd w:val="clear" w:color="auto" w:fill="CCEEFF"/>
          </w:tcPr>
          <w:p>
            <w:pPr>
              <w:jc w:val="right"/>
              <w:ind w:right="39"/>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1.20</w:t>
            </w:r>
          </w:p>
        </w:tc>
        <w:tc>
          <w:tcPr>
            <w:tcW w:w="14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260" w:type="dxa"/>
            <w:vAlign w:val="bottom"/>
            <w:shd w:val="clear" w:color="auto" w:fill="CCEEFF"/>
          </w:tcPr>
          <w:p>
            <w:pPr>
              <w:jc w:val="right"/>
              <w:ind w:right="219"/>
              <w:spacing w:after="0"/>
              <w:rPr>
                <w:sz w:val="20"/>
                <w:szCs w:val="20"/>
                <w:color w:val="auto"/>
              </w:rPr>
            </w:pPr>
            <w:r>
              <w:rPr>
                <w:rFonts w:ascii="Arial" w:cs="Arial" w:eastAsia="Arial" w:hAnsi="Arial"/>
                <w:sz w:val="16"/>
                <w:szCs w:val="16"/>
                <w:color w:val="auto"/>
              </w:rPr>
              <w:t>0.32</w:t>
            </w:r>
          </w:p>
        </w:tc>
        <w:tc>
          <w:tcPr>
            <w:tcW w:w="11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26.7 %</w:t>
            </w:r>
          </w:p>
        </w:tc>
      </w:tr>
      <w:tr>
        <w:trPr>
          <w:trHeight w:val="255"/>
        </w:trPr>
        <w:tc>
          <w:tcPr>
            <w:tcW w:w="2960" w:type="dxa"/>
            <w:vAlign w:val="bottom"/>
            <w:gridSpan w:val="2"/>
          </w:tcPr>
          <w:p>
            <w:pPr>
              <w:ind w:left="40"/>
              <w:spacing w:after="0"/>
              <w:rPr>
                <w:sz w:val="20"/>
                <w:szCs w:val="20"/>
                <w:color w:val="auto"/>
              </w:rPr>
            </w:pPr>
            <w:r>
              <w:rPr>
                <w:rFonts w:ascii="Arial" w:cs="Arial" w:eastAsia="Arial" w:hAnsi="Arial"/>
                <w:sz w:val="16"/>
                <w:szCs w:val="16"/>
                <w:color w:val="auto"/>
              </w:rPr>
              <w:t>Diluted average shares outstanding</w:t>
            </w:r>
          </w:p>
        </w:tc>
        <w:tc>
          <w:tcPr>
            <w:tcW w:w="240" w:type="dxa"/>
            <w:vAlign w:val="bottom"/>
          </w:tcPr>
          <w:p>
            <w:pPr>
              <w:spacing w:after="0"/>
              <w:rPr>
                <w:sz w:val="22"/>
                <w:szCs w:val="22"/>
                <w:color w:val="auto"/>
              </w:rPr>
            </w:pPr>
          </w:p>
        </w:tc>
        <w:tc>
          <w:tcPr>
            <w:tcW w:w="1200" w:type="dxa"/>
            <w:vAlign w:val="bottom"/>
          </w:tcPr>
          <w:p>
            <w:pPr>
              <w:jc w:val="right"/>
              <w:ind w:right="199"/>
              <w:spacing w:after="0"/>
              <w:rPr>
                <w:sz w:val="20"/>
                <w:szCs w:val="20"/>
                <w:color w:val="auto"/>
              </w:rPr>
            </w:pPr>
            <w:r>
              <w:rPr>
                <w:rFonts w:ascii="Arial" w:cs="Arial" w:eastAsia="Arial" w:hAnsi="Arial"/>
                <w:sz w:val="16"/>
                <w:szCs w:val="16"/>
                <w:color w:val="auto"/>
              </w:rPr>
              <w:t>30,448</w:t>
            </w:r>
          </w:p>
        </w:tc>
        <w:tc>
          <w:tcPr>
            <w:tcW w:w="13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27,029</w:t>
            </w: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219"/>
              <w:spacing w:after="0"/>
              <w:rPr>
                <w:sz w:val="20"/>
                <w:szCs w:val="20"/>
                <w:color w:val="auto"/>
              </w:rPr>
            </w:pPr>
            <w:r>
              <w:rPr>
                <w:rFonts w:ascii="Arial" w:cs="Arial" w:eastAsia="Arial" w:hAnsi="Arial"/>
                <w:sz w:val="16"/>
                <w:szCs w:val="16"/>
                <w:color w:val="auto"/>
              </w:rPr>
              <w:t>3,419</w:t>
            </w:r>
          </w:p>
        </w:tc>
        <w:tc>
          <w:tcPr>
            <w:tcW w:w="1180" w:type="dxa"/>
            <w:vAlign w:val="bottom"/>
          </w:tcPr>
          <w:p>
            <w:pPr>
              <w:jc w:val="right"/>
              <w:ind w:right="99"/>
              <w:spacing w:after="0"/>
              <w:rPr>
                <w:sz w:val="20"/>
                <w:szCs w:val="20"/>
                <w:color w:val="auto"/>
              </w:rPr>
            </w:pPr>
            <w:r>
              <w:rPr>
                <w:rFonts w:ascii="Arial" w:cs="Arial" w:eastAsia="Arial" w:hAnsi="Arial"/>
                <w:sz w:val="16"/>
                <w:szCs w:val="16"/>
                <w:color w:val="auto"/>
              </w:rPr>
              <w:t>12.6 %</w:t>
            </w:r>
          </w:p>
        </w:tc>
      </w:tr>
    </w:tbl>
    <w:p>
      <w:pPr>
        <w:spacing w:after="0" w:line="44" w:lineRule="exact"/>
        <w:rPr>
          <w:sz w:val="20"/>
          <w:szCs w:val="20"/>
          <w:color w:val="auto"/>
        </w:rPr>
      </w:pPr>
    </w:p>
    <w:p>
      <w:pPr>
        <w:ind w:left="160" w:hanging="152"/>
        <w:spacing w:after="0"/>
        <w:tabs>
          <w:tab w:leader="none" w:pos="160" w:val="left"/>
        </w:tabs>
        <w:numPr>
          <w:ilvl w:val="0"/>
          <w:numId w:val="15"/>
        </w:numPr>
        <w:rPr>
          <w:rFonts w:ascii="Arial" w:cs="Arial" w:eastAsia="Arial" w:hAnsi="Arial"/>
          <w:sz w:val="18"/>
          <w:szCs w:val="18"/>
          <w:color w:val="auto"/>
          <w:vertAlign w:val="superscript"/>
        </w:rPr>
      </w:pPr>
      <w:r>
        <w:rPr>
          <w:rFonts w:ascii="Arial" w:cs="Arial" w:eastAsia="Arial" w:hAnsi="Arial"/>
          <w:sz w:val="14"/>
          <w:szCs w:val="14"/>
          <w:color w:val="auto"/>
        </w:rPr>
        <w:t>Percentages may not add due to rounding differences.</w:t>
      </w:r>
    </w:p>
    <w:p>
      <w:pPr>
        <w:spacing w:after="0" w:line="125" w:lineRule="exact"/>
        <w:rPr>
          <w:sz w:val="20"/>
          <w:szCs w:val="20"/>
          <w:color w:val="auto"/>
        </w:rPr>
      </w:pPr>
    </w:p>
    <w:p>
      <w:pPr>
        <w:ind w:right="20"/>
        <w:spacing w:after="0" w:line="257" w:lineRule="auto"/>
        <w:rPr>
          <w:sz w:val="20"/>
          <w:szCs w:val="20"/>
          <w:color w:val="auto"/>
        </w:rPr>
      </w:pPr>
      <w:r>
        <w:rPr>
          <w:rFonts w:ascii="Arial" w:cs="Arial" w:eastAsia="Arial" w:hAnsi="Arial"/>
          <w:sz w:val="16"/>
          <w:szCs w:val="16"/>
          <w:color w:val="auto"/>
        </w:rPr>
        <w:t>Consolidated net revenues increased $380.2 million or 53.4% in the first nine months of Fiscal 2017 over the first nine months of Fiscal 2016. This was primarily due to the acquisition of Grand Design which added revenues of $366.3 million. In addition, Winnebago-branded towables rose $27.3 million or 43.5% in the first nine months of Fiscal 2017. Motorhome revenue was down in the first nine months of Fiscal 2017 due to a reduction of ASP on relatively flat unit sales and also due to a $6.3 million reduction in sales to aluminum extrusion customers compared to the first nine months of Fiscal 2016 as we have ceased those activities in order to better utilize asset and labor capacity.</w:t>
      </w:r>
    </w:p>
    <w:p>
      <w:pPr>
        <w:spacing w:after="0" w:line="14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Cost of goods sold was $943.2 million, or 86.4% of net revenues for the first nine months of Fiscal 2017 compared to $631.2 million, or 88.7% of net revenues for the first nine months of Fiscal 2016 due to the following:</w:t>
      </w:r>
    </w:p>
    <w:p>
      <w:pPr>
        <w:spacing w:after="0" w:line="1" w:lineRule="exact"/>
        <w:rPr>
          <w:sz w:val="20"/>
          <w:szCs w:val="20"/>
          <w:color w:val="auto"/>
        </w:rPr>
      </w:pPr>
    </w:p>
    <w:p>
      <w:pPr>
        <w:ind w:left="340" w:right="20" w:hanging="332"/>
        <w:spacing w:after="0" w:line="272" w:lineRule="auto"/>
        <w:tabs>
          <w:tab w:leader="none" w:pos="340" w:val="left"/>
        </w:tabs>
        <w:numPr>
          <w:ilvl w:val="0"/>
          <w:numId w:val="16"/>
        </w:numPr>
        <w:rPr>
          <w:rFonts w:ascii="Times New Roman" w:cs="Times New Roman" w:eastAsia="Times New Roman" w:hAnsi="Times New Roman"/>
          <w:sz w:val="18"/>
          <w:szCs w:val="18"/>
          <w:color w:val="auto"/>
        </w:rPr>
      </w:pPr>
      <w:r>
        <w:rPr>
          <w:rFonts w:ascii="Arial" w:cs="Arial" w:eastAsia="Arial" w:hAnsi="Arial"/>
          <w:sz w:val="16"/>
          <w:szCs w:val="16"/>
          <w:color w:val="auto"/>
        </w:rPr>
        <w:t xml:space="preserve">Total variable costs (materials, direct labor, variable overhead, delivery expense and warranty), as a percent of net revenues, decreased to 81.8% </w:t>
      </w:r>
      <w:r>
        <w:rPr>
          <w:rFonts w:ascii="Arial" w:cs="Arial" w:eastAsia="Arial" w:hAnsi="Arial"/>
          <w:sz w:val="18"/>
          <w:szCs w:val="18"/>
          <w:color w:val="auto"/>
        </w:rPr>
        <w:t>in</w:t>
      </w:r>
      <w:r>
        <w:rPr>
          <w:rFonts w:ascii="Arial" w:cs="Arial" w:eastAsia="Arial" w:hAnsi="Arial"/>
          <w:sz w:val="16"/>
          <w:szCs w:val="16"/>
          <w:color w:val="auto"/>
        </w:rPr>
        <w:t xml:space="preserve"> Fiscal 2017 compared to 83.3% in Fiscal 2016 primarily due to a higher proportion of Towable revenue in the first nine months as the Towable segment operates at a higher gross profit rate. The effects of the higher Towables mix was partially offset by inefficiencies associated with the ramp-up of production at our Junction City, OR operation.</w:t>
      </w:r>
    </w:p>
    <w:p>
      <w:pPr>
        <w:spacing w:after="0" w:line="2" w:lineRule="exact"/>
        <w:rPr>
          <w:rFonts w:ascii="Times New Roman" w:cs="Times New Roman" w:eastAsia="Times New Roman" w:hAnsi="Times New Roman"/>
          <w:sz w:val="18"/>
          <w:szCs w:val="18"/>
          <w:color w:val="auto"/>
        </w:rPr>
      </w:pPr>
    </w:p>
    <w:p>
      <w:pPr>
        <w:jc w:val="both"/>
        <w:ind w:left="340" w:right="120" w:hanging="332"/>
        <w:spacing w:after="0" w:line="260" w:lineRule="auto"/>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 xml:space="preserve">Fixed overhead (manufacturing support labor, depreciation and facility costs) and research and development-related costs decreased as a percent of net revenues to 4.6% </w:t>
      </w:r>
      <w:r>
        <w:rPr>
          <w:rFonts w:ascii="Arial" w:cs="Arial" w:eastAsia="Arial" w:hAnsi="Arial"/>
          <w:sz w:val="18"/>
          <w:szCs w:val="18"/>
          <w:color w:val="auto"/>
        </w:rPr>
        <w:t>in</w:t>
      </w:r>
      <w:r>
        <w:rPr>
          <w:rFonts w:ascii="Arial" w:cs="Arial" w:eastAsia="Arial" w:hAnsi="Arial"/>
          <w:sz w:val="16"/>
          <w:szCs w:val="16"/>
          <w:color w:val="auto"/>
        </w:rPr>
        <w:t xml:space="preserve"> Fiscal 2017 compared to 5.3% in Fiscal 2016 due to a higher proportion of Towable revenue in the quarter which operates at a lower fixed cost per unit.</w:t>
      </w:r>
    </w:p>
    <w:p>
      <w:pPr>
        <w:ind w:left="340" w:hanging="332"/>
        <w:spacing w:after="0"/>
        <w:tabs>
          <w:tab w:leader="none" w:pos="340" w:val="left"/>
        </w:tabs>
        <w:numPr>
          <w:ilvl w:val="0"/>
          <w:numId w:val="16"/>
        </w:numPr>
        <w:rPr>
          <w:rFonts w:ascii="Arial" w:cs="Arial" w:eastAsia="Arial" w:hAnsi="Arial"/>
          <w:sz w:val="18"/>
          <w:szCs w:val="18"/>
          <w:color w:val="auto"/>
        </w:rPr>
      </w:pPr>
      <w:r>
        <w:rPr>
          <w:rFonts w:ascii="Arial" w:cs="Arial" w:eastAsia="Arial" w:hAnsi="Arial"/>
          <w:sz w:val="16"/>
          <w:szCs w:val="16"/>
          <w:color w:val="auto"/>
        </w:rPr>
        <w:t>All factors considered, gross profit increased to 13.6% from 11.3% of net revenues.</w:t>
      </w:r>
    </w:p>
    <w:p>
      <w:pPr>
        <w:spacing w:after="0" w:line="155" w:lineRule="exact"/>
        <w:rPr>
          <w:sz w:val="20"/>
          <w:szCs w:val="20"/>
          <w:color w:val="auto"/>
        </w:rPr>
      </w:pPr>
    </w:p>
    <w:p>
      <w:pPr>
        <w:ind w:right="120"/>
        <w:spacing w:after="0" w:line="294" w:lineRule="auto"/>
        <w:rPr>
          <w:sz w:val="20"/>
          <w:szCs w:val="20"/>
          <w:color w:val="auto"/>
        </w:rPr>
      </w:pPr>
      <w:r>
        <w:rPr>
          <w:rFonts w:ascii="Arial" w:cs="Arial" w:eastAsia="Arial" w:hAnsi="Arial"/>
          <w:sz w:val="16"/>
          <w:szCs w:val="16"/>
          <w:color w:val="auto"/>
        </w:rPr>
        <w:t>Selling expenses were $25.6 million and $14.7 million, or 2.3% and 2.1% of net revenues in the first nine months of Fiscal 2017 and Fiscal 2016</w:t>
      </w:r>
      <w:r>
        <w:rPr>
          <w:rFonts w:ascii="Times New Roman" w:cs="Times New Roman" w:eastAsia="Times New Roman" w:hAnsi="Times New Roman"/>
          <w:sz w:val="18"/>
          <w:szCs w:val="18"/>
          <w:color w:val="auto"/>
        </w:rPr>
        <w:t>,</w:t>
      </w:r>
      <w:r>
        <w:rPr>
          <w:rFonts w:ascii="Arial" w:cs="Arial" w:eastAsia="Arial" w:hAnsi="Arial"/>
          <w:sz w:val="16"/>
          <w:szCs w:val="16"/>
          <w:color w:val="auto"/>
        </w:rPr>
        <w:t xml:space="preserve"> respectively. The increase was primarily due to $10.9 million in additional Towable segment selling expenses including those associated with the acquired Grand Design operation and due to Towable net revenue growth.</w:t>
      </w:r>
    </w:p>
    <w:p>
      <w:pPr>
        <w:spacing w:after="0" w:line="105" w:lineRule="exact"/>
        <w:rPr>
          <w:sz w:val="20"/>
          <w:szCs w:val="20"/>
          <w:color w:val="auto"/>
        </w:rPr>
      </w:pPr>
    </w:p>
    <w:p>
      <w:pPr>
        <w:ind w:right="60"/>
        <w:spacing w:after="0" w:line="261" w:lineRule="auto"/>
        <w:rPr>
          <w:sz w:val="20"/>
          <w:szCs w:val="20"/>
          <w:color w:val="auto"/>
        </w:rPr>
      </w:pPr>
      <w:r>
        <w:rPr>
          <w:rFonts w:ascii="Arial" w:cs="Arial" w:eastAsia="Arial" w:hAnsi="Arial"/>
          <w:sz w:val="16"/>
          <w:szCs w:val="16"/>
          <w:color w:val="auto"/>
        </w:rPr>
        <w:t>General and administrative expenses were 3.4% and 3.3% of net revenues in the first nine months of Fiscal 2017 and Fiscal 2016, respectively. General and administrative expenses increased $13.9 million, or 58.5% in the first nine months of Fiscal 2017 compared to the same period in Fiscal 2016. This increase was due to the addition of $8.8 million of general and administrative expenses associated with the Grand Design operation, an increase in salaried wages, and a decrease in Fiscal 2016 related to a favorable legal settlement of $2.75 million.</w:t>
      </w:r>
    </w:p>
    <w:p>
      <w:pPr>
        <w:sectPr>
          <w:pgSz w:w="11900" w:h="16838" w:orient="portrait"/>
          <w:cols w:equalWidth="0" w:num="1">
            <w:col w:w="11420"/>
          </w:cols>
          <w:pgMar w:left="240" w:top="121" w:right="239" w:bottom="1440" w:gutter="0" w:footer="0" w:header="0"/>
        </w:sect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26</w:t>
      </w:r>
    </w:p>
    <w:p>
      <w:pPr>
        <w:sectPr>
          <w:pgSz w:w="11900" w:h="16838" w:orient="portrait"/>
          <w:cols w:equalWidth="0" w:num="1">
            <w:col w:w="11420"/>
          </w:cols>
          <w:pgMar w:left="240" w:top="121" w:right="239" w:bottom="1440" w:gutter="0" w:footer="0" w:header="0"/>
          <w:type w:val="continuous"/>
        </w:sectPr>
      </w:pPr>
    </w:p>
    <w:bookmarkStart w:id="28" w:name="page29"/>
    <w:bookmarkEnd w:id="28"/>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329" w:lineRule="exact"/>
        <w:rPr>
          <w:sz w:val="20"/>
          <w:szCs w:val="20"/>
          <w:color w:val="auto"/>
        </w:rPr>
      </w:pPr>
    </w:p>
    <w:p>
      <w:pPr>
        <w:ind w:right="160"/>
        <w:spacing w:after="0" w:line="269" w:lineRule="auto"/>
        <w:rPr>
          <w:sz w:val="20"/>
          <w:szCs w:val="20"/>
          <w:color w:val="auto"/>
        </w:rPr>
      </w:pPr>
      <w:r>
        <w:rPr>
          <w:rFonts w:ascii="Arial" w:cs="Arial" w:eastAsia="Arial" w:hAnsi="Arial"/>
          <w:sz w:val="16"/>
          <w:szCs w:val="16"/>
          <w:color w:val="auto"/>
        </w:rPr>
        <w:t>Postretirement health care benefit income increased by $20.3 million in the first nine months of Fiscal 2017 due to the plan termination which was announced on October 26, 2016. Effective January 1, 2017, postretirement health care benefits were discontinued for retirees under age 65. As a result of this amendment, our liability for postretirement health care was eliminated and a benefit was recorded on the statement of income.</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color w:val="auto"/>
        </w:rPr>
        <w:t>Transaction costs of $6.4 million in the first nine months of Fiscal 2017 is related to the acquisition of Grand Design.</w:t>
      </w:r>
    </w:p>
    <w:p>
      <w:pPr>
        <w:spacing w:after="0" w:line="248"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Amortization of intangibles expense of $22.6 million is related to definite-lived intangibles established as of the acquisition of Grand Design in the first quarter of Fiscal 2017.</w:t>
      </w:r>
    </w:p>
    <w:p>
      <w:pPr>
        <w:spacing w:after="0" w:line="175"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color w:val="auto"/>
        </w:rPr>
        <w:t>Interest expense was $11.6 million in the first nine months of Fiscal 2017. It is related to the ABL and Term Loan agreements as we borrowed $353.0 million on November 8, 2016 for the acquisition of Grand Design. See Analysis of Financial Condition, Liquidity, and Resources and Note 9 for further information.</w:t>
      </w:r>
    </w:p>
    <w:p>
      <w:pPr>
        <w:spacing w:after="0" w:line="175"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The overall effective income tax rate for the first nine months of Fiscal 2017 was 33.9% compared to the effective income tax rate of 31.2% for the first nine months of Fiscal 2016. The effective rate for the first nine months of Fiscal 2016 was favorably impacted by retroactive reinstatements of the federal research and development credit and other credits that were enacted in December 2015. The increase in the effective rate is also due to greater pre-tax income in Fiscal 2017 associated with the acquisition of Grand Design. This results in various permanent tax deductions having less of an effect on the overall tax rate.</w:t>
      </w:r>
    </w:p>
    <w:p>
      <w:pPr>
        <w:spacing w:after="0" w:line="118" w:lineRule="exact"/>
        <w:rPr>
          <w:sz w:val="20"/>
          <w:szCs w:val="20"/>
          <w:color w:val="auto"/>
        </w:rPr>
      </w:pPr>
    </w:p>
    <w:p>
      <w:pPr>
        <w:ind w:right="120"/>
        <w:spacing w:after="0" w:line="291" w:lineRule="auto"/>
        <w:rPr>
          <w:sz w:val="20"/>
          <w:szCs w:val="20"/>
          <w:color w:val="auto"/>
        </w:rPr>
      </w:pPr>
      <w:r>
        <w:rPr>
          <w:rFonts w:ascii="Arial" w:cs="Arial" w:eastAsia="Arial" w:hAnsi="Arial"/>
          <w:sz w:val="16"/>
          <w:szCs w:val="16"/>
          <w:color w:val="auto"/>
        </w:rPr>
        <w:t>Net income and diluted income per share were $46.4 million and $1.52 per share, respectively, for the first nine months of Fiscal 2017. In the first nine months of Fiscal 2016, net income was $32.4 million and diluted net income was $1.20 per share.</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Non-GAAP Reconciliation</w:t>
      </w:r>
    </w:p>
    <w:p>
      <w:pPr>
        <w:spacing w:after="0" w:line="27" w:lineRule="exact"/>
        <w:rPr>
          <w:sz w:val="20"/>
          <w:szCs w:val="20"/>
          <w:color w:val="auto"/>
        </w:rPr>
      </w:pPr>
    </w:p>
    <w:p>
      <w:pPr>
        <w:jc w:val="both"/>
        <w:ind w:right="140"/>
        <w:spacing w:after="0" w:line="253" w:lineRule="auto"/>
        <w:rPr>
          <w:sz w:val="20"/>
          <w:szCs w:val="20"/>
          <w:color w:val="auto"/>
        </w:rPr>
      </w:pPr>
      <w:r>
        <w:rPr>
          <w:rFonts w:ascii="Arial" w:cs="Arial" w:eastAsia="Arial" w:hAnsi="Arial"/>
          <w:sz w:val="16"/>
          <w:szCs w:val="16"/>
          <w:color w:val="auto"/>
        </w:rPr>
        <w:t>We have provided the following non-GAAP financial measures, which are not calculated or presented in accordance with GAAP, as information supplemental and in addition to the financial measures presented in accordance with GAAP. Such non-GAAP financial measures should not be considered superior to, as a substitute for, or as an alternative to, and should be considered in conjunction with, the GAAP financial measures presented herein. The non-GAAP financial measures presented below may differ from similar measures used by other companies.</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7780" w:type="dxa"/>
            <w:vAlign w:val="bottom"/>
            <w:gridSpan w:val="2"/>
          </w:tcPr>
          <w:p>
            <w:pPr>
              <w:spacing w:after="0"/>
              <w:rPr>
                <w:sz w:val="20"/>
                <w:szCs w:val="20"/>
                <w:color w:val="auto"/>
              </w:rPr>
            </w:pPr>
            <w:r>
              <w:rPr>
                <w:rFonts w:ascii="Arial" w:cs="Arial" w:eastAsia="Arial" w:hAnsi="Arial"/>
                <w:sz w:val="16"/>
                <w:szCs w:val="16"/>
                <w:color w:val="auto"/>
              </w:rPr>
              <w:t>The following table reconciles net income to consolidated Adjusted EBITDA.</w:t>
            </w: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420" w:type="dxa"/>
            <w:vAlign w:val="bottom"/>
          </w:tcPr>
          <w:p>
            <w:pPr>
              <w:spacing w:after="0"/>
              <w:rPr>
                <w:sz w:val="19"/>
                <w:szCs w:val="19"/>
                <w:color w:val="auto"/>
              </w:rPr>
            </w:pPr>
          </w:p>
        </w:tc>
      </w:tr>
      <w:tr>
        <w:trPr>
          <w:trHeight w:val="390"/>
        </w:trPr>
        <w:tc>
          <w:tcPr>
            <w:tcW w:w="76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3300" w:type="dxa"/>
            <w:vAlign w:val="bottom"/>
            <w:tcBorders>
              <w:bottom w:val="single" w:sz="8" w:color="auto"/>
            </w:tcBorders>
            <w:gridSpan w:val="4"/>
          </w:tcPr>
          <w:p>
            <w:pPr>
              <w:jc w:val="right"/>
              <w:ind w:right="979"/>
              <w:spacing w:after="0"/>
              <w:rPr>
                <w:sz w:val="20"/>
                <w:szCs w:val="20"/>
                <w:color w:val="auto"/>
              </w:rPr>
            </w:pPr>
            <w:r>
              <w:rPr>
                <w:rFonts w:ascii="Arial" w:cs="Arial" w:eastAsia="Arial" w:hAnsi="Arial"/>
                <w:sz w:val="16"/>
                <w:szCs w:val="16"/>
                <w:b w:val="1"/>
                <w:bCs w:val="1"/>
                <w:color w:val="auto"/>
              </w:rPr>
              <w:t>Nine Months Ended</w:t>
            </w:r>
          </w:p>
        </w:tc>
      </w:tr>
      <w:tr>
        <w:trPr>
          <w:trHeight w:val="193"/>
        </w:trPr>
        <w:tc>
          <w:tcPr>
            <w:tcW w:w="7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540" w:type="dxa"/>
            <w:vAlign w:val="bottom"/>
            <w:gridSpan w:val="2"/>
          </w:tcPr>
          <w:p>
            <w:pPr>
              <w:ind w:left="220"/>
              <w:spacing w:after="0"/>
              <w:rPr>
                <w:sz w:val="20"/>
                <w:szCs w:val="20"/>
                <w:color w:val="auto"/>
              </w:rPr>
            </w:pPr>
            <w:r>
              <w:rPr>
                <w:rFonts w:ascii="Arial" w:cs="Arial" w:eastAsia="Arial" w:hAnsi="Arial"/>
                <w:sz w:val="16"/>
                <w:szCs w:val="16"/>
                <w:b w:val="1"/>
                <w:bCs w:val="1"/>
                <w:color w:val="auto"/>
              </w:rPr>
              <w:t>May 27,</w:t>
            </w:r>
          </w:p>
        </w:tc>
        <w:tc>
          <w:tcPr>
            <w:tcW w:w="340" w:type="dxa"/>
            <w:vAlign w:val="bottom"/>
          </w:tcPr>
          <w:p>
            <w:pPr>
              <w:spacing w:after="0"/>
              <w:rPr>
                <w:sz w:val="16"/>
                <w:szCs w:val="16"/>
                <w:color w:val="auto"/>
              </w:rPr>
            </w:pPr>
          </w:p>
        </w:tc>
        <w:tc>
          <w:tcPr>
            <w:tcW w:w="1420" w:type="dxa"/>
            <w:vAlign w:val="bottom"/>
          </w:tcPr>
          <w:p>
            <w:pPr>
              <w:jc w:val="right"/>
              <w:ind w:right="539"/>
              <w:spacing w:after="0"/>
              <w:rPr>
                <w:sz w:val="20"/>
                <w:szCs w:val="20"/>
                <w:color w:val="auto"/>
              </w:rPr>
            </w:pPr>
            <w:r>
              <w:rPr>
                <w:rFonts w:ascii="Arial" w:cs="Arial" w:eastAsia="Arial" w:hAnsi="Arial"/>
                <w:sz w:val="16"/>
                <w:szCs w:val="16"/>
                <w:b w:val="1"/>
                <w:bCs w:val="1"/>
                <w:color w:val="auto"/>
              </w:rPr>
              <w:t>May 28,</w:t>
            </w:r>
          </w:p>
        </w:tc>
      </w:tr>
      <w:tr>
        <w:trPr>
          <w:trHeight w:val="232"/>
        </w:trPr>
        <w:tc>
          <w:tcPr>
            <w:tcW w:w="76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420" w:type="dxa"/>
            <w:vAlign w:val="bottom"/>
            <w:tcBorders>
              <w:bottom w:val="single" w:sz="8" w:color="auto"/>
            </w:tcBorders>
          </w:tcPr>
          <w:p>
            <w:pPr>
              <w:jc w:val="right"/>
              <w:ind w:right="619"/>
              <w:spacing w:after="0"/>
              <w:rPr>
                <w:sz w:val="20"/>
                <w:szCs w:val="20"/>
                <w:color w:val="auto"/>
              </w:rPr>
            </w:pPr>
            <w:r>
              <w:rPr>
                <w:rFonts w:ascii="Arial" w:cs="Arial" w:eastAsia="Arial" w:hAnsi="Arial"/>
                <w:sz w:val="16"/>
                <w:szCs w:val="16"/>
                <w:b w:val="1"/>
                <w:bCs w:val="1"/>
                <w:color w:val="auto"/>
              </w:rPr>
              <w:t>2016</w:t>
            </w:r>
          </w:p>
        </w:tc>
      </w:tr>
      <w:tr>
        <w:trPr>
          <w:trHeight w:val="254"/>
        </w:trPr>
        <w:tc>
          <w:tcPr>
            <w:tcW w:w="77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340" w:type="dxa"/>
            <w:vAlign w:val="bottom"/>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46,407</w:t>
            </w:r>
          </w:p>
        </w:tc>
        <w:tc>
          <w:tcPr>
            <w:tcW w:w="120" w:type="dxa"/>
            <w:vAlign w:val="bottom"/>
            <w:shd w:val="clear" w:color="auto" w:fill="CCEEFF"/>
          </w:tcPr>
          <w:p>
            <w:pPr>
              <w:spacing w:after="0"/>
              <w:rPr>
                <w:sz w:val="22"/>
                <w:szCs w:val="22"/>
                <w:color w:val="auto"/>
              </w:rPr>
            </w:pPr>
          </w:p>
        </w:tc>
        <w:tc>
          <w:tcPr>
            <w:tcW w:w="3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32,350</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Interest expense</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11,571</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Provision for income taxes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23,794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14,699</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Depreciation</w:t>
            </w: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5,287</w:t>
            </w:r>
          </w:p>
        </w:tc>
        <w:tc>
          <w:tcPr>
            <w:tcW w:w="12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4,243</w:t>
            </w:r>
          </w:p>
        </w:tc>
      </w:tr>
      <w:tr>
        <w:trPr>
          <w:trHeight w:val="271"/>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Amortization of intangible assets</w:t>
            </w: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22,578</w:t>
            </w:r>
          </w:p>
        </w:tc>
        <w:tc>
          <w:tcPr>
            <w:tcW w:w="120" w:type="dxa"/>
            <w:vAlign w:val="bottom"/>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49"/>
        </w:trPr>
        <w:tc>
          <w:tcPr>
            <w:tcW w:w="7780" w:type="dxa"/>
            <w:vAlign w:val="bottom"/>
            <w:gridSpan w:val="2"/>
          </w:tcPr>
          <w:p>
            <w:pPr>
              <w:ind w:left="40"/>
              <w:spacing w:after="0"/>
              <w:rPr>
                <w:sz w:val="20"/>
                <w:szCs w:val="20"/>
                <w:color w:val="auto"/>
              </w:rPr>
            </w:pPr>
            <w:r>
              <w:rPr>
                <w:rFonts w:ascii="Arial" w:cs="Arial" w:eastAsia="Arial" w:hAnsi="Arial"/>
                <w:sz w:val="16"/>
                <w:szCs w:val="16"/>
                <w:color w:val="auto"/>
              </w:rPr>
              <w:t>EBITDA</w:t>
            </w: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109,637</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420" w:type="dxa"/>
            <w:vAlign w:val="bottom"/>
          </w:tcPr>
          <w:p>
            <w:pPr>
              <w:jc w:val="right"/>
              <w:ind w:right="239"/>
              <w:spacing w:after="0"/>
              <w:rPr>
                <w:sz w:val="20"/>
                <w:szCs w:val="20"/>
                <w:color w:val="auto"/>
              </w:rPr>
            </w:pPr>
            <w:r>
              <w:rPr>
                <w:rFonts w:ascii="Arial" w:cs="Arial" w:eastAsia="Arial" w:hAnsi="Arial"/>
                <w:sz w:val="16"/>
                <w:szCs w:val="16"/>
                <w:color w:val="auto"/>
              </w:rPr>
              <w:t>51,292</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Postretirement health care benefit income</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(24,796)</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(4,531)</w:t>
            </w:r>
          </w:p>
        </w:tc>
      </w:tr>
      <w:tr>
        <w:trPr>
          <w:trHeight w:val="262"/>
        </w:trPr>
        <w:tc>
          <w:tcPr>
            <w:tcW w:w="7780" w:type="dxa"/>
            <w:vAlign w:val="bottom"/>
            <w:gridSpan w:val="2"/>
          </w:tcPr>
          <w:p>
            <w:pPr>
              <w:ind w:left="180"/>
              <w:spacing w:after="0"/>
              <w:rPr>
                <w:sz w:val="20"/>
                <w:szCs w:val="20"/>
                <w:color w:val="auto"/>
              </w:rPr>
            </w:pPr>
            <w:r>
              <w:rPr>
                <w:rFonts w:ascii="Arial" w:cs="Arial" w:eastAsia="Arial" w:hAnsi="Arial"/>
                <w:sz w:val="16"/>
                <w:szCs w:val="16"/>
                <w:color w:val="auto"/>
              </w:rPr>
              <w:t>Legal settlement</w:t>
            </w:r>
          </w:p>
        </w:tc>
        <w:tc>
          <w:tcPr>
            <w:tcW w:w="340" w:type="dxa"/>
            <w:vAlign w:val="bottom"/>
          </w:tcPr>
          <w:p>
            <w:pPr>
              <w:spacing w:after="0"/>
              <w:rPr>
                <w:sz w:val="22"/>
                <w:szCs w:val="22"/>
                <w:color w:val="auto"/>
              </w:rPr>
            </w:pPr>
          </w:p>
        </w:tc>
        <w:tc>
          <w:tcPr>
            <w:tcW w:w="1540" w:type="dxa"/>
            <w:vAlign w:val="bottom"/>
            <w:gridSpan w:val="2"/>
          </w:tcPr>
          <w:p>
            <w:pPr>
              <w:jc w:val="right"/>
              <w:ind w:right="440"/>
              <w:spacing w:after="0"/>
              <w:rPr>
                <w:sz w:val="20"/>
                <w:szCs w:val="20"/>
                <w:color w:val="auto"/>
              </w:rPr>
            </w:pPr>
            <w:r>
              <w:rPr>
                <w:rFonts w:ascii="Arial" w:cs="Arial" w:eastAsia="Arial" w:hAnsi="Arial"/>
                <w:sz w:val="16"/>
                <w:szCs w:val="16"/>
                <w:color w:val="auto"/>
              </w:rPr>
              <w:t>—</w:t>
            </w:r>
          </w:p>
        </w:tc>
        <w:tc>
          <w:tcPr>
            <w:tcW w:w="340" w:type="dxa"/>
            <w:vAlign w:val="bottom"/>
          </w:tcPr>
          <w:p>
            <w:pPr>
              <w:spacing w:after="0"/>
              <w:rPr>
                <w:sz w:val="22"/>
                <w:szCs w:val="22"/>
                <w:color w:val="auto"/>
              </w:rPr>
            </w:pPr>
          </w:p>
        </w:tc>
        <w:tc>
          <w:tcPr>
            <w:tcW w:w="1420" w:type="dxa"/>
            <w:vAlign w:val="bottom"/>
          </w:tcPr>
          <w:p>
            <w:pPr>
              <w:jc w:val="right"/>
              <w:ind w:right="199"/>
              <w:spacing w:after="0"/>
              <w:rPr>
                <w:sz w:val="20"/>
                <w:szCs w:val="20"/>
                <w:color w:val="auto"/>
              </w:rPr>
            </w:pPr>
            <w:r>
              <w:rPr>
                <w:rFonts w:ascii="Arial" w:cs="Arial" w:eastAsia="Arial" w:hAnsi="Arial"/>
                <w:sz w:val="16"/>
                <w:szCs w:val="16"/>
                <w:color w:val="auto"/>
              </w:rPr>
              <w:t>(2,750)</w:t>
            </w:r>
          </w:p>
        </w:tc>
      </w:tr>
      <w:tr>
        <w:trPr>
          <w:trHeight w:val="278"/>
        </w:trPr>
        <w:tc>
          <w:tcPr>
            <w:tcW w:w="7780" w:type="dxa"/>
            <w:vAlign w:val="bottom"/>
            <w:gridSpan w:val="2"/>
            <w:shd w:val="clear" w:color="auto" w:fill="CCEEFF"/>
          </w:tcPr>
          <w:p>
            <w:pPr>
              <w:ind w:left="180"/>
              <w:spacing w:after="0"/>
              <w:rPr>
                <w:sz w:val="20"/>
                <w:szCs w:val="20"/>
                <w:color w:val="auto"/>
              </w:rPr>
            </w:pPr>
            <w:r>
              <w:rPr>
                <w:rFonts w:ascii="Arial" w:cs="Arial" w:eastAsia="Arial" w:hAnsi="Arial"/>
                <w:sz w:val="16"/>
                <w:szCs w:val="16"/>
                <w:color w:val="auto"/>
              </w:rPr>
              <w:t>Transaction costs</w:t>
            </w: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6,374</w:t>
            </w:r>
          </w:p>
        </w:tc>
        <w:tc>
          <w:tcPr>
            <w:tcW w:w="120" w:type="dxa"/>
            <w:vAlign w:val="bottom"/>
            <w:shd w:val="clear" w:color="auto" w:fill="CCEEFF"/>
          </w:tcPr>
          <w:p>
            <w:pPr>
              <w:spacing w:after="0"/>
              <w:rPr>
                <w:sz w:val="24"/>
                <w:szCs w:val="24"/>
                <w:color w:val="auto"/>
              </w:rPr>
            </w:pPr>
          </w:p>
        </w:tc>
        <w:tc>
          <w:tcPr>
            <w:tcW w:w="340" w:type="dxa"/>
            <w:vAlign w:val="bottom"/>
            <w:shd w:val="clear" w:color="auto" w:fill="CCEEFF"/>
          </w:tcPr>
          <w:p>
            <w:pPr>
              <w:spacing w:after="0"/>
              <w:rPr>
                <w:sz w:val="24"/>
                <w:szCs w:val="24"/>
                <w:color w:val="auto"/>
              </w:rPr>
            </w:pPr>
          </w:p>
        </w:tc>
        <w:tc>
          <w:tcPr>
            <w:tcW w:w="142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w:t>
            </w:r>
          </w:p>
        </w:tc>
      </w:tr>
      <w:tr>
        <w:trPr>
          <w:trHeight w:val="264"/>
        </w:trPr>
        <w:tc>
          <w:tcPr>
            <w:tcW w:w="7780" w:type="dxa"/>
            <w:vAlign w:val="bottom"/>
            <w:tcBorders>
              <w:bottom w:val="single" w:sz="8" w:color="CCEEFF"/>
            </w:tcBorders>
            <w:gridSpan w:val="2"/>
          </w:tcPr>
          <w:p>
            <w:pPr>
              <w:ind w:left="180"/>
              <w:spacing w:after="0"/>
              <w:rPr>
                <w:sz w:val="20"/>
                <w:szCs w:val="20"/>
                <w:color w:val="auto"/>
              </w:rPr>
            </w:pPr>
            <w:r>
              <w:rPr>
                <w:rFonts w:ascii="Arial" w:cs="Arial" w:eastAsia="Arial" w:hAnsi="Arial"/>
                <w:sz w:val="16"/>
                <w:szCs w:val="16"/>
                <w:color w:val="auto"/>
              </w:rPr>
              <w:t>Non-operating income</w:t>
            </w: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(137)</w:t>
            </w:r>
          </w:p>
        </w:tc>
        <w:tc>
          <w:tcPr>
            <w:tcW w:w="1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42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(194)</w:t>
            </w:r>
          </w:p>
        </w:tc>
      </w:tr>
      <w:tr>
        <w:trPr>
          <w:trHeight w:val="242"/>
        </w:trPr>
        <w:tc>
          <w:tcPr>
            <w:tcW w:w="77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Adjusted EBITDA</w:t>
            </w:r>
          </w:p>
        </w:tc>
        <w:tc>
          <w:tcPr>
            <w:tcW w:w="340" w:type="dxa"/>
            <w:vAlign w:val="bottom"/>
            <w:tcBorders>
              <w:bottom w:val="single" w:sz="8" w:color="auto"/>
            </w:tcBorders>
            <w:shd w:val="clear" w:color="auto" w:fill="CCEEFF"/>
          </w:tcPr>
          <w:p>
            <w:pPr>
              <w:jc w:val="right"/>
              <w:ind w:right="139"/>
              <w:spacing w:after="0"/>
              <w:rPr>
                <w:sz w:val="20"/>
                <w:szCs w:val="20"/>
                <w:color w:val="auto"/>
              </w:rPr>
            </w:pPr>
            <w:r>
              <w:rPr>
                <w:rFonts w:ascii="Arial" w:cs="Arial" w:eastAsia="Arial" w:hAnsi="Arial"/>
                <w:sz w:val="16"/>
                <w:szCs w:val="16"/>
                <w:color w:val="auto"/>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91,078</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w w:val="89"/>
              </w:rPr>
              <w:t>$</w:t>
            </w:r>
          </w:p>
        </w:tc>
        <w:tc>
          <w:tcPr>
            <w:tcW w:w="1420" w:type="dxa"/>
            <w:vAlign w:val="bottom"/>
            <w:tcBorders>
              <w:bottom w:val="single" w:sz="8" w:color="auto"/>
            </w:tcBorders>
            <w:shd w:val="clear" w:color="auto" w:fill="CCEEFF"/>
          </w:tcPr>
          <w:p>
            <w:pPr>
              <w:jc w:val="right"/>
              <w:ind w:right="239"/>
              <w:spacing w:after="0"/>
              <w:rPr>
                <w:sz w:val="20"/>
                <w:szCs w:val="20"/>
                <w:color w:val="auto"/>
              </w:rPr>
            </w:pPr>
            <w:r>
              <w:rPr>
                <w:rFonts w:ascii="Arial" w:cs="Arial" w:eastAsia="Arial" w:hAnsi="Arial"/>
                <w:sz w:val="16"/>
                <w:szCs w:val="16"/>
                <w:color w:val="auto"/>
              </w:rPr>
              <w:t>43,817</w:t>
            </w:r>
          </w:p>
        </w:tc>
      </w:tr>
      <w:tr>
        <w:trPr>
          <w:trHeight w:val="20"/>
        </w:trPr>
        <w:tc>
          <w:tcPr>
            <w:tcW w:w="76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ind w:right="20"/>
        <w:spacing w:after="0" w:line="254" w:lineRule="auto"/>
        <w:rPr>
          <w:sz w:val="20"/>
          <w:szCs w:val="20"/>
          <w:color w:val="auto"/>
        </w:rPr>
      </w:pPr>
      <w:r>
        <w:rPr>
          <w:rFonts w:ascii="Arial" w:cs="Arial" w:eastAsia="Arial" w:hAnsi="Arial"/>
          <w:sz w:val="16"/>
          <w:szCs w:val="16"/>
          <w:color w:val="auto"/>
        </w:rPr>
        <w:t>We have provided non-GAAP performance measures of EBITDA and Adjusted EBITDA as a comparable measure to illustrate the effect of non-recurring transactions occurring during the quarter and improve comparability of our results from period to period. EBITDA is defined as net income before interest expense, provision for income taxes, and depreciation and amortization expense. We believe EBITDA and Adjusted EBITDA provide meaningful supplemental information about our operating performance because each measure excludes amounts that we do not consider part of our core operating results when assessing our performance. These types of adjustments are also specified in the definition of certain measures required under the terms of our credit facility. Examples of items excluded from Adjusted EBITDA include the postretirement health care benefit income from terminating the plan, a favorable legal settlement and the transaction costs related to our acquisition of Grand Design.</w:t>
      </w:r>
    </w:p>
    <w:p>
      <w:pPr>
        <w:spacing w:after="0" w:line="150" w:lineRule="exact"/>
        <w:rPr>
          <w:sz w:val="20"/>
          <w:szCs w:val="20"/>
          <w:color w:val="auto"/>
        </w:rPr>
      </w:pPr>
    </w:p>
    <w:p>
      <w:pPr>
        <w:ind w:right="20"/>
        <w:spacing w:after="0" w:line="255" w:lineRule="auto"/>
        <w:rPr>
          <w:sz w:val="20"/>
          <w:szCs w:val="20"/>
          <w:color w:val="auto"/>
        </w:rPr>
      </w:pPr>
      <w:r>
        <w:rPr>
          <w:rFonts w:ascii="Arial" w:cs="Arial" w:eastAsia="Arial" w:hAnsi="Arial"/>
          <w:sz w:val="16"/>
          <w:szCs w:val="16"/>
          <w:color w:val="auto"/>
        </w:rPr>
        <w:t>Management uses these non-GAAP financial measures (a) to evaluate our historical and prospective financial performance and trends as well as our performance relative to competitors and peers; (b) to measure operational profitability on a consistent basis; (c) in presentations to the members of our board of directors to enable our board of directors to have the same measurement basis of operating performance as is used by management in their assessments of performance and in forecasting and budgeting for our company; (d) to evaluate potential acquisitions; and, (e) to ensure compliance with covenants and restricted activities under the terms of our credit facility. We believe these non-GAAP financial measures are frequently used by securities analysts, investors and other interested parties to evaluate companies in our industry.</w:t>
      </w:r>
    </w:p>
    <w:p>
      <w:pPr>
        <w:spacing w:after="0" w:line="394"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27</w:t>
      </w:r>
    </w:p>
    <w:p>
      <w:pPr>
        <w:sectPr>
          <w:pgSz w:w="11900" w:h="16838" w:orient="portrait"/>
          <w:cols w:equalWidth="0" w:num="1">
            <w:col w:w="11420"/>
          </w:cols>
          <w:pgMar w:left="240" w:top="121" w:right="239" w:bottom="1440" w:gutter="0" w:footer="0" w:header="0"/>
        </w:sectPr>
      </w:pPr>
    </w:p>
    <w:bookmarkStart w:id="29" w:name="page30"/>
    <w:bookmarkEnd w:id="29"/>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Segment Results of Operations</w:t>
      </w:r>
    </w:p>
    <w:p>
      <w:pPr>
        <w:spacing w:after="0" w:line="169"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Motorized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Motorized</w:t>
            </w:r>
          </w:p>
        </w:tc>
        <w:tc>
          <w:tcPr>
            <w:tcW w:w="2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2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280" w:type="dxa"/>
            <w:vAlign w:val="bottom"/>
          </w:tcPr>
          <w:p>
            <w:pPr>
              <w:spacing w:after="0"/>
              <w:rPr>
                <w:sz w:val="19"/>
                <w:szCs w:val="19"/>
                <w:color w:val="auto"/>
              </w:rPr>
            </w:pPr>
          </w:p>
        </w:tc>
      </w:tr>
      <w:tr>
        <w:trPr>
          <w:trHeight w:val="274"/>
        </w:trPr>
        <w:tc>
          <w:tcPr>
            <w:tcW w:w="320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3"/>
                <w:szCs w:val="23"/>
                <w:color w:val="auto"/>
              </w:rPr>
            </w:pPr>
          </w:p>
        </w:tc>
        <w:tc>
          <w:tcPr>
            <w:tcW w:w="112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40" w:type="dxa"/>
            <w:vAlign w:val="bottom"/>
            <w:tcBorders>
              <w:bottom w:val="single" w:sz="8" w:color="auto"/>
            </w:tcBorders>
            <w:gridSpan w:val="4"/>
          </w:tcPr>
          <w:p>
            <w:pPr>
              <w:jc w:val="right"/>
              <w:ind w:right="660"/>
              <w:spacing w:after="0"/>
              <w:rPr>
                <w:sz w:val="20"/>
                <w:szCs w:val="20"/>
                <w:color w:val="auto"/>
              </w:rPr>
            </w:pPr>
            <w:r>
              <w:rPr>
                <w:rFonts w:ascii="Arial" w:cs="Arial" w:eastAsia="Arial" w:hAnsi="Arial"/>
                <w:sz w:val="16"/>
                <w:szCs w:val="16"/>
                <w:b w:val="1"/>
                <w:bCs w:val="1"/>
                <w:color w:val="auto"/>
              </w:rPr>
              <w:t>Nine Months Ended</w:t>
            </w:r>
          </w:p>
        </w:tc>
        <w:tc>
          <w:tcPr>
            <w:tcW w:w="160" w:type="dxa"/>
            <w:vAlign w:val="bottom"/>
            <w:tcBorders>
              <w:bottom w:val="single" w:sz="8" w:color="auto"/>
            </w:tcBorders>
          </w:tcPr>
          <w:p>
            <w:pPr>
              <w:spacing w:after="0"/>
              <w:rPr>
                <w:sz w:val="23"/>
                <w:szCs w:val="23"/>
                <w:color w:val="auto"/>
              </w:rPr>
            </w:pPr>
          </w:p>
        </w:tc>
        <w:tc>
          <w:tcPr>
            <w:tcW w:w="1240" w:type="dxa"/>
            <w:vAlign w:val="bottom"/>
            <w:tcBorders>
              <w:bottom w:val="single" w:sz="8" w:color="auto"/>
            </w:tcBorders>
          </w:tcPr>
          <w:p>
            <w:pPr>
              <w:spacing w:after="0"/>
              <w:rPr>
                <w:sz w:val="23"/>
                <w:szCs w:val="23"/>
                <w:color w:val="auto"/>
              </w:rPr>
            </w:pPr>
          </w:p>
        </w:tc>
        <w:tc>
          <w:tcPr>
            <w:tcW w:w="1280" w:type="dxa"/>
            <w:vAlign w:val="bottom"/>
            <w:tcBorders>
              <w:bottom w:val="single" w:sz="8" w:color="auto"/>
            </w:tcBorders>
          </w:tcPr>
          <w:p>
            <w:pPr>
              <w:spacing w:after="0"/>
              <w:rPr>
                <w:sz w:val="23"/>
                <w:szCs w:val="23"/>
                <w:color w:val="auto"/>
              </w:rPr>
            </w:pPr>
          </w:p>
        </w:tc>
      </w:tr>
      <w:tr>
        <w:trPr>
          <w:trHeight w:val="193"/>
        </w:trPr>
        <w:tc>
          <w:tcPr>
            <w:tcW w:w="3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16"/>
                <w:szCs w:val="16"/>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 of</w:t>
            </w:r>
          </w:p>
        </w:tc>
        <w:tc>
          <w:tcPr>
            <w:tcW w:w="160" w:type="dxa"/>
            <w:vAlign w:val="bottom"/>
          </w:tcPr>
          <w:p>
            <w:pPr>
              <w:spacing w:after="0"/>
              <w:rPr>
                <w:sz w:val="16"/>
                <w:szCs w:val="16"/>
                <w:color w:val="auto"/>
              </w:rPr>
            </w:pPr>
          </w:p>
        </w:tc>
        <w:tc>
          <w:tcPr>
            <w:tcW w:w="1240" w:type="dxa"/>
            <w:vAlign w:val="bottom"/>
          </w:tcPr>
          <w:p>
            <w:pPr>
              <w:spacing w:after="0"/>
              <w:rPr>
                <w:sz w:val="16"/>
                <w:szCs w:val="16"/>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2"/>
        </w:trPr>
        <w:tc>
          <w:tcPr>
            <w:tcW w:w="3100" w:type="dxa"/>
            <w:vAlign w:val="bottom"/>
            <w:tcBorders>
              <w:bottom w:val="single" w:sz="8" w:color="auto"/>
            </w:tcBorders>
          </w:tcPr>
          <w:p>
            <w:pPr>
              <w:spacing w:after="0"/>
              <w:rPr>
                <w:sz w:val="20"/>
                <w:szCs w:val="20"/>
                <w:color w:val="auto"/>
              </w:rPr>
            </w:pP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635,732</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649,162</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(13,430)</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(2.1)%</w:t>
            </w:r>
          </w:p>
        </w:tc>
      </w:tr>
      <w:tr>
        <w:trPr>
          <w:trHeight w:val="255"/>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31,738</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5.0%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39,683</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6.1%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199"/>
              <w:spacing w:after="0"/>
              <w:rPr>
                <w:sz w:val="20"/>
                <w:szCs w:val="20"/>
                <w:color w:val="auto"/>
              </w:rPr>
            </w:pPr>
            <w:r>
              <w:rPr>
                <w:rFonts w:ascii="Arial" w:cs="Arial" w:eastAsia="Arial" w:hAnsi="Arial"/>
                <w:sz w:val="16"/>
                <w:szCs w:val="16"/>
                <w:color w:val="auto"/>
              </w:rPr>
              <w:t>(7,945)</w:t>
            </w:r>
          </w:p>
        </w:tc>
        <w:tc>
          <w:tcPr>
            <w:tcW w:w="1280" w:type="dxa"/>
            <w:vAlign w:val="bottom"/>
          </w:tcPr>
          <w:p>
            <w:pPr>
              <w:jc w:val="right"/>
              <w:ind w:right="79"/>
              <w:spacing w:after="0"/>
              <w:rPr>
                <w:sz w:val="20"/>
                <w:szCs w:val="20"/>
                <w:color w:val="auto"/>
              </w:rPr>
            </w:pPr>
            <w:r>
              <w:rPr>
                <w:rFonts w:ascii="Arial" w:cs="Arial" w:eastAsia="Arial" w:hAnsi="Arial"/>
                <w:sz w:val="16"/>
                <w:szCs w:val="16"/>
                <w:color w:val="auto"/>
              </w:rPr>
              <w:t>(20.0)%</w:t>
            </w:r>
          </w:p>
        </w:tc>
      </w:tr>
      <w:tr>
        <w:trPr>
          <w:trHeight w:val="482"/>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jc w:val="center"/>
              <w:ind w:right="29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3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right"/>
              <w:ind w:right="219"/>
              <w:spacing w:after="0"/>
              <w:rPr>
                <w:sz w:val="20"/>
                <w:szCs w:val="20"/>
                <w:color w:val="auto"/>
              </w:rPr>
            </w:pPr>
            <w:r>
              <w:rPr>
                <w:rFonts w:ascii="Arial" w:cs="Arial" w:eastAsia="Arial" w:hAnsi="Arial"/>
                <w:sz w:val="16"/>
                <w:szCs w:val="16"/>
                <w:b w:val="1"/>
                <w:bCs w:val="1"/>
                <w:color w:val="auto"/>
              </w:rPr>
              <w:t>May 28,</w:t>
            </w:r>
          </w:p>
        </w:tc>
        <w:tc>
          <w:tcPr>
            <w:tcW w:w="320" w:type="dxa"/>
            <w:vAlign w:val="bottom"/>
          </w:tcPr>
          <w:p>
            <w:pPr>
              <w:spacing w:after="0"/>
              <w:rPr>
                <w:sz w:val="24"/>
                <w:szCs w:val="24"/>
                <w:color w:val="auto"/>
              </w:rPr>
            </w:pPr>
          </w:p>
        </w:tc>
        <w:tc>
          <w:tcPr>
            <w:tcW w:w="138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Product</w:t>
            </w:r>
          </w:p>
        </w:tc>
        <w:tc>
          <w:tcPr>
            <w:tcW w:w="160" w:type="dxa"/>
            <w:vAlign w:val="bottom"/>
          </w:tcPr>
          <w:p>
            <w:pPr>
              <w:spacing w:after="0"/>
              <w:rPr>
                <w:sz w:val="24"/>
                <w:szCs w:val="24"/>
                <w:color w:val="auto"/>
              </w:rPr>
            </w:pPr>
          </w:p>
        </w:tc>
        <w:tc>
          <w:tcPr>
            <w:tcW w:w="1240" w:type="dxa"/>
            <w:vAlign w:val="bottom"/>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0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2016</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center"/>
              <w:ind w:right="13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rPr>
              <w:t>(Decrease)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5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A</w:t>
            </w:r>
          </w:p>
        </w:tc>
        <w:tc>
          <w:tcPr>
            <w:tcW w:w="200" w:type="dxa"/>
            <w:vAlign w:val="bottom"/>
            <w:shd w:val="clear" w:color="auto" w:fill="CCEEFF"/>
          </w:tcPr>
          <w:p>
            <w:pPr>
              <w:spacing w:after="0"/>
              <w:rPr>
                <w:sz w:val="21"/>
                <w:szCs w:val="21"/>
                <w:color w:val="auto"/>
              </w:rPr>
            </w:pP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2,263</w:t>
            </w:r>
          </w:p>
        </w:tc>
        <w:tc>
          <w:tcPr>
            <w:tcW w:w="13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32.8%</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2,241</w:t>
            </w:r>
          </w:p>
        </w:tc>
        <w:tc>
          <w:tcPr>
            <w:tcW w:w="320" w:type="dxa"/>
            <w:vAlign w:val="bottom"/>
            <w:shd w:val="clear" w:color="auto" w:fill="CCEEFF"/>
          </w:tcPr>
          <w:p>
            <w:pPr>
              <w:spacing w:after="0"/>
              <w:rPr>
                <w:sz w:val="21"/>
                <w:szCs w:val="21"/>
                <w:color w:val="auto"/>
              </w:rPr>
            </w:pPr>
          </w:p>
        </w:tc>
        <w:tc>
          <w:tcPr>
            <w:tcW w:w="126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32.6%</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22</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1.0 %</w:t>
            </w:r>
          </w:p>
        </w:tc>
      </w:tr>
      <w:tr>
        <w:trPr>
          <w:trHeight w:val="262"/>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Class B</w:t>
            </w:r>
          </w:p>
        </w:tc>
        <w:tc>
          <w:tcPr>
            <w:tcW w:w="200" w:type="dxa"/>
            <w:vAlign w:val="bottom"/>
          </w:tcPr>
          <w:p>
            <w:pPr>
              <w:spacing w:after="0"/>
              <w:rPr>
                <w:sz w:val="22"/>
                <w:szCs w:val="22"/>
                <w:color w:val="auto"/>
              </w:rPr>
            </w:pPr>
          </w:p>
        </w:tc>
        <w:tc>
          <w:tcPr>
            <w:tcW w:w="1120" w:type="dxa"/>
            <w:vAlign w:val="bottom"/>
          </w:tcPr>
          <w:p>
            <w:pPr>
              <w:jc w:val="right"/>
              <w:ind w:right="159"/>
              <w:spacing w:after="0"/>
              <w:rPr>
                <w:sz w:val="20"/>
                <w:szCs w:val="20"/>
                <w:color w:val="auto"/>
              </w:rPr>
            </w:pPr>
            <w:r>
              <w:rPr>
                <w:rFonts w:ascii="Arial" w:cs="Arial" w:eastAsia="Arial" w:hAnsi="Arial"/>
                <w:sz w:val="16"/>
                <w:szCs w:val="16"/>
                <w:color w:val="auto"/>
              </w:rPr>
              <w:t>1,148</w:t>
            </w:r>
          </w:p>
        </w:tc>
        <w:tc>
          <w:tcPr>
            <w:tcW w:w="1300" w:type="dxa"/>
            <w:vAlign w:val="bottom"/>
          </w:tcPr>
          <w:p>
            <w:pPr>
              <w:jc w:val="right"/>
              <w:ind w:right="179"/>
              <w:spacing w:after="0"/>
              <w:rPr>
                <w:sz w:val="20"/>
                <w:szCs w:val="20"/>
                <w:color w:val="auto"/>
              </w:rPr>
            </w:pPr>
            <w:r>
              <w:rPr>
                <w:rFonts w:ascii="Arial" w:cs="Arial" w:eastAsia="Arial" w:hAnsi="Arial"/>
                <w:sz w:val="16"/>
                <w:szCs w:val="16"/>
                <w:color w:val="auto"/>
              </w:rPr>
              <w:t>16.6%</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831</w:t>
            </w:r>
          </w:p>
        </w:tc>
        <w:tc>
          <w:tcPr>
            <w:tcW w:w="320" w:type="dxa"/>
            <w:vAlign w:val="bottom"/>
          </w:tcPr>
          <w:p>
            <w:pPr>
              <w:spacing w:after="0"/>
              <w:rPr>
                <w:sz w:val="22"/>
                <w:szCs w:val="22"/>
                <w:color w:val="auto"/>
              </w:rPr>
            </w:pPr>
          </w:p>
        </w:tc>
        <w:tc>
          <w:tcPr>
            <w:tcW w:w="1260" w:type="dxa"/>
            <w:vAlign w:val="bottom"/>
          </w:tcPr>
          <w:p>
            <w:pPr>
              <w:jc w:val="right"/>
              <w:ind w:right="199"/>
              <w:spacing w:after="0"/>
              <w:rPr>
                <w:sz w:val="20"/>
                <w:szCs w:val="20"/>
                <w:color w:val="auto"/>
              </w:rPr>
            </w:pPr>
            <w:r>
              <w:rPr>
                <w:rFonts w:ascii="Arial" w:cs="Arial" w:eastAsia="Arial" w:hAnsi="Arial"/>
                <w:sz w:val="16"/>
                <w:szCs w:val="16"/>
                <w:color w:val="auto"/>
              </w:rPr>
              <w:t>12.1%</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317</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38.1 %</w:t>
            </w:r>
          </w:p>
        </w:tc>
      </w:tr>
      <w:tr>
        <w:trPr>
          <w:trHeight w:val="271"/>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Class C</w:t>
            </w:r>
          </w:p>
        </w:tc>
        <w:tc>
          <w:tcPr>
            <w:tcW w:w="200" w:type="dxa"/>
            <w:vAlign w:val="bottom"/>
            <w:tcBorders>
              <w:bottom w:val="single" w:sz="8" w:color="auto"/>
            </w:tcBorders>
            <w:shd w:val="clear" w:color="auto" w:fill="CCEEFF"/>
          </w:tcPr>
          <w:p>
            <w:pPr>
              <w:spacing w:after="0"/>
              <w:rPr>
                <w:sz w:val="23"/>
                <w:szCs w:val="23"/>
                <w:color w:val="auto"/>
              </w:rPr>
            </w:pPr>
          </w:p>
        </w:tc>
        <w:tc>
          <w:tcPr>
            <w:tcW w:w="112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3,488</w:t>
            </w:r>
          </w:p>
        </w:tc>
        <w:tc>
          <w:tcPr>
            <w:tcW w:w="13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50.6%</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3,799</w:t>
            </w:r>
          </w:p>
        </w:tc>
        <w:tc>
          <w:tcPr>
            <w:tcW w:w="320" w:type="dxa"/>
            <w:vAlign w:val="bottom"/>
            <w:tcBorders>
              <w:bottom w:val="single" w:sz="8" w:color="auto"/>
            </w:tcBorders>
            <w:shd w:val="clear" w:color="auto" w:fill="CCEEFF"/>
          </w:tcPr>
          <w:p>
            <w:pPr>
              <w:spacing w:after="0"/>
              <w:rPr>
                <w:sz w:val="23"/>
                <w:szCs w:val="23"/>
                <w:color w:val="auto"/>
              </w:rPr>
            </w:pPr>
          </w:p>
        </w:tc>
        <w:tc>
          <w:tcPr>
            <w:tcW w:w="126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55.3%</w:t>
            </w:r>
          </w:p>
        </w:tc>
        <w:tc>
          <w:tcPr>
            <w:tcW w:w="120" w:type="dxa"/>
            <w:vAlign w:val="bottom"/>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spacing w:after="0"/>
              <w:rPr>
                <w:sz w:val="23"/>
                <w:szCs w:val="23"/>
                <w:color w:val="auto"/>
              </w:rPr>
            </w:pPr>
          </w:p>
        </w:tc>
        <w:tc>
          <w:tcPr>
            <w:tcW w:w="124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(311)</w:t>
            </w:r>
          </w:p>
        </w:tc>
        <w:tc>
          <w:tcPr>
            <w:tcW w:w="128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(8.2)%</w:t>
            </w:r>
          </w:p>
        </w:tc>
      </w:tr>
      <w:tr>
        <w:trPr>
          <w:trHeight w:val="242"/>
        </w:trPr>
        <w:tc>
          <w:tcPr>
            <w:tcW w:w="3200" w:type="dxa"/>
            <w:vAlign w:val="bottom"/>
            <w:gridSpan w:val="2"/>
          </w:tcPr>
          <w:p>
            <w:pPr>
              <w:ind w:left="280"/>
              <w:spacing w:after="0"/>
              <w:rPr>
                <w:sz w:val="20"/>
                <w:szCs w:val="20"/>
                <w:color w:val="auto"/>
              </w:rPr>
            </w:pPr>
            <w:r>
              <w:rPr>
                <w:rFonts w:ascii="Arial" w:cs="Arial" w:eastAsia="Arial" w:hAnsi="Arial"/>
                <w:sz w:val="16"/>
                <w:szCs w:val="16"/>
                <w:color w:val="auto"/>
              </w:rPr>
              <w:t>Total motorhomes</w:t>
            </w:r>
          </w:p>
        </w:tc>
        <w:tc>
          <w:tcPr>
            <w:tcW w:w="20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6,899</w:t>
            </w:r>
          </w:p>
        </w:tc>
        <w:tc>
          <w:tcPr>
            <w:tcW w:w="13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6,871</w:t>
            </w:r>
          </w:p>
        </w:tc>
        <w:tc>
          <w:tcPr>
            <w:tcW w:w="3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ind w:right="239"/>
              <w:spacing w:after="0"/>
              <w:rPr>
                <w:sz w:val="20"/>
                <w:szCs w:val="20"/>
                <w:color w:val="auto"/>
              </w:rPr>
            </w:pPr>
            <w:r>
              <w:rPr>
                <w:rFonts w:ascii="Arial" w:cs="Arial" w:eastAsia="Arial" w:hAnsi="Arial"/>
                <w:sz w:val="16"/>
                <w:szCs w:val="16"/>
                <w:color w:val="auto"/>
              </w:rPr>
              <w:t>28</w:t>
            </w:r>
          </w:p>
        </w:tc>
        <w:tc>
          <w:tcPr>
            <w:tcW w:w="128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0.4 %</w:t>
            </w:r>
          </w:p>
        </w:tc>
      </w:tr>
      <w:tr>
        <w:trPr>
          <w:trHeight w:val="20"/>
        </w:trPr>
        <w:tc>
          <w:tcPr>
            <w:tcW w:w="3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r>
        <w:trPr>
          <w:trHeight w:val="252"/>
        </w:trPr>
        <w:tc>
          <w:tcPr>
            <w:tcW w:w="3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280" w:type="dxa"/>
            <w:vAlign w:val="bottom"/>
          </w:tcPr>
          <w:p>
            <w:pPr>
              <w:spacing w:after="0"/>
              <w:rPr>
                <w:sz w:val="21"/>
                <w:szCs w:val="21"/>
                <w:color w:val="auto"/>
              </w:rPr>
            </w:pPr>
          </w:p>
        </w:tc>
      </w:tr>
      <w:tr>
        <w:trPr>
          <w:trHeight w:val="270"/>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Motorhome ASP</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2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91,162</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92,384</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(1,222)</w:t>
            </w:r>
          </w:p>
        </w:tc>
        <w:tc>
          <w:tcPr>
            <w:tcW w:w="1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(1.3)%</w:t>
            </w:r>
          </w:p>
        </w:tc>
      </w:tr>
      <w:tr>
        <w:trPr>
          <w:trHeight w:val="534"/>
        </w:trPr>
        <w:tc>
          <w:tcPr>
            <w:tcW w:w="3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gridSpan w:val="2"/>
          </w:tcPr>
          <w:p>
            <w:pPr>
              <w:jc w:val="right"/>
              <w:ind w:right="1019"/>
              <w:spacing w:after="0"/>
              <w:rPr>
                <w:sz w:val="20"/>
                <w:szCs w:val="20"/>
                <w:color w:val="auto"/>
              </w:rPr>
            </w:pPr>
            <w:r>
              <w:rPr>
                <w:rFonts w:ascii="Arial" w:cs="Arial" w:eastAsia="Arial" w:hAnsi="Arial"/>
                <w:sz w:val="16"/>
                <w:szCs w:val="16"/>
                <w:b w:val="1"/>
                <w:bCs w:val="1"/>
                <w:color w:val="auto"/>
              </w:rPr>
              <w:t>As Of</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280" w:type="dxa"/>
            <w:vAlign w:val="bottom"/>
          </w:tcPr>
          <w:p>
            <w:pPr>
              <w:spacing w:after="0"/>
              <w:rPr>
                <w:sz w:val="24"/>
                <w:szCs w:val="24"/>
                <w:color w:val="auto"/>
              </w:rPr>
            </w:pPr>
          </w:p>
        </w:tc>
      </w:tr>
      <w:tr>
        <w:trPr>
          <w:trHeight w:val="196"/>
        </w:trPr>
        <w:tc>
          <w:tcPr>
            <w:tcW w:w="3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39"/>
              <w:spacing w:after="0"/>
              <w:rPr>
                <w:sz w:val="20"/>
                <w:szCs w:val="20"/>
                <w:color w:val="auto"/>
              </w:rPr>
            </w:pPr>
            <w:r>
              <w:rPr>
                <w:rFonts w:ascii="Arial" w:cs="Arial" w:eastAsia="Arial" w:hAnsi="Arial"/>
                <w:sz w:val="16"/>
                <w:szCs w:val="16"/>
                <w:b w:val="1"/>
                <w:bCs w:val="1"/>
                <w:color w:val="auto"/>
              </w:rPr>
              <w:t>May 27,</w:t>
            </w:r>
          </w:p>
        </w:tc>
        <w:tc>
          <w:tcPr>
            <w:tcW w:w="320" w:type="dxa"/>
            <w:vAlign w:val="bottom"/>
          </w:tcPr>
          <w:p>
            <w:pPr>
              <w:spacing w:after="0"/>
              <w:rPr>
                <w:sz w:val="17"/>
                <w:szCs w:val="17"/>
                <w:color w:val="auto"/>
              </w:rPr>
            </w:pPr>
          </w:p>
        </w:tc>
        <w:tc>
          <w:tcPr>
            <w:tcW w:w="1380" w:type="dxa"/>
            <w:vAlign w:val="bottom"/>
            <w:gridSpan w:val="2"/>
          </w:tcPr>
          <w:p>
            <w:pPr>
              <w:jc w:val="right"/>
              <w:ind w:right="660"/>
              <w:spacing w:after="0"/>
              <w:rPr>
                <w:sz w:val="20"/>
                <w:szCs w:val="20"/>
                <w:color w:val="auto"/>
              </w:rPr>
            </w:pPr>
            <w:r>
              <w:rPr>
                <w:rFonts w:ascii="Arial" w:cs="Arial" w:eastAsia="Arial" w:hAnsi="Arial"/>
                <w:sz w:val="16"/>
                <w:szCs w:val="16"/>
                <w:b w:val="1"/>
                <w:bCs w:val="1"/>
                <w:color w:val="auto"/>
              </w:rPr>
              <w:t>May 28,</w:t>
            </w:r>
          </w:p>
        </w:tc>
        <w:tc>
          <w:tcPr>
            <w:tcW w:w="16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1280" w:type="dxa"/>
            <w:vAlign w:val="bottom"/>
          </w:tcPr>
          <w:p>
            <w:pPr>
              <w:jc w:val="center"/>
              <w:ind w:right="1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200" w:type="dxa"/>
            <w:vAlign w:val="bottom"/>
            <w:tcBorders>
              <w:bottom w:val="single" w:sz="8" w:color="auto"/>
            </w:tcBorders>
            <w:gridSpan w:val="2"/>
          </w:tcPr>
          <w:p>
            <w:pPr>
              <w:ind w:left="40"/>
              <w:spacing w:after="0" w:line="236"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2017</w:t>
            </w:r>
          </w:p>
        </w:tc>
        <w:tc>
          <w:tcPr>
            <w:tcW w:w="32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240" w:type="dxa"/>
            <w:vAlign w:val="bottom"/>
            <w:tcBorders>
              <w:bottom w:val="single" w:sz="8" w:color="auto"/>
            </w:tcBorders>
          </w:tcPr>
          <w:p>
            <w:pPr>
              <w:jc w:val="center"/>
              <w:ind w:right="199"/>
              <w:spacing w:after="0"/>
              <w:rPr>
                <w:sz w:val="20"/>
                <w:szCs w:val="20"/>
                <w:color w:val="auto"/>
              </w:rPr>
            </w:pPr>
            <w:r>
              <w:rPr>
                <w:rFonts w:ascii="Arial" w:cs="Arial" w:eastAsia="Arial" w:hAnsi="Arial"/>
                <w:sz w:val="16"/>
                <w:szCs w:val="16"/>
                <w:b w:val="1"/>
                <w:bCs w:val="1"/>
                <w:color w:val="auto"/>
                <w:w w:val="98"/>
              </w:rPr>
              <w:t>Increase</w:t>
            </w:r>
          </w:p>
        </w:tc>
        <w:tc>
          <w:tcPr>
            <w:tcW w:w="128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Change</w:t>
            </w:r>
          </w:p>
        </w:tc>
      </w:tr>
      <w:tr>
        <w:trPr>
          <w:trHeight w:val="264"/>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2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1,640</w:t>
            </w:r>
          </w:p>
        </w:tc>
        <w:tc>
          <w:tcPr>
            <w:tcW w:w="320" w:type="dxa"/>
            <w:vAlign w:val="bottom"/>
            <w:shd w:val="clear" w:color="auto" w:fill="CCEEFF"/>
          </w:tcPr>
          <w:p>
            <w:pPr>
              <w:spacing w:after="0"/>
              <w:rPr>
                <w:sz w:val="22"/>
                <w:szCs w:val="22"/>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1,513</w:t>
            </w: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127</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8.4 %</w:t>
            </w:r>
          </w:p>
        </w:tc>
      </w:tr>
      <w:tr>
        <w:trPr>
          <w:trHeight w:val="255"/>
        </w:trPr>
        <w:tc>
          <w:tcPr>
            <w:tcW w:w="320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gridSpan w:val="2"/>
          </w:tcPr>
          <w:p>
            <w:pPr>
              <w:jc w:val="right"/>
              <w:ind w:right="40"/>
              <w:spacing w:after="0"/>
              <w:rPr>
                <w:sz w:val="20"/>
                <w:szCs w:val="20"/>
                <w:color w:val="auto"/>
              </w:rPr>
            </w:pPr>
            <w:r>
              <w:rPr>
                <w:rFonts w:ascii="Arial" w:cs="Arial" w:eastAsia="Arial" w:hAnsi="Arial"/>
                <w:sz w:val="16"/>
                <w:szCs w:val="16"/>
                <w:color w:val="auto"/>
              </w:rPr>
              <w:t>$</w:t>
            </w:r>
          </w:p>
        </w:tc>
        <w:tc>
          <w:tcPr>
            <w:tcW w:w="940" w:type="dxa"/>
            <w:vAlign w:val="bottom"/>
          </w:tcPr>
          <w:p>
            <w:pPr>
              <w:jc w:val="right"/>
              <w:spacing w:after="0"/>
              <w:rPr>
                <w:sz w:val="20"/>
                <w:szCs w:val="20"/>
                <w:color w:val="auto"/>
              </w:rPr>
            </w:pPr>
            <w:r>
              <w:rPr>
                <w:rFonts w:ascii="Arial" w:cs="Arial" w:eastAsia="Arial" w:hAnsi="Arial"/>
                <w:sz w:val="16"/>
                <w:szCs w:val="16"/>
                <w:color w:val="auto"/>
              </w:rPr>
              <w:t>141,998</w:t>
            </w:r>
          </w:p>
        </w:tc>
        <w:tc>
          <w:tcPr>
            <w:tcW w:w="32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60" w:type="dxa"/>
            <w:vAlign w:val="bottom"/>
          </w:tcPr>
          <w:p>
            <w:pPr>
              <w:jc w:val="right"/>
              <w:ind w:right="339"/>
              <w:spacing w:after="0"/>
              <w:rPr>
                <w:sz w:val="20"/>
                <w:szCs w:val="20"/>
                <w:color w:val="auto"/>
              </w:rPr>
            </w:pPr>
            <w:r>
              <w:rPr>
                <w:rFonts w:ascii="Arial" w:cs="Arial" w:eastAsia="Arial" w:hAnsi="Arial"/>
                <w:sz w:val="16"/>
                <w:szCs w:val="16"/>
                <w:color w:val="auto"/>
              </w:rPr>
              <w:t>134,495</w:t>
            </w:r>
          </w:p>
        </w:tc>
        <w:tc>
          <w:tcPr>
            <w:tcW w:w="120" w:type="dxa"/>
            <w:vAlign w:val="bottom"/>
          </w:tcPr>
          <w:p>
            <w:pPr>
              <w:spacing w:after="0"/>
              <w:rPr>
                <w:sz w:val="22"/>
                <w:szCs w:val="22"/>
                <w:color w:val="auto"/>
              </w:rPr>
            </w:pP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240" w:type="dxa"/>
            <w:vAlign w:val="bottom"/>
          </w:tcPr>
          <w:p>
            <w:pPr>
              <w:jc w:val="right"/>
              <w:ind w:right="239"/>
              <w:spacing w:after="0"/>
              <w:rPr>
                <w:sz w:val="20"/>
                <w:szCs w:val="20"/>
                <w:color w:val="auto"/>
              </w:rPr>
            </w:pPr>
            <w:r>
              <w:rPr>
                <w:rFonts w:ascii="Arial" w:cs="Arial" w:eastAsia="Arial" w:hAnsi="Arial"/>
                <w:sz w:val="16"/>
                <w:szCs w:val="16"/>
                <w:color w:val="auto"/>
              </w:rPr>
              <w:t>7,503</w:t>
            </w:r>
          </w:p>
        </w:tc>
        <w:tc>
          <w:tcPr>
            <w:tcW w:w="1280" w:type="dxa"/>
            <w:vAlign w:val="bottom"/>
          </w:tcPr>
          <w:p>
            <w:pPr>
              <w:jc w:val="right"/>
              <w:ind w:right="99"/>
              <w:spacing w:after="0"/>
              <w:rPr>
                <w:sz w:val="20"/>
                <w:szCs w:val="20"/>
                <w:color w:val="auto"/>
              </w:rPr>
            </w:pPr>
            <w:r>
              <w:rPr>
                <w:rFonts w:ascii="Arial" w:cs="Arial" w:eastAsia="Arial" w:hAnsi="Arial"/>
                <w:sz w:val="16"/>
                <w:szCs w:val="16"/>
                <w:color w:val="auto"/>
              </w:rPr>
              <w:t>5.6 %</w:t>
            </w:r>
          </w:p>
        </w:tc>
      </w:tr>
      <w:tr>
        <w:trPr>
          <w:trHeight w:val="552"/>
        </w:trPr>
        <w:tc>
          <w:tcPr>
            <w:tcW w:w="320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40" w:type="dxa"/>
            <w:vAlign w:val="bottom"/>
            <w:tcBorders>
              <w:bottom w:val="single" w:sz="8" w:color="CCEEFF"/>
            </w:tcBorders>
          </w:tcPr>
          <w:p>
            <w:pPr>
              <w:spacing w:after="0"/>
              <w:rPr>
                <w:sz w:val="24"/>
                <w:szCs w:val="24"/>
                <w:color w:val="auto"/>
              </w:rPr>
            </w:pPr>
          </w:p>
        </w:tc>
        <w:tc>
          <w:tcPr>
            <w:tcW w:w="320" w:type="dxa"/>
            <w:vAlign w:val="bottom"/>
            <w:tcBorders>
              <w:bottom w:val="single" w:sz="8" w:color="CCEEFF"/>
            </w:tcBorders>
          </w:tcPr>
          <w:p>
            <w:pPr>
              <w:spacing w:after="0"/>
              <w:rPr>
                <w:sz w:val="24"/>
                <w:szCs w:val="24"/>
                <w:color w:val="auto"/>
              </w:rPr>
            </w:pPr>
          </w:p>
        </w:tc>
        <w:tc>
          <w:tcPr>
            <w:tcW w:w="126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1240" w:type="dxa"/>
            <w:vAlign w:val="bottom"/>
            <w:tcBorders>
              <w:bottom w:val="single" w:sz="8" w:color="CCEEFF"/>
            </w:tcBorders>
          </w:tcPr>
          <w:p>
            <w:pPr>
              <w:spacing w:after="0"/>
              <w:rPr>
                <w:sz w:val="24"/>
                <w:szCs w:val="24"/>
                <w:color w:val="auto"/>
              </w:rPr>
            </w:pPr>
          </w:p>
        </w:tc>
        <w:tc>
          <w:tcPr>
            <w:tcW w:w="1280" w:type="dxa"/>
            <w:vAlign w:val="bottom"/>
            <w:tcBorders>
              <w:bottom w:val="single" w:sz="8" w:color="CCEEFF"/>
            </w:tcBorders>
          </w:tcPr>
          <w:p>
            <w:pPr>
              <w:spacing w:after="0"/>
              <w:rPr>
                <w:sz w:val="24"/>
                <w:szCs w:val="24"/>
                <w:color w:val="auto"/>
              </w:rPr>
            </w:pPr>
          </w:p>
        </w:tc>
      </w:tr>
      <w:tr>
        <w:trPr>
          <w:trHeight w:val="267"/>
        </w:trPr>
        <w:tc>
          <w:tcPr>
            <w:tcW w:w="320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2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4,670</w:t>
            </w:r>
          </w:p>
        </w:tc>
        <w:tc>
          <w:tcPr>
            <w:tcW w:w="320" w:type="dxa"/>
            <w:vAlign w:val="bottom"/>
            <w:shd w:val="clear" w:color="auto" w:fill="CCEEFF"/>
          </w:tcPr>
          <w:p>
            <w:pPr>
              <w:spacing w:after="0"/>
              <w:rPr>
                <w:sz w:val="23"/>
                <w:szCs w:val="23"/>
                <w:color w:val="auto"/>
              </w:rPr>
            </w:pPr>
          </w:p>
        </w:tc>
        <w:tc>
          <w:tcPr>
            <w:tcW w:w="126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4,585</w:t>
            </w: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1240" w:type="dxa"/>
            <w:vAlign w:val="bottom"/>
            <w:shd w:val="clear" w:color="auto" w:fill="CCEEFF"/>
          </w:tcPr>
          <w:p>
            <w:pPr>
              <w:jc w:val="right"/>
              <w:ind w:right="239"/>
              <w:spacing w:after="0"/>
              <w:rPr>
                <w:sz w:val="20"/>
                <w:szCs w:val="20"/>
                <w:color w:val="auto"/>
              </w:rPr>
            </w:pPr>
            <w:r>
              <w:rPr>
                <w:rFonts w:ascii="Arial" w:cs="Arial" w:eastAsia="Arial" w:hAnsi="Arial"/>
                <w:sz w:val="16"/>
                <w:szCs w:val="16"/>
                <w:color w:val="auto"/>
              </w:rPr>
              <w:t>85</w:t>
            </w:r>
          </w:p>
        </w:tc>
        <w:tc>
          <w:tcPr>
            <w:tcW w:w="128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1.9 %</w:t>
            </w:r>
          </w:p>
        </w:tc>
      </w:tr>
    </w:tbl>
    <w:p>
      <w:pPr>
        <w:spacing w:after="0" w:line="32" w:lineRule="exact"/>
        <w:rPr>
          <w:sz w:val="20"/>
          <w:szCs w:val="20"/>
          <w:color w:val="auto"/>
        </w:rPr>
      </w:pPr>
    </w:p>
    <w:p>
      <w:pPr>
        <w:ind w:left="160" w:hanging="152"/>
        <w:spacing w:after="0"/>
        <w:tabs>
          <w:tab w:leader="none" w:pos="160" w:val="left"/>
        </w:tabs>
        <w:numPr>
          <w:ilvl w:val="0"/>
          <w:numId w:val="17"/>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spacing w:after="0" w:line="15" w:lineRule="exact"/>
        <w:rPr>
          <w:rFonts w:ascii="Arial" w:cs="Arial" w:eastAsia="Arial" w:hAnsi="Arial"/>
          <w:sz w:val="9"/>
          <w:szCs w:val="9"/>
          <w:color w:val="auto"/>
        </w:rPr>
      </w:pPr>
    </w:p>
    <w:p>
      <w:pPr>
        <w:ind w:right="360" w:firstLine="8"/>
        <w:spacing w:after="0" w:line="245" w:lineRule="auto"/>
        <w:tabs>
          <w:tab w:leader="none" w:pos="145" w:val="left"/>
        </w:tabs>
        <w:numPr>
          <w:ilvl w:val="0"/>
          <w:numId w:val="17"/>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96" w:lineRule="exact"/>
        <w:rPr>
          <w:sz w:val="20"/>
          <w:szCs w:val="20"/>
          <w:color w:val="auto"/>
        </w:rPr>
      </w:pPr>
    </w:p>
    <w:p>
      <w:pPr>
        <w:ind w:right="40"/>
        <w:spacing w:after="0" w:line="269" w:lineRule="auto"/>
        <w:rPr>
          <w:sz w:val="20"/>
          <w:szCs w:val="20"/>
          <w:color w:val="auto"/>
        </w:rPr>
      </w:pPr>
      <w:r>
        <w:rPr>
          <w:rFonts w:ascii="Arial" w:cs="Arial" w:eastAsia="Arial" w:hAnsi="Arial"/>
          <w:sz w:val="16"/>
          <w:szCs w:val="16"/>
          <w:color w:val="auto"/>
        </w:rPr>
        <w:t>Motorized net revenues decreased $13.4 million or 2.1% in the first nine months of Fiscal 2017 as compared to the first nine months of Fiscal 2016. This was primarily due to lower ASP on the mix of units sold and the $6.1 million reduction in sales to aluminum extrusion customers as we have ceased those activities, which were comparably lower margin, in order to better utilize asset and labor capacity.</w:t>
      </w:r>
    </w:p>
    <w:p>
      <w:pPr>
        <w:spacing w:after="0" w:line="138" w:lineRule="exact"/>
        <w:rPr>
          <w:sz w:val="20"/>
          <w:szCs w:val="20"/>
          <w:color w:val="auto"/>
        </w:rPr>
      </w:pPr>
    </w:p>
    <w:p>
      <w:pPr>
        <w:ind w:right="120"/>
        <w:spacing w:after="0" w:line="261" w:lineRule="auto"/>
        <w:rPr>
          <w:sz w:val="20"/>
          <w:szCs w:val="20"/>
          <w:color w:val="auto"/>
        </w:rPr>
      </w:pPr>
      <w:r>
        <w:rPr>
          <w:rFonts w:ascii="Arial" w:cs="Arial" w:eastAsia="Arial" w:hAnsi="Arial"/>
          <w:sz w:val="16"/>
          <w:szCs w:val="16"/>
          <w:color w:val="auto"/>
        </w:rPr>
        <w:t>Motorized unit deliveries grew by 0.4% in the first nine months which is lower than recent industry growth. Our overall motorized market share moved from 19.5% to 16.8% when comparing shipments during the twelve month trailing periods ended April 2016 and April 2017. The decline in the first nine months has come in Class C products. The unit growth we have generated has shifted our mix more towards Class B products which have a lower ASP. So although units increased a modest 0.4%, motorhome ASP decreased 1.3%.</w:t>
      </w:r>
    </w:p>
    <w:p>
      <w:pPr>
        <w:spacing w:after="0" w:line="145"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Motorized segment Adjusted EBITDA decreased $7.9 million or 20.0%. This reduction was primarily due to lower revenues caused by a mix of products which had a lower ASP than Fiscal 2016. While unit volume grew 0.4%, revenues decreased by 2.1% due to the lower mix of Class C units and higher proportion of lower priced Class B units. Adjusted EBITDA also decreased due to additional costs associated with the ramp up of our Junction City, OR production facility and higher personnel expenses, partially offset by a decrease in ERP expenses.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28</w:t>
      </w:r>
    </w:p>
    <w:p>
      <w:pPr>
        <w:sectPr>
          <w:pgSz w:w="11900" w:h="16838" w:orient="portrait"/>
          <w:cols w:equalWidth="0" w:num="1">
            <w:col w:w="11420"/>
          </w:cols>
          <w:pgMar w:left="240" w:top="121" w:right="239" w:bottom="1440" w:gutter="0" w:footer="0" w:header="0"/>
        </w:sectPr>
      </w:pPr>
    </w:p>
    <w:bookmarkStart w:id="30" w:name="page31"/>
    <w:bookmarkEnd w:id="30"/>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16"/>
          <w:szCs w:val="16"/>
          <w:color w:val="auto"/>
        </w:rPr>
        <w:t>The following is an analysis of key changes in our Towable segment:</w:t>
      </w:r>
    </w:p>
    <w:p>
      <w:pPr>
        <w:spacing w:after="0" w:line="192"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Towable</w:t>
            </w:r>
          </w:p>
        </w:tc>
        <w:tc>
          <w:tcPr>
            <w:tcW w:w="2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74"/>
        </w:trPr>
        <w:tc>
          <w:tcPr>
            <w:tcW w:w="3280" w:type="dxa"/>
            <w:vAlign w:val="bottom"/>
            <w:gridSpan w:val="2"/>
          </w:tcPr>
          <w:p>
            <w:pPr>
              <w:ind w:left="40"/>
              <w:spacing w:after="0"/>
              <w:rPr>
                <w:sz w:val="20"/>
                <w:szCs w:val="20"/>
                <w:color w:val="auto"/>
              </w:rPr>
            </w:pPr>
            <w:r>
              <w:rPr>
                <w:rFonts w:ascii="Arial" w:cs="Arial" w:eastAsia="Arial" w:hAnsi="Arial"/>
                <w:sz w:val="16"/>
                <w:szCs w:val="16"/>
                <w:b w:val="1"/>
                <w:bCs w:val="1"/>
                <w:color w:val="auto"/>
              </w:rPr>
              <w:t>(In thousands, except units)</w:t>
            </w:r>
          </w:p>
        </w:tc>
        <w:tc>
          <w:tcPr>
            <w:tcW w:w="200" w:type="dxa"/>
            <w:vAlign w:val="bottom"/>
            <w:tcBorders>
              <w:bottom w:val="single" w:sz="8" w:color="auto"/>
            </w:tcBorders>
          </w:tcPr>
          <w:p>
            <w:pPr>
              <w:spacing w:after="0"/>
              <w:rPr>
                <w:sz w:val="23"/>
                <w:szCs w:val="23"/>
                <w:color w:val="auto"/>
              </w:rPr>
            </w:pPr>
          </w:p>
        </w:tc>
        <w:tc>
          <w:tcPr>
            <w:tcW w:w="1140" w:type="dxa"/>
            <w:vAlign w:val="bottom"/>
            <w:tcBorders>
              <w:bottom w:val="single" w:sz="8" w:color="auto"/>
            </w:tcBorders>
          </w:tcPr>
          <w:p>
            <w:pPr>
              <w:spacing w:after="0"/>
              <w:rPr>
                <w:sz w:val="23"/>
                <w:szCs w:val="23"/>
                <w:color w:val="auto"/>
              </w:rPr>
            </w:pPr>
          </w:p>
        </w:tc>
        <w:tc>
          <w:tcPr>
            <w:tcW w:w="1300" w:type="dxa"/>
            <w:vAlign w:val="bottom"/>
            <w:tcBorders>
              <w:bottom w:val="single" w:sz="8" w:color="auto"/>
            </w:tcBorders>
          </w:tcPr>
          <w:p>
            <w:pPr>
              <w:spacing w:after="0"/>
              <w:rPr>
                <w:sz w:val="23"/>
                <w:szCs w:val="23"/>
                <w:color w:val="auto"/>
              </w:rPr>
            </w:pPr>
          </w:p>
        </w:tc>
        <w:tc>
          <w:tcPr>
            <w:tcW w:w="120" w:type="dxa"/>
            <w:vAlign w:val="bottom"/>
            <w:tcBorders>
              <w:bottom w:val="single" w:sz="8" w:color="auto"/>
            </w:tcBorders>
          </w:tcPr>
          <w:p>
            <w:pPr>
              <w:spacing w:after="0"/>
              <w:rPr>
                <w:sz w:val="23"/>
                <w:szCs w:val="23"/>
                <w:color w:val="auto"/>
              </w:rPr>
            </w:pPr>
          </w:p>
        </w:tc>
        <w:tc>
          <w:tcPr>
            <w:tcW w:w="160" w:type="dxa"/>
            <w:vAlign w:val="bottom"/>
            <w:tcBorders>
              <w:bottom w:val="single" w:sz="8" w:color="auto"/>
            </w:tcBorders>
          </w:tcPr>
          <w:p>
            <w:pPr>
              <w:spacing w:after="0"/>
              <w:rPr>
                <w:sz w:val="23"/>
                <w:szCs w:val="23"/>
                <w:color w:val="auto"/>
              </w:rPr>
            </w:pPr>
          </w:p>
        </w:tc>
        <w:tc>
          <w:tcPr>
            <w:tcW w:w="2660" w:type="dxa"/>
            <w:vAlign w:val="bottom"/>
            <w:tcBorders>
              <w:bottom w:val="single" w:sz="8" w:color="auto"/>
            </w:tcBorders>
            <w:gridSpan w:val="4"/>
          </w:tcPr>
          <w:p>
            <w:pPr>
              <w:ind w:left="400"/>
              <w:spacing w:after="0"/>
              <w:rPr>
                <w:sz w:val="20"/>
                <w:szCs w:val="20"/>
                <w:color w:val="auto"/>
              </w:rPr>
            </w:pPr>
            <w:r>
              <w:rPr>
                <w:rFonts w:ascii="Arial" w:cs="Arial" w:eastAsia="Arial" w:hAnsi="Arial"/>
                <w:sz w:val="16"/>
                <w:szCs w:val="16"/>
                <w:b w:val="1"/>
                <w:bCs w:val="1"/>
                <w:color w:val="auto"/>
              </w:rPr>
              <w:t>Nine Months Ended</w:t>
            </w:r>
          </w:p>
        </w:tc>
        <w:tc>
          <w:tcPr>
            <w:tcW w:w="180" w:type="dxa"/>
            <w:vAlign w:val="bottom"/>
            <w:tcBorders>
              <w:bottom w:val="single" w:sz="8" w:color="auto"/>
            </w:tcBorders>
          </w:tcPr>
          <w:p>
            <w:pPr>
              <w:spacing w:after="0"/>
              <w:rPr>
                <w:sz w:val="23"/>
                <w:szCs w:val="23"/>
                <w:color w:val="auto"/>
              </w:rPr>
            </w:pPr>
          </w:p>
        </w:tc>
        <w:tc>
          <w:tcPr>
            <w:tcW w:w="1160" w:type="dxa"/>
            <w:vAlign w:val="bottom"/>
            <w:tcBorders>
              <w:bottom w:val="single" w:sz="8" w:color="auto"/>
            </w:tcBorders>
          </w:tcPr>
          <w:p>
            <w:pPr>
              <w:spacing w:after="0"/>
              <w:rPr>
                <w:sz w:val="23"/>
                <w:szCs w:val="23"/>
                <w:color w:val="auto"/>
              </w:rPr>
            </w:pPr>
          </w:p>
        </w:tc>
        <w:tc>
          <w:tcPr>
            <w:tcW w:w="1220" w:type="dxa"/>
            <w:vAlign w:val="bottom"/>
            <w:tcBorders>
              <w:bottom w:val="single" w:sz="8" w:color="auto"/>
            </w:tcBorders>
          </w:tcPr>
          <w:p>
            <w:pPr>
              <w:spacing w:after="0"/>
              <w:rPr>
                <w:sz w:val="23"/>
                <w:szCs w:val="23"/>
                <w:color w:val="auto"/>
              </w:rPr>
            </w:pPr>
          </w:p>
        </w:tc>
      </w:tr>
      <w:tr>
        <w:trPr>
          <w:trHeight w:val="193"/>
        </w:trPr>
        <w:tc>
          <w:tcPr>
            <w:tcW w:w="3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 of</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480" w:type="dxa"/>
            <w:vAlign w:val="bottom"/>
          </w:tcPr>
          <w:p>
            <w:pPr>
              <w:spacing w:after="0"/>
              <w:rPr>
                <w:sz w:val="16"/>
                <w:szCs w:val="16"/>
                <w:color w:val="auto"/>
              </w:rPr>
            </w:pPr>
          </w:p>
        </w:tc>
        <w:tc>
          <w:tcPr>
            <w:tcW w:w="1220" w:type="dxa"/>
            <w:vAlign w:val="bottom"/>
            <w:gridSpan w:val="2"/>
          </w:tcPr>
          <w:p>
            <w:pPr>
              <w:jc w:val="center"/>
              <w:ind w:right="520"/>
              <w:spacing w:after="0"/>
              <w:rPr>
                <w:sz w:val="20"/>
                <w:szCs w:val="20"/>
                <w:color w:val="auto"/>
              </w:rPr>
            </w:pPr>
            <w:r>
              <w:rPr>
                <w:rFonts w:ascii="Arial" w:cs="Arial" w:eastAsia="Arial" w:hAnsi="Arial"/>
                <w:sz w:val="16"/>
                <w:szCs w:val="16"/>
                <w:b w:val="1"/>
                <w:bCs w:val="1"/>
                <w:color w:val="auto"/>
              </w:rPr>
              <w:t>% of</w:t>
            </w: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2"/>
        </w:trPr>
        <w:tc>
          <w:tcPr>
            <w:tcW w:w="316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Revenue</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Net revenues</w:t>
            </w:r>
          </w:p>
        </w:tc>
        <w:tc>
          <w:tcPr>
            <w:tcW w:w="20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456,451</w:t>
            </w:r>
          </w:p>
        </w:tc>
        <w:tc>
          <w:tcPr>
            <w:tcW w:w="1300" w:type="dxa"/>
            <w:vAlign w:val="bottom"/>
            <w:shd w:val="clear" w:color="auto" w:fill="CCEEFF"/>
          </w:tcPr>
          <w:p>
            <w:pPr>
              <w:spacing w:after="0"/>
              <w:rPr>
                <w:sz w:val="23"/>
                <w:szCs w:val="23"/>
                <w:color w:val="auto"/>
              </w:rPr>
            </w:pPr>
          </w:p>
        </w:tc>
        <w:tc>
          <w:tcPr>
            <w:tcW w:w="2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62,810</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393,641</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626.7%</w:t>
            </w:r>
          </w:p>
        </w:tc>
      </w:tr>
      <w:tr>
        <w:trPr>
          <w:trHeight w:val="255"/>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Adjusted EBITDA</w:t>
            </w:r>
          </w:p>
        </w:tc>
        <w:tc>
          <w:tcPr>
            <w:tcW w:w="200" w:type="dxa"/>
            <w:vAlign w:val="bottom"/>
          </w:tcPr>
          <w:p>
            <w:pPr>
              <w:spacing w:after="0"/>
              <w:rPr>
                <w:sz w:val="22"/>
                <w:szCs w:val="22"/>
                <w:color w:val="auto"/>
              </w:rPr>
            </w:pPr>
          </w:p>
        </w:tc>
        <w:tc>
          <w:tcPr>
            <w:tcW w:w="1140" w:type="dxa"/>
            <w:vAlign w:val="bottom"/>
          </w:tcPr>
          <w:p>
            <w:pPr>
              <w:jc w:val="right"/>
              <w:ind w:right="159"/>
              <w:spacing w:after="0"/>
              <w:rPr>
                <w:sz w:val="20"/>
                <w:szCs w:val="20"/>
                <w:color w:val="auto"/>
              </w:rPr>
            </w:pPr>
            <w:r>
              <w:rPr>
                <w:rFonts w:ascii="Arial" w:cs="Arial" w:eastAsia="Arial" w:hAnsi="Arial"/>
                <w:sz w:val="16"/>
                <w:szCs w:val="16"/>
                <w:color w:val="auto"/>
              </w:rPr>
              <w:t>59,340</w:t>
            </w:r>
          </w:p>
        </w:tc>
        <w:tc>
          <w:tcPr>
            <w:tcW w:w="1300" w:type="dxa"/>
            <w:vAlign w:val="bottom"/>
          </w:tcPr>
          <w:p>
            <w:pPr>
              <w:jc w:val="right"/>
              <w:ind w:right="199"/>
              <w:spacing w:after="0"/>
              <w:rPr>
                <w:sz w:val="20"/>
                <w:szCs w:val="20"/>
                <w:color w:val="auto"/>
              </w:rPr>
            </w:pPr>
            <w:r>
              <w:rPr>
                <w:rFonts w:ascii="Arial" w:cs="Arial" w:eastAsia="Arial" w:hAnsi="Arial"/>
                <w:sz w:val="16"/>
                <w:szCs w:val="16"/>
                <w:color w:val="auto"/>
              </w:rPr>
              <w:t>13.0%</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4,134</w:t>
            </w:r>
          </w:p>
        </w:tc>
        <w:tc>
          <w:tcPr>
            <w:tcW w:w="480" w:type="dxa"/>
            <w:vAlign w:val="bottom"/>
          </w:tcPr>
          <w:p>
            <w:pPr>
              <w:spacing w:after="0"/>
              <w:rPr>
                <w:sz w:val="22"/>
                <w:szCs w:val="22"/>
                <w:color w:val="auto"/>
              </w:rPr>
            </w:pPr>
          </w:p>
        </w:tc>
        <w:tc>
          <w:tcPr>
            <w:tcW w:w="1100" w:type="dxa"/>
            <w:vAlign w:val="bottom"/>
          </w:tcPr>
          <w:p>
            <w:pPr>
              <w:jc w:val="right"/>
              <w:ind w:right="179"/>
              <w:spacing w:after="0"/>
              <w:rPr>
                <w:sz w:val="20"/>
                <w:szCs w:val="20"/>
                <w:color w:val="auto"/>
              </w:rPr>
            </w:pPr>
            <w:r>
              <w:rPr>
                <w:rFonts w:ascii="Arial" w:cs="Arial" w:eastAsia="Arial" w:hAnsi="Arial"/>
                <w:sz w:val="16"/>
                <w:szCs w:val="16"/>
                <w:color w:val="auto"/>
              </w:rPr>
              <w:t>6.6%</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55,206</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1,335.4%</w:t>
            </w:r>
          </w:p>
        </w:tc>
      </w:tr>
      <w:tr>
        <w:trPr>
          <w:trHeight w:val="482"/>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jc w:val="center"/>
              <w:ind w:right="319"/>
              <w:spacing w:after="0"/>
              <w:rPr>
                <w:sz w:val="20"/>
                <w:szCs w:val="20"/>
                <w:color w:val="auto"/>
              </w:rPr>
            </w:pPr>
            <w:r>
              <w:rPr>
                <w:rFonts w:ascii="Arial" w:cs="Arial" w:eastAsia="Arial" w:hAnsi="Arial"/>
                <w:sz w:val="16"/>
                <w:szCs w:val="16"/>
                <w:b w:val="1"/>
                <w:bCs w:val="1"/>
                <w:color w:val="auto"/>
              </w:rPr>
              <w:t>May 27,</w:t>
            </w:r>
          </w:p>
        </w:tc>
        <w:tc>
          <w:tcPr>
            <w:tcW w:w="1300" w:type="dxa"/>
            <w:vAlign w:val="bottom"/>
          </w:tcPr>
          <w:p>
            <w:pPr>
              <w:jc w:val="center"/>
              <w:ind w:right="79"/>
              <w:spacing w:after="0"/>
              <w:rPr>
                <w:sz w:val="20"/>
                <w:szCs w:val="20"/>
                <w:color w:val="auto"/>
              </w:rPr>
            </w:pPr>
            <w:r>
              <w:rPr>
                <w:rFonts w:ascii="Arial" w:cs="Arial" w:eastAsia="Arial" w:hAnsi="Arial"/>
                <w:sz w:val="16"/>
                <w:szCs w:val="16"/>
                <w:b w:val="1"/>
                <w:bCs w:val="1"/>
                <w:color w:val="auto"/>
              </w:rPr>
              <w:t>Product</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jc w:val="center"/>
              <w:ind w:right="179"/>
              <w:spacing w:after="0"/>
              <w:rPr>
                <w:sz w:val="20"/>
                <w:szCs w:val="20"/>
                <w:color w:val="auto"/>
              </w:rPr>
            </w:pPr>
            <w:r>
              <w:rPr>
                <w:rFonts w:ascii="Arial" w:cs="Arial" w:eastAsia="Arial" w:hAnsi="Arial"/>
                <w:sz w:val="16"/>
                <w:szCs w:val="16"/>
                <w:b w:val="1"/>
                <w:bCs w:val="1"/>
                <w:color w:val="auto"/>
              </w:rPr>
              <w:t>May 28,</w:t>
            </w:r>
          </w:p>
        </w:tc>
        <w:tc>
          <w:tcPr>
            <w:tcW w:w="480" w:type="dxa"/>
            <w:vAlign w:val="bottom"/>
          </w:tcPr>
          <w:p>
            <w:pPr>
              <w:spacing w:after="0"/>
              <w:rPr>
                <w:sz w:val="24"/>
                <w:szCs w:val="24"/>
                <w:color w:val="auto"/>
              </w:rPr>
            </w:pPr>
          </w:p>
        </w:tc>
        <w:tc>
          <w:tcPr>
            <w:tcW w:w="1220" w:type="dxa"/>
            <w:vAlign w:val="bottom"/>
            <w:gridSpan w:val="2"/>
          </w:tcPr>
          <w:p>
            <w:pPr>
              <w:jc w:val="center"/>
              <w:ind w:right="500"/>
              <w:spacing w:after="0"/>
              <w:rPr>
                <w:sz w:val="20"/>
                <w:szCs w:val="20"/>
                <w:color w:val="auto"/>
              </w:rPr>
            </w:pPr>
            <w:r>
              <w:rPr>
                <w:rFonts w:ascii="Arial" w:cs="Arial" w:eastAsia="Arial" w:hAnsi="Arial"/>
                <w:sz w:val="16"/>
                <w:szCs w:val="16"/>
                <w:b w:val="1"/>
                <w:bCs w:val="1"/>
                <w:color w:val="auto"/>
                <w:w w:val="99"/>
              </w:rPr>
              <w:t>Product</w:t>
            </w: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16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Unit deliveries</w:t>
            </w:r>
          </w:p>
        </w:tc>
        <w:tc>
          <w:tcPr>
            <w:tcW w:w="120" w:type="dxa"/>
            <w:vAlign w:val="bottom"/>
            <w:tcBorders>
              <w:bottom w:val="single" w:sz="8" w:color="CCEEFF"/>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center"/>
              <w:ind w:right="259"/>
              <w:spacing w:after="0"/>
              <w:rPr>
                <w:sz w:val="20"/>
                <w:szCs w:val="20"/>
                <w:color w:val="auto"/>
              </w:rPr>
            </w:pPr>
            <w:r>
              <w:rPr>
                <w:rFonts w:ascii="Arial" w:cs="Arial" w:eastAsia="Arial" w:hAnsi="Arial"/>
                <w:sz w:val="16"/>
                <w:szCs w:val="16"/>
                <w:b w:val="1"/>
                <w:bCs w:val="1"/>
                <w:color w:val="auto"/>
              </w:rPr>
              <w:t>2017</w:t>
            </w:r>
          </w:p>
        </w:tc>
        <w:tc>
          <w:tcPr>
            <w:tcW w:w="1300" w:type="dxa"/>
            <w:vAlign w:val="bottom"/>
            <w:tcBorders>
              <w:bottom w:val="single" w:sz="8" w:color="auto"/>
            </w:tcBorders>
          </w:tcPr>
          <w:p>
            <w:pPr>
              <w:jc w:val="center"/>
              <w:ind w:right="5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2016</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line="236" w:lineRule="exact"/>
              <w:rPr>
                <w:sz w:val="20"/>
                <w:szCs w:val="20"/>
                <w:color w:val="auto"/>
              </w:rPr>
            </w:pPr>
            <w:r>
              <w:rPr>
                <w:rFonts w:ascii="Arial" w:cs="Arial" w:eastAsia="Arial" w:hAnsi="Arial"/>
                <w:sz w:val="16"/>
                <w:szCs w:val="16"/>
                <w:b w:val="1"/>
                <w:bCs w:val="1"/>
                <w:color w:val="auto"/>
                <w:w w:val="95"/>
              </w:rPr>
              <w:t xml:space="preserve">Mix % </w:t>
            </w:r>
            <w:r>
              <w:rPr>
                <w:rFonts w:ascii="Arial" w:cs="Arial" w:eastAsia="Arial" w:hAnsi="Arial"/>
                <w:sz w:val="21"/>
                <w:szCs w:val="21"/>
                <w:b w:val="1"/>
                <w:bCs w:val="1"/>
                <w:color w:val="auto"/>
                <w:w w:val="95"/>
                <w:vertAlign w:val="superscript"/>
              </w:rPr>
              <w:t>(1)</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5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Travel trailer</w:t>
            </w:r>
          </w:p>
        </w:tc>
        <w:tc>
          <w:tcPr>
            <w:tcW w:w="200" w:type="dxa"/>
            <w:vAlign w:val="bottom"/>
            <w:shd w:val="clear" w:color="auto" w:fill="CCEEFF"/>
          </w:tcPr>
          <w:p>
            <w:pPr>
              <w:spacing w:after="0"/>
              <w:rPr>
                <w:sz w:val="21"/>
                <w:szCs w:val="21"/>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8,914</w:t>
            </w:r>
          </w:p>
        </w:tc>
        <w:tc>
          <w:tcPr>
            <w:tcW w:w="1300" w:type="dxa"/>
            <w:vAlign w:val="bottom"/>
            <w:shd w:val="clear" w:color="auto" w:fill="CCEEFF"/>
          </w:tcPr>
          <w:p>
            <w:pPr>
              <w:jc w:val="right"/>
              <w:ind w:right="199"/>
              <w:spacing w:after="0"/>
              <w:rPr>
                <w:sz w:val="20"/>
                <w:szCs w:val="20"/>
                <w:color w:val="auto"/>
              </w:rPr>
            </w:pPr>
            <w:r>
              <w:rPr>
                <w:rFonts w:ascii="Arial" w:cs="Arial" w:eastAsia="Arial" w:hAnsi="Arial"/>
                <w:sz w:val="16"/>
                <w:szCs w:val="16"/>
                <w:color w:val="auto"/>
              </w:rPr>
              <w:t>59.9%</w:t>
            </w:r>
          </w:p>
        </w:tc>
        <w:tc>
          <w:tcPr>
            <w:tcW w:w="120" w:type="dxa"/>
            <w:vAlign w:val="bottom"/>
            <w:shd w:val="clear" w:color="auto" w:fill="CCEEFF"/>
          </w:tcPr>
          <w:p>
            <w:pPr>
              <w:spacing w:after="0"/>
              <w:rPr>
                <w:sz w:val="21"/>
                <w:szCs w:val="21"/>
                <w:color w:val="auto"/>
              </w:rPr>
            </w:pPr>
          </w:p>
        </w:tc>
        <w:tc>
          <w:tcPr>
            <w:tcW w:w="16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2,562</w:t>
            </w:r>
          </w:p>
        </w:tc>
        <w:tc>
          <w:tcPr>
            <w:tcW w:w="480" w:type="dxa"/>
            <w:vAlign w:val="bottom"/>
            <w:shd w:val="clear" w:color="auto" w:fill="CCEEFF"/>
          </w:tcPr>
          <w:p>
            <w:pPr>
              <w:spacing w:after="0"/>
              <w:rPr>
                <w:sz w:val="21"/>
                <w:szCs w:val="21"/>
                <w:color w:val="auto"/>
              </w:rPr>
            </w:pPr>
          </w:p>
        </w:tc>
        <w:tc>
          <w:tcPr>
            <w:tcW w:w="110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86.1%</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6,352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247.9%</w:t>
            </w:r>
          </w:p>
        </w:tc>
      </w:tr>
      <w:tr>
        <w:trPr>
          <w:trHeight w:val="264"/>
        </w:trPr>
        <w:tc>
          <w:tcPr>
            <w:tcW w:w="3280" w:type="dxa"/>
            <w:vAlign w:val="bottom"/>
            <w:tcBorders>
              <w:bottom w:val="single" w:sz="8" w:color="CCEEFF"/>
            </w:tcBorders>
            <w:gridSpan w:val="2"/>
          </w:tcPr>
          <w:p>
            <w:pPr>
              <w:ind w:left="40"/>
              <w:spacing w:after="0"/>
              <w:rPr>
                <w:sz w:val="20"/>
                <w:szCs w:val="20"/>
                <w:color w:val="auto"/>
              </w:rPr>
            </w:pPr>
            <w:r>
              <w:rPr>
                <w:rFonts w:ascii="Arial" w:cs="Arial" w:eastAsia="Arial" w:hAnsi="Arial"/>
                <w:sz w:val="16"/>
                <w:szCs w:val="16"/>
                <w:color w:val="auto"/>
              </w:rPr>
              <w:t>Fifth wheel</w:t>
            </w:r>
          </w:p>
        </w:tc>
        <w:tc>
          <w:tcPr>
            <w:tcW w:w="20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159"/>
              <w:spacing w:after="0"/>
              <w:rPr>
                <w:sz w:val="20"/>
                <w:szCs w:val="20"/>
                <w:color w:val="auto"/>
              </w:rPr>
            </w:pPr>
            <w:r>
              <w:rPr>
                <w:rFonts w:ascii="Arial" w:cs="Arial" w:eastAsia="Arial" w:hAnsi="Arial"/>
                <w:sz w:val="16"/>
                <w:szCs w:val="16"/>
                <w:color w:val="auto"/>
              </w:rPr>
              <w:t>5,960</w:t>
            </w:r>
          </w:p>
        </w:tc>
        <w:tc>
          <w:tcPr>
            <w:tcW w:w="1300" w:type="dxa"/>
            <w:vAlign w:val="bottom"/>
            <w:tcBorders>
              <w:bottom w:val="single" w:sz="8" w:color="auto"/>
            </w:tcBorders>
          </w:tcPr>
          <w:p>
            <w:pPr>
              <w:jc w:val="right"/>
              <w:ind w:right="199"/>
              <w:spacing w:after="0"/>
              <w:rPr>
                <w:sz w:val="20"/>
                <w:szCs w:val="20"/>
                <w:color w:val="auto"/>
              </w:rPr>
            </w:pPr>
            <w:r>
              <w:rPr>
                <w:rFonts w:ascii="Arial" w:cs="Arial" w:eastAsia="Arial" w:hAnsi="Arial"/>
                <w:sz w:val="16"/>
                <w:szCs w:val="16"/>
                <w:color w:val="auto"/>
              </w:rPr>
              <w:t>40.1%</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413</w:t>
            </w:r>
          </w:p>
        </w:tc>
        <w:tc>
          <w:tcPr>
            <w:tcW w:w="48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13.9%</w:t>
            </w:r>
          </w:p>
        </w:tc>
        <w:tc>
          <w:tcPr>
            <w:tcW w:w="120" w:type="dxa"/>
            <w:vAlign w:val="bottom"/>
            <w:tcBorders>
              <w:bottom w:val="single" w:sz="8" w:color="CCEEFF"/>
            </w:tcBorders>
          </w:tcPr>
          <w:p>
            <w:pPr>
              <w:spacing w:after="0"/>
              <w:rPr>
                <w:sz w:val="22"/>
                <w:szCs w:val="22"/>
                <w:color w:val="auto"/>
              </w:rPr>
            </w:pPr>
          </w:p>
        </w:tc>
        <w:tc>
          <w:tcPr>
            <w:tcW w:w="18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5,547</w:t>
            </w:r>
          </w:p>
        </w:tc>
        <w:tc>
          <w:tcPr>
            <w:tcW w:w="122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1,343.1%</w:t>
            </w:r>
          </w:p>
        </w:tc>
      </w:tr>
      <w:tr>
        <w:trPr>
          <w:trHeight w:val="242"/>
        </w:trPr>
        <w:tc>
          <w:tcPr>
            <w:tcW w:w="3280" w:type="dxa"/>
            <w:vAlign w:val="bottom"/>
            <w:tcBorders>
              <w:bottom w:val="single" w:sz="8" w:color="CCEEFF"/>
            </w:tcBorders>
            <w:gridSpan w:val="2"/>
            <w:shd w:val="clear" w:color="auto" w:fill="CCEEFF"/>
          </w:tcPr>
          <w:p>
            <w:pPr>
              <w:ind w:left="220"/>
              <w:spacing w:after="0"/>
              <w:rPr>
                <w:sz w:val="20"/>
                <w:szCs w:val="20"/>
                <w:color w:val="auto"/>
              </w:rPr>
            </w:pPr>
            <w:r>
              <w:rPr>
                <w:rFonts w:ascii="Arial" w:cs="Arial" w:eastAsia="Arial" w:hAnsi="Arial"/>
                <w:sz w:val="16"/>
                <w:szCs w:val="16"/>
                <w:color w:val="auto"/>
              </w:rPr>
              <w:t>Total towables</w:t>
            </w:r>
          </w:p>
        </w:tc>
        <w:tc>
          <w:tcPr>
            <w:tcW w:w="200" w:type="dxa"/>
            <w:vAlign w:val="bottom"/>
            <w:tcBorders>
              <w:bottom w:val="single" w:sz="8" w:color="auto"/>
            </w:tcBorders>
            <w:shd w:val="clear" w:color="auto" w:fill="CCEEFF"/>
          </w:tcPr>
          <w:p>
            <w:pPr>
              <w:spacing w:after="0"/>
              <w:rPr>
                <w:sz w:val="21"/>
                <w:szCs w:val="21"/>
                <w:color w:val="auto"/>
              </w:rPr>
            </w:pPr>
          </w:p>
        </w:tc>
        <w:tc>
          <w:tcPr>
            <w:tcW w:w="1140" w:type="dxa"/>
            <w:vAlign w:val="bottom"/>
            <w:tcBorders>
              <w:bottom w:val="single" w:sz="8" w:color="auto"/>
            </w:tcBorders>
            <w:shd w:val="clear" w:color="auto" w:fill="CCEEFF"/>
          </w:tcPr>
          <w:p>
            <w:pPr>
              <w:jc w:val="right"/>
              <w:ind w:right="159"/>
              <w:spacing w:after="0"/>
              <w:rPr>
                <w:sz w:val="20"/>
                <w:szCs w:val="20"/>
                <w:color w:val="auto"/>
              </w:rPr>
            </w:pPr>
            <w:r>
              <w:rPr>
                <w:rFonts w:ascii="Arial" w:cs="Arial" w:eastAsia="Arial" w:hAnsi="Arial"/>
                <w:sz w:val="16"/>
                <w:szCs w:val="16"/>
                <w:color w:val="auto"/>
              </w:rPr>
              <w:t>14,874</w:t>
            </w:r>
          </w:p>
        </w:tc>
        <w:tc>
          <w:tcPr>
            <w:tcW w:w="1300" w:type="dxa"/>
            <w:vAlign w:val="bottom"/>
            <w:tcBorders>
              <w:bottom w:val="single" w:sz="8" w:color="auto"/>
            </w:tcBorders>
            <w:shd w:val="clear" w:color="auto" w:fill="CCEEFF"/>
          </w:tcPr>
          <w:p>
            <w:pPr>
              <w:jc w:val="right"/>
              <w:ind w:right="19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spacing w:after="0"/>
              <w:rPr>
                <w:sz w:val="21"/>
                <w:szCs w:val="21"/>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2,975</w:t>
            </w:r>
          </w:p>
        </w:tc>
        <w:tc>
          <w:tcPr>
            <w:tcW w:w="480" w:type="dxa"/>
            <w:vAlign w:val="bottom"/>
            <w:tcBorders>
              <w:bottom w:val="single" w:sz="8" w:color="auto"/>
            </w:tcBorders>
            <w:shd w:val="clear" w:color="auto" w:fill="CCEEFF"/>
          </w:tcPr>
          <w:p>
            <w:pPr>
              <w:spacing w:after="0"/>
              <w:rPr>
                <w:sz w:val="21"/>
                <w:szCs w:val="21"/>
                <w:color w:val="auto"/>
              </w:rPr>
            </w:pPr>
          </w:p>
        </w:tc>
        <w:tc>
          <w:tcPr>
            <w:tcW w:w="110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100.0%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auto"/>
            </w:tcBorders>
            <w:shd w:val="clear" w:color="auto" w:fill="CCEEFF"/>
          </w:tcPr>
          <w:p>
            <w:pPr>
              <w:spacing w:after="0"/>
              <w:rPr>
                <w:sz w:val="21"/>
                <w:szCs w:val="21"/>
                <w:color w:val="auto"/>
              </w:rPr>
            </w:pPr>
          </w:p>
        </w:tc>
        <w:tc>
          <w:tcPr>
            <w:tcW w:w="116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11,899</w:t>
            </w:r>
          </w:p>
        </w:tc>
        <w:tc>
          <w:tcPr>
            <w:tcW w:w="12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400.0%</w:t>
            </w:r>
          </w:p>
        </w:tc>
      </w:tr>
      <w:tr>
        <w:trPr>
          <w:trHeight w:val="20"/>
        </w:trPr>
        <w:tc>
          <w:tcPr>
            <w:tcW w:w="3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252"/>
        </w:trPr>
        <w:tc>
          <w:tcPr>
            <w:tcW w:w="3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70"/>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Towables ASP</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jc w:val="right"/>
              <w:ind w:right="159"/>
              <w:spacing w:after="0"/>
              <w:rPr>
                <w:sz w:val="20"/>
                <w:szCs w:val="20"/>
                <w:color w:val="auto"/>
              </w:rPr>
            </w:pPr>
            <w:r>
              <w:rPr>
                <w:rFonts w:ascii="Arial" w:cs="Arial" w:eastAsia="Arial" w:hAnsi="Arial"/>
                <w:sz w:val="16"/>
                <w:szCs w:val="16"/>
                <w:color w:val="auto"/>
              </w:rPr>
              <w:t>30,877</w:t>
            </w: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21,173</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9,704</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45.8%</w:t>
            </w:r>
          </w:p>
        </w:tc>
      </w:tr>
      <w:tr>
        <w:trPr>
          <w:trHeight w:val="534"/>
        </w:trPr>
        <w:tc>
          <w:tcPr>
            <w:tcW w:w="3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6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As Of</w:t>
            </w:r>
          </w:p>
        </w:tc>
        <w:tc>
          <w:tcPr>
            <w:tcW w:w="110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196"/>
        </w:trPr>
        <w:tc>
          <w:tcPr>
            <w:tcW w:w="3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right"/>
              <w:ind w:right="179"/>
              <w:spacing w:after="0"/>
              <w:rPr>
                <w:sz w:val="20"/>
                <w:szCs w:val="20"/>
                <w:color w:val="auto"/>
              </w:rPr>
            </w:pPr>
            <w:r>
              <w:rPr>
                <w:rFonts w:ascii="Arial" w:cs="Arial" w:eastAsia="Arial" w:hAnsi="Arial"/>
                <w:sz w:val="16"/>
                <w:szCs w:val="16"/>
                <w:b w:val="1"/>
                <w:bCs w:val="1"/>
                <w:color w:val="auto"/>
              </w:rPr>
              <w:t>May 27,</w:t>
            </w:r>
          </w:p>
        </w:tc>
        <w:tc>
          <w:tcPr>
            <w:tcW w:w="480" w:type="dxa"/>
            <w:vAlign w:val="bottom"/>
          </w:tcPr>
          <w:p>
            <w:pPr>
              <w:spacing w:after="0"/>
              <w:rPr>
                <w:sz w:val="17"/>
                <w:szCs w:val="17"/>
                <w:color w:val="auto"/>
              </w:rPr>
            </w:pPr>
          </w:p>
        </w:tc>
        <w:tc>
          <w:tcPr>
            <w:tcW w:w="1220" w:type="dxa"/>
            <w:vAlign w:val="bottom"/>
            <w:gridSpan w:val="2"/>
          </w:tcPr>
          <w:p>
            <w:pPr>
              <w:jc w:val="center"/>
              <w:ind w:right="560"/>
              <w:spacing w:after="0"/>
              <w:rPr>
                <w:sz w:val="20"/>
                <w:szCs w:val="20"/>
                <w:color w:val="auto"/>
              </w:rPr>
            </w:pPr>
            <w:r>
              <w:rPr>
                <w:rFonts w:ascii="Arial" w:cs="Arial" w:eastAsia="Arial" w:hAnsi="Arial"/>
                <w:sz w:val="16"/>
                <w:szCs w:val="16"/>
                <w:b w:val="1"/>
                <w:bCs w:val="1"/>
                <w:color w:val="auto"/>
              </w:rPr>
              <w:t>May 28,</w:t>
            </w:r>
          </w:p>
        </w:tc>
        <w:tc>
          <w:tcPr>
            <w:tcW w:w="18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20" w:type="dxa"/>
            <w:vAlign w:val="bottom"/>
          </w:tcPr>
          <w:p>
            <w:pPr>
              <w:jc w:val="center"/>
              <w:ind w:right="79"/>
              <w:spacing w:after="0"/>
              <w:rPr>
                <w:sz w:val="20"/>
                <w:szCs w:val="20"/>
                <w:color w:val="auto"/>
              </w:rPr>
            </w:pPr>
            <w:r>
              <w:rPr>
                <w:rFonts w:ascii="Arial" w:cs="Arial" w:eastAsia="Arial" w:hAnsi="Arial"/>
                <w:sz w:val="16"/>
                <w:szCs w:val="16"/>
                <w:b w:val="1"/>
                <w:bCs w:val="1"/>
                <w:color w:val="auto"/>
                <w:w w:val="98"/>
              </w:rPr>
              <w:t>%</w:t>
            </w:r>
          </w:p>
        </w:tc>
      </w:tr>
      <w:tr>
        <w:trPr>
          <w:trHeight w:val="236"/>
        </w:trPr>
        <w:tc>
          <w:tcPr>
            <w:tcW w:w="3280" w:type="dxa"/>
            <w:vAlign w:val="bottom"/>
            <w:tcBorders>
              <w:bottom w:val="single" w:sz="8" w:color="auto"/>
            </w:tcBorders>
            <w:gridSpan w:val="2"/>
          </w:tcPr>
          <w:p>
            <w:pPr>
              <w:ind w:left="40"/>
              <w:spacing w:after="0" w:line="236" w:lineRule="exact"/>
              <w:rPr>
                <w:sz w:val="20"/>
                <w:szCs w:val="20"/>
                <w:color w:val="auto"/>
              </w:rPr>
            </w:pPr>
            <w:r>
              <w:rPr>
                <w:rFonts w:ascii="Arial" w:cs="Arial" w:eastAsia="Arial" w:hAnsi="Arial"/>
                <w:sz w:val="16"/>
                <w:szCs w:val="16"/>
                <w:b w:val="1"/>
                <w:bCs w:val="1"/>
                <w:color w:val="auto"/>
              </w:rPr>
              <w:t xml:space="preserve">Backlog </w:t>
            </w:r>
            <w:r>
              <w:rPr>
                <w:rFonts w:ascii="Arial" w:cs="Arial" w:eastAsia="Arial" w:hAnsi="Arial"/>
                <w:sz w:val="21"/>
                <w:szCs w:val="21"/>
                <w:b w:val="1"/>
                <w:bCs w:val="1"/>
                <w:color w:val="auto"/>
                <w:vertAlign w:val="superscript"/>
              </w:rPr>
              <w:t>(2)</w:t>
            </w:r>
          </w:p>
        </w:tc>
        <w:tc>
          <w:tcPr>
            <w:tcW w:w="20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spacing w:after="0"/>
              <w:rPr>
                <w:sz w:val="20"/>
                <w:szCs w:val="20"/>
                <w:color w:val="auto"/>
              </w:rPr>
            </w:pPr>
          </w:p>
        </w:tc>
        <w:tc>
          <w:tcPr>
            <w:tcW w:w="120" w:type="dxa"/>
            <w:vAlign w:val="bottom"/>
            <w:tcBorders>
              <w:bottom w:val="single" w:sz="8" w:color="CCEEFF"/>
            </w:tcBorders>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2017</w:t>
            </w:r>
          </w:p>
        </w:tc>
        <w:tc>
          <w:tcPr>
            <w:tcW w:w="480" w:type="dxa"/>
            <w:vAlign w:val="bottom"/>
            <w:tcBorders>
              <w:bottom w:val="single" w:sz="8" w:color="auto"/>
            </w:tcBorders>
          </w:tcPr>
          <w:p>
            <w:pPr>
              <w:spacing w:after="0"/>
              <w:rPr>
                <w:sz w:val="20"/>
                <w:szCs w:val="20"/>
                <w:color w:val="auto"/>
              </w:rPr>
            </w:pPr>
          </w:p>
        </w:tc>
        <w:tc>
          <w:tcPr>
            <w:tcW w:w="1100" w:type="dxa"/>
            <w:vAlign w:val="bottom"/>
            <w:tcBorders>
              <w:bottom w:val="single" w:sz="8" w:color="auto"/>
            </w:tcBorders>
          </w:tcPr>
          <w:p>
            <w:pPr>
              <w:jc w:val="center"/>
              <w:ind w:right="299"/>
              <w:spacing w:after="0"/>
              <w:rPr>
                <w:sz w:val="20"/>
                <w:szCs w:val="20"/>
                <w:color w:val="auto"/>
              </w:rPr>
            </w:pPr>
            <w:r>
              <w:rPr>
                <w:rFonts w:ascii="Arial" w:cs="Arial" w:eastAsia="Arial" w:hAnsi="Arial"/>
                <w:sz w:val="16"/>
                <w:szCs w:val="16"/>
                <w:b w:val="1"/>
                <w:bCs w:val="1"/>
                <w:color w:val="auto"/>
              </w:rPr>
              <w:t>2016</w:t>
            </w:r>
          </w:p>
        </w:tc>
        <w:tc>
          <w:tcPr>
            <w:tcW w:w="120" w:type="dxa"/>
            <w:vAlign w:val="bottom"/>
            <w:tcBorders>
              <w:bottom w:val="single" w:sz="8" w:color="CCEEFF"/>
            </w:tcBorders>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1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Increase</w:t>
            </w:r>
          </w:p>
        </w:tc>
        <w:tc>
          <w:tcPr>
            <w:tcW w:w="1220" w:type="dxa"/>
            <w:vAlign w:val="bottom"/>
            <w:tcBorders>
              <w:bottom w:val="single" w:sz="8" w:color="auto"/>
            </w:tcBorders>
          </w:tcPr>
          <w:p>
            <w:pPr>
              <w:jc w:val="center"/>
              <w:ind w:right="79"/>
              <w:spacing w:after="0"/>
              <w:rPr>
                <w:sz w:val="20"/>
                <w:szCs w:val="20"/>
                <w:color w:val="auto"/>
              </w:rPr>
            </w:pPr>
            <w:r>
              <w:rPr>
                <w:rFonts w:ascii="Arial" w:cs="Arial" w:eastAsia="Arial" w:hAnsi="Arial"/>
                <w:sz w:val="16"/>
                <w:szCs w:val="16"/>
                <w:b w:val="1"/>
                <w:bCs w:val="1"/>
                <w:color w:val="auto"/>
                <w:w w:val="98"/>
              </w:rPr>
              <w:t>Change</w:t>
            </w:r>
          </w:p>
        </w:tc>
      </w:tr>
      <w:tr>
        <w:trPr>
          <w:trHeight w:val="264"/>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2"/>
                <w:szCs w:val="22"/>
                <w:color w:val="auto"/>
              </w:rPr>
            </w:pPr>
          </w:p>
        </w:tc>
        <w:tc>
          <w:tcPr>
            <w:tcW w:w="1140" w:type="dxa"/>
            <w:vAlign w:val="bottom"/>
            <w:shd w:val="clear" w:color="auto" w:fill="CCEEFF"/>
          </w:tcPr>
          <w:p>
            <w:pPr>
              <w:spacing w:after="0"/>
              <w:rPr>
                <w:sz w:val="22"/>
                <w:szCs w:val="22"/>
                <w:color w:val="auto"/>
              </w:rPr>
            </w:pPr>
          </w:p>
        </w:tc>
        <w:tc>
          <w:tcPr>
            <w:tcW w:w="1300" w:type="dxa"/>
            <w:vAlign w:val="bottom"/>
            <w:shd w:val="clear" w:color="auto" w:fill="CCEEFF"/>
          </w:tcPr>
          <w:p>
            <w:pPr>
              <w:spacing w:after="0"/>
              <w:rPr>
                <w:sz w:val="22"/>
                <w:szCs w:val="22"/>
                <w:color w:val="auto"/>
              </w:rPr>
            </w:pPr>
          </w:p>
        </w:tc>
        <w:tc>
          <w:tcPr>
            <w:tcW w:w="120" w:type="dxa"/>
            <w:vAlign w:val="bottom"/>
            <w:shd w:val="clear" w:color="auto" w:fill="CCEEFF"/>
          </w:tcPr>
          <w:p>
            <w:pPr>
              <w:spacing w:after="0"/>
              <w:rPr>
                <w:sz w:val="22"/>
                <w:szCs w:val="22"/>
                <w:color w:val="auto"/>
              </w:rPr>
            </w:pPr>
          </w:p>
        </w:tc>
        <w:tc>
          <w:tcPr>
            <w:tcW w:w="160" w:type="dxa"/>
            <w:vAlign w:val="bottom"/>
            <w:shd w:val="clear" w:color="auto" w:fill="CCEEFF"/>
          </w:tcPr>
          <w:p>
            <w:pPr>
              <w:spacing w:after="0"/>
              <w:rPr>
                <w:sz w:val="22"/>
                <w:szCs w:val="22"/>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8,657</w:t>
            </w:r>
          </w:p>
        </w:tc>
        <w:tc>
          <w:tcPr>
            <w:tcW w:w="480" w:type="dxa"/>
            <w:vAlign w:val="bottom"/>
            <w:shd w:val="clear" w:color="auto" w:fill="CCEEFF"/>
          </w:tcPr>
          <w:p>
            <w:pPr>
              <w:spacing w:after="0"/>
              <w:rPr>
                <w:sz w:val="22"/>
                <w:szCs w:val="22"/>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412</w:t>
            </w:r>
          </w:p>
        </w:tc>
        <w:tc>
          <w:tcPr>
            <w:tcW w:w="120" w:type="dxa"/>
            <w:vAlign w:val="bottom"/>
            <w:shd w:val="clear" w:color="auto" w:fill="CCEEFF"/>
          </w:tcPr>
          <w:p>
            <w:pPr>
              <w:spacing w:after="0"/>
              <w:rPr>
                <w:sz w:val="22"/>
                <w:szCs w:val="22"/>
                <w:color w:val="auto"/>
              </w:rPr>
            </w:pPr>
          </w:p>
        </w:tc>
        <w:tc>
          <w:tcPr>
            <w:tcW w:w="180" w:type="dxa"/>
            <w:vAlign w:val="bottom"/>
            <w:shd w:val="clear" w:color="auto" w:fill="CCEEFF"/>
          </w:tcPr>
          <w:p>
            <w:pPr>
              <w:spacing w:after="0"/>
              <w:rPr>
                <w:sz w:val="22"/>
                <w:szCs w:val="22"/>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8,245</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2,001.2%</w:t>
            </w:r>
          </w:p>
        </w:tc>
      </w:tr>
      <w:tr>
        <w:trPr>
          <w:trHeight w:val="255"/>
        </w:trPr>
        <w:tc>
          <w:tcPr>
            <w:tcW w:w="3280" w:type="dxa"/>
            <w:vAlign w:val="bottom"/>
            <w:gridSpan w:val="2"/>
          </w:tcPr>
          <w:p>
            <w:pPr>
              <w:ind w:left="40"/>
              <w:spacing w:after="0"/>
              <w:rPr>
                <w:sz w:val="20"/>
                <w:szCs w:val="20"/>
                <w:color w:val="auto"/>
              </w:rPr>
            </w:pPr>
            <w:r>
              <w:rPr>
                <w:rFonts w:ascii="Arial" w:cs="Arial" w:eastAsia="Arial" w:hAnsi="Arial"/>
                <w:sz w:val="16"/>
                <w:szCs w:val="16"/>
                <w:color w:val="auto"/>
              </w:rPr>
              <w:t>Dollars</w:t>
            </w:r>
          </w:p>
        </w:tc>
        <w:tc>
          <w:tcPr>
            <w:tcW w:w="2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300" w:type="dxa"/>
            <w:vAlign w:val="bottom"/>
          </w:tcPr>
          <w:p>
            <w:pPr>
              <w:spacing w:after="0"/>
              <w:rPr>
                <w:sz w:val="22"/>
                <w:szCs w:val="22"/>
                <w:color w:val="auto"/>
              </w:rPr>
            </w:pPr>
          </w:p>
        </w:tc>
        <w:tc>
          <w:tcPr>
            <w:tcW w:w="280" w:type="dxa"/>
            <w:vAlign w:val="bottom"/>
            <w:gridSpan w:val="2"/>
          </w:tcPr>
          <w:p>
            <w:pPr>
              <w:jc w:val="right"/>
              <w:ind w:right="60"/>
              <w:spacing w:after="0"/>
              <w:rPr>
                <w:sz w:val="20"/>
                <w:szCs w:val="20"/>
                <w:color w:val="auto"/>
              </w:rPr>
            </w:pPr>
            <w:r>
              <w:rPr>
                <w:rFonts w:ascii="Arial" w:cs="Arial" w:eastAsia="Arial" w:hAnsi="Arial"/>
                <w:sz w:val="16"/>
                <w:szCs w:val="16"/>
                <w:color w:val="auto"/>
              </w:rPr>
              <w:t>$</w:t>
            </w:r>
          </w:p>
        </w:tc>
        <w:tc>
          <w:tcPr>
            <w:tcW w:w="960" w:type="dxa"/>
            <w:vAlign w:val="bottom"/>
          </w:tcPr>
          <w:p>
            <w:pPr>
              <w:jc w:val="right"/>
              <w:spacing w:after="0"/>
              <w:rPr>
                <w:sz w:val="20"/>
                <w:szCs w:val="20"/>
                <w:color w:val="auto"/>
              </w:rPr>
            </w:pPr>
            <w:r>
              <w:rPr>
                <w:rFonts w:ascii="Arial" w:cs="Arial" w:eastAsia="Arial" w:hAnsi="Arial"/>
                <w:sz w:val="16"/>
                <w:szCs w:val="16"/>
                <w:color w:val="auto"/>
              </w:rPr>
              <w:t>269,965</w:t>
            </w:r>
          </w:p>
        </w:tc>
        <w:tc>
          <w:tcPr>
            <w:tcW w:w="480" w:type="dxa"/>
            <w:vAlign w:val="bottom"/>
          </w:tcPr>
          <w:p>
            <w:pPr>
              <w:jc w:val="right"/>
              <w:ind w:right="199"/>
              <w:spacing w:after="0"/>
              <w:rPr>
                <w:sz w:val="20"/>
                <w:szCs w:val="20"/>
                <w:color w:val="auto"/>
              </w:rPr>
            </w:pPr>
            <w:r>
              <w:rPr>
                <w:rFonts w:ascii="Arial" w:cs="Arial" w:eastAsia="Arial" w:hAnsi="Arial"/>
                <w:sz w:val="16"/>
                <w:szCs w:val="16"/>
                <w:color w:val="auto"/>
              </w:rPr>
              <w:t>$</w:t>
            </w:r>
          </w:p>
        </w:tc>
        <w:tc>
          <w:tcPr>
            <w:tcW w:w="1100" w:type="dxa"/>
            <w:vAlign w:val="bottom"/>
          </w:tcPr>
          <w:p>
            <w:pPr>
              <w:jc w:val="right"/>
              <w:ind w:right="339"/>
              <w:spacing w:after="0"/>
              <w:rPr>
                <w:sz w:val="20"/>
                <w:szCs w:val="20"/>
                <w:color w:val="auto"/>
              </w:rPr>
            </w:pPr>
            <w:r>
              <w:rPr>
                <w:rFonts w:ascii="Arial" w:cs="Arial" w:eastAsia="Arial" w:hAnsi="Arial"/>
                <w:sz w:val="16"/>
                <w:szCs w:val="16"/>
                <w:color w:val="auto"/>
              </w:rPr>
              <w:t>8,058</w:t>
            </w:r>
          </w:p>
        </w:tc>
        <w:tc>
          <w:tcPr>
            <w:tcW w:w="12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79"/>
              <w:spacing w:after="0"/>
              <w:rPr>
                <w:sz w:val="20"/>
                <w:szCs w:val="20"/>
                <w:color w:val="auto"/>
              </w:rPr>
            </w:pPr>
            <w:r>
              <w:rPr>
                <w:rFonts w:ascii="Arial" w:cs="Arial" w:eastAsia="Arial" w:hAnsi="Arial"/>
                <w:sz w:val="16"/>
                <w:szCs w:val="16"/>
                <w:color w:val="auto"/>
              </w:rPr>
              <w:t>261,907</w:t>
            </w:r>
          </w:p>
        </w:tc>
        <w:tc>
          <w:tcPr>
            <w:tcW w:w="1220" w:type="dxa"/>
            <w:vAlign w:val="bottom"/>
          </w:tcPr>
          <w:p>
            <w:pPr>
              <w:jc w:val="right"/>
              <w:ind w:right="79"/>
              <w:spacing w:after="0"/>
              <w:rPr>
                <w:sz w:val="20"/>
                <w:szCs w:val="20"/>
                <w:color w:val="auto"/>
              </w:rPr>
            </w:pPr>
            <w:r>
              <w:rPr>
                <w:rFonts w:ascii="Arial" w:cs="Arial" w:eastAsia="Arial" w:hAnsi="Arial"/>
                <w:sz w:val="16"/>
                <w:szCs w:val="16"/>
                <w:color w:val="auto"/>
              </w:rPr>
              <w:t>3,250.3%</w:t>
            </w:r>
          </w:p>
        </w:tc>
      </w:tr>
      <w:tr>
        <w:trPr>
          <w:trHeight w:val="552"/>
        </w:trPr>
        <w:tc>
          <w:tcPr>
            <w:tcW w:w="3280" w:type="dxa"/>
            <w:vAlign w:val="bottom"/>
            <w:tcBorders>
              <w:bottom w:val="single" w:sz="8" w:color="auto"/>
            </w:tcBorders>
            <w:gridSpan w:val="2"/>
          </w:tcPr>
          <w:p>
            <w:pPr>
              <w:ind w:left="40"/>
              <w:spacing w:after="0"/>
              <w:rPr>
                <w:sz w:val="20"/>
                <w:szCs w:val="20"/>
                <w:color w:val="auto"/>
              </w:rPr>
            </w:pPr>
            <w:r>
              <w:rPr>
                <w:rFonts w:ascii="Arial" w:cs="Arial" w:eastAsia="Arial" w:hAnsi="Arial"/>
                <w:sz w:val="16"/>
                <w:szCs w:val="16"/>
                <w:b w:val="1"/>
                <w:bCs w:val="1"/>
                <w:color w:val="auto"/>
              </w:rPr>
              <w:t>Dealer Inventory</w:t>
            </w:r>
          </w:p>
        </w:tc>
        <w:tc>
          <w:tcPr>
            <w:tcW w:w="20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60" w:type="dxa"/>
            <w:vAlign w:val="bottom"/>
            <w:tcBorders>
              <w:bottom w:val="single" w:sz="8" w:color="CCEEFF"/>
            </w:tcBorders>
          </w:tcPr>
          <w:p>
            <w:pPr>
              <w:spacing w:after="0"/>
              <w:rPr>
                <w:sz w:val="24"/>
                <w:szCs w:val="24"/>
                <w:color w:val="auto"/>
              </w:rPr>
            </w:pPr>
          </w:p>
        </w:tc>
        <w:tc>
          <w:tcPr>
            <w:tcW w:w="960" w:type="dxa"/>
            <w:vAlign w:val="bottom"/>
            <w:tcBorders>
              <w:bottom w:val="single" w:sz="8" w:color="CCEEFF"/>
            </w:tcBorders>
          </w:tcPr>
          <w:p>
            <w:pPr>
              <w:spacing w:after="0"/>
              <w:rPr>
                <w:sz w:val="24"/>
                <w:szCs w:val="24"/>
                <w:color w:val="auto"/>
              </w:rPr>
            </w:pPr>
          </w:p>
        </w:tc>
        <w:tc>
          <w:tcPr>
            <w:tcW w:w="480" w:type="dxa"/>
            <w:vAlign w:val="bottom"/>
            <w:tcBorders>
              <w:bottom w:val="single" w:sz="8" w:color="CCEEFF"/>
            </w:tcBorders>
          </w:tcPr>
          <w:p>
            <w:pPr>
              <w:spacing w:after="0"/>
              <w:rPr>
                <w:sz w:val="24"/>
                <w:szCs w:val="24"/>
                <w:color w:val="auto"/>
              </w:rPr>
            </w:pPr>
          </w:p>
        </w:tc>
        <w:tc>
          <w:tcPr>
            <w:tcW w:w="1100" w:type="dxa"/>
            <w:vAlign w:val="bottom"/>
            <w:tcBorders>
              <w:bottom w:val="single" w:sz="8" w:color="CCEEFF"/>
            </w:tcBorders>
          </w:tcPr>
          <w:p>
            <w:pPr>
              <w:spacing w:after="0"/>
              <w:rPr>
                <w:sz w:val="24"/>
                <w:szCs w:val="24"/>
                <w:color w:val="auto"/>
              </w:rPr>
            </w:pPr>
          </w:p>
        </w:tc>
        <w:tc>
          <w:tcPr>
            <w:tcW w:w="120" w:type="dxa"/>
            <w:vAlign w:val="bottom"/>
            <w:tcBorders>
              <w:bottom w:val="single" w:sz="8" w:color="CCEEFF"/>
            </w:tcBorders>
          </w:tcPr>
          <w:p>
            <w:pPr>
              <w:spacing w:after="0"/>
              <w:rPr>
                <w:sz w:val="24"/>
                <w:szCs w:val="24"/>
                <w:color w:val="auto"/>
              </w:rPr>
            </w:pPr>
          </w:p>
        </w:tc>
        <w:tc>
          <w:tcPr>
            <w:tcW w:w="180" w:type="dxa"/>
            <w:vAlign w:val="bottom"/>
            <w:tcBorders>
              <w:bottom w:val="single" w:sz="8" w:color="CCEEFF"/>
            </w:tcBorders>
          </w:tcPr>
          <w:p>
            <w:pPr>
              <w:spacing w:after="0"/>
              <w:rPr>
                <w:sz w:val="24"/>
                <w:szCs w:val="24"/>
                <w:color w:val="auto"/>
              </w:rPr>
            </w:pPr>
          </w:p>
        </w:tc>
        <w:tc>
          <w:tcPr>
            <w:tcW w:w="1160" w:type="dxa"/>
            <w:vAlign w:val="bottom"/>
            <w:tcBorders>
              <w:bottom w:val="single" w:sz="8" w:color="CCEEFF"/>
            </w:tcBorders>
          </w:tcPr>
          <w:p>
            <w:pPr>
              <w:spacing w:after="0"/>
              <w:rPr>
                <w:sz w:val="24"/>
                <w:szCs w:val="24"/>
                <w:color w:val="auto"/>
              </w:rPr>
            </w:pPr>
          </w:p>
        </w:tc>
        <w:tc>
          <w:tcPr>
            <w:tcW w:w="1220" w:type="dxa"/>
            <w:vAlign w:val="bottom"/>
            <w:tcBorders>
              <w:bottom w:val="single" w:sz="8" w:color="CCEEFF"/>
            </w:tcBorders>
          </w:tcPr>
          <w:p>
            <w:pPr>
              <w:spacing w:after="0"/>
              <w:rPr>
                <w:sz w:val="24"/>
                <w:szCs w:val="24"/>
                <w:color w:val="auto"/>
              </w:rPr>
            </w:pPr>
          </w:p>
        </w:tc>
      </w:tr>
      <w:tr>
        <w:trPr>
          <w:trHeight w:val="267"/>
        </w:trPr>
        <w:tc>
          <w:tcPr>
            <w:tcW w:w="328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Units</w:t>
            </w:r>
          </w:p>
        </w:tc>
        <w:tc>
          <w:tcPr>
            <w:tcW w:w="200" w:type="dxa"/>
            <w:vAlign w:val="bottom"/>
            <w:shd w:val="clear" w:color="auto" w:fill="CCEEFF"/>
          </w:tcPr>
          <w:p>
            <w:pPr>
              <w:spacing w:after="0"/>
              <w:rPr>
                <w:sz w:val="23"/>
                <w:szCs w:val="23"/>
                <w:color w:val="auto"/>
              </w:rPr>
            </w:pPr>
          </w:p>
        </w:tc>
        <w:tc>
          <w:tcPr>
            <w:tcW w:w="1140" w:type="dxa"/>
            <w:vAlign w:val="bottom"/>
            <w:shd w:val="clear" w:color="auto" w:fill="CCEEFF"/>
          </w:tcPr>
          <w:p>
            <w:pPr>
              <w:spacing w:after="0"/>
              <w:rPr>
                <w:sz w:val="23"/>
                <w:szCs w:val="23"/>
                <w:color w:val="auto"/>
              </w:rPr>
            </w:pPr>
          </w:p>
        </w:tc>
        <w:tc>
          <w:tcPr>
            <w:tcW w:w="13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9,520</w:t>
            </w:r>
          </w:p>
        </w:tc>
        <w:tc>
          <w:tcPr>
            <w:tcW w:w="480" w:type="dxa"/>
            <w:vAlign w:val="bottom"/>
            <w:shd w:val="clear" w:color="auto" w:fill="CCEEFF"/>
          </w:tcPr>
          <w:p>
            <w:pPr>
              <w:spacing w:after="0"/>
              <w:rPr>
                <w:sz w:val="23"/>
                <w:szCs w:val="23"/>
                <w:color w:val="auto"/>
              </w:rPr>
            </w:pPr>
          </w:p>
        </w:tc>
        <w:tc>
          <w:tcPr>
            <w:tcW w:w="1100" w:type="dxa"/>
            <w:vAlign w:val="bottom"/>
            <w:shd w:val="clear" w:color="auto" w:fill="CCEEFF"/>
          </w:tcPr>
          <w:p>
            <w:pPr>
              <w:jc w:val="right"/>
              <w:ind w:right="339"/>
              <w:spacing w:after="0"/>
              <w:rPr>
                <w:sz w:val="20"/>
                <w:szCs w:val="20"/>
                <w:color w:val="auto"/>
              </w:rPr>
            </w:pPr>
            <w:r>
              <w:rPr>
                <w:rFonts w:ascii="Arial" w:cs="Arial" w:eastAsia="Arial" w:hAnsi="Arial"/>
                <w:sz w:val="16"/>
                <w:szCs w:val="16"/>
                <w:color w:val="auto"/>
              </w:rPr>
              <w:t>2,358</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16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7,162</w:t>
            </w:r>
          </w:p>
        </w:tc>
        <w:tc>
          <w:tcPr>
            <w:tcW w:w="122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303.7%</w:t>
            </w:r>
          </w:p>
        </w:tc>
      </w:tr>
    </w:tbl>
    <w:p>
      <w:pPr>
        <w:spacing w:after="0" w:line="140" w:lineRule="exact"/>
        <w:rPr>
          <w:sz w:val="20"/>
          <w:szCs w:val="20"/>
          <w:color w:val="auto"/>
        </w:rPr>
      </w:pPr>
    </w:p>
    <w:p>
      <w:pPr>
        <w:ind w:left="160" w:hanging="152"/>
        <w:spacing w:after="0"/>
        <w:tabs>
          <w:tab w:leader="none" w:pos="160" w:val="left"/>
        </w:tabs>
        <w:numPr>
          <w:ilvl w:val="0"/>
          <w:numId w:val="18"/>
        </w:numPr>
        <w:rPr>
          <w:rFonts w:ascii="Arial" w:cs="Arial" w:eastAsia="Arial" w:hAnsi="Arial"/>
          <w:sz w:val="9"/>
          <w:szCs w:val="9"/>
          <w:color w:val="auto"/>
        </w:rPr>
      </w:pPr>
      <w:r>
        <w:rPr>
          <w:rFonts w:ascii="Arial" w:cs="Arial" w:eastAsia="Arial" w:hAnsi="Arial"/>
          <w:sz w:val="13"/>
          <w:szCs w:val="13"/>
          <w:color w:val="auto"/>
        </w:rPr>
        <w:t>Percentages may not add due to rounding differences.</w:t>
      </w:r>
    </w:p>
    <w:p>
      <w:pPr>
        <w:spacing w:after="0" w:line="15" w:lineRule="exact"/>
        <w:rPr>
          <w:rFonts w:ascii="Arial" w:cs="Arial" w:eastAsia="Arial" w:hAnsi="Arial"/>
          <w:sz w:val="9"/>
          <w:szCs w:val="9"/>
          <w:color w:val="auto"/>
        </w:rPr>
      </w:pPr>
    </w:p>
    <w:p>
      <w:pPr>
        <w:ind w:right="360" w:firstLine="8"/>
        <w:spacing w:after="0" w:line="245" w:lineRule="auto"/>
        <w:tabs>
          <w:tab w:leader="none" w:pos="145" w:val="left"/>
        </w:tabs>
        <w:numPr>
          <w:ilvl w:val="0"/>
          <w:numId w:val="18"/>
        </w:numPr>
        <w:rPr>
          <w:rFonts w:ascii="Arial" w:cs="Arial" w:eastAsia="Arial" w:hAnsi="Arial"/>
          <w:sz w:val="9"/>
          <w:szCs w:val="9"/>
          <w:color w:val="auto"/>
        </w:rPr>
      </w:pPr>
      <w:r>
        <w:rPr>
          <w:rFonts w:ascii="Arial" w:cs="Arial" w:eastAsia="Arial" w:hAnsi="Arial"/>
          <w:sz w:val="13"/>
          <w:szCs w:val="13"/>
          <w:color w:val="auto"/>
        </w:rPr>
        <w:t>We include in our backlog all accepted orders from dealers to be shipped within the next six months. Orders in backlog can be cancelled or postponed at the option of the dealer at any time without penalty and, therefore, backlog may not necessarily be an accurate measure of future sales.</w:t>
      </w:r>
    </w:p>
    <w:p>
      <w:pPr>
        <w:spacing w:after="0" w:line="155" w:lineRule="exact"/>
        <w:rPr>
          <w:sz w:val="20"/>
          <w:szCs w:val="20"/>
          <w:color w:val="auto"/>
        </w:rPr>
      </w:pPr>
    </w:p>
    <w:p>
      <w:pPr>
        <w:ind w:right="20"/>
        <w:spacing w:after="0" w:line="304" w:lineRule="auto"/>
        <w:rPr>
          <w:sz w:val="20"/>
          <w:szCs w:val="20"/>
          <w:color w:val="auto"/>
        </w:rPr>
      </w:pPr>
      <w:r>
        <w:rPr>
          <w:rFonts w:ascii="Arial" w:cs="Arial" w:eastAsia="Arial" w:hAnsi="Arial"/>
          <w:sz w:val="16"/>
          <w:szCs w:val="16"/>
          <w:color w:val="auto"/>
        </w:rPr>
        <w:t>Towable net revenues increased $393.6 million in the first nine months of Fiscal 2017 as compared to the first nine months of Fiscal 2016. This was primarily due to the acquisition of Grand Design which added revenues of $366.3 million in the first nine months. In addition, Winnebago-branded towable revenues rose $27.3 million or 43.5% in the first nine months.</w:t>
      </w:r>
    </w:p>
    <w:p>
      <w:pPr>
        <w:spacing w:after="0" w:line="125" w:lineRule="exact"/>
        <w:rPr>
          <w:sz w:val="20"/>
          <w:szCs w:val="20"/>
          <w:color w:val="auto"/>
        </w:rPr>
      </w:pPr>
    </w:p>
    <w:p>
      <w:pPr>
        <w:ind w:right="300"/>
        <w:spacing w:after="0" w:line="257" w:lineRule="auto"/>
        <w:rPr>
          <w:sz w:val="20"/>
          <w:szCs w:val="20"/>
          <w:color w:val="auto"/>
        </w:rPr>
      </w:pPr>
      <w:r>
        <w:rPr>
          <w:rFonts w:ascii="Arial" w:cs="Arial" w:eastAsia="Arial" w:hAnsi="Arial"/>
          <w:sz w:val="16"/>
          <w:szCs w:val="16"/>
          <w:color w:val="auto"/>
        </w:rPr>
        <w:t>Towable unit deliveries grew by 400.0% in the first nine months of Fiscal 2017 primarily due to the acquisition of Grand Design and also due to Towables growth in excess of recent industry trends. With the addition of Grand Design in November, our towables market share increased from 1.0% to 3.1% when comparing shipments during the twelve month trailing periods ended April 2016 and April 2017. The addition of Grand Design has also resulted in a higher ASP due to a greater proportion of higher-priced fifth wheel units for the first nine months of Fiscal 2017 compared to the same period in Fiscal 2016. Other strong increases in backlog and the dealer inventory turn ratio have been influenced by the acquisition of Grand Design.</w:t>
      </w:r>
    </w:p>
    <w:p>
      <w:pPr>
        <w:spacing w:after="0" w:line="149" w:lineRule="exact"/>
        <w:rPr>
          <w:sz w:val="20"/>
          <w:szCs w:val="20"/>
          <w:color w:val="auto"/>
        </w:rPr>
      </w:pPr>
    </w:p>
    <w:p>
      <w:pPr>
        <w:ind w:right="100"/>
        <w:spacing w:after="0" w:line="261" w:lineRule="auto"/>
        <w:rPr>
          <w:sz w:val="20"/>
          <w:szCs w:val="20"/>
          <w:color w:val="auto"/>
        </w:rPr>
      </w:pPr>
      <w:r>
        <w:rPr>
          <w:rFonts w:ascii="Arial" w:cs="Arial" w:eastAsia="Arial" w:hAnsi="Arial"/>
          <w:sz w:val="16"/>
          <w:szCs w:val="16"/>
          <w:color w:val="auto"/>
        </w:rPr>
        <w:t>Towable segment Adjusted EBITDA excludes the costs associated with the acquisition and as such increased $55.2 million. This increase illustrates the favorable impact of Grand Design and the organic growth of Winnebago-branded towables. We achieved strong results in our Towables segment, where shipments grew much faster than the industry as a result of greater penetration of our new products and further expansion of our distribution base. We believe we can continue to achieve growth in excess of the overall towables market projections for the remainder of Fiscal 2017.</w:t>
      </w:r>
    </w:p>
    <w:p>
      <w:pPr>
        <w:spacing w:after="0" w:line="170"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Analysis of Financial Condition, Liquidity and Resources</w:t>
      </w:r>
    </w:p>
    <w:p>
      <w:pPr>
        <w:spacing w:after="0" w:line="169" w:lineRule="exact"/>
        <w:rPr>
          <w:sz w:val="20"/>
          <w:szCs w:val="20"/>
          <w:color w:val="auto"/>
        </w:rPr>
      </w:pPr>
    </w:p>
    <w:p>
      <w:pPr>
        <w:spacing w:after="0" w:line="291" w:lineRule="auto"/>
        <w:rPr>
          <w:sz w:val="20"/>
          <w:szCs w:val="20"/>
          <w:color w:val="auto"/>
        </w:rPr>
      </w:pPr>
      <w:r>
        <w:rPr>
          <w:rFonts w:ascii="Arial" w:cs="Arial" w:eastAsia="Arial" w:hAnsi="Arial"/>
          <w:sz w:val="16"/>
          <w:szCs w:val="16"/>
          <w:color w:val="auto"/>
        </w:rPr>
        <w:t>Cash and cash equivalents decreased $61.2 million during the first nine months of Fiscal 2017 and totaled $24.4 million as of May 27, 2017. Significant liquidity events that occurred during the first nine months of Fiscal 2017 were:</w:t>
      </w:r>
    </w:p>
    <w:p>
      <w:pPr>
        <w:spacing w:after="0" w:line="94"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Generation of net income of $46.4 million</w:t>
      </w:r>
    </w:p>
    <w:p>
      <w:pPr>
        <w:spacing w:after="0" w:line="2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Acquisition of Grand Design for $520.5 million of which $396.4 million was cash and $124.1 million was in Winnebago stock</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Entered into a new Credit Facility with $125.0 million available in an ABL and $300.0 million in Term Loan (see details below)</w:t>
      </w:r>
    </w:p>
    <w:p>
      <w:pPr>
        <w:spacing w:after="0" w:line="5" w:lineRule="exact"/>
        <w:rPr>
          <w:rFonts w:ascii="Arial" w:cs="Arial" w:eastAsia="Arial" w:hAnsi="Arial"/>
          <w:sz w:val="16"/>
          <w:szCs w:val="16"/>
          <w:color w:val="auto"/>
        </w:rPr>
      </w:pPr>
    </w:p>
    <w:p>
      <w:pPr>
        <w:ind w:left="340" w:right="100" w:hanging="332"/>
        <w:spacing w:after="0" w:line="246" w:lineRule="auto"/>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Total borrowings at May 27, 2017 were $297.0 million, and we have an additional $125.0 million available to borrow under the revolving credit agreement, subject to sufficient borrowing base.</w:t>
      </w: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Loan repayments were $69.4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in payables of $32.8 million partially offset by an increase in receivables of $21.3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Increase in inventory of $7.5 million</w:t>
      </w:r>
    </w:p>
    <w:p>
      <w:pPr>
        <w:spacing w:after="0" w:line="5" w:lineRule="exact"/>
        <w:rPr>
          <w:rFonts w:ascii="Arial" w:cs="Arial" w:eastAsia="Arial" w:hAnsi="Arial"/>
          <w:sz w:val="16"/>
          <w:szCs w:val="16"/>
          <w:color w:val="auto"/>
        </w:rPr>
      </w:pPr>
    </w:p>
    <w:p>
      <w:pPr>
        <w:ind w:left="340" w:hanging="332"/>
        <w:spacing w:after="0"/>
        <w:tabs>
          <w:tab w:leader="none" w:pos="340" w:val="left"/>
        </w:tabs>
        <w:numPr>
          <w:ilvl w:val="0"/>
          <w:numId w:val="19"/>
        </w:numPr>
        <w:rPr>
          <w:rFonts w:ascii="Arial" w:cs="Arial" w:eastAsia="Arial" w:hAnsi="Arial"/>
          <w:sz w:val="16"/>
          <w:szCs w:val="16"/>
          <w:color w:val="auto"/>
        </w:rPr>
      </w:pPr>
      <w:r>
        <w:rPr>
          <w:rFonts w:ascii="Arial" w:cs="Arial" w:eastAsia="Arial" w:hAnsi="Arial"/>
          <w:sz w:val="16"/>
          <w:szCs w:val="16"/>
          <w:color w:val="auto"/>
        </w:rPr>
        <w:t>Dividend payments of $9.6 million</w:t>
      </w:r>
    </w:p>
    <w:p>
      <w:pPr>
        <w:spacing w:after="0" w:line="174" w:lineRule="exact"/>
        <w:rPr>
          <w:sz w:val="20"/>
          <w:szCs w:val="20"/>
          <w:color w:val="auto"/>
        </w:rPr>
      </w:pPr>
    </w:p>
    <w:p>
      <w:pPr>
        <w:ind w:right="340"/>
        <w:spacing w:after="0" w:line="291" w:lineRule="auto"/>
        <w:rPr>
          <w:sz w:val="20"/>
          <w:szCs w:val="20"/>
          <w:color w:val="auto"/>
        </w:rPr>
      </w:pPr>
      <w:r>
        <w:rPr>
          <w:rFonts w:ascii="Arial" w:cs="Arial" w:eastAsia="Arial" w:hAnsi="Arial"/>
          <w:sz w:val="16"/>
          <w:szCs w:val="16"/>
          <w:color w:val="auto"/>
        </w:rPr>
        <w:t>Working capital at May 27, 2017 and August 27, 2016 was $120.8 million and $187.6 million, respectively, a decrease of $66.8 million. We currently expect cash on hand, cash collected on receivables, funds generated from operations and the</w:t>
      </w:r>
    </w:p>
    <w:p>
      <w:pPr>
        <w:sectPr>
          <w:pgSz w:w="11900" w:h="16838" w:orient="portrait"/>
          <w:cols w:equalWidth="0" w:num="1">
            <w:col w:w="11420"/>
          </w:cols>
          <w:pgMar w:left="240" w:top="121" w:right="239" w:bottom="1440" w:gutter="0" w:footer="0" w:header="0"/>
        </w:sectPr>
      </w:pPr>
    </w:p>
    <w:p>
      <w:pPr>
        <w:spacing w:after="0" w:line="337"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29</w:t>
      </w:r>
    </w:p>
    <w:p>
      <w:pPr>
        <w:sectPr>
          <w:pgSz w:w="11900" w:h="16838" w:orient="portrait"/>
          <w:cols w:equalWidth="0" w:num="1">
            <w:col w:w="11420"/>
          </w:cols>
          <w:pgMar w:left="240" w:top="121" w:right="239" w:bottom="1440" w:gutter="0" w:footer="0" w:header="0"/>
          <w:type w:val="continuous"/>
        </w:sectPr>
      </w:pPr>
    </w:p>
    <w:bookmarkStart w:id="31" w:name="page32"/>
    <w:bookmarkEnd w:id="31"/>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720"/>
        <w:spacing w:after="0" w:line="291" w:lineRule="auto"/>
        <w:rPr>
          <w:sz w:val="20"/>
          <w:szCs w:val="20"/>
          <w:color w:val="auto"/>
        </w:rPr>
      </w:pPr>
      <w:r>
        <w:rPr>
          <w:rFonts w:ascii="Arial" w:cs="Arial" w:eastAsia="Arial" w:hAnsi="Arial"/>
          <w:sz w:val="16"/>
          <w:szCs w:val="16"/>
          <w:color w:val="auto"/>
        </w:rPr>
        <w:t>availability under our ABL to be sufficient to cover both short-term and long-term operating requirements for the next 12 months. We anticipate capital expenditures in the remainder of Fiscal 2017 to be approximately $5 - 7 million.</w:t>
      </w:r>
    </w:p>
    <w:p>
      <w:pPr>
        <w:spacing w:after="0" w:line="175" w:lineRule="exact"/>
        <w:rPr>
          <w:sz w:val="20"/>
          <w:szCs w:val="20"/>
          <w:color w:val="auto"/>
        </w:rPr>
      </w:pPr>
    </w:p>
    <w:p>
      <w:pPr>
        <w:ind w:right="340"/>
        <w:spacing w:after="0" w:line="269" w:lineRule="auto"/>
        <w:rPr>
          <w:sz w:val="20"/>
          <w:szCs w:val="20"/>
          <w:color w:val="auto"/>
        </w:rPr>
      </w:pPr>
      <w:r>
        <w:rPr>
          <w:rFonts w:ascii="Arial" w:cs="Arial" w:eastAsia="Arial" w:hAnsi="Arial"/>
          <w:sz w:val="16"/>
          <w:szCs w:val="16"/>
          <w:color w:val="auto"/>
        </w:rPr>
        <w:t>Share repurchases of $1.4 million in the first nine months of Fiscal 2017 were to satisfy tax obligations on employee equity awards vested. We continually evaluate if share repurchases reflects a prudent use of our capital and, subject to compliance with the ABL and Term Loan, we may purchase shares in the remainder of Fiscal 2017. At May 27, 2017 we have $2.6 million remaining on our board repurchase authorization. See Part II, Item 2 of this Form 10-Q.</w:t>
      </w:r>
    </w:p>
    <w:p>
      <w:pPr>
        <w:spacing w:after="0" w:line="113"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Operating Activities</w:t>
      </w:r>
    </w:p>
    <w:p>
      <w:pPr>
        <w:spacing w:after="0" w:line="165" w:lineRule="exact"/>
        <w:rPr>
          <w:sz w:val="20"/>
          <w:szCs w:val="20"/>
          <w:color w:val="auto"/>
        </w:rPr>
      </w:pPr>
    </w:p>
    <w:p>
      <w:pPr>
        <w:ind w:right="40"/>
        <w:spacing w:after="0" w:line="254" w:lineRule="auto"/>
        <w:rPr>
          <w:sz w:val="20"/>
          <w:szCs w:val="20"/>
          <w:color w:val="auto"/>
        </w:rPr>
      </w:pPr>
      <w:r>
        <w:rPr>
          <w:rFonts w:ascii="Arial" w:cs="Arial" w:eastAsia="Arial" w:hAnsi="Arial"/>
          <w:sz w:val="16"/>
          <w:szCs w:val="16"/>
          <w:color w:val="auto"/>
        </w:rPr>
        <w:t>Cash provided by operating activities was $67.4 million for the nine months ended May 27, 2017 compared to $31.7 million for the nine months ended May 28, 2016. In Fiscal 2017 the combination of net income of $46.4 million and changes in non-cash charges (e.g. amortization, depreciation, LIFO, stock-based compensation, deferred income taxes) partially offset by the non-cash reduction of the postretirement health care liability of $23.7 million provided $60.0 million of operating cash. Changes in assets and liabilities (primarily increases in accounts payable and accrued expenses that were partially offset by increases in receivables) provided $7.3 million of operating cash in the first nine months ended May 27, 2017. In the nine months ended May 28, 2016, the combination of net income of $32.4 million adjusted for non-cash charges (e.g., depreciation, LIFO, stock-based compensation) provided $38.7 million of operating cash. Changes in assets and liabilities (primarily increases in inventories) used $6.9 million of operating cash.</w:t>
      </w:r>
    </w:p>
    <w:p>
      <w:pPr>
        <w:spacing w:after="0" w:line="125"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Investing Activities</w:t>
      </w:r>
    </w:p>
    <w:p>
      <w:pPr>
        <w:spacing w:after="0" w:line="246" w:lineRule="exact"/>
        <w:rPr>
          <w:sz w:val="20"/>
          <w:szCs w:val="20"/>
          <w:color w:val="auto"/>
        </w:rPr>
      </w:pPr>
    </w:p>
    <w:p>
      <w:pPr>
        <w:ind w:right="200"/>
        <w:spacing w:after="0" w:line="261" w:lineRule="auto"/>
        <w:rPr>
          <w:sz w:val="20"/>
          <w:szCs w:val="20"/>
          <w:color w:val="auto"/>
        </w:rPr>
      </w:pPr>
      <w:r>
        <w:rPr>
          <w:rFonts w:ascii="Arial" w:cs="Arial" w:eastAsia="Arial" w:hAnsi="Arial"/>
          <w:sz w:val="16"/>
          <w:szCs w:val="16"/>
          <w:color w:val="auto"/>
        </w:rPr>
        <w:t>Cash used in investing activities of $403.5 million for the nine months ended May 27, 2017 was due primarily to the acquisition of Grand Design for which we paid cash of $394.7 million, net of cash acquired, in addition to issuing Winnebago stock with a value of $124.1 million at closing. Capital expenditures were $9.7 million for the nine months ended May 27, 2017. In the nine months ended May 28, 2016, cash used in investing activities of $19.5 million was due primarily to capital expenditures of $19.9 million.</w:t>
      </w:r>
    </w:p>
    <w:p>
      <w:pPr>
        <w:spacing w:after="0" w:line="201"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Financing Activities</w:t>
      </w:r>
    </w:p>
    <w:p>
      <w:pPr>
        <w:spacing w:after="0" w:line="179" w:lineRule="exact"/>
        <w:rPr>
          <w:sz w:val="20"/>
          <w:szCs w:val="20"/>
          <w:color w:val="auto"/>
        </w:rPr>
      </w:pPr>
    </w:p>
    <w:p>
      <w:pPr>
        <w:ind w:right="20"/>
        <w:spacing w:after="0" w:line="283" w:lineRule="auto"/>
        <w:rPr>
          <w:sz w:val="20"/>
          <w:szCs w:val="20"/>
          <w:color w:val="auto"/>
        </w:rPr>
      </w:pPr>
      <w:r>
        <w:rPr>
          <w:rFonts w:ascii="Arial" w:cs="Arial" w:eastAsia="Arial" w:hAnsi="Arial"/>
          <w:sz w:val="16"/>
          <w:szCs w:val="16"/>
          <w:color w:val="auto"/>
        </w:rPr>
        <w:t>Cash provided by financing activities of $275.0 million for the nine months ended May 27, 2017 was primarily due to cash proceeds from the new Credit Facility (discussed below) of $366.4 million, partially offset by payments on the new Credit Facility of $69.4 million</w:t>
      </w:r>
      <w:r>
        <w:rPr>
          <w:rFonts w:ascii="Times New Roman" w:cs="Times New Roman" w:eastAsia="Times New Roman" w:hAnsi="Times New Roman"/>
          <w:sz w:val="18"/>
          <w:szCs w:val="18"/>
          <w:color w:val="auto"/>
        </w:rPr>
        <w:t>,</w:t>
      </w:r>
      <w:r>
        <w:rPr>
          <w:rFonts w:ascii="Arial" w:cs="Arial" w:eastAsia="Arial" w:hAnsi="Arial"/>
          <w:sz w:val="16"/>
          <w:szCs w:val="16"/>
          <w:color w:val="auto"/>
        </w:rPr>
        <w:t xml:space="preserve"> $11.0 million for the payment of debt issuance costs, and $9.6 million for the payment of dividends. The repayments on the new Credit Facility included the full repayment of amounts borrowed under the ABL to finance the acquisition of Grand Design in the first quarter. Cash used in financing activities of $11.2 million for the nine months ended May 28, 2016 was due to $8.2 million for payments of dividends and $3.1 million for repurchases of our stock.</w:t>
      </w:r>
    </w:p>
    <w:p>
      <w:pPr>
        <w:spacing w:after="0" w:line="143" w:lineRule="exact"/>
        <w:rPr>
          <w:sz w:val="20"/>
          <w:szCs w:val="20"/>
          <w:color w:val="auto"/>
        </w:rPr>
      </w:pPr>
    </w:p>
    <w:p>
      <w:pPr>
        <w:ind w:right="380"/>
        <w:spacing w:after="0" w:line="291" w:lineRule="auto"/>
        <w:rPr>
          <w:sz w:val="20"/>
          <w:szCs w:val="20"/>
          <w:color w:val="auto"/>
        </w:rPr>
      </w:pPr>
      <w:r>
        <w:rPr>
          <w:rFonts w:ascii="Arial" w:cs="Arial" w:eastAsia="Arial" w:hAnsi="Arial"/>
          <w:sz w:val="16"/>
          <w:szCs w:val="16"/>
          <w:color w:val="auto"/>
        </w:rPr>
        <w:t>On November 8, 2016, we entered into new ABL and Term Loan agreements. Under the terms of the Credit Facility, we have a $125.0 million asset-based revolving credit facility and a $300.0 million term loan.</w:t>
      </w:r>
    </w:p>
    <w:p>
      <w:pPr>
        <w:spacing w:after="0" w:line="148"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Under the ABL agreement, we have a 5-year credit facility available on a revolving basis, subject to availability under a borrowing base consisting of 85% of eligible accounts receivable and generally 75% of eligible inventory. The line is available for issuance of letters of credit to a specified limit of $10.0 million.</w:t>
      </w:r>
    </w:p>
    <w:p>
      <w:pPr>
        <w:spacing w:after="0" w:line="148"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Under the ABL agreement, to determine interest due, we can elect to base the rate on the alternate base rate (prime rate, NYFRB rate or adjusted LIBOR for one-month period) plus 0.5% to 1.0%, depending on the amount of borrowings outstanding, or an adjusted LIBOR rate for a period of one, two, three or six months as we select plus 1.50% to 2.0%, depending on the amount of borrowings outstanding. No interest rate was applicable as of May 27, 2017 as the ABL was not drawn. We also pay a commitment fee equal to 0.375% if the average utilized portion is less than or equal to 50%, or 0.25% if the utilized portion is greater than 50% of availability.</w:t>
      </w:r>
    </w:p>
    <w:p>
      <w:pPr>
        <w:spacing w:after="0" w:line="176" w:lineRule="exact"/>
        <w:rPr>
          <w:sz w:val="20"/>
          <w:szCs w:val="20"/>
          <w:color w:val="auto"/>
        </w:rPr>
      </w:pPr>
    </w:p>
    <w:p>
      <w:pPr>
        <w:ind w:right="80"/>
        <w:spacing w:after="0" w:line="253" w:lineRule="auto"/>
        <w:rPr>
          <w:sz w:val="20"/>
          <w:szCs w:val="20"/>
          <w:color w:val="auto"/>
        </w:rPr>
      </w:pPr>
      <w:r>
        <w:rPr>
          <w:rFonts w:ascii="Arial" w:cs="Arial" w:eastAsia="Arial" w:hAnsi="Arial"/>
          <w:sz w:val="16"/>
          <w:szCs w:val="16"/>
          <w:color w:val="auto"/>
        </w:rPr>
        <w:t>Under the Term Loan agreement, we have a 7-year credit facility repayable in quarterly installments in an aggregate amount equal to 1.0% of the original amount of the term loan on March 31, June 30 and September 30, 2017; 1.25% each calendar quarter end thereafter; with the balance payable at the end of 7 years on November 8, 2023. There are mandatory prepayments for proceeds of new debt, sale of significant assets or subsidiaries and annually for 50% of excess cash flow beginning with Fiscal 2017 (the 50% is subject to step-downs to 25% and 0% if the total net leverage ratio is less than 2.5 to 1.0 and 2.0 to</w:t>
      </w:r>
    </w:p>
    <w:p>
      <w:pPr>
        <w:ind w:right="80"/>
        <w:spacing w:after="0" w:line="265" w:lineRule="auto"/>
        <w:rPr>
          <w:sz w:val="20"/>
          <w:szCs w:val="20"/>
          <w:color w:val="auto"/>
        </w:rPr>
      </w:pPr>
      <w:r>
        <w:rPr>
          <w:rFonts w:ascii="Arial" w:cs="Arial" w:eastAsia="Arial" w:hAnsi="Arial"/>
          <w:sz w:val="16"/>
          <w:szCs w:val="16"/>
          <w:color w:val="auto"/>
        </w:rPr>
        <w:t>1.0, respectively, as of the last day of the period). Incremental term loans of up to $125.0 million are available if certain financial ratios and other conditions are met.</w:t>
      </w:r>
    </w:p>
    <w:p>
      <w:pPr>
        <w:spacing w:after="0" w:line="168"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Under the Term Loan agreement, to determine interest due, we can elect to base the rate on an alternate base rate (prime rate, NYFRB rate or adjusted LIBOR for one-month period with a floor of 2.0%) plus 3.50% or an adjusted LIBOR rate for the interest period selected plus 4.50%. The interest rate we were paying as of May 27, 2017 was 5.6%.</w:t>
      </w:r>
    </w:p>
    <w:p>
      <w:pPr>
        <w:spacing w:after="0" w:line="165" w:lineRule="exact"/>
        <w:rPr>
          <w:sz w:val="20"/>
          <w:szCs w:val="20"/>
          <w:color w:val="auto"/>
        </w:rPr>
      </w:pPr>
    </w:p>
    <w:p>
      <w:pPr>
        <w:ind w:right="20"/>
        <w:spacing w:after="0" w:line="269" w:lineRule="auto"/>
        <w:rPr>
          <w:sz w:val="20"/>
          <w:szCs w:val="20"/>
          <w:color w:val="auto"/>
        </w:rPr>
      </w:pPr>
      <w:r>
        <w:rPr>
          <w:rFonts w:ascii="Arial" w:cs="Arial" w:eastAsia="Arial" w:hAnsi="Arial"/>
          <w:sz w:val="16"/>
          <w:szCs w:val="16"/>
          <w:color w:val="auto"/>
        </w:rPr>
        <w:t>Under the Credit Facility, we are required to enter into a hedging arrangement to effectively fix the LIBOR component of interest cost at the prevailing swap rate with a notional amount of at least 50% of the projected outstanding principal amount of the Term Loan. The hedging arrangement needs to be maintained until the later of three years from closing date or the date the leverage</w:t>
      </w:r>
    </w:p>
    <w:p>
      <w:pPr>
        <w:spacing w:after="0" w:line="200" w:lineRule="exact"/>
        <w:rPr>
          <w:sz w:val="20"/>
          <w:szCs w:val="20"/>
          <w:color w:val="auto"/>
        </w:rPr>
      </w:pPr>
    </w:p>
    <w:p>
      <w:pPr>
        <w:spacing w:after="0" w:line="208"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30</w:t>
      </w:r>
    </w:p>
    <w:p>
      <w:pPr>
        <w:sectPr>
          <w:pgSz w:w="11900" w:h="16838" w:orient="portrait"/>
          <w:cols w:equalWidth="0" w:num="1">
            <w:col w:w="11420"/>
          </w:cols>
          <w:pgMar w:left="240" w:top="121" w:right="239" w:bottom="1440" w:gutter="0" w:footer="0" w:header="0"/>
        </w:sectPr>
      </w:pPr>
    </w:p>
    <w:bookmarkStart w:id="32" w:name="page33"/>
    <w:bookmarkEnd w:id="32"/>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jc w:val="both"/>
        <w:spacing w:after="0" w:line="269" w:lineRule="auto"/>
        <w:rPr>
          <w:sz w:val="20"/>
          <w:szCs w:val="20"/>
          <w:color w:val="auto"/>
        </w:rPr>
      </w:pPr>
      <w:r>
        <w:rPr>
          <w:rFonts w:ascii="Arial" w:cs="Arial" w:eastAsia="Arial" w:hAnsi="Arial"/>
          <w:sz w:val="16"/>
          <w:szCs w:val="16"/>
          <w:color w:val="auto"/>
        </w:rPr>
        <w:t>ratio is less than 2.0 to 1.0. In accordance with this requirement, we entered into an interest rate swap contract on January 23, 2017, which effectively fixed our interest rate on $200.0 million of our Term Loan at 6.32%. The notional amount of the swap decreases to $170.0 million on December 8, 2017, $120.0 million in December 10, 2018, and $60.0 million on December 9, 2019 and expires on December 8, 2020.</w:t>
      </w:r>
    </w:p>
    <w:p>
      <w:pPr>
        <w:spacing w:after="0" w:line="165" w:lineRule="exact"/>
        <w:rPr>
          <w:sz w:val="20"/>
          <w:szCs w:val="20"/>
          <w:color w:val="auto"/>
        </w:rPr>
      </w:pPr>
    </w:p>
    <w:p>
      <w:pPr>
        <w:jc w:val="both"/>
        <w:ind w:right="240"/>
        <w:spacing w:after="0" w:line="257" w:lineRule="auto"/>
        <w:rPr>
          <w:sz w:val="20"/>
          <w:szCs w:val="20"/>
          <w:color w:val="auto"/>
        </w:rPr>
      </w:pPr>
      <w:r>
        <w:rPr>
          <w:rFonts w:ascii="Arial" w:cs="Arial" w:eastAsia="Arial" w:hAnsi="Arial"/>
          <w:sz w:val="16"/>
          <w:szCs w:val="16"/>
          <w:color w:val="auto"/>
        </w:rPr>
        <w:t>The Term Loan agreement includes financial covenants that the fixed charge coverage ratio at the end of any four fiscal quarters be not less than 1.0 to 1.0, defined as consolidated EBITDA less capital expenditures (as defined), over fixed charges, generally defined as cash interest, cash income taxes, principal payments on loans, and dividends, as well as the senior secured net leverage ratio at the end of each fiscal quarter of not greater than 3.5 to 1.0 prior to the fiscal quarter ending November 24, 2018 and 3.25 to 1.0 for each quarter thereafter, defined generally as the ratio of total secured indebtedness minus cash and permitted investments, to consolidated EBITDA.</w:t>
      </w:r>
    </w:p>
    <w:p>
      <w:pPr>
        <w:spacing w:after="0" w:line="176" w:lineRule="exact"/>
        <w:rPr>
          <w:sz w:val="20"/>
          <w:szCs w:val="20"/>
          <w:color w:val="auto"/>
        </w:rPr>
      </w:pPr>
    </w:p>
    <w:p>
      <w:pPr>
        <w:ind w:right="120"/>
        <w:spacing w:after="0" w:line="255" w:lineRule="auto"/>
        <w:rPr>
          <w:sz w:val="20"/>
          <w:szCs w:val="20"/>
          <w:color w:val="auto"/>
        </w:rPr>
      </w:pPr>
      <w:r>
        <w:rPr>
          <w:rFonts w:ascii="Arial" w:cs="Arial" w:eastAsia="Arial" w:hAnsi="Arial"/>
          <w:sz w:val="16"/>
          <w:szCs w:val="16"/>
          <w:color w:val="auto"/>
        </w:rPr>
        <w:t>The ABL agreement generally contains similar covenants, and includes restrictions on indebtedness, liens, mergers, consolidations, investments, guarantees, acquisitions, sales of assets, transactions with affiliates. Dividends, redemptions and other payments on equity are generally limited to $20.0 million in any fiscal year; higher amounts may be paid if the total net leverage ratio does not exceed 3.0 to 1.0. Customary events of default (with customary grace periods, notice and cure periods and thresholds) include payment default, breach of representation in any material respect, breach of covenants, default to material indebtedness, bankruptcy, ERISA violations, material judgments, change in control and termination of invalidity of guaranty or security documents. As of May 27, 2017, we are in compliance with the financial covenants of the Credit Facility agreements.</w:t>
      </w:r>
    </w:p>
    <w:p>
      <w:pPr>
        <w:spacing w:after="0" w:line="178" w:lineRule="exact"/>
        <w:rPr>
          <w:sz w:val="20"/>
          <w:szCs w:val="20"/>
          <w:color w:val="auto"/>
        </w:rPr>
      </w:pPr>
    </w:p>
    <w:p>
      <w:pPr>
        <w:ind w:right="60"/>
        <w:spacing w:after="0" w:line="291" w:lineRule="auto"/>
        <w:rPr>
          <w:sz w:val="20"/>
          <w:szCs w:val="20"/>
          <w:color w:val="auto"/>
        </w:rPr>
      </w:pPr>
      <w:r>
        <w:rPr>
          <w:rFonts w:ascii="Arial" w:cs="Arial" w:eastAsia="Arial" w:hAnsi="Arial"/>
          <w:sz w:val="16"/>
          <w:szCs w:val="16"/>
          <w:color w:val="auto"/>
        </w:rPr>
        <w:t>The ABL and Term Loan are guaranteed by Winnebago Industries, Inc. and all material direct and indirect domestic subsidiaries, and are secured by a security interest in any and all of our property except minor excluded assets.</w:t>
      </w:r>
    </w:p>
    <w:p>
      <w:pPr>
        <w:spacing w:after="0" w:line="121" w:lineRule="exact"/>
        <w:rPr>
          <w:sz w:val="20"/>
          <w:szCs w:val="20"/>
          <w:color w:val="auto"/>
        </w:rPr>
      </w:pPr>
    </w:p>
    <w:p>
      <w:pPr>
        <w:ind w:right="140"/>
        <w:spacing w:after="0" w:line="261" w:lineRule="auto"/>
        <w:rPr>
          <w:sz w:val="20"/>
          <w:szCs w:val="20"/>
          <w:color w:val="auto"/>
        </w:rPr>
      </w:pPr>
      <w:r>
        <w:rPr>
          <w:rFonts w:ascii="Arial" w:cs="Arial" w:eastAsia="Arial" w:hAnsi="Arial"/>
          <w:sz w:val="16"/>
          <w:szCs w:val="16"/>
          <w:color w:val="auto"/>
        </w:rPr>
        <w:t>We filed a registration statement on Form S-3, which was declared effective by the SEC on April 25, 2016. Subject to market conditions, we have the ability to offer and sell up to $35.0 million of our common stock in one or more offerings pursuant to the Registration Statement. The Registration Statement will be available for three years from its effective date. We currently have no plans to offer and sell the common stock registered under the Registration Statement, however, it does provide another potential source of liquidity to raise capital if we need it, in addition to other alternatives already in place.</w:t>
      </w:r>
    </w:p>
    <w:p>
      <w:pPr>
        <w:spacing w:after="0" w:line="143"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Contractual Obligations and Commercial Commitments</w:t>
      </w:r>
    </w:p>
    <w:p>
      <w:pPr>
        <w:spacing w:after="0" w:line="169" w:lineRule="exact"/>
        <w:rPr>
          <w:sz w:val="20"/>
          <w:szCs w:val="20"/>
          <w:color w:val="auto"/>
        </w:rPr>
      </w:pPr>
    </w:p>
    <w:p>
      <w:pPr>
        <w:ind w:right="280"/>
        <w:spacing w:after="0" w:line="291" w:lineRule="auto"/>
        <w:rPr>
          <w:sz w:val="20"/>
          <w:szCs w:val="20"/>
          <w:color w:val="auto"/>
        </w:rPr>
      </w:pPr>
      <w:r>
        <w:rPr>
          <w:rFonts w:ascii="Arial" w:cs="Arial" w:eastAsia="Arial" w:hAnsi="Arial"/>
          <w:sz w:val="16"/>
          <w:szCs w:val="16"/>
          <w:color w:val="auto"/>
        </w:rPr>
        <w:t>Our principal contractual obligations and commercial commitments that have significantly changed since our Annual Report on Form 10-K for the fiscal year ended August 27, 2016 are as follows as of May 27, 2017:</w:t>
      </w:r>
    </w:p>
    <w:p>
      <w:pPr>
        <w:spacing w:after="0" w:line="119"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50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300" w:type="dxa"/>
            <w:vAlign w:val="bottom"/>
            <w:tcBorders>
              <w:bottom w:val="single" w:sz="8" w:color="auto"/>
            </w:tcBorders>
          </w:tcPr>
          <w:p>
            <w:pPr>
              <w:spacing w:after="0"/>
              <w:rPr>
                <w:sz w:val="20"/>
                <w:szCs w:val="20"/>
                <w:color w:val="auto"/>
              </w:rPr>
            </w:pPr>
          </w:p>
        </w:tc>
        <w:tc>
          <w:tcPr>
            <w:tcW w:w="3460" w:type="dxa"/>
            <w:vAlign w:val="bottom"/>
            <w:tcBorders>
              <w:bottom w:val="single" w:sz="8" w:color="auto"/>
            </w:tcBorders>
            <w:gridSpan w:val="5"/>
          </w:tcPr>
          <w:p>
            <w:pPr>
              <w:jc w:val="center"/>
              <w:ind w:right="99"/>
              <w:spacing w:after="0"/>
              <w:rPr>
                <w:sz w:val="20"/>
                <w:szCs w:val="20"/>
                <w:color w:val="auto"/>
              </w:rPr>
            </w:pPr>
            <w:r>
              <w:rPr>
                <w:rFonts w:ascii="Arial" w:cs="Arial" w:eastAsia="Arial" w:hAnsi="Arial"/>
                <w:sz w:val="16"/>
                <w:szCs w:val="16"/>
                <w:b w:val="1"/>
                <w:bCs w:val="1"/>
                <w:color w:val="auto"/>
              </w:rPr>
              <w:t>Payments Due By Period</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spacing w:after="0"/>
              <w:rPr>
                <w:sz w:val="20"/>
                <w:szCs w:val="20"/>
                <w:color w:val="auto"/>
              </w:rPr>
            </w:pPr>
          </w:p>
        </w:tc>
      </w:tr>
      <w:tr>
        <w:trPr>
          <w:trHeight w:val="193"/>
        </w:trPr>
        <w:tc>
          <w:tcPr>
            <w:tcW w:w="50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96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020" w:type="dxa"/>
            <w:vAlign w:val="bottom"/>
          </w:tcPr>
          <w:p>
            <w:pPr>
              <w:jc w:val="center"/>
              <w:ind w:right="59"/>
              <w:spacing w:after="0"/>
              <w:rPr>
                <w:sz w:val="20"/>
                <w:szCs w:val="20"/>
                <w:color w:val="auto"/>
              </w:rPr>
            </w:pPr>
            <w:r>
              <w:rPr>
                <w:rFonts w:ascii="Arial" w:cs="Arial" w:eastAsia="Arial" w:hAnsi="Arial"/>
                <w:sz w:val="16"/>
                <w:szCs w:val="16"/>
                <w:b w:val="1"/>
                <w:bCs w:val="1"/>
                <w:color w:val="auto"/>
                <w:w w:val="96"/>
              </w:rPr>
              <w:t>Fiscal</w:t>
            </w:r>
          </w:p>
        </w:tc>
        <w:tc>
          <w:tcPr>
            <w:tcW w:w="220" w:type="dxa"/>
            <w:vAlign w:val="bottom"/>
          </w:tcPr>
          <w:p>
            <w:pPr>
              <w:spacing w:after="0"/>
              <w:rPr>
                <w:sz w:val="16"/>
                <w:szCs w:val="16"/>
                <w:color w:val="auto"/>
              </w:rPr>
            </w:pPr>
          </w:p>
        </w:tc>
        <w:tc>
          <w:tcPr>
            <w:tcW w:w="1040" w:type="dxa"/>
            <w:vAlign w:val="bottom"/>
          </w:tcPr>
          <w:p>
            <w:pPr>
              <w:jc w:val="right"/>
              <w:ind w:right="279"/>
              <w:spacing w:after="0"/>
              <w:rPr>
                <w:sz w:val="20"/>
                <w:szCs w:val="20"/>
                <w:color w:val="auto"/>
              </w:rPr>
            </w:pPr>
            <w:r>
              <w:rPr>
                <w:rFonts w:ascii="Arial" w:cs="Arial" w:eastAsia="Arial" w:hAnsi="Arial"/>
                <w:sz w:val="16"/>
                <w:szCs w:val="16"/>
                <w:b w:val="1"/>
                <w:bCs w:val="1"/>
                <w:color w:val="auto"/>
              </w:rPr>
              <w:t>Fiscal</w:t>
            </w:r>
          </w:p>
        </w:tc>
        <w:tc>
          <w:tcPr>
            <w:tcW w:w="220" w:type="dxa"/>
            <w:vAlign w:val="bottom"/>
          </w:tcPr>
          <w:p>
            <w:pPr>
              <w:spacing w:after="0"/>
              <w:rPr>
                <w:sz w:val="16"/>
                <w:szCs w:val="16"/>
                <w:color w:val="auto"/>
              </w:rPr>
            </w:pPr>
          </w:p>
        </w:tc>
        <w:tc>
          <w:tcPr>
            <w:tcW w:w="1080" w:type="dxa"/>
            <w:vAlign w:val="bottom"/>
          </w:tcPr>
          <w:p>
            <w:pPr>
              <w:jc w:val="right"/>
              <w:ind w:right="159"/>
              <w:spacing w:after="0"/>
              <w:rPr>
                <w:sz w:val="20"/>
                <w:szCs w:val="20"/>
                <w:color w:val="auto"/>
              </w:rPr>
            </w:pPr>
            <w:r>
              <w:rPr>
                <w:rFonts w:ascii="Arial" w:cs="Arial" w:eastAsia="Arial" w:hAnsi="Arial"/>
                <w:sz w:val="16"/>
                <w:szCs w:val="16"/>
                <w:b w:val="1"/>
                <w:bCs w:val="1"/>
                <w:color w:val="auto"/>
              </w:rPr>
              <w:t>More than</w:t>
            </w:r>
          </w:p>
        </w:tc>
      </w:tr>
      <w:tr>
        <w:trPr>
          <w:trHeight w:val="232"/>
        </w:trPr>
        <w:tc>
          <w:tcPr>
            <w:tcW w:w="504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(In thousands)</w:t>
            </w:r>
          </w:p>
        </w:tc>
        <w:tc>
          <w:tcPr>
            <w:tcW w:w="100" w:type="dxa"/>
            <w:vAlign w:val="bottom"/>
            <w:tcBorders>
              <w:bottom w:val="single" w:sz="8" w:color="CCEEFF"/>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9"/>
              <w:spacing w:after="0"/>
              <w:rPr>
                <w:sz w:val="20"/>
                <w:szCs w:val="20"/>
                <w:color w:val="auto"/>
              </w:rPr>
            </w:pPr>
            <w:r>
              <w:rPr>
                <w:rFonts w:ascii="Arial" w:cs="Arial" w:eastAsia="Arial" w:hAnsi="Arial"/>
                <w:sz w:val="16"/>
                <w:szCs w:val="16"/>
                <w:b w:val="1"/>
                <w:bCs w:val="1"/>
                <w:color w:val="auto"/>
              </w:rPr>
              <w:t>Total</w:t>
            </w:r>
          </w:p>
        </w:tc>
        <w:tc>
          <w:tcPr>
            <w:tcW w:w="30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9"/>
              <w:spacing w:after="0"/>
              <w:rPr>
                <w:sz w:val="20"/>
                <w:szCs w:val="20"/>
                <w:color w:val="auto"/>
              </w:rPr>
            </w:pPr>
            <w:r>
              <w:rPr>
                <w:rFonts w:ascii="Arial" w:cs="Arial" w:eastAsia="Arial" w:hAnsi="Arial"/>
                <w:sz w:val="16"/>
                <w:szCs w:val="16"/>
                <w:b w:val="1"/>
                <w:bCs w:val="1"/>
                <w:color w:val="auto"/>
              </w:rPr>
              <w:t>2017</w:t>
            </w:r>
          </w:p>
        </w:tc>
        <w:tc>
          <w:tcPr>
            <w:tcW w:w="220" w:type="dxa"/>
            <w:vAlign w:val="bottom"/>
            <w:tcBorders>
              <w:bottom w:val="single" w:sz="8" w:color="auto"/>
            </w:tcBorders>
          </w:tcPr>
          <w:p>
            <w:pPr>
              <w:spacing w:after="0"/>
              <w:rPr>
                <w:sz w:val="20"/>
                <w:szCs w:val="20"/>
                <w:color w:val="auto"/>
              </w:rPr>
            </w:pPr>
          </w:p>
        </w:tc>
        <w:tc>
          <w:tcPr>
            <w:tcW w:w="1020" w:type="dxa"/>
            <w:vAlign w:val="bottom"/>
            <w:tcBorders>
              <w:bottom w:val="single" w:sz="8" w:color="auto"/>
            </w:tcBorders>
          </w:tcPr>
          <w:p>
            <w:pPr>
              <w:jc w:val="center"/>
              <w:ind w:right="59"/>
              <w:spacing w:after="0"/>
              <w:rPr>
                <w:sz w:val="20"/>
                <w:szCs w:val="20"/>
                <w:color w:val="auto"/>
              </w:rPr>
            </w:pPr>
            <w:r>
              <w:rPr>
                <w:rFonts w:ascii="Arial" w:cs="Arial" w:eastAsia="Arial" w:hAnsi="Arial"/>
                <w:sz w:val="16"/>
                <w:szCs w:val="16"/>
                <w:b w:val="1"/>
                <w:bCs w:val="1"/>
                <w:color w:val="auto"/>
                <w:w w:val="99"/>
              </w:rPr>
              <w:t>2018-2019</w:t>
            </w:r>
          </w:p>
        </w:tc>
        <w:tc>
          <w:tcPr>
            <w:tcW w:w="2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b w:val="1"/>
                <w:bCs w:val="1"/>
                <w:color w:val="auto"/>
              </w:rPr>
              <w:t>2020-2021</w:t>
            </w:r>
          </w:p>
        </w:tc>
        <w:tc>
          <w:tcPr>
            <w:tcW w:w="220" w:type="dxa"/>
            <w:vAlign w:val="bottom"/>
            <w:tcBorders>
              <w:bottom w:val="single" w:sz="8" w:color="auto"/>
            </w:tcBorders>
          </w:tcPr>
          <w:p>
            <w:pPr>
              <w:spacing w:after="0"/>
              <w:rPr>
                <w:sz w:val="20"/>
                <w:szCs w:val="20"/>
                <w:color w:val="auto"/>
              </w:rPr>
            </w:pPr>
          </w:p>
        </w:tc>
        <w:tc>
          <w:tcPr>
            <w:tcW w:w="1080" w:type="dxa"/>
            <w:vAlign w:val="bottom"/>
            <w:tcBorders>
              <w:bottom w:val="single" w:sz="8" w:color="auto"/>
            </w:tcBorders>
          </w:tcPr>
          <w:p>
            <w:pPr>
              <w:jc w:val="right"/>
              <w:ind w:right="259"/>
              <w:spacing w:after="0"/>
              <w:rPr>
                <w:sz w:val="20"/>
                <w:szCs w:val="20"/>
                <w:color w:val="auto"/>
              </w:rPr>
            </w:pPr>
            <w:r>
              <w:rPr>
                <w:rFonts w:ascii="Arial" w:cs="Arial" w:eastAsia="Arial" w:hAnsi="Arial"/>
                <w:sz w:val="16"/>
                <w:szCs w:val="16"/>
                <w:b w:val="1"/>
                <w:bCs w:val="1"/>
                <w:color w:val="auto"/>
              </w:rPr>
              <w:t>5 Years</w:t>
            </w:r>
          </w:p>
        </w:tc>
      </w:tr>
      <w:tr>
        <w:trPr>
          <w:trHeight w:val="254"/>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Revolving credit agreement </w:t>
            </w:r>
            <w:r>
              <w:rPr>
                <w:rFonts w:ascii="Arial" w:cs="Arial" w:eastAsia="Arial" w:hAnsi="Arial"/>
                <w:sz w:val="21"/>
                <w:szCs w:val="21"/>
                <w:color w:val="auto"/>
                <w:vertAlign w:val="superscript"/>
              </w:rPr>
              <w:t>(1)</w:t>
            </w:r>
          </w:p>
        </w:tc>
        <w:tc>
          <w:tcPr>
            <w:tcW w:w="280" w:type="dxa"/>
            <w:vAlign w:val="bottom"/>
            <w:shd w:val="clear" w:color="auto" w:fill="CCEEFF"/>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300" w:type="dxa"/>
            <w:vAlign w:val="bottom"/>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 xml:space="preserve">Term debt </w:t>
            </w:r>
            <w:r>
              <w:rPr>
                <w:rFonts w:ascii="Arial" w:cs="Arial" w:eastAsia="Arial" w:hAnsi="Arial"/>
                <w:sz w:val="21"/>
                <w:szCs w:val="21"/>
                <w:color w:val="auto"/>
                <w:vertAlign w:val="superscript"/>
              </w:rPr>
              <w:t>(2)</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297,000</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3,000</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29,250</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30,000</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234,750</w:t>
            </w: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Interest at variable rate </w:t>
            </w:r>
            <w:r>
              <w:rPr>
                <w:rFonts w:ascii="Arial" w:cs="Arial" w:eastAsia="Arial" w:hAnsi="Arial"/>
                <w:sz w:val="21"/>
                <w:szCs w:val="21"/>
                <w:color w:val="auto"/>
                <w:vertAlign w:val="superscript"/>
              </w:rPr>
              <w:t>(3)</w:t>
            </w:r>
          </w:p>
        </w:tc>
        <w:tc>
          <w:tcPr>
            <w:tcW w:w="280" w:type="dxa"/>
            <w:vAlign w:val="bottom"/>
            <w:shd w:val="clear" w:color="auto" w:fill="CCEEFF"/>
          </w:tcPr>
          <w:p>
            <w:pPr>
              <w:spacing w:after="0"/>
              <w:rPr>
                <w:sz w:val="23"/>
                <w:szCs w:val="23"/>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88,897</w:t>
            </w:r>
          </w:p>
        </w:tc>
        <w:tc>
          <w:tcPr>
            <w:tcW w:w="300" w:type="dxa"/>
            <w:vAlign w:val="bottom"/>
            <w:shd w:val="clear" w:color="auto" w:fill="CCEEFF"/>
          </w:tcPr>
          <w:p>
            <w:pPr>
              <w:spacing w:after="0"/>
              <w:rPr>
                <w:sz w:val="23"/>
                <w:szCs w:val="23"/>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3,599</w:t>
            </w:r>
          </w:p>
        </w:tc>
        <w:tc>
          <w:tcPr>
            <w:tcW w:w="22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31,440</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6"/>
                <w:szCs w:val="16"/>
                <w:color w:val="auto"/>
              </w:rPr>
              <w:t>28,097</w:t>
            </w:r>
          </w:p>
        </w:tc>
        <w:tc>
          <w:tcPr>
            <w:tcW w:w="220" w:type="dxa"/>
            <w:vAlign w:val="bottom"/>
            <w:shd w:val="clear" w:color="auto" w:fill="CCEEFF"/>
          </w:tcPr>
          <w:p>
            <w:pPr>
              <w:spacing w:after="0"/>
              <w:rPr>
                <w:sz w:val="23"/>
                <w:szCs w:val="23"/>
                <w:color w:val="auto"/>
              </w:rPr>
            </w:pPr>
          </w:p>
        </w:tc>
        <w:tc>
          <w:tcPr>
            <w:tcW w:w="1080" w:type="dxa"/>
            <w:vAlign w:val="bottom"/>
            <w:shd w:val="clear" w:color="auto" w:fill="CCEEFF"/>
          </w:tcPr>
          <w:p>
            <w:pPr>
              <w:jc w:val="right"/>
              <w:ind w:right="19"/>
              <w:spacing w:after="0"/>
              <w:rPr>
                <w:sz w:val="20"/>
                <w:szCs w:val="20"/>
                <w:color w:val="auto"/>
              </w:rPr>
            </w:pPr>
            <w:r>
              <w:rPr>
                <w:rFonts w:ascii="Arial" w:cs="Arial" w:eastAsia="Arial" w:hAnsi="Arial"/>
                <w:sz w:val="16"/>
                <w:szCs w:val="16"/>
                <w:color w:val="auto"/>
              </w:rPr>
              <w:t>25,761</w:t>
            </w:r>
          </w:p>
        </w:tc>
      </w:tr>
      <w:tr>
        <w:trPr>
          <w:trHeight w:val="270"/>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 xml:space="preserve">Net swap payments </w:t>
            </w:r>
            <w:r>
              <w:rPr>
                <w:rFonts w:ascii="Arial" w:cs="Arial" w:eastAsia="Arial" w:hAnsi="Arial"/>
                <w:sz w:val="21"/>
                <w:szCs w:val="21"/>
                <w:color w:val="auto"/>
                <w:vertAlign w:val="superscript"/>
              </w:rPr>
              <w:t>(4)</w:t>
            </w:r>
          </w:p>
        </w:tc>
        <w:tc>
          <w:tcPr>
            <w:tcW w:w="280" w:type="dxa"/>
            <w:vAlign w:val="bottom"/>
          </w:tcPr>
          <w:p>
            <w:pPr>
              <w:spacing w:after="0"/>
              <w:rPr>
                <w:sz w:val="23"/>
                <w:szCs w:val="23"/>
                <w:color w:val="auto"/>
              </w:rPr>
            </w:pPr>
          </w:p>
        </w:tc>
        <w:tc>
          <w:tcPr>
            <w:tcW w:w="940" w:type="dxa"/>
            <w:vAlign w:val="bottom"/>
          </w:tcPr>
          <w:p>
            <w:pPr>
              <w:jc w:val="right"/>
              <w:spacing w:after="0"/>
              <w:rPr>
                <w:sz w:val="20"/>
                <w:szCs w:val="20"/>
                <w:color w:val="auto"/>
              </w:rPr>
            </w:pPr>
            <w:r>
              <w:rPr>
                <w:rFonts w:ascii="Arial" w:cs="Arial" w:eastAsia="Arial" w:hAnsi="Arial"/>
                <w:sz w:val="16"/>
                <w:szCs w:val="16"/>
                <w:color w:val="auto"/>
              </w:rPr>
              <w:t>9,213</w:t>
            </w:r>
          </w:p>
        </w:tc>
        <w:tc>
          <w:tcPr>
            <w:tcW w:w="300" w:type="dxa"/>
            <w:vAlign w:val="bottom"/>
          </w:tcPr>
          <w:p>
            <w:pPr>
              <w:spacing w:after="0"/>
              <w:rPr>
                <w:sz w:val="23"/>
                <w:szCs w:val="23"/>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311</w:t>
            </w:r>
          </w:p>
        </w:tc>
        <w:tc>
          <w:tcPr>
            <w:tcW w:w="22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Arial" w:cs="Arial" w:eastAsia="Arial" w:hAnsi="Arial"/>
                <w:sz w:val="16"/>
                <w:szCs w:val="16"/>
                <w:color w:val="auto"/>
              </w:rPr>
              <w:t>2,862</w:t>
            </w:r>
          </w:p>
        </w:tc>
        <w:tc>
          <w:tcPr>
            <w:tcW w:w="220" w:type="dxa"/>
            <w:vAlign w:val="bottom"/>
          </w:tcPr>
          <w:p>
            <w:pPr>
              <w:spacing w:after="0"/>
              <w:rPr>
                <w:sz w:val="23"/>
                <w:szCs w:val="23"/>
                <w:color w:val="auto"/>
              </w:rPr>
            </w:pPr>
          </w:p>
        </w:tc>
        <w:tc>
          <w:tcPr>
            <w:tcW w:w="1040" w:type="dxa"/>
            <w:vAlign w:val="bottom"/>
          </w:tcPr>
          <w:p>
            <w:pPr>
              <w:jc w:val="right"/>
              <w:spacing w:after="0"/>
              <w:rPr>
                <w:sz w:val="20"/>
                <w:szCs w:val="20"/>
                <w:color w:val="auto"/>
              </w:rPr>
            </w:pPr>
            <w:r>
              <w:rPr>
                <w:rFonts w:ascii="Arial" w:cs="Arial" w:eastAsia="Arial" w:hAnsi="Arial"/>
                <w:sz w:val="16"/>
                <w:szCs w:val="16"/>
                <w:color w:val="auto"/>
              </w:rPr>
              <w:t>2,862</w:t>
            </w:r>
          </w:p>
        </w:tc>
        <w:tc>
          <w:tcPr>
            <w:tcW w:w="220" w:type="dxa"/>
            <w:vAlign w:val="bottom"/>
          </w:tcPr>
          <w:p>
            <w:pPr>
              <w:spacing w:after="0"/>
              <w:rPr>
                <w:sz w:val="23"/>
                <w:szCs w:val="23"/>
                <w:color w:val="auto"/>
              </w:rPr>
            </w:pPr>
          </w:p>
        </w:tc>
        <w:tc>
          <w:tcPr>
            <w:tcW w:w="1080" w:type="dxa"/>
            <w:vAlign w:val="bottom"/>
          </w:tcPr>
          <w:p>
            <w:pPr>
              <w:jc w:val="right"/>
              <w:ind w:right="19"/>
              <w:spacing w:after="0"/>
              <w:rPr>
                <w:sz w:val="20"/>
                <w:szCs w:val="20"/>
                <w:color w:val="auto"/>
              </w:rPr>
            </w:pPr>
            <w:r>
              <w:rPr>
                <w:rFonts w:ascii="Arial" w:cs="Arial" w:eastAsia="Arial" w:hAnsi="Arial"/>
                <w:sz w:val="16"/>
                <w:szCs w:val="16"/>
                <w:color w:val="auto"/>
              </w:rPr>
              <w:t>3,178</w:t>
            </w:r>
          </w:p>
        </w:tc>
      </w:tr>
      <w:tr>
        <w:trPr>
          <w:trHeight w:val="270"/>
        </w:trPr>
        <w:tc>
          <w:tcPr>
            <w:tcW w:w="5140" w:type="dxa"/>
            <w:vAlign w:val="bottom"/>
            <w:gridSpan w:val="2"/>
            <w:shd w:val="clear" w:color="auto" w:fill="CCEEFF"/>
          </w:tcPr>
          <w:p>
            <w:pPr>
              <w:ind w:left="40"/>
              <w:spacing w:after="0"/>
              <w:rPr>
                <w:sz w:val="20"/>
                <w:szCs w:val="20"/>
                <w:color w:val="auto"/>
              </w:rPr>
            </w:pPr>
            <w:r>
              <w:rPr>
                <w:rFonts w:ascii="Arial" w:cs="Arial" w:eastAsia="Arial" w:hAnsi="Arial"/>
                <w:sz w:val="16"/>
                <w:szCs w:val="16"/>
                <w:color w:val="auto"/>
              </w:rPr>
              <w:t xml:space="preserve">Operating leases </w:t>
            </w:r>
            <w:r>
              <w:rPr>
                <w:rFonts w:ascii="Arial" w:cs="Arial" w:eastAsia="Arial" w:hAnsi="Arial"/>
                <w:sz w:val="21"/>
                <w:szCs w:val="21"/>
                <w:color w:val="auto"/>
                <w:vertAlign w:val="superscript"/>
              </w:rPr>
              <w:t>(5)</w:t>
            </w:r>
          </w:p>
        </w:tc>
        <w:tc>
          <w:tcPr>
            <w:tcW w:w="280" w:type="dxa"/>
            <w:vAlign w:val="bottom"/>
            <w:tcBorders>
              <w:bottom w:val="single" w:sz="8" w:color="auto"/>
            </w:tcBorders>
            <w:shd w:val="clear" w:color="auto" w:fill="CCEEFF"/>
          </w:tcPr>
          <w:p>
            <w:pPr>
              <w:spacing w:after="0"/>
              <w:rPr>
                <w:sz w:val="23"/>
                <w:szCs w:val="23"/>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19,051</w:t>
            </w:r>
          </w:p>
        </w:tc>
        <w:tc>
          <w:tcPr>
            <w:tcW w:w="300" w:type="dxa"/>
            <w:vAlign w:val="bottom"/>
            <w:tcBorders>
              <w:bottom w:val="single" w:sz="8" w:color="auto"/>
            </w:tcBorders>
            <w:shd w:val="clear" w:color="auto" w:fill="CCEEFF"/>
          </w:tcPr>
          <w:p>
            <w:pPr>
              <w:spacing w:after="0"/>
              <w:rPr>
                <w:sz w:val="23"/>
                <w:szCs w:val="23"/>
                <w:color w:val="auto"/>
              </w:rPr>
            </w:pP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591</w:t>
            </w:r>
          </w:p>
        </w:tc>
        <w:tc>
          <w:tcPr>
            <w:tcW w:w="220" w:type="dxa"/>
            <w:vAlign w:val="bottom"/>
            <w:tcBorders>
              <w:bottom w:val="single" w:sz="8" w:color="auto"/>
            </w:tcBorders>
            <w:shd w:val="clear" w:color="auto" w:fill="CCEEFF"/>
          </w:tcPr>
          <w:p>
            <w:pPr>
              <w:spacing w:after="0"/>
              <w:rPr>
                <w:sz w:val="23"/>
                <w:szCs w:val="23"/>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4,679</w:t>
            </w:r>
          </w:p>
        </w:tc>
        <w:tc>
          <w:tcPr>
            <w:tcW w:w="220" w:type="dxa"/>
            <w:vAlign w:val="bottom"/>
            <w:tcBorders>
              <w:bottom w:val="single" w:sz="8" w:color="auto"/>
            </w:tcBorders>
            <w:shd w:val="clear" w:color="auto" w:fill="CCEEFF"/>
          </w:tcPr>
          <w:p>
            <w:pPr>
              <w:spacing w:after="0"/>
              <w:rPr>
                <w:sz w:val="23"/>
                <w:szCs w:val="23"/>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4,641</w:t>
            </w:r>
          </w:p>
        </w:tc>
        <w:tc>
          <w:tcPr>
            <w:tcW w:w="220" w:type="dxa"/>
            <w:vAlign w:val="bottom"/>
            <w:tcBorders>
              <w:bottom w:val="single" w:sz="8" w:color="auto"/>
            </w:tcBorders>
            <w:shd w:val="clear" w:color="auto" w:fill="CCEEFF"/>
          </w:tcPr>
          <w:p>
            <w:pPr>
              <w:spacing w:after="0"/>
              <w:rPr>
                <w:sz w:val="23"/>
                <w:szCs w:val="23"/>
                <w:color w:val="auto"/>
              </w:rPr>
            </w:pPr>
          </w:p>
        </w:tc>
        <w:tc>
          <w:tcPr>
            <w:tcW w:w="108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9,140</w:t>
            </w:r>
          </w:p>
        </w:tc>
      </w:tr>
      <w:tr>
        <w:trPr>
          <w:trHeight w:val="236"/>
        </w:trPr>
        <w:tc>
          <w:tcPr>
            <w:tcW w:w="5140" w:type="dxa"/>
            <w:vAlign w:val="bottom"/>
            <w:gridSpan w:val="2"/>
          </w:tcPr>
          <w:p>
            <w:pPr>
              <w:ind w:left="40"/>
              <w:spacing w:after="0"/>
              <w:rPr>
                <w:sz w:val="20"/>
                <w:szCs w:val="20"/>
                <w:color w:val="auto"/>
              </w:rPr>
            </w:pPr>
            <w:r>
              <w:rPr>
                <w:rFonts w:ascii="Arial" w:cs="Arial" w:eastAsia="Arial" w:hAnsi="Arial"/>
                <w:sz w:val="16"/>
                <w:szCs w:val="16"/>
                <w:color w:val="auto"/>
              </w:rPr>
              <w:t>Total contractual cash obligations</w:t>
            </w:r>
          </w:p>
        </w:tc>
        <w:tc>
          <w:tcPr>
            <w:tcW w:w="280" w:type="dxa"/>
            <w:vAlign w:val="bottom"/>
            <w:tcBorders>
              <w:bottom w:val="single" w:sz="8" w:color="auto"/>
            </w:tcBorders>
          </w:tcPr>
          <w:p>
            <w:pPr>
              <w:jc w:val="right"/>
              <w:ind w:right="79"/>
              <w:spacing w:after="0"/>
              <w:rPr>
                <w:sz w:val="20"/>
                <w:szCs w:val="20"/>
                <w:color w:val="auto"/>
              </w:rPr>
            </w:pPr>
            <w:r>
              <w:rPr>
                <w:rFonts w:ascii="Arial" w:cs="Arial" w:eastAsia="Arial" w:hAnsi="Arial"/>
                <w:sz w:val="16"/>
                <w:szCs w:val="16"/>
                <w:color w:val="auto"/>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414,161</w:t>
            </w:r>
          </w:p>
        </w:tc>
        <w:tc>
          <w:tcPr>
            <w:tcW w:w="300" w:type="dxa"/>
            <w:vAlign w:val="bottom"/>
            <w:tcBorders>
              <w:bottom w:val="single" w:sz="8" w:color="auto"/>
            </w:tcBorders>
          </w:tcPr>
          <w:p>
            <w:pPr>
              <w:jc w:val="right"/>
              <w:ind w:right="59"/>
              <w:spacing w:after="0"/>
              <w:rPr>
                <w:sz w:val="20"/>
                <w:szCs w:val="20"/>
                <w:color w:val="auto"/>
              </w:rPr>
            </w:pPr>
            <w:r>
              <w:rPr>
                <w:rFonts w:ascii="Arial" w:cs="Arial" w:eastAsia="Arial" w:hAnsi="Arial"/>
                <w:sz w:val="16"/>
                <w:szCs w:val="16"/>
                <w:color w:val="auto"/>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7,501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68,231</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65,600</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0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272,829</w:t>
            </w:r>
          </w:p>
        </w:tc>
      </w:tr>
      <w:tr>
        <w:trPr>
          <w:trHeight w:val="20"/>
        </w:trPr>
        <w:tc>
          <w:tcPr>
            <w:tcW w:w="50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bl>
    <w:p>
      <w:pPr>
        <w:spacing w:after="0" w:line="41" w:lineRule="exact"/>
        <w:rPr>
          <w:sz w:val="20"/>
          <w:szCs w:val="20"/>
          <w:color w:val="auto"/>
        </w:rPr>
      </w:pPr>
    </w:p>
    <w:p>
      <w:pPr>
        <w:ind w:left="240" w:right="240" w:hanging="232"/>
        <w:spacing w:after="0" w:line="223"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As of May 27, 2017, we did not have any borrowings outstanding under our $125.0 million revolving credit agreement. Borrowings and repayments are expected to fluctuate over the term.</w:t>
      </w:r>
    </w:p>
    <w:p>
      <w:pPr>
        <w:jc w:val="both"/>
        <w:ind w:left="240" w:right="120" w:hanging="232"/>
        <w:spacing w:after="0" w:line="220"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As of May 27, 2017, we had $297.0 million outstanding under our Term Loan agreement, that matures on November 8, 2023. The contractual principal payments are included in the previous table. As discussed in the liquidity section of the MD&amp;A above, additional principal payments are due annually on a formula based on 50% of excess cash flow. No amounts for this contingency are included in the above table.</w:t>
      </w:r>
    </w:p>
    <w:p>
      <w:pPr>
        <w:spacing w:after="0" w:line="1" w:lineRule="exact"/>
        <w:rPr>
          <w:rFonts w:ascii="Arial" w:cs="Arial" w:eastAsia="Arial" w:hAnsi="Arial"/>
          <w:sz w:val="18"/>
          <w:szCs w:val="18"/>
          <w:color w:val="auto"/>
          <w:vertAlign w:val="superscript"/>
        </w:rPr>
      </w:pPr>
    </w:p>
    <w:p>
      <w:pPr>
        <w:ind w:left="240" w:right="20" w:hanging="232"/>
        <w:spacing w:after="0" w:line="228"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All of the debt under the Term Loan is at a variable rate and the interest in the table assumes the variable rate of 5.6% at May 27, 2017 is constant through the maturity dates of the debt and the principal payments on the term debt are made as scheduled. The variable rate is subject to change. For example, a 1.0% change in Term Loan rates for Fiscal 2017, would change the interest paid for the remainder of 2017 by $0.6 million. Additionally, included in interest payments due by period is a 0.4% commitment fee on the ABL for unused borrowings, which are assumed to be at $125.0 million. In addition to interest assumed to be paid, non-cash amortization of debt issuance costs will also be recorded within interest expense on the Consolidated Statements of Income and Comprehensive Income in future periods.</w:t>
      </w:r>
    </w:p>
    <w:p>
      <w:pPr>
        <w:spacing w:after="0" w:line="1" w:lineRule="exact"/>
        <w:rPr>
          <w:rFonts w:ascii="Arial" w:cs="Arial" w:eastAsia="Arial" w:hAnsi="Arial"/>
          <w:sz w:val="18"/>
          <w:szCs w:val="18"/>
          <w:color w:val="auto"/>
          <w:vertAlign w:val="superscript"/>
        </w:rPr>
      </w:pPr>
    </w:p>
    <w:p>
      <w:pPr>
        <w:ind w:left="240" w:right="40" w:hanging="232"/>
        <w:spacing w:after="0" w:line="228"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We have an interest rate swap agreement with a notional amount of $200.0 million as of May 27, 2017 that decreases to $170.0 million on December 8, 2017, to $120.0 million in December 10, 2018, and $60.0 million on December 9, 2019 and expires on December 8, 2020. We pay a fixed rate at 1.82%, and receive a floating rate that was 1.1% at May 27, 2017. In the previous table, we have assumed the floating rate will be constant through the expiration of the interest rate swap when calculating the net swap payments. The variable rate is subject to change. For example, a 1.0% increase in the floating rate for Fiscal 2017, would decrease the payments noted for the increase in ABL and Term for the remainder of 2017 by $0.4 million.</w:t>
      </w:r>
    </w:p>
    <w:p>
      <w:pPr>
        <w:spacing w:after="0" w:line="1" w:lineRule="exact"/>
        <w:rPr>
          <w:rFonts w:ascii="Arial" w:cs="Arial" w:eastAsia="Arial" w:hAnsi="Arial"/>
          <w:sz w:val="18"/>
          <w:szCs w:val="18"/>
          <w:color w:val="auto"/>
          <w:vertAlign w:val="superscript"/>
        </w:rPr>
      </w:pPr>
    </w:p>
    <w:p>
      <w:pPr>
        <w:ind w:left="240" w:hanging="232"/>
        <w:spacing w:after="0" w:line="204" w:lineRule="auto"/>
        <w:tabs>
          <w:tab w:leader="none" w:pos="24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Represents the lease commitments from the Grand Design acquisition and the lease of an office facility. Refer to Note 12.</w:t>
      </w:r>
    </w:p>
    <w:p>
      <w:pPr>
        <w:spacing w:after="0" w:line="125" w:lineRule="exact"/>
        <w:rPr>
          <w:sz w:val="20"/>
          <w:szCs w:val="20"/>
          <w:color w:val="auto"/>
        </w:rPr>
      </w:pPr>
    </w:p>
    <w:p>
      <w:pPr>
        <w:ind w:right="200"/>
        <w:spacing w:after="0" w:line="291" w:lineRule="auto"/>
        <w:rPr>
          <w:sz w:val="20"/>
          <w:szCs w:val="20"/>
          <w:color w:val="auto"/>
        </w:rPr>
      </w:pPr>
      <w:r>
        <w:rPr>
          <w:rFonts w:ascii="Arial" w:cs="Arial" w:eastAsia="Arial" w:hAnsi="Arial"/>
          <w:sz w:val="16"/>
          <w:szCs w:val="16"/>
          <w:color w:val="auto"/>
        </w:rPr>
        <w:t>With the acquisition of Grand Design, we agreed to register the 4,586,555 shares of common stock issued to the former owners of Grand Design pursuant to the terms of a registration rights agreement. Under the registration rights agreement, we filed a shelf</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31</w:t>
      </w:r>
    </w:p>
    <w:p>
      <w:pPr>
        <w:sectPr>
          <w:pgSz w:w="11900" w:h="16838" w:orient="portrait"/>
          <w:cols w:equalWidth="0" w:num="1">
            <w:col w:w="11420"/>
          </w:cols>
          <w:pgMar w:left="240" w:top="121" w:right="239" w:bottom="1440" w:gutter="0" w:footer="0" w:header="0"/>
        </w:sectPr>
      </w:pPr>
    </w:p>
    <w:bookmarkStart w:id="33" w:name="page34"/>
    <w:bookmarkEnd w:id="33"/>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48" w:lineRule="exact"/>
        <w:rPr>
          <w:sz w:val="20"/>
          <w:szCs w:val="20"/>
          <w:color w:val="auto"/>
        </w:rPr>
      </w:pPr>
    </w:p>
    <w:p>
      <w:pPr>
        <w:ind w:right="260"/>
        <w:spacing w:after="0" w:line="291" w:lineRule="auto"/>
        <w:rPr>
          <w:sz w:val="20"/>
          <w:szCs w:val="20"/>
          <w:color w:val="auto"/>
        </w:rPr>
      </w:pPr>
      <w:r>
        <w:rPr>
          <w:rFonts w:ascii="Arial" w:cs="Arial" w:eastAsia="Arial" w:hAnsi="Arial"/>
          <w:sz w:val="16"/>
          <w:szCs w:val="16"/>
          <w:color w:val="auto"/>
        </w:rPr>
        <w:t>registration statement with the SEC on January 20, 2017 to register these shares for resale. We agreed to keep the registration statement effective for up to three years. See Note 11.</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Critical Accounting Policies</w:t>
      </w:r>
    </w:p>
    <w:p>
      <w:pPr>
        <w:spacing w:after="0" w:line="223" w:lineRule="exact"/>
        <w:rPr>
          <w:sz w:val="20"/>
          <w:szCs w:val="20"/>
          <w:color w:val="auto"/>
        </w:rPr>
      </w:pPr>
    </w:p>
    <w:p>
      <w:pPr>
        <w:ind w:right="460"/>
        <w:spacing w:after="0" w:line="291" w:lineRule="auto"/>
        <w:rPr>
          <w:sz w:val="20"/>
          <w:szCs w:val="20"/>
          <w:color w:val="auto"/>
        </w:rPr>
      </w:pPr>
      <w:r>
        <w:rPr>
          <w:rFonts w:ascii="Arial" w:cs="Arial" w:eastAsia="Arial" w:hAnsi="Arial"/>
          <w:sz w:val="16"/>
          <w:szCs w:val="16"/>
          <w:color w:val="auto"/>
        </w:rPr>
        <w:t>There have been no material changes to the critical accounting policies described in our Form 10-K for the year ended August 27, 2016, except for those disclosed in our Form 10-Q for the quarter ended November 26, 2016.</w:t>
      </w:r>
    </w:p>
    <w:p>
      <w:pPr>
        <w:spacing w:after="0" w:line="14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3. </w:t>
      </w:r>
      <w:r>
        <w:rPr>
          <w:rFonts w:ascii="Arial" w:cs="Arial" w:eastAsia="Arial" w:hAnsi="Arial"/>
          <w:sz w:val="16"/>
          <w:szCs w:val="16"/>
          <w:color w:val="auto"/>
        </w:rPr>
        <w:t>Quantitative and Qualitative Disclosures About Market Risk</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Interest rate risk</w:t>
      </w:r>
    </w:p>
    <w:p>
      <w:pPr>
        <w:spacing w:after="0" w:line="27" w:lineRule="exact"/>
        <w:rPr>
          <w:sz w:val="20"/>
          <w:szCs w:val="20"/>
          <w:color w:val="auto"/>
        </w:rPr>
      </w:pPr>
    </w:p>
    <w:p>
      <w:pPr>
        <w:ind w:right="560"/>
        <w:spacing w:after="0" w:line="265" w:lineRule="auto"/>
        <w:rPr>
          <w:sz w:val="20"/>
          <w:szCs w:val="20"/>
          <w:color w:val="auto"/>
        </w:rPr>
      </w:pPr>
      <w:r>
        <w:rPr>
          <w:rFonts w:ascii="Arial" w:cs="Arial" w:eastAsia="Arial" w:hAnsi="Arial"/>
          <w:sz w:val="16"/>
          <w:szCs w:val="16"/>
          <w:color w:val="auto"/>
        </w:rPr>
        <w:t>We are exposed to market risks related to fluctuations in interest rates on the outstanding variable rate debt. As of May 27, 2017, we had $297.0 million outstanding under our Term Loan, subject to variable interest rates.</w:t>
      </w:r>
    </w:p>
    <w:p>
      <w:pPr>
        <w:spacing w:after="0" w:line="141" w:lineRule="exact"/>
        <w:rPr>
          <w:sz w:val="20"/>
          <w:szCs w:val="20"/>
          <w:color w:val="auto"/>
        </w:rPr>
      </w:pPr>
    </w:p>
    <w:p>
      <w:pPr>
        <w:ind w:right="80"/>
        <w:spacing w:after="0" w:line="254" w:lineRule="auto"/>
        <w:rPr>
          <w:sz w:val="20"/>
          <w:szCs w:val="20"/>
          <w:color w:val="auto"/>
        </w:rPr>
      </w:pPr>
      <w:r>
        <w:rPr>
          <w:rFonts w:ascii="Arial" w:cs="Arial" w:eastAsia="Arial" w:hAnsi="Arial"/>
          <w:sz w:val="16"/>
          <w:szCs w:val="16"/>
          <w:color w:val="auto"/>
        </w:rPr>
        <w:t>Under terms of the Credit Facility, we are required to maintain interest rate swaps to manage our interest rate exposure related to the variable component of interest cost on the Term Loan. This hedging arrangement must be maintained until the later of three years from November 8, 2016 or when our leverage ratio is 2.0 to 1.0 or less. On January 23, 2017, we entered into an interest rate swap to effectively convert $200.0 million of the Term Loan balance to a fixed rate. The notional amount of the swap is reduced to $170.0 million on December 8, 2017, $120.0 million in December 10, 2018, and $60.0 million on December 9, 2019 and expires on December 8, 2020. A hypothetical one percentage point increase in interest rates on the Term Loan would increase our interest expense (after consideration of the interest rate swap) for the last three months of 2017 by approximately $0.2 million. Due to the floor of 1% on LIBOR for the Term Loan, a 1% decrease would have no impact on interest expense for the last three months of 2017.</w:t>
      </w:r>
    </w:p>
    <w:p>
      <w:pPr>
        <w:spacing w:after="0" w:line="150" w:lineRule="exact"/>
        <w:rPr>
          <w:sz w:val="20"/>
          <w:szCs w:val="20"/>
          <w:color w:val="auto"/>
        </w:rPr>
      </w:pPr>
    </w:p>
    <w:p>
      <w:pPr>
        <w:ind w:right="680"/>
        <w:spacing w:after="0" w:line="291" w:lineRule="auto"/>
        <w:rPr>
          <w:sz w:val="20"/>
          <w:szCs w:val="20"/>
          <w:color w:val="auto"/>
        </w:rPr>
      </w:pPr>
      <w:r>
        <w:rPr>
          <w:rFonts w:ascii="Arial" w:cs="Arial" w:eastAsia="Arial" w:hAnsi="Arial"/>
          <w:sz w:val="16"/>
          <w:szCs w:val="16"/>
          <w:color w:val="auto"/>
        </w:rPr>
        <w:t>For variable rate debt, interest rate changes generally do not affect the fair value of the debt instrument, but do impact future earnings and cash flows, assuming other factors are held constant.</w:t>
      </w:r>
    </w:p>
    <w:p>
      <w:pPr>
        <w:spacing w:after="0" w:line="121" w:lineRule="exact"/>
        <w:rPr>
          <w:sz w:val="20"/>
          <w:szCs w:val="20"/>
          <w:color w:val="auto"/>
        </w:rPr>
      </w:pPr>
    </w:p>
    <w:p>
      <w:pPr>
        <w:ind w:right="60"/>
        <w:spacing w:after="0" w:line="253" w:lineRule="auto"/>
        <w:rPr>
          <w:sz w:val="20"/>
          <w:szCs w:val="20"/>
          <w:color w:val="auto"/>
        </w:rPr>
      </w:pPr>
      <w:r>
        <w:rPr>
          <w:rFonts w:ascii="Arial" w:cs="Arial" w:eastAsia="Arial" w:hAnsi="Arial"/>
          <w:sz w:val="16"/>
          <w:szCs w:val="16"/>
          <w:color w:val="auto"/>
        </w:rPr>
        <w:t xml:space="preserve">Derivative instruments are accounted for at fair value in accordance with ASC Topic 815, </w:t>
      </w:r>
      <w:r>
        <w:rPr>
          <w:rFonts w:ascii="Arial" w:cs="Arial" w:eastAsia="Arial" w:hAnsi="Arial"/>
          <w:sz w:val="16"/>
          <w:szCs w:val="16"/>
          <w:i w:val="1"/>
          <w:iCs w:val="1"/>
          <w:color w:val="auto"/>
        </w:rPr>
        <w:t>Derivatives and Hedging</w:t>
      </w:r>
      <w:r>
        <w:rPr>
          <w:rFonts w:ascii="Arial" w:cs="Arial" w:eastAsia="Arial" w:hAnsi="Arial"/>
          <w:sz w:val="16"/>
          <w:szCs w:val="16"/>
          <w:color w:val="auto"/>
        </w:rPr>
        <w:t>, and have been designated for hedge accounting. The fair value of the interest rate swap is based on observable market data (Level 2) and was $(0.8) million as of May 27, 2017. The interest rate swap requires us to pay interest at a fixed rate of 1.82% through the December 8, 2020 expiration of the swap. A 1.0% increase in the interest rate would have changed the fair value of the swap as of May 27, 2017 by approximately $4.3 million and a 1.0% decrease would have changed the fair value by $(2.7) million. These increases and decreases would be recorded in OCI and the hedged value on our consolidated balance sheet (currently recorded within other non-current liabilities). While these are our best estimates of the impact of the specified interest rate scenario, actual results could differ from those projected. The sensitivity analysis presented assumes interest rate changes are instantaneous, parallel shifts in the yield curve. In reality, interest rate changes of this magnitude are rarely instantaneous or parallel.</w:t>
      </w:r>
    </w:p>
    <w:p>
      <w:pPr>
        <w:spacing w:after="0" w:line="148"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4. </w:t>
      </w:r>
      <w:r>
        <w:rPr>
          <w:rFonts w:ascii="Arial" w:cs="Arial" w:eastAsia="Arial" w:hAnsi="Arial"/>
          <w:sz w:val="16"/>
          <w:szCs w:val="16"/>
          <w:color w:val="auto"/>
        </w:rPr>
        <w:t>Controls and Procedures</w:t>
      </w:r>
    </w:p>
    <w:p>
      <w:pPr>
        <w:spacing w:after="0" w:line="198"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Evaluation of Disclosure Controls and Procedures</w:t>
      </w:r>
    </w:p>
    <w:p>
      <w:pPr>
        <w:spacing w:after="0" w:line="23" w:lineRule="exact"/>
        <w:rPr>
          <w:sz w:val="20"/>
          <w:szCs w:val="20"/>
          <w:color w:val="auto"/>
        </w:rPr>
      </w:pPr>
    </w:p>
    <w:p>
      <w:pPr>
        <w:jc w:val="both"/>
        <w:ind w:right="220"/>
        <w:spacing w:after="0" w:line="246" w:lineRule="auto"/>
        <w:rPr>
          <w:sz w:val="20"/>
          <w:szCs w:val="20"/>
          <w:color w:val="auto"/>
        </w:rPr>
      </w:pPr>
      <w:r>
        <w:rPr>
          <w:rFonts w:ascii="Arial" w:cs="Arial" w:eastAsia="Arial" w:hAnsi="Arial"/>
          <w:sz w:val="16"/>
          <w:szCs w:val="16"/>
          <w:color w:val="auto"/>
        </w:rPr>
        <w:t>We maintain "disclosure controls and procedures", as such term is defined under Securities Exchange Act of 1934, as amended ("Exchange Act") Rule 13a-15(e), that are designed to ensure that information required to be disclosed in our reports filed or submitted under the Exchange Act is recorded, processed, summarized and reported within the time periods specified in the SEC's rules and forms and that such information is accumulated and communicated to our management, including our Chief Executive Officer and Chief Financial Officer, as appropriate, to allow timely decisions regarding required disclosures.</w:t>
      </w:r>
    </w:p>
    <w:p>
      <w:pPr>
        <w:spacing w:after="0" w:line="2" w:lineRule="exact"/>
        <w:rPr>
          <w:sz w:val="20"/>
          <w:szCs w:val="20"/>
          <w:color w:val="auto"/>
        </w:rPr>
      </w:pPr>
    </w:p>
    <w:p>
      <w:pPr>
        <w:ind w:right="60"/>
        <w:spacing w:after="0" w:line="265" w:lineRule="auto"/>
        <w:rPr>
          <w:sz w:val="20"/>
          <w:szCs w:val="20"/>
          <w:color w:val="auto"/>
        </w:rPr>
      </w:pPr>
      <w:r>
        <w:rPr>
          <w:rFonts w:ascii="Arial" w:cs="Arial" w:eastAsia="Arial" w:hAnsi="Arial"/>
          <w:sz w:val="16"/>
          <w:szCs w:val="16"/>
          <w:color w:val="auto"/>
        </w:rPr>
        <w:t>Management necessarily applied its judgment in assessing the costs and benefits of such controls and procedures and believes such controls and procedures are effective at the reasonable assurance level.</w:t>
      </w:r>
    </w:p>
    <w:p>
      <w:pPr>
        <w:spacing w:after="0" w:line="141" w:lineRule="exact"/>
        <w:rPr>
          <w:sz w:val="20"/>
          <w:szCs w:val="20"/>
          <w:color w:val="auto"/>
        </w:rPr>
      </w:pPr>
    </w:p>
    <w:p>
      <w:pPr>
        <w:ind w:right="20"/>
        <w:spacing w:after="0" w:line="261" w:lineRule="auto"/>
        <w:rPr>
          <w:sz w:val="20"/>
          <w:szCs w:val="20"/>
          <w:color w:val="auto"/>
        </w:rPr>
      </w:pPr>
      <w:r>
        <w:rPr>
          <w:rFonts w:ascii="Arial" w:cs="Arial" w:eastAsia="Arial" w:hAnsi="Arial"/>
          <w:sz w:val="16"/>
          <w:szCs w:val="16"/>
          <w:color w:val="auto"/>
        </w:rPr>
        <w:t>Our management, under the supervision and with the participation of our Chief Executive Officer and Chief Financial Officer, has evaluated the effectiveness of the design and operation of our disclosure controls and procedures, required by Exchange Act Rule 13a-15(b), as of the end of the period covered by this Report (the "Evaluation Date"). Based on this evaluation, the Chief Executive Officer and Chief Financial Officer have concluded that our disclosure controls and procedures were effective as of the Evaluation Date.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i w:val="1"/>
          <w:iCs w:val="1"/>
          <w:color w:val="auto"/>
        </w:rPr>
        <w:t>Changes in Internal Control Over Financial Reporting</w:t>
      </w:r>
    </w:p>
    <w:p>
      <w:pPr>
        <w:spacing w:after="0" w:line="23" w:lineRule="exact"/>
        <w:rPr>
          <w:sz w:val="20"/>
          <w:szCs w:val="20"/>
          <w:color w:val="auto"/>
        </w:rPr>
      </w:pPr>
    </w:p>
    <w:p>
      <w:pPr>
        <w:spacing w:after="0" w:line="249" w:lineRule="auto"/>
        <w:rPr>
          <w:sz w:val="20"/>
          <w:szCs w:val="20"/>
          <w:color w:val="auto"/>
        </w:rPr>
      </w:pPr>
      <w:r>
        <w:rPr>
          <w:rFonts w:ascii="Arial" w:cs="Arial" w:eastAsia="Arial" w:hAnsi="Arial"/>
          <w:sz w:val="16"/>
          <w:szCs w:val="16"/>
          <w:color w:val="auto"/>
        </w:rPr>
        <w:t>During the first quarter of Fiscal 2017, we completed the acquisition of Grand Design RV, LLC which represents a material change in internal control over financial reporting since management's last assessment. Prior to the acquisition, Grand Design was a private company and has not been subject to the Sarbanes-Oxley Act of 2002, the rules and regulations of the SEC, or other corporate governance requirements to which public reporting companies may be subject. As part of our ongoing integration activities, we are continuing to incorporate our controls and procedures into the acquired Grand Design subsidiaries and to augment our company-wide controls to reflect the risks inherent in an acquisition of this type. Our report on our internal control over financial reporting in the Annual Report on Form 10-K for the year ending August 26, 2017 will exclude the acquired Grand Design subsidiaries in order for management to have sufficient time to evaluate and implement our internal control over financial reporting.</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00"/>
          </w:cols>
          <w:pgMar w:left="240" w:top="121" w:right="259" w:bottom="1440" w:gutter="0" w:footer="0" w:header="0"/>
        </w:sectPr>
      </w:pPr>
    </w:p>
    <w:bookmarkStart w:id="34" w:name="page35"/>
    <w:bookmarkEnd w:id="34"/>
    <w:p>
      <w:pPr>
        <w:spacing w:after="0"/>
        <w:rPr>
          <w:rFonts w:ascii="Arial" w:cs="Arial" w:eastAsia="Arial" w:hAnsi="Arial"/>
          <w:sz w:val="16"/>
          <w:szCs w:val="16"/>
          <w:u w:val="single" w:color="auto"/>
          <w:color w:val="0000EE"/>
        </w:rPr>
      </w:pPr>
      <w:hyperlink w:anchor="page2">
        <w:r>
          <w:rPr>
            <w:rFonts w:ascii="Arial" w:cs="Arial" w:eastAsia="Arial" w:hAnsi="Arial"/>
            <w:sz w:val="16"/>
            <w:szCs w:val="16"/>
            <w:u w:val="single" w:color="auto"/>
            <w:color w:val="0000EE"/>
          </w:rPr>
          <w:t>Table of Contents</w:t>
        </w:r>
      </w:hyperlink>
    </w:p>
    <w:p>
      <w:pPr>
        <w:spacing w:after="0" w:line="200" w:lineRule="exact"/>
        <w:rPr>
          <w:sz w:val="20"/>
          <w:szCs w:val="20"/>
          <w:color w:val="auto"/>
        </w:rPr>
      </w:pPr>
    </w:p>
    <w:p>
      <w:pPr>
        <w:spacing w:after="0" w:line="237" w:lineRule="exact"/>
        <w:rPr>
          <w:sz w:val="20"/>
          <w:szCs w:val="20"/>
          <w:color w:val="auto"/>
        </w:rPr>
      </w:pPr>
    </w:p>
    <w:p>
      <w:pPr>
        <w:ind w:right="160"/>
        <w:spacing w:after="0" w:line="291" w:lineRule="auto"/>
        <w:rPr>
          <w:sz w:val="20"/>
          <w:szCs w:val="20"/>
          <w:color w:val="auto"/>
        </w:rPr>
      </w:pPr>
      <w:r>
        <w:rPr>
          <w:rFonts w:ascii="Arial" w:cs="Arial" w:eastAsia="Arial" w:hAnsi="Arial"/>
          <w:sz w:val="16"/>
          <w:szCs w:val="16"/>
          <w:color w:val="auto"/>
        </w:rPr>
        <w:t>There were no changes in our internal control over financial reporting that occurred during the third quarter of Fiscal 2017 that have materially affected, or are reasonably likely to materially affect, our internal control over financial reporting.</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PART II OTHER INFORMATION</w:t>
      </w:r>
    </w:p>
    <w:p>
      <w:pPr>
        <w:spacing w:after="0" w:line="194"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 </w:t>
      </w:r>
      <w:r>
        <w:rPr>
          <w:rFonts w:ascii="Arial" w:cs="Arial" w:eastAsia="Arial" w:hAnsi="Arial"/>
          <w:sz w:val="16"/>
          <w:szCs w:val="16"/>
          <w:color w:val="auto"/>
        </w:rPr>
        <w:t>Legal Proceedings</w:t>
      </w:r>
    </w:p>
    <w:p>
      <w:pPr>
        <w:spacing w:after="0" w:line="169" w:lineRule="exact"/>
        <w:rPr>
          <w:sz w:val="20"/>
          <w:szCs w:val="20"/>
          <w:color w:val="auto"/>
        </w:rPr>
      </w:pPr>
    </w:p>
    <w:p>
      <w:pPr>
        <w:ind w:right="40"/>
        <w:spacing w:after="0" w:line="257" w:lineRule="auto"/>
        <w:rPr>
          <w:sz w:val="20"/>
          <w:szCs w:val="20"/>
          <w:color w:val="auto"/>
        </w:rPr>
      </w:pPr>
      <w:r>
        <w:rPr>
          <w:rFonts w:ascii="Arial" w:cs="Arial" w:eastAsia="Arial" w:hAnsi="Arial"/>
          <w:sz w:val="16"/>
          <w:szCs w:val="16"/>
          <w:color w:val="auto"/>
        </w:rPr>
        <w:t>We are involved in various legal proceedings which are ordinary litigation incidental to our business, some of which are covered in whole or in part by insurance. While we believe the ultimate disposition of litigation will not have material adverse effect on our financial position, results of operations or liquidity, there exists the possibility that such litigation may have an impact on our results for a particular reporting period in which litigation effects become probable and reasonably estimable. Though we do not believe there is a reasonable likelihood that there will be a material change related to these matters, litigation is subject to inherent uncertainties and management’s view of these matters may change in the future.</w:t>
      </w:r>
    </w:p>
    <w:p>
      <w:pPr>
        <w:spacing w:after="0" w:line="147"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1A. </w:t>
      </w:r>
      <w:r>
        <w:rPr>
          <w:rFonts w:ascii="Arial" w:cs="Arial" w:eastAsia="Arial" w:hAnsi="Arial"/>
          <w:sz w:val="16"/>
          <w:szCs w:val="16"/>
          <w:color w:val="auto"/>
        </w:rPr>
        <w:t>Risk Factors</w:t>
      </w:r>
    </w:p>
    <w:p>
      <w:pPr>
        <w:spacing w:after="0" w:line="196" w:lineRule="exact"/>
        <w:rPr>
          <w:sz w:val="20"/>
          <w:szCs w:val="20"/>
          <w:color w:val="auto"/>
        </w:rPr>
      </w:pPr>
    </w:p>
    <w:p>
      <w:pPr>
        <w:ind w:right="180"/>
        <w:spacing w:after="0" w:line="291" w:lineRule="auto"/>
        <w:rPr>
          <w:sz w:val="20"/>
          <w:szCs w:val="20"/>
          <w:color w:val="auto"/>
        </w:rPr>
      </w:pPr>
      <w:r>
        <w:rPr>
          <w:rFonts w:ascii="Arial" w:cs="Arial" w:eastAsia="Arial" w:hAnsi="Arial"/>
          <w:sz w:val="16"/>
          <w:szCs w:val="16"/>
          <w:color w:val="auto"/>
        </w:rPr>
        <w:t>There have been no material changes from the risk factors previously disclosed in Part I, Item 1A of our Annual Report on Form 10K for the fiscal year ended August 27, 2016, except for those disclosed in our Form 10-Q for the quarter ended November 26, 2016.</w:t>
      </w:r>
    </w:p>
    <w:p>
      <w:pPr>
        <w:spacing w:after="0" w:line="119"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 xml:space="preserve">Item 2. </w:t>
      </w:r>
      <w:r>
        <w:rPr>
          <w:rFonts w:ascii="Arial" w:cs="Arial" w:eastAsia="Arial" w:hAnsi="Arial"/>
          <w:sz w:val="16"/>
          <w:szCs w:val="16"/>
          <w:color w:val="auto"/>
        </w:rPr>
        <w:t>Unregistered Sales of Equity Securities and Use of Proceeds</w:t>
      </w:r>
    </w:p>
    <w:p>
      <w:pPr>
        <w:spacing w:after="0" w:line="169" w:lineRule="exact"/>
        <w:rPr>
          <w:sz w:val="20"/>
          <w:szCs w:val="20"/>
          <w:color w:val="auto"/>
        </w:rPr>
      </w:pPr>
    </w:p>
    <w:p>
      <w:pPr>
        <w:ind w:right="100"/>
        <w:spacing w:after="0" w:line="257" w:lineRule="auto"/>
        <w:rPr>
          <w:sz w:val="20"/>
          <w:szCs w:val="20"/>
          <w:color w:val="auto"/>
        </w:rPr>
      </w:pPr>
      <w:r>
        <w:rPr>
          <w:rFonts w:ascii="Arial" w:cs="Arial" w:eastAsia="Arial" w:hAnsi="Arial"/>
          <w:sz w:val="16"/>
          <w:szCs w:val="16"/>
          <w:color w:val="auto"/>
        </w:rPr>
        <w:t>On December 19, 2007, the Board of Directors authorized the repurchase of outstanding shares of our common stock, depending on market conditions, for an aggregate consideration of up to $60 million. There is no time restriction on this authorization. During the third quarter of Fiscal 2017, 65 shares were repurchased under the authorization, at an aggregate cost of $1,944. All of these shares were repurchased from employees who vested in Winnebago Industries shares during the third quarter of Fiscal 2017 and elected to pay their payroll tax via shares as opposed to cash. As of May 27, 2017, there was approximately $2.6 million remaining under this authorization.</w:t>
      </w:r>
    </w:p>
    <w:p>
      <w:pPr>
        <w:spacing w:after="0" w:line="122" w:lineRule="exact"/>
        <w:rPr>
          <w:sz w:val="20"/>
          <w:szCs w:val="20"/>
          <w:color w:val="auto"/>
        </w:rPr>
      </w:pPr>
    </w:p>
    <w:p>
      <w:pPr>
        <w:spacing w:after="0"/>
        <w:rPr>
          <w:sz w:val="20"/>
          <w:szCs w:val="20"/>
          <w:color w:val="auto"/>
        </w:rPr>
      </w:pPr>
      <w:r>
        <w:rPr>
          <w:rFonts w:ascii="Arial" w:cs="Arial" w:eastAsia="Arial" w:hAnsi="Arial"/>
          <w:sz w:val="16"/>
          <w:szCs w:val="16"/>
          <w:color w:val="auto"/>
        </w:rPr>
        <w:t>Purchases of our common stock during each fiscal month of the third quarter of Fiscal 2017 were:</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189"/>
        </w:trPr>
        <w:tc>
          <w:tcPr>
            <w:tcW w:w="310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Number of Shares</w:t>
            </w:r>
          </w:p>
        </w:tc>
        <w:tc>
          <w:tcPr>
            <w:tcW w:w="2520" w:type="dxa"/>
            <w:vAlign w:val="bottom"/>
            <w:gridSpan w:val="2"/>
          </w:tcPr>
          <w:p>
            <w:pPr>
              <w:jc w:val="center"/>
              <w:spacing w:after="0"/>
              <w:rPr>
                <w:sz w:val="20"/>
                <w:szCs w:val="20"/>
                <w:color w:val="auto"/>
              </w:rPr>
            </w:pPr>
            <w:r>
              <w:rPr>
                <w:rFonts w:ascii="Arial" w:cs="Arial" w:eastAsia="Arial" w:hAnsi="Arial"/>
                <w:sz w:val="16"/>
                <w:szCs w:val="16"/>
                <w:b w:val="1"/>
                <w:bCs w:val="1"/>
                <w:color w:val="auto"/>
              </w:rPr>
              <w:t>Approximate Dollar Value</w:t>
            </w:r>
          </w:p>
        </w:tc>
      </w:tr>
      <w:tr>
        <w:trPr>
          <w:trHeight w:val="189"/>
        </w:trPr>
        <w:tc>
          <w:tcPr>
            <w:tcW w:w="3100" w:type="dxa"/>
            <w:vAlign w:val="bottom"/>
          </w:tcPr>
          <w:p>
            <w:pPr>
              <w:spacing w:after="0"/>
              <w:rPr>
                <w:sz w:val="16"/>
                <w:szCs w:val="16"/>
                <w:color w:val="auto"/>
              </w:rPr>
            </w:pPr>
          </w:p>
        </w:tc>
        <w:tc>
          <w:tcPr>
            <w:tcW w:w="1480" w:type="dxa"/>
            <w:vAlign w:val="bottom"/>
          </w:tcPr>
          <w:p>
            <w:pPr>
              <w:jc w:val="center"/>
              <w:ind w:left="279"/>
              <w:spacing w:after="0"/>
              <w:rPr>
                <w:sz w:val="20"/>
                <w:szCs w:val="20"/>
                <w:color w:val="auto"/>
              </w:rPr>
            </w:pPr>
            <w:r>
              <w:rPr>
                <w:rFonts w:ascii="Arial" w:cs="Arial" w:eastAsia="Arial" w:hAnsi="Arial"/>
                <w:sz w:val="16"/>
                <w:szCs w:val="16"/>
                <w:b w:val="1"/>
                <w:bCs w:val="1"/>
                <w:color w:val="auto"/>
              </w:rPr>
              <w:t>Total Number</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spacing w:after="0"/>
              <w:rPr>
                <w:sz w:val="16"/>
                <w:szCs w:val="16"/>
                <w:color w:val="auto"/>
              </w:rPr>
            </w:pP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Purchased as Part of</w:t>
            </w:r>
          </w:p>
        </w:tc>
        <w:tc>
          <w:tcPr>
            <w:tcW w:w="2520" w:type="dxa"/>
            <w:vAlign w:val="bottom"/>
            <w:gridSpan w:val="2"/>
          </w:tcPr>
          <w:p>
            <w:pPr>
              <w:jc w:val="center"/>
              <w:ind w:right="19"/>
              <w:spacing w:after="0"/>
              <w:rPr>
                <w:sz w:val="20"/>
                <w:szCs w:val="20"/>
                <w:color w:val="auto"/>
              </w:rPr>
            </w:pPr>
            <w:r>
              <w:rPr>
                <w:rFonts w:ascii="Arial" w:cs="Arial" w:eastAsia="Arial" w:hAnsi="Arial"/>
                <w:sz w:val="16"/>
                <w:szCs w:val="16"/>
                <w:b w:val="1"/>
                <w:bCs w:val="1"/>
                <w:color w:val="auto"/>
              </w:rPr>
              <w:t>of Shares That May Yet Be</w:t>
            </w:r>
          </w:p>
        </w:tc>
      </w:tr>
      <w:tr>
        <w:trPr>
          <w:trHeight w:val="189"/>
        </w:trPr>
        <w:tc>
          <w:tcPr>
            <w:tcW w:w="3100" w:type="dxa"/>
            <w:vAlign w:val="bottom"/>
          </w:tcPr>
          <w:p>
            <w:pPr>
              <w:spacing w:after="0"/>
              <w:rPr>
                <w:sz w:val="16"/>
                <w:szCs w:val="16"/>
                <w:color w:val="auto"/>
              </w:rPr>
            </w:pPr>
          </w:p>
        </w:tc>
        <w:tc>
          <w:tcPr>
            <w:tcW w:w="1480" w:type="dxa"/>
            <w:vAlign w:val="bottom"/>
          </w:tcPr>
          <w:p>
            <w:pPr>
              <w:jc w:val="center"/>
              <w:ind w:left="259"/>
              <w:spacing w:after="0"/>
              <w:rPr>
                <w:sz w:val="20"/>
                <w:szCs w:val="20"/>
                <w:color w:val="auto"/>
              </w:rPr>
            </w:pPr>
            <w:r>
              <w:rPr>
                <w:rFonts w:ascii="Arial" w:cs="Arial" w:eastAsia="Arial" w:hAnsi="Arial"/>
                <w:sz w:val="16"/>
                <w:szCs w:val="16"/>
                <w:b w:val="1"/>
                <w:bCs w:val="1"/>
                <w:color w:val="auto"/>
              </w:rPr>
              <w:t>of Shares</w:t>
            </w: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40" w:type="dxa"/>
            <w:vAlign w:val="bottom"/>
          </w:tcPr>
          <w:p>
            <w:pPr>
              <w:jc w:val="right"/>
              <w:ind w:right="239"/>
              <w:spacing w:after="0"/>
              <w:rPr>
                <w:sz w:val="20"/>
                <w:szCs w:val="20"/>
                <w:color w:val="auto"/>
              </w:rPr>
            </w:pPr>
            <w:r>
              <w:rPr>
                <w:rFonts w:ascii="Arial" w:cs="Arial" w:eastAsia="Arial" w:hAnsi="Arial"/>
                <w:sz w:val="16"/>
                <w:szCs w:val="16"/>
                <w:b w:val="1"/>
                <w:bCs w:val="1"/>
                <w:color w:val="auto"/>
              </w:rPr>
              <w:t>Average Price</w:t>
            </w:r>
          </w:p>
        </w:tc>
        <w:tc>
          <w:tcPr>
            <w:tcW w:w="2180" w:type="dxa"/>
            <w:vAlign w:val="bottom"/>
          </w:tcPr>
          <w:p>
            <w:pPr>
              <w:jc w:val="center"/>
              <w:spacing w:after="0"/>
              <w:rPr>
                <w:sz w:val="20"/>
                <w:szCs w:val="20"/>
                <w:color w:val="auto"/>
              </w:rPr>
            </w:pPr>
            <w:r>
              <w:rPr>
                <w:rFonts w:ascii="Arial" w:cs="Arial" w:eastAsia="Arial" w:hAnsi="Arial"/>
                <w:sz w:val="16"/>
                <w:szCs w:val="16"/>
                <w:b w:val="1"/>
                <w:bCs w:val="1"/>
                <w:color w:val="auto"/>
              </w:rPr>
              <w:t>Publicly Announced</w:t>
            </w:r>
          </w:p>
        </w:tc>
        <w:tc>
          <w:tcPr>
            <w:tcW w:w="380" w:type="dxa"/>
            <w:vAlign w:val="bottom"/>
          </w:tcPr>
          <w:p>
            <w:pPr>
              <w:spacing w:after="0"/>
              <w:rPr>
                <w:sz w:val="16"/>
                <w:szCs w:val="16"/>
                <w:color w:val="auto"/>
              </w:rPr>
            </w:pPr>
          </w:p>
        </w:tc>
        <w:tc>
          <w:tcPr>
            <w:tcW w:w="2140" w:type="dxa"/>
            <w:vAlign w:val="bottom"/>
          </w:tcPr>
          <w:p>
            <w:pPr>
              <w:jc w:val="center"/>
              <w:ind w:right="379"/>
              <w:spacing w:after="0"/>
              <w:rPr>
                <w:sz w:val="20"/>
                <w:szCs w:val="20"/>
                <w:color w:val="auto"/>
              </w:rPr>
            </w:pPr>
            <w:r>
              <w:rPr>
                <w:rFonts w:ascii="Arial" w:cs="Arial" w:eastAsia="Arial" w:hAnsi="Arial"/>
                <w:sz w:val="16"/>
                <w:szCs w:val="16"/>
                <w:b w:val="1"/>
                <w:bCs w:val="1"/>
                <w:color w:val="auto"/>
              </w:rPr>
              <w:t>Purchased Under the</w:t>
            </w:r>
          </w:p>
        </w:tc>
      </w:tr>
      <w:tr>
        <w:trPr>
          <w:trHeight w:val="232"/>
        </w:trPr>
        <w:tc>
          <w:tcPr>
            <w:tcW w:w="3100" w:type="dxa"/>
            <w:vAlign w:val="bottom"/>
            <w:tcBorders>
              <w:bottom w:val="single" w:sz="8" w:color="auto"/>
            </w:tcBorders>
          </w:tcPr>
          <w:p>
            <w:pPr>
              <w:ind w:left="40"/>
              <w:spacing w:after="0"/>
              <w:rPr>
                <w:sz w:val="20"/>
                <w:szCs w:val="20"/>
                <w:color w:val="auto"/>
              </w:rPr>
            </w:pPr>
            <w:r>
              <w:rPr>
                <w:rFonts w:ascii="Arial" w:cs="Arial" w:eastAsia="Arial" w:hAnsi="Arial"/>
                <w:sz w:val="16"/>
                <w:szCs w:val="16"/>
                <w:b w:val="1"/>
                <w:bCs w:val="1"/>
                <w:color w:val="auto"/>
              </w:rPr>
              <w:t>Period</w:t>
            </w:r>
          </w:p>
        </w:tc>
        <w:tc>
          <w:tcPr>
            <w:tcW w:w="1480" w:type="dxa"/>
            <w:vAlign w:val="bottom"/>
            <w:tcBorders>
              <w:bottom w:val="single" w:sz="8" w:color="auto"/>
            </w:tcBorders>
          </w:tcPr>
          <w:p>
            <w:pPr>
              <w:jc w:val="center"/>
              <w:ind w:left="279"/>
              <w:spacing w:after="0"/>
              <w:rPr>
                <w:sz w:val="20"/>
                <w:szCs w:val="20"/>
                <w:color w:val="auto"/>
              </w:rPr>
            </w:pPr>
            <w:r>
              <w:rPr>
                <w:rFonts w:ascii="Arial" w:cs="Arial" w:eastAsia="Arial" w:hAnsi="Arial"/>
                <w:sz w:val="16"/>
                <w:szCs w:val="16"/>
                <w:b w:val="1"/>
                <w:bCs w:val="1"/>
                <w:color w:val="auto"/>
              </w:rPr>
              <w:t>Purchased</w:t>
            </w:r>
          </w:p>
        </w:tc>
        <w:tc>
          <w:tcPr>
            <w:tcW w:w="420" w:type="dxa"/>
            <w:vAlign w:val="bottom"/>
            <w:tcBorders>
              <w:bottom w:val="single" w:sz="8" w:color="auto"/>
            </w:tcBorders>
          </w:tcPr>
          <w:p>
            <w:pPr>
              <w:spacing w:after="0"/>
              <w:rPr>
                <w:sz w:val="20"/>
                <w:szCs w:val="20"/>
                <w:color w:val="auto"/>
              </w:rPr>
            </w:pPr>
          </w:p>
        </w:tc>
        <w:tc>
          <w:tcPr>
            <w:tcW w:w="280" w:type="dxa"/>
            <w:vAlign w:val="bottom"/>
            <w:tcBorders>
              <w:bottom w:val="single" w:sz="8" w:color="auto"/>
            </w:tcBorders>
          </w:tcPr>
          <w:p>
            <w:pPr>
              <w:spacing w:after="0"/>
              <w:rPr>
                <w:sz w:val="20"/>
                <w:szCs w:val="20"/>
                <w:color w:val="auto"/>
              </w:rPr>
            </w:pPr>
          </w:p>
        </w:tc>
        <w:tc>
          <w:tcPr>
            <w:tcW w:w="1440" w:type="dxa"/>
            <w:vAlign w:val="bottom"/>
            <w:tcBorders>
              <w:bottom w:val="single" w:sz="8" w:color="auto"/>
            </w:tcBorders>
          </w:tcPr>
          <w:p>
            <w:pPr>
              <w:jc w:val="right"/>
              <w:ind w:right="219"/>
              <w:spacing w:after="0"/>
              <w:rPr>
                <w:sz w:val="20"/>
                <w:szCs w:val="20"/>
                <w:color w:val="auto"/>
              </w:rPr>
            </w:pPr>
            <w:r>
              <w:rPr>
                <w:rFonts w:ascii="Arial" w:cs="Arial" w:eastAsia="Arial" w:hAnsi="Arial"/>
                <w:sz w:val="16"/>
                <w:szCs w:val="16"/>
                <w:b w:val="1"/>
                <w:bCs w:val="1"/>
                <w:color w:val="auto"/>
                <w:w w:val="99"/>
              </w:rPr>
              <w:t>Paid per Share</w:t>
            </w:r>
          </w:p>
        </w:tc>
        <w:tc>
          <w:tcPr>
            <w:tcW w:w="218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rPr>
              <w:t>Plans or Programs</w:t>
            </w:r>
          </w:p>
        </w:tc>
        <w:tc>
          <w:tcPr>
            <w:tcW w:w="380" w:type="dxa"/>
            <w:vAlign w:val="bottom"/>
            <w:tcBorders>
              <w:bottom w:val="single" w:sz="8" w:color="auto"/>
            </w:tcBorders>
          </w:tcPr>
          <w:p>
            <w:pPr>
              <w:spacing w:after="0"/>
              <w:rPr>
                <w:sz w:val="20"/>
                <w:szCs w:val="20"/>
                <w:color w:val="auto"/>
              </w:rPr>
            </w:pPr>
          </w:p>
        </w:tc>
        <w:tc>
          <w:tcPr>
            <w:tcW w:w="2140" w:type="dxa"/>
            <w:vAlign w:val="bottom"/>
            <w:tcBorders>
              <w:bottom w:val="single" w:sz="8" w:color="auto"/>
            </w:tcBorders>
          </w:tcPr>
          <w:p>
            <w:pPr>
              <w:jc w:val="center"/>
              <w:ind w:right="379"/>
              <w:spacing w:after="0"/>
              <w:rPr>
                <w:sz w:val="20"/>
                <w:szCs w:val="20"/>
                <w:color w:val="auto"/>
              </w:rPr>
            </w:pPr>
            <w:r>
              <w:rPr>
                <w:rFonts w:ascii="Arial" w:cs="Arial" w:eastAsia="Arial" w:hAnsi="Arial"/>
                <w:sz w:val="16"/>
                <w:szCs w:val="16"/>
                <w:b w:val="1"/>
                <w:bCs w:val="1"/>
                <w:color w:val="auto"/>
              </w:rPr>
              <w:t>Plans or Programs</w:t>
            </w:r>
          </w:p>
        </w:tc>
      </w:tr>
      <w:tr>
        <w:trPr>
          <w:trHeight w:val="267"/>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02/26/17 - 04/01/17</w:t>
            </w:r>
          </w:p>
        </w:tc>
        <w:tc>
          <w:tcPr>
            <w:tcW w:w="1480" w:type="dxa"/>
            <w:vAlign w:val="bottom"/>
            <w:shd w:val="clear" w:color="auto" w:fill="CCEEFF"/>
          </w:tcPr>
          <w:p>
            <w:pPr>
              <w:spacing w:after="0"/>
              <w:rPr>
                <w:sz w:val="23"/>
                <w:szCs w:val="23"/>
                <w:color w:val="auto"/>
              </w:rPr>
            </w:pPr>
          </w:p>
        </w:tc>
        <w:tc>
          <w:tcPr>
            <w:tcW w:w="420" w:type="dxa"/>
            <w:vAlign w:val="bottom"/>
            <w:shd w:val="clear" w:color="auto" w:fill="CCEEFF"/>
          </w:tcPr>
          <w:p>
            <w:pPr>
              <w:jc w:val="right"/>
              <w:ind w:right="99"/>
              <w:spacing w:after="0"/>
              <w:rPr>
                <w:sz w:val="20"/>
                <w:szCs w:val="20"/>
                <w:color w:val="auto"/>
              </w:rPr>
            </w:pPr>
            <w:r>
              <w:rPr>
                <w:rFonts w:ascii="Arial" w:cs="Arial" w:eastAsia="Arial" w:hAnsi="Arial"/>
                <w:sz w:val="16"/>
                <w:szCs w:val="16"/>
                <w:color w:val="auto"/>
              </w:rPr>
              <w:t>65</w:t>
            </w:r>
          </w:p>
        </w:tc>
        <w:tc>
          <w:tcPr>
            <w:tcW w:w="2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shd w:val="clear" w:color="auto" w:fill="CCEEFF"/>
          </w:tcPr>
          <w:p>
            <w:pPr>
              <w:jc w:val="right"/>
              <w:ind w:right="179"/>
              <w:spacing w:after="0"/>
              <w:rPr>
                <w:sz w:val="20"/>
                <w:szCs w:val="20"/>
                <w:color w:val="auto"/>
              </w:rPr>
            </w:pPr>
            <w:r>
              <w:rPr>
                <w:rFonts w:ascii="Arial" w:cs="Arial" w:eastAsia="Arial" w:hAnsi="Arial"/>
                <w:sz w:val="16"/>
                <w:szCs w:val="16"/>
                <w:color w:val="auto"/>
              </w:rPr>
              <w:t>29.90</w:t>
            </w:r>
          </w:p>
        </w:tc>
        <w:tc>
          <w:tcPr>
            <w:tcW w:w="2180" w:type="dxa"/>
            <w:vAlign w:val="bottom"/>
            <w:shd w:val="clear" w:color="auto" w:fill="CCEEFF"/>
          </w:tcPr>
          <w:p>
            <w:pPr>
              <w:jc w:val="right"/>
              <w:ind w:right="119"/>
              <w:spacing w:after="0"/>
              <w:rPr>
                <w:sz w:val="20"/>
                <w:szCs w:val="20"/>
                <w:color w:val="auto"/>
              </w:rPr>
            </w:pPr>
            <w:r>
              <w:rPr>
                <w:rFonts w:ascii="Arial" w:cs="Arial" w:eastAsia="Arial" w:hAnsi="Arial"/>
                <w:sz w:val="16"/>
                <w:szCs w:val="16"/>
                <w:color w:val="auto"/>
              </w:rPr>
              <w:t>65</w:t>
            </w:r>
          </w:p>
        </w:tc>
        <w:tc>
          <w:tcPr>
            <w:tcW w:w="380" w:type="dxa"/>
            <w:vAlign w:val="bottom"/>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shd w:val="clear" w:color="auto" w:fill="CCEEFF"/>
          </w:tcPr>
          <w:p>
            <w:pPr>
              <w:jc w:val="right"/>
              <w:ind w:right="359"/>
              <w:spacing w:after="0"/>
              <w:rPr>
                <w:sz w:val="20"/>
                <w:szCs w:val="20"/>
                <w:color w:val="auto"/>
              </w:rPr>
            </w:pPr>
            <w:r>
              <w:rPr>
                <w:rFonts w:ascii="Arial" w:cs="Arial" w:eastAsia="Arial" w:hAnsi="Arial"/>
                <w:sz w:val="16"/>
                <w:szCs w:val="16"/>
                <w:color w:val="auto"/>
              </w:rPr>
              <w:t>2,630,000</w:t>
            </w:r>
          </w:p>
        </w:tc>
      </w:tr>
      <w:tr>
        <w:trPr>
          <w:trHeight w:val="262"/>
        </w:trPr>
        <w:tc>
          <w:tcPr>
            <w:tcW w:w="3100" w:type="dxa"/>
            <w:vAlign w:val="bottom"/>
          </w:tcPr>
          <w:p>
            <w:pPr>
              <w:ind w:left="40"/>
              <w:spacing w:after="0"/>
              <w:rPr>
                <w:sz w:val="20"/>
                <w:szCs w:val="20"/>
                <w:color w:val="auto"/>
              </w:rPr>
            </w:pPr>
            <w:r>
              <w:rPr>
                <w:rFonts w:ascii="Arial" w:cs="Arial" w:eastAsia="Arial" w:hAnsi="Arial"/>
                <w:sz w:val="16"/>
                <w:szCs w:val="16"/>
                <w:color w:val="auto"/>
              </w:rPr>
              <w:t>04/02/17 - 04/29/17</w:t>
            </w:r>
          </w:p>
        </w:tc>
        <w:tc>
          <w:tcPr>
            <w:tcW w:w="1480" w:type="dxa"/>
            <w:vAlign w:val="bottom"/>
          </w:tcPr>
          <w:p>
            <w:pPr>
              <w:spacing w:after="0"/>
              <w:rPr>
                <w:sz w:val="22"/>
                <w:szCs w:val="22"/>
                <w:color w:val="auto"/>
              </w:rPr>
            </w:pPr>
          </w:p>
        </w:tc>
        <w:tc>
          <w:tcPr>
            <w:tcW w:w="420" w:type="dxa"/>
            <w:vAlign w:val="bottom"/>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w:t>
            </w:r>
          </w:p>
        </w:tc>
        <w:tc>
          <w:tcPr>
            <w:tcW w:w="144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Pr>
          <w:p>
            <w:pPr>
              <w:jc w:val="right"/>
              <w:spacing w:after="0"/>
              <w:rPr>
                <w:sz w:val="20"/>
                <w:szCs w:val="20"/>
                <w:color w:val="auto"/>
              </w:rPr>
            </w:pPr>
            <w:r>
              <w:rPr>
                <w:rFonts w:ascii="Arial" w:cs="Arial" w:eastAsia="Arial" w:hAnsi="Arial"/>
                <w:sz w:val="16"/>
                <w:szCs w:val="16"/>
                <w:color w:val="auto"/>
              </w:rPr>
              <w:t>$</w:t>
            </w:r>
          </w:p>
        </w:tc>
        <w:tc>
          <w:tcPr>
            <w:tcW w:w="2140" w:type="dxa"/>
            <w:vAlign w:val="bottom"/>
          </w:tcPr>
          <w:p>
            <w:pPr>
              <w:jc w:val="right"/>
              <w:ind w:right="359"/>
              <w:spacing w:after="0"/>
              <w:rPr>
                <w:sz w:val="20"/>
                <w:szCs w:val="20"/>
                <w:color w:val="auto"/>
              </w:rPr>
            </w:pPr>
            <w:r>
              <w:rPr>
                <w:rFonts w:ascii="Arial" w:cs="Arial" w:eastAsia="Arial" w:hAnsi="Arial"/>
                <w:sz w:val="16"/>
                <w:szCs w:val="16"/>
                <w:color w:val="auto"/>
              </w:rPr>
              <w:t>2,630,000</w:t>
            </w:r>
          </w:p>
        </w:tc>
      </w:tr>
      <w:tr>
        <w:trPr>
          <w:trHeight w:val="271"/>
        </w:trPr>
        <w:tc>
          <w:tcPr>
            <w:tcW w:w="3100" w:type="dxa"/>
            <w:vAlign w:val="bottom"/>
            <w:shd w:val="clear" w:color="auto" w:fill="CCEEFF"/>
          </w:tcPr>
          <w:p>
            <w:pPr>
              <w:ind w:left="40"/>
              <w:spacing w:after="0"/>
              <w:rPr>
                <w:sz w:val="20"/>
                <w:szCs w:val="20"/>
                <w:color w:val="auto"/>
              </w:rPr>
            </w:pPr>
            <w:r>
              <w:rPr>
                <w:rFonts w:ascii="Arial" w:cs="Arial" w:eastAsia="Arial" w:hAnsi="Arial"/>
                <w:sz w:val="16"/>
                <w:szCs w:val="16"/>
                <w:color w:val="auto"/>
              </w:rPr>
              <w:t>04/30/17 - 05/27/17</w:t>
            </w:r>
          </w:p>
        </w:tc>
        <w:tc>
          <w:tcPr>
            <w:tcW w:w="1480" w:type="dxa"/>
            <w:vAlign w:val="bottom"/>
            <w:tcBorders>
              <w:bottom w:val="single" w:sz="8" w:color="auto"/>
            </w:tcBorders>
            <w:shd w:val="clear" w:color="auto" w:fill="CCEEFF"/>
          </w:tcPr>
          <w:p>
            <w:pPr>
              <w:spacing w:after="0"/>
              <w:rPr>
                <w:sz w:val="23"/>
                <w:szCs w:val="23"/>
                <w:color w:val="auto"/>
              </w:rPr>
            </w:pPr>
          </w:p>
        </w:tc>
        <w:tc>
          <w:tcPr>
            <w:tcW w:w="420" w:type="dxa"/>
            <w:vAlign w:val="bottom"/>
            <w:tcBorders>
              <w:bottom w:val="single" w:sz="8" w:color="auto"/>
            </w:tcBorders>
            <w:shd w:val="clear" w:color="auto" w:fill="CCEEFF"/>
          </w:tcPr>
          <w:p>
            <w:pPr>
              <w:jc w:val="right"/>
              <w:ind w:right="9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shd w:val="clear" w:color="auto" w:fill="CCEEFF"/>
          </w:tcPr>
          <w:p>
            <w:pPr>
              <w:jc w:val="right"/>
              <w:ind w:right="179"/>
              <w:spacing w:after="0"/>
              <w:rPr>
                <w:sz w:val="20"/>
                <w:szCs w:val="20"/>
                <w:color w:val="auto"/>
              </w:rPr>
            </w:pPr>
            <w:r>
              <w:rPr>
                <w:rFonts w:ascii="Arial" w:cs="Arial" w:eastAsia="Arial" w:hAnsi="Arial"/>
                <w:sz w:val="16"/>
                <w:szCs w:val="16"/>
                <w:color w:val="auto"/>
              </w:rPr>
              <w:t>—</w:t>
            </w:r>
          </w:p>
        </w:tc>
        <w:tc>
          <w:tcPr>
            <w:tcW w:w="2180" w:type="dxa"/>
            <w:vAlign w:val="bottom"/>
            <w:tcBorders>
              <w:bottom w:val="single" w:sz="8" w:color="auto"/>
            </w:tcBorders>
            <w:shd w:val="clear" w:color="auto" w:fill="CCEEFF"/>
          </w:tcPr>
          <w:p>
            <w:pPr>
              <w:jc w:val="right"/>
              <w:ind w:right="119"/>
              <w:spacing w:after="0"/>
              <w:rPr>
                <w:sz w:val="20"/>
                <w:szCs w:val="20"/>
                <w:color w:val="auto"/>
              </w:rPr>
            </w:pPr>
            <w:r>
              <w:rPr>
                <w:rFonts w:ascii="Arial" w:cs="Arial" w:eastAsia="Arial" w:hAnsi="Arial"/>
                <w:sz w:val="16"/>
                <w:szCs w:val="16"/>
                <w:color w:val="auto"/>
              </w:rPr>
              <w:t>—</w:t>
            </w:r>
          </w:p>
        </w:tc>
        <w:tc>
          <w:tcPr>
            <w:tcW w:w="3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shd w:val="clear" w:color="auto" w:fill="CCEEFF"/>
          </w:tcPr>
          <w:p>
            <w:pPr>
              <w:jc w:val="right"/>
              <w:ind w:right="359"/>
              <w:spacing w:after="0"/>
              <w:rPr>
                <w:sz w:val="20"/>
                <w:szCs w:val="20"/>
                <w:color w:val="auto"/>
              </w:rPr>
            </w:pPr>
            <w:r>
              <w:rPr>
                <w:rFonts w:ascii="Arial" w:cs="Arial" w:eastAsia="Arial" w:hAnsi="Arial"/>
                <w:sz w:val="16"/>
                <w:szCs w:val="16"/>
                <w:color w:val="auto"/>
              </w:rPr>
              <w:t>2,630,000</w:t>
            </w:r>
          </w:p>
        </w:tc>
      </w:tr>
      <w:tr>
        <w:trPr>
          <w:trHeight w:val="269"/>
        </w:trPr>
        <w:tc>
          <w:tcPr>
            <w:tcW w:w="3100" w:type="dxa"/>
            <w:vAlign w:val="bottom"/>
          </w:tcPr>
          <w:p>
            <w:pPr>
              <w:ind w:left="40"/>
              <w:spacing w:after="0"/>
              <w:rPr>
                <w:sz w:val="20"/>
                <w:szCs w:val="20"/>
                <w:color w:val="auto"/>
              </w:rPr>
            </w:pPr>
            <w:r>
              <w:rPr>
                <w:rFonts w:ascii="Arial" w:cs="Arial" w:eastAsia="Arial" w:hAnsi="Arial"/>
                <w:sz w:val="16"/>
                <w:szCs w:val="16"/>
                <w:color w:val="auto"/>
              </w:rPr>
              <w:t>Total</w:t>
            </w:r>
          </w:p>
        </w:tc>
        <w:tc>
          <w:tcPr>
            <w:tcW w:w="1480" w:type="dxa"/>
            <w:vAlign w:val="bottom"/>
            <w:tcBorders>
              <w:bottom w:val="single" w:sz="8" w:color="auto"/>
            </w:tcBorders>
          </w:tcPr>
          <w:p>
            <w:pPr>
              <w:spacing w:after="0"/>
              <w:rPr>
                <w:sz w:val="23"/>
                <w:szCs w:val="23"/>
                <w:color w:val="auto"/>
              </w:rPr>
            </w:pPr>
          </w:p>
        </w:tc>
        <w:tc>
          <w:tcPr>
            <w:tcW w:w="420" w:type="dxa"/>
            <w:vAlign w:val="bottom"/>
            <w:tcBorders>
              <w:bottom w:val="single" w:sz="8" w:color="auto"/>
            </w:tcBorders>
          </w:tcPr>
          <w:p>
            <w:pPr>
              <w:jc w:val="right"/>
              <w:ind w:right="99"/>
              <w:spacing w:after="0"/>
              <w:rPr>
                <w:sz w:val="20"/>
                <w:szCs w:val="20"/>
                <w:color w:val="auto"/>
              </w:rPr>
            </w:pPr>
            <w:r>
              <w:rPr>
                <w:rFonts w:ascii="Arial" w:cs="Arial" w:eastAsia="Arial" w:hAnsi="Arial"/>
                <w:sz w:val="16"/>
                <w:szCs w:val="16"/>
                <w:color w:val="auto"/>
              </w:rPr>
              <w:t>65</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440" w:type="dxa"/>
            <w:vAlign w:val="bottom"/>
            <w:tcBorders>
              <w:bottom w:val="single" w:sz="8" w:color="auto"/>
            </w:tcBorders>
          </w:tcPr>
          <w:p>
            <w:pPr>
              <w:jc w:val="right"/>
              <w:ind w:right="179"/>
              <w:spacing w:after="0"/>
              <w:rPr>
                <w:sz w:val="20"/>
                <w:szCs w:val="20"/>
                <w:color w:val="auto"/>
              </w:rPr>
            </w:pPr>
            <w:r>
              <w:rPr>
                <w:rFonts w:ascii="Arial" w:cs="Arial" w:eastAsia="Arial" w:hAnsi="Arial"/>
                <w:sz w:val="16"/>
                <w:szCs w:val="16"/>
                <w:color w:val="auto"/>
              </w:rPr>
              <w:t>29.90</w:t>
            </w:r>
          </w:p>
        </w:tc>
        <w:tc>
          <w:tcPr>
            <w:tcW w:w="2180" w:type="dxa"/>
            <w:vAlign w:val="bottom"/>
            <w:tcBorders>
              <w:bottom w:val="single" w:sz="8" w:color="auto"/>
            </w:tcBorders>
          </w:tcPr>
          <w:p>
            <w:pPr>
              <w:jc w:val="right"/>
              <w:ind w:right="119"/>
              <w:spacing w:after="0"/>
              <w:rPr>
                <w:sz w:val="20"/>
                <w:szCs w:val="20"/>
                <w:color w:val="auto"/>
              </w:rPr>
            </w:pPr>
            <w:r>
              <w:rPr>
                <w:rFonts w:ascii="Arial" w:cs="Arial" w:eastAsia="Arial" w:hAnsi="Arial"/>
                <w:sz w:val="16"/>
                <w:szCs w:val="16"/>
                <w:color w:val="auto"/>
              </w:rPr>
              <w:t>65</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2140" w:type="dxa"/>
            <w:vAlign w:val="bottom"/>
            <w:tcBorders>
              <w:bottom w:val="single" w:sz="8" w:color="auto"/>
            </w:tcBorders>
          </w:tcPr>
          <w:p>
            <w:pPr>
              <w:jc w:val="right"/>
              <w:ind w:right="359"/>
              <w:spacing w:after="0"/>
              <w:rPr>
                <w:sz w:val="20"/>
                <w:szCs w:val="20"/>
                <w:color w:val="auto"/>
              </w:rPr>
            </w:pPr>
            <w:r>
              <w:rPr>
                <w:rFonts w:ascii="Arial" w:cs="Arial" w:eastAsia="Arial" w:hAnsi="Arial"/>
                <w:sz w:val="16"/>
                <w:szCs w:val="16"/>
                <w:color w:val="auto"/>
              </w:rPr>
              <w:t>2,630,000</w:t>
            </w:r>
          </w:p>
        </w:tc>
      </w:tr>
      <w:tr>
        <w:trPr>
          <w:trHeight w:val="20"/>
        </w:trPr>
        <w:tc>
          <w:tcPr>
            <w:tcW w:w="3100" w:type="dxa"/>
            <w:vAlign w:val="bottom"/>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42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r>
    </w:tbl>
    <w:p>
      <w:pPr>
        <w:spacing w:after="0" w:line="171" w:lineRule="exact"/>
        <w:rPr>
          <w:sz w:val="20"/>
          <w:szCs w:val="20"/>
          <w:color w:val="auto"/>
        </w:rPr>
      </w:pPr>
    </w:p>
    <w:p>
      <w:pPr>
        <w:spacing w:after="0"/>
        <w:rPr>
          <w:sz w:val="20"/>
          <w:szCs w:val="20"/>
          <w:color w:val="auto"/>
        </w:rPr>
      </w:pPr>
      <w:r>
        <w:rPr>
          <w:rFonts w:ascii="Arial" w:cs="Arial" w:eastAsia="Arial" w:hAnsi="Arial"/>
          <w:sz w:val="16"/>
          <w:szCs w:val="16"/>
          <w:color w:val="auto"/>
        </w:rPr>
        <w:t>Our Credit Facility contains covenants that limit our ability to pay certain cash dividends or repurchase our stock without impacting financial ratio covenants.</w:t>
      </w:r>
    </w:p>
    <w:p>
      <w:pPr>
        <w:spacing w:after="0" w:line="192"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Item 6. Exhibits</w:t>
      </w:r>
    </w:p>
    <w:p>
      <w:pPr>
        <w:spacing w:after="0" w:line="169"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31.1</w:t>
      </w:r>
      <w:r>
        <w:rPr>
          <w:sz w:val="20"/>
          <w:szCs w:val="20"/>
          <w:color w:val="auto"/>
        </w:rPr>
        <w:tab/>
      </w:r>
      <w:r>
        <w:rPr>
          <w:rFonts w:ascii="Arial" w:cs="Arial" w:eastAsia="Arial" w:hAnsi="Arial"/>
          <w:sz w:val="16"/>
          <w:szCs w:val="16"/>
          <w:color w:val="auto"/>
        </w:rPr>
        <w:t>Certification by the Chief Executive Officer pursuant to Section 302 of the Sarbanes-Oxley Act of 2002 dated June 23, 2017.</w:t>
      </w:r>
    </w:p>
    <w:p>
      <w:pPr>
        <w:spacing w:after="0" w:line="167" w:lineRule="exact"/>
        <w:rPr>
          <w:sz w:val="20"/>
          <w:szCs w:val="20"/>
          <w:color w:val="auto"/>
        </w:rPr>
      </w:pPr>
    </w:p>
    <w:p>
      <w:pPr>
        <w:spacing w:after="0"/>
        <w:tabs>
          <w:tab w:leader="none" w:pos="960" w:val="left"/>
        </w:tabs>
        <w:rPr>
          <w:sz w:val="20"/>
          <w:szCs w:val="20"/>
          <w:color w:val="auto"/>
        </w:rPr>
      </w:pPr>
      <w:r>
        <w:rPr>
          <w:rFonts w:ascii="Arial" w:cs="Arial" w:eastAsia="Arial" w:hAnsi="Arial"/>
          <w:sz w:val="16"/>
          <w:szCs w:val="16"/>
          <w:color w:val="auto"/>
        </w:rPr>
        <w:t>31.2</w:t>
      </w:r>
      <w:r>
        <w:rPr>
          <w:sz w:val="20"/>
          <w:szCs w:val="20"/>
          <w:color w:val="auto"/>
        </w:rPr>
        <w:tab/>
      </w:r>
      <w:r>
        <w:rPr>
          <w:rFonts w:ascii="Arial" w:cs="Arial" w:eastAsia="Arial" w:hAnsi="Arial"/>
          <w:sz w:val="16"/>
          <w:szCs w:val="16"/>
          <w:color w:val="auto"/>
        </w:rPr>
        <w:t>Certification by the Chief Financial Officer pursuant to Section 302 of the Sarbanes-Oxley Act of 2002 dated June 23, 2017.</w:t>
      </w:r>
    </w:p>
    <w:p>
      <w:pPr>
        <w:spacing w:after="0" w:line="167" w:lineRule="exact"/>
        <w:rPr>
          <w:sz w:val="20"/>
          <w:szCs w:val="20"/>
          <w:color w:val="auto"/>
        </w:rPr>
      </w:pPr>
    </w:p>
    <w:p>
      <w:pPr>
        <w:ind w:left="980" w:right="380" w:hanging="971"/>
        <w:spacing w:after="0" w:line="291" w:lineRule="auto"/>
        <w:tabs>
          <w:tab w:leader="none" w:pos="960" w:val="left"/>
        </w:tabs>
        <w:rPr>
          <w:sz w:val="20"/>
          <w:szCs w:val="20"/>
          <w:color w:val="auto"/>
        </w:rPr>
      </w:pPr>
      <w:r>
        <w:rPr>
          <w:rFonts w:ascii="Arial" w:cs="Arial" w:eastAsia="Arial" w:hAnsi="Arial"/>
          <w:sz w:val="16"/>
          <w:szCs w:val="16"/>
          <w:color w:val="auto"/>
        </w:rPr>
        <w:t>32.1</w:t>
      </w:r>
      <w:r>
        <w:rPr>
          <w:sz w:val="20"/>
          <w:szCs w:val="20"/>
          <w:color w:val="auto"/>
        </w:rPr>
        <w:tab/>
      </w:r>
      <w:r>
        <w:rPr>
          <w:rFonts w:ascii="Arial" w:cs="Arial" w:eastAsia="Arial" w:hAnsi="Arial"/>
          <w:sz w:val="16"/>
          <w:szCs w:val="16"/>
          <w:color w:val="auto"/>
        </w:rPr>
        <w:t>Certification by the Chief Executive Officer pursuant to Section 1350, as adopted pursuant to Section 906 of the Sarbanes-Oxley Act of 2002 dated June 23, 2017.</w:t>
      </w:r>
    </w:p>
    <w:p>
      <w:pPr>
        <w:spacing w:after="0" w:line="94" w:lineRule="exact"/>
        <w:rPr>
          <w:sz w:val="20"/>
          <w:szCs w:val="20"/>
          <w:color w:val="auto"/>
        </w:rPr>
      </w:pPr>
    </w:p>
    <w:p>
      <w:pPr>
        <w:ind w:left="980" w:right="440" w:hanging="971"/>
        <w:spacing w:after="0" w:line="291" w:lineRule="auto"/>
        <w:tabs>
          <w:tab w:leader="none" w:pos="960" w:val="left"/>
        </w:tabs>
        <w:rPr>
          <w:sz w:val="20"/>
          <w:szCs w:val="20"/>
          <w:color w:val="auto"/>
        </w:rPr>
      </w:pPr>
      <w:r>
        <w:rPr>
          <w:rFonts w:ascii="Arial" w:cs="Arial" w:eastAsia="Arial" w:hAnsi="Arial"/>
          <w:sz w:val="16"/>
          <w:szCs w:val="16"/>
          <w:color w:val="auto"/>
        </w:rPr>
        <w:t>32.2</w:t>
      </w:r>
      <w:r>
        <w:rPr>
          <w:sz w:val="20"/>
          <w:szCs w:val="20"/>
          <w:color w:val="auto"/>
        </w:rPr>
        <w:tab/>
      </w:r>
      <w:r>
        <w:rPr>
          <w:rFonts w:ascii="Arial" w:cs="Arial" w:eastAsia="Arial" w:hAnsi="Arial"/>
          <w:sz w:val="16"/>
          <w:szCs w:val="16"/>
          <w:color w:val="auto"/>
        </w:rPr>
        <w:t>Certification by the Chief Financial Officer pursuant to Section 1350, as adopted pursuant to Section 906 of the Sarbanes-Oxley Act of 2002 dated June 23, 2017.</w:t>
      </w:r>
    </w:p>
    <w:p>
      <w:pPr>
        <w:sectPr>
          <w:pgSz w:w="11900" w:h="16838" w:orient="portrait"/>
          <w:cols w:equalWidth="0" w:num="1">
            <w:col w:w="11420"/>
          </w:cols>
          <w:pgMar w:left="240" w:top="121" w:right="239" w:bottom="1440" w:gutter="0" w:footer="0" w:header="0"/>
        </w:sectPr>
      </w:pPr>
    </w:p>
    <w:p>
      <w:pPr>
        <w:spacing w:after="0" w:line="94" w:lineRule="exact"/>
        <w:rPr>
          <w:sz w:val="20"/>
          <w:szCs w:val="20"/>
          <w:color w:val="auto"/>
        </w:rPr>
      </w:pPr>
    </w:p>
    <w:p>
      <w:pPr>
        <w:spacing w:after="0"/>
        <w:rPr>
          <w:sz w:val="20"/>
          <w:szCs w:val="20"/>
          <w:color w:val="auto"/>
        </w:rPr>
      </w:pPr>
      <w:r>
        <w:rPr>
          <w:rFonts w:ascii="Arial" w:cs="Arial" w:eastAsia="Arial" w:hAnsi="Arial"/>
          <w:sz w:val="16"/>
          <w:szCs w:val="16"/>
          <w:color w:val="auto"/>
        </w:rPr>
        <w:t>101.INS*</w:t>
      </w:r>
    </w:p>
    <w:p>
      <w:pPr>
        <w:spacing w:after="0" w:line="20" w:lineRule="exact"/>
        <w:rPr>
          <w:sz w:val="20"/>
          <w:szCs w:val="20"/>
          <w:color w:val="auto"/>
        </w:rPr>
      </w:pPr>
      <w:r>
        <w:rPr>
          <w:sz w:val="20"/>
          <w:szCs w:val="20"/>
          <w:color w:val="auto"/>
        </w:rPr>
        <w:br w:type="column"/>
      </w:r>
    </w:p>
    <w:p>
      <w:pPr>
        <w:spacing w:after="0" w:line="74" w:lineRule="exact"/>
        <w:rPr>
          <w:sz w:val="20"/>
          <w:szCs w:val="20"/>
          <w:color w:val="auto"/>
        </w:rPr>
      </w:pPr>
    </w:p>
    <w:p>
      <w:pPr>
        <w:spacing w:after="0"/>
        <w:rPr>
          <w:sz w:val="20"/>
          <w:szCs w:val="20"/>
          <w:color w:val="auto"/>
        </w:rPr>
      </w:pPr>
      <w:r>
        <w:rPr>
          <w:rFonts w:ascii="Arial" w:cs="Arial" w:eastAsia="Arial" w:hAnsi="Arial"/>
          <w:sz w:val="16"/>
          <w:szCs w:val="16"/>
          <w:color w:val="auto"/>
        </w:rPr>
        <w:t>XBRL Instance Document</w:t>
      </w:r>
    </w:p>
    <w:p>
      <w:pPr>
        <w:spacing w:after="0" w:line="167" w:lineRule="exact"/>
        <w:rPr>
          <w:sz w:val="20"/>
          <w:szCs w:val="20"/>
          <w:color w:val="auto"/>
        </w:rPr>
      </w:pPr>
    </w:p>
    <w:p>
      <w:pPr>
        <w:sectPr>
          <w:pgSz w:w="11900" w:h="16838" w:orient="portrait"/>
          <w:cols w:equalWidth="0" w:num="2">
            <w:col w:w="660" w:space="32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101.SCH*</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Schema Document</w:t>
      </w:r>
    </w:p>
    <w:p>
      <w:pPr>
        <w:spacing w:after="0" w:line="167" w:lineRule="exact"/>
        <w:rPr>
          <w:sz w:val="20"/>
          <w:szCs w:val="20"/>
          <w:color w:val="auto"/>
        </w:rPr>
      </w:pPr>
    </w:p>
    <w:p>
      <w:pPr>
        <w:sectPr>
          <w:pgSz w:w="11900" w:h="16838" w:orient="portrait"/>
          <w:cols w:equalWidth="0" w:num="2">
            <w:col w:w="720" w:space="26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101.CAL*</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Calculation Linkbase Document</w:t>
      </w:r>
    </w:p>
    <w:p>
      <w:pPr>
        <w:spacing w:after="0" w:line="167" w:lineRule="exact"/>
        <w:rPr>
          <w:sz w:val="20"/>
          <w:szCs w:val="20"/>
          <w:color w:val="auto"/>
        </w:rPr>
      </w:pPr>
    </w:p>
    <w:p>
      <w:pPr>
        <w:sectPr>
          <w:pgSz w:w="11900" w:h="16838" w:orient="portrait"/>
          <w:cols w:equalWidth="0" w:num="2">
            <w:col w:w="700" w:space="280"/>
            <w:col w:w="10440"/>
          </w:cols>
          <w:pgMar w:left="240" w:top="121" w:right="239" w:bottom="1440" w:gutter="0" w:footer="0" w:header="0"/>
          <w:type w:val="continuous"/>
        </w:sectPr>
      </w:pPr>
    </w:p>
    <w:p>
      <w:pPr>
        <w:spacing w:after="0"/>
        <w:rPr>
          <w:sz w:val="20"/>
          <w:szCs w:val="20"/>
          <w:color w:val="auto"/>
        </w:rPr>
      </w:pPr>
      <w:r>
        <w:rPr>
          <w:rFonts w:ascii="Arial" w:cs="Arial" w:eastAsia="Arial" w:hAnsi="Arial"/>
          <w:sz w:val="16"/>
          <w:szCs w:val="16"/>
          <w:color w:val="auto"/>
        </w:rPr>
        <w:t>101.DEF*</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Definitions Linkbase Document</w:t>
      </w:r>
    </w:p>
    <w:p>
      <w:pPr>
        <w:spacing w:after="0" w:line="200" w:lineRule="exact"/>
        <w:rPr>
          <w:sz w:val="20"/>
          <w:szCs w:val="20"/>
          <w:color w:val="auto"/>
        </w:rPr>
      </w:pPr>
    </w:p>
    <w:p>
      <w:pPr>
        <w:sectPr>
          <w:pgSz w:w="11900" w:h="16838" w:orient="portrait"/>
          <w:cols w:equalWidth="0" w:num="2">
            <w:col w:w="720" w:space="260"/>
            <w:col w:w="10440"/>
          </w:cols>
          <w:pgMar w:left="240" w:top="121" w:right="239" w:bottom="1440" w:gutter="0" w:footer="0" w:header="0"/>
          <w:type w:val="continuous"/>
        </w:sect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33</w:t>
      </w:r>
    </w:p>
    <w:p>
      <w:pPr>
        <w:sectPr>
          <w:pgSz w:w="11900" w:h="16838" w:orient="portrait"/>
          <w:cols w:equalWidth="0" w:num="1">
            <w:col w:w="11420"/>
          </w:cols>
          <w:pgMar w:left="240" w:top="121" w:right="239" w:bottom="1440" w:gutter="0" w:footer="0" w:header="0"/>
          <w:type w:val="continuous"/>
        </w:sectPr>
      </w:pPr>
    </w:p>
    <w:bookmarkStart w:id="35" w:name="page36"/>
    <w:bookmarkEnd w:id="35"/>
    <w:p>
      <w:pPr>
        <w:spacing w:after="0"/>
        <w:rPr>
          <w:rFonts w:ascii="Arial" w:cs="Arial" w:eastAsia="Arial" w:hAnsi="Arial"/>
          <w:sz w:val="15"/>
          <w:szCs w:val="15"/>
          <w:u w:val="single" w:color="auto"/>
          <w:color w:val="0000EE"/>
        </w:rPr>
      </w:pPr>
      <w:hyperlink w:anchor="page2">
        <w:r>
          <w:rPr>
            <w:rFonts w:ascii="Arial" w:cs="Arial" w:eastAsia="Arial" w:hAnsi="Arial"/>
            <w:sz w:val="15"/>
            <w:szCs w:val="15"/>
            <w:u w:val="single" w:color="auto"/>
            <w:color w:val="0000EE"/>
          </w:rPr>
          <w:t>Table of Contents</w:t>
        </w:r>
      </w:hyperlink>
    </w:p>
    <w:p>
      <w:pPr>
        <w:sectPr>
          <w:pgSz w:w="11900" w:h="16838" w:orient="portrait"/>
          <w:cols w:equalWidth="0" w:num="1">
            <w:col w:w="11360"/>
          </w:cols>
          <w:pgMar w:left="240" w:top="121" w:right="299" w:bottom="1440" w:gutter="0" w:footer="0" w:header="0"/>
        </w:sectPr>
      </w:pPr>
    </w:p>
    <w:p>
      <w:pPr>
        <w:spacing w:after="0" w:line="260" w:lineRule="exact"/>
        <w:rPr>
          <w:sz w:val="20"/>
          <w:szCs w:val="20"/>
          <w:color w:val="auto"/>
        </w:rPr>
      </w:pPr>
    </w:p>
    <w:p>
      <w:pPr>
        <w:spacing w:after="0"/>
        <w:rPr>
          <w:sz w:val="20"/>
          <w:szCs w:val="20"/>
          <w:color w:val="auto"/>
        </w:rPr>
      </w:pPr>
      <w:r>
        <w:rPr>
          <w:rFonts w:ascii="Arial" w:cs="Arial" w:eastAsia="Arial" w:hAnsi="Arial"/>
          <w:sz w:val="16"/>
          <w:szCs w:val="16"/>
          <w:color w:val="auto"/>
        </w:rPr>
        <w:t>101.LAB*</w:t>
      </w:r>
    </w:p>
    <w:p>
      <w:pPr>
        <w:spacing w:after="0" w:line="20" w:lineRule="exact"/>
        <w:rPr>
          <w:sz w:val="20"/>
          <w:szCs w:val="20"/>
          <w:color w:val="auto"/>
        </w:rPr>
      </w:pPr>
      <w:r>
        <w:rPr>
          <w:sz w:val="20"/>
          <w:szCs w:val="20"/>
          <w:color w:val="auto"/>
        </w:rPr>
        <w:br w:type="column"/>
      </w:r>
    </w:p>
    <w:p>
      <w:pPr>
        <w:spacing w:after="0" w:line="240" w:lineRule="exact"/>
        <w:rPr>
          <w:sz w:val="20"/>
          <w:szCs w:val="20"/>
          <w:color w:val="auto"/>
        </w:rPr>
      </w:pPr>
    </w:p>
    <w:p>
      <w:pPr>
        <w:spacing w:after="0"/>
        <w:rPr>
          <w:sz w:val="20"/>
          <w:szCs w:val="20"/>
          <w:color w:val="auto"/>
        </w:rPr>
      </w:pPr>
      <w:r>
        <w:rPr>
          <w:rFonts w:ascii="Arial" w:cs="Arial" w:eastAsia="Arial" w:hAnsi="Arial"/>
          <w:sz w:val="16"/>
          <w:szCs w:val="16"/>
          <w:color w:val="auto"/>
        </w:rPr>
        <w:t>XBRL Taxonomy Extension Label Linkbase Document</w:t>
      </w:r>
    </w:p>
    <w:p>
      <w:pPr>
        <w:spacing w:after="0" w:line="167" w:lineRule="exact"/>
        <w:rPr>
          <w:sz w:val="20"/>
          <w:szCs w:val="20"/>
          <w:color w:val="auto"/>
        </w:rPr>
      </w:pPr>
    </w:p>
    <w:p>
      <w:pPr>
        <w:sectPr>
          <w:pgSz w:w="11900" w:h="16838" w:orient="portrait"/>
          <w:cols w:equalWidth="0" w:num="2">
            <w:col w:w="700" w:space="280"/>
            <w:col w:w="10380"/>
          </w:cols>
          <w:pgMar w:left="240" w:top="121" w:right="299" w:bottom="1440" w:gutter="0" w:footer="0" w:header="0"/>
          <w:type w:val="continuous"/>
        </w:sectPr>
      </w:pPr>
    </w:p>
    <w:p>
      <w:pPr>
        <w:spacing w:after="0"/>
        <w:rPr>
          <w:sz w:val="20"/>
          <w:szCs w:val="20"/>
          <w:color w:val="auto"/>
        </w:rPr>
      </w:pPr>
      <w:r>
        <w:rPr>
          <w:rFonts w:ascii="Arial" w:cs="Arial" w:eastAsia="Arial" w:hAnsi="Arial"/>
          <w:sz w:val="16"/>
          <w:szCs w:val="16"/>
          <w:color w:val="auto"/>
        </w:rPr>
        <w:t>101.PRE*</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XBRL Taxonomy Extension Presentation Linkbase Document</w:t>
      </w:r>
    </w:p>
    <w:p>
      <w:pPr>
        <w:spacing w:after="0" w:line="167" w:lineRule="exact"/>
        <w:rPr>
          <w:sz w:val="20"/>
          <w:szCs w:val="20"/>
          <w:color w:val="auto"/>
        </w:rPr>
      </w:pPr>
    </w:p>
    <w:p>
      <w:pPr>
        <w:sectPr>
          <w:pgSz w:w="11900" w:h="16838" w:orient="portrait"/>
          <w:cols w:equalWidth="0" w:num="2">
            <w:col w:w="720" w:space="260"/>
            <w:col w:w="10380"/>
          </w:cols>
          <w:pgMar w:left="240" w:top="121" w:right="299" w:bottom="1440" w:gutter="0" w:footer="0" w:header="0"/>
          <w:type w:val="continuous"/>
        </w:sectPr>
      </w:pPr>
    </w:p>
    <w:p>
      <w:pPr>
        <w:spacing w:after="0" w:line="261" w:lineRule="auto"/>
        <w:rPr>
          <w:sz w:val="20"/>
          <w:szCs w:val="20"/>
          <w:color w:val="auto"/>
        </w:rPr>
      </w:pPr>
      <w:r>
        <w:rPr>
          <w:rFonts w:ascii="Arial" w:cs="Arial" w:eastAsia="Arial" w:hAnsi="Arial"/>
          <w:sz w:val="16"/>
          <w:szCs w:val="16"/>
          <w:color w:val="auto"/>
        </w:rPr>
        <w:t>*Attached as Exhibit 101 to this report are the following financial statements from our Quarterly Report on Form 10-Q for the quarter ended May 27, 2017 formatted in XBRL: (i) the Unaudited Consolidated Balance Sheets, (ii) the Unaudited Consolidated Statements of Operations and Comprehensive Income, (iii) the Unaudited Consolidated Statement of Cash Flows, and (iv) related notes to these financial statements. Such exhibits are deemed furnished and not filed pursuant to Rule 406T of Regulation S-T.</w:t>
      </w:r>
    </w:p>
    <w:p>
      <w:pPr>
        <w:spacing w:after="0" w:line="116" w:lineRule="exact"/>
        <w:rPr>
          <w:sz w:val="20"/>
          <w:szCs w:val="20"/>
          <w:color w:val="auto"/>
        </w:rPr>
      </w:pPr>
    </w:p>
    <w:p>
      <w:pPr>
        <w:spacing w:after="0"/>
        <w:rPr>
          <w:sz w:val="20"/>
          <w:szCs w:val="20"/>
          <w:color w:val="auto"/>
        </w:rPr>
      </w:pPr>
      <w:r>
        <w:rPr>
          <w:rFonts w:ascii="Arial" w:cs="Arial" w:eastAsia="Arial" w:hAnsi="Arial"/>
          <w:sz w:val="16"/>
          <w:szCs w:val="16"/>
          <w:b w:val="1"/>
          <w:bCs w:val="1"/>
          <w:color w:val="auto"/>
        </w:rPr>
        <w:t>SIGNATURES</w:t>
      </w:r>
    </w:p>
    <w:p>
      <w:pPr>
        <w:spacing w:after="0" w:line="169" w:lineRule="exact"/>
        <w:rPr>
          <w:sz w:val="20"/>
          <w:szCs w:val="20"/>
          <w:color w:val="auto"/>
        </w:rPr>
      </w:pPr>
    </w:p>
    <w:p>
      <w:pPr>
        <w:ind w:right="20"/>
        <w:spacing w:after="0" w:line="291" w:lineRule="auto"/>
        <w:rPr>
          <w:sz w:val="20"/>
          <w:szCs w:val="20"/>
          <w:color w:val="auto"/>
        </w:rPr>
      </w:pPr>
      <w:r>
        <w:rPr>
          <w:rFonts w:ascii="Arial" w:cs="Arial" w:eastAsia="Arial" w:hAnsi="Arial"/>
          <w:sz w:val="16"/>
          <w:szCs w:val="16"/>
          <w:color w:val="auto"/>
        </w:rPr>
        <w:t>Pursuant to the requirements of the Securities Exchange Act of 1934, the Registrant has duly caused this report to be signed on its behalf by the undersigned, thereunto duly authorized.</w:t>
      </w:r>
    </w:p>
    <w:p>
      <w:pPr>
        <w:spacing w:after="0" w:line="121" w:lineRule="exact"/>
        <w:rPr>
          <w:sz w:val="20"/>
          <w:szCs w:val="20"/>
          <w:color w:val="auto"/>
        </w:rPr>
      </w:pPr>
    </w:p>
    <w:p>
      <w:pPr>
        <w:ind w:left="5420"/>
        <w:spacing w:after="0"/>
        <w:rPr>
          <w:sz w:val="20"/>
          <w:szCs w:val="20"/>
          <w:color w:val="auto"/>
        </w:rPr>
      </w:pPr>
      <w:r>
        <w:rPr>
          <w:rFonts w:ascii="Arial" w:cs="Arial" w:eastAsia="Arial" w:hAnsi="Arial"/>
          <w:sz w:val="16"/>
          <w:szCs w:val="16"/>
          <w:color w:val="auto"/>
        </w:rPr>
        <w:t>WINNEBAGO INDUSTRIES, INC.</w:t>
      </w:r>
    </w:p>
    <w:p>
      <w:pPr>
        <w:spacing w:after="0" w:line="356"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40487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Chief Executive Officer, President</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Executive Officer)</w:t>
      </w:r>
    </w:p>
    <w:p>
      <w:pPr>
        <w:spacing w:after="0" w:line="356" w:lineRule="exact"/>
        <w:rPr>
          <w:sz w:val="20"/>
          <w:szCs w:val="20"/>
          <w:color w:val="auto"/>
        </w:rPr>
      </w:pPr>
    </w:p>
    <w:p>
      <w:pPr>
        <w:ind w:left="40"/>
        <w:spacing w:after="0"/>
        <w:tabs>
          <w:tab w:leader="none" w:pos="700" w:val="left"/>
          <w:tab w:leader="none" w:pos="5400" w:val="left"/>
          <w:tab w:leader="none" w:pos="584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3709670</wp:posOffset>
            </wp:positionH>
            <wp:positionV relativeFrom="paragraph">
              <wp:posOffset>31750</wp:posOffset>
            </wp:positionV>
            <wp:extent cx="340487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404870" cy="8890"/>
                    </a:xfrm>
                    <a:prstGeom prst="rect">
                      <a:avLst/>
                    </a:prstGeom>
                    <a:noFill/>
                  </pic:spPr>
                </pic:pic>
              </a:graphicData>
            </a:graphic>
          </wp:anchor>
        </w:drawing>
      </w:r>
    </w:p>
    <w:p>
      <w:pPr>
        <w:spacing w:after="0" w:line="6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Vice President, Chief Financial Officer, Treasurer</w:t>
      </w:r>
    </w:p>
    <w:p>
      <w:pPr>
        <w:spacing w:after="0" w:line="86" w:lineRule="exact"/>
        <w:rPr>
          <w:sz w:val="20"/>
          <w:szCs w:val="20"/>
          <w:color w:val="auto"/>
        </w:rPr>
      </w:pPr>
    </w:p>
    <w:p>
      <w:pPr>
        <w:ind w:left="5860"/>
        <w:spacing w:after="0"/>
        <w:rPr>
          <w:sz w:val="20"/>
          <w:szCs w:val="20"/>
          <w:color w:val="auto"/>
        </w:rPr>
      </w:pPr>
      <w:r>
        <w:rPr>
          <w:rFonts w:ascii="Arial" w:cs="Arial" w:eastAsia="Arial" w:hAnsi="Arial"/>
          <w:sz w:val="16"/>
          <w:szCs w:val="16"/>
          <w:color w:val="auto"/>
        </w:rPr>
        <w:t>(Principal Financial and Accounting Officer)</w:t>
      </w:r>
    </w:p>
    <w:p>
      <w:pPr>
        <w:spacing w:after="0" w:line="200" w:lineRule="exact"/>
        <w:rPr>
          <w:sz w:val="20"/>
          <w:szCs w:val="20"/>
          <w:color w:val="auto"/>
        </w:rPr>
      </w:pPr>
    </w:p>
    <w:p>
      <w:pPr>
        <w:spacing w:after="0" w:line="291"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34</w:t>
      </w:r>
    </w:p>
    <w:p>
      <w:pPr>
        <w:sectPr>
          <w:pgSz w:w="11900" w:h="16838" w:orient="portrait"/>
          <w:cols w:equalWidth="0" w:num="1">
            <w:col w:w="11360"/>
          </w:cols>
          <w:pgMar w:left="240" w:top="121" w:right="299" w:bottom="1440" w:gutter="0" w:footer="0" w:header="0"/>
          <w:type w:val="continuous"/>
        </w:sectPr>
      </w:pPr>
    </w:p>
    <w:bookmarkStart w:id="36" w:name="page37"/>
    <w:bookmarkEnd w:id="36"/>
    <w:p>
      <w:pPr>
        <w:jc w:val="center"/>
        <w:ind w:right="-19"/>
        <w:spacing w:after="0"/>
        <w:rPr>
          <w:sz w:val="20"/>
          <w:szCs w:val="20"/>
          <w:color w:val="auto"/>
        </w:rPr>
      </w:pPr>
      <w:r>
        <w:rPr>
          <w:rFonts w:ascii="Arial" w:cs="Arial" w:eastAsia="Arial" w:hAnsi="Arial"/>
          <w:sz w:val="18"/>
          <w:szCs w:val="18"/>
          <w:b w:val="1"/>
          <w:bCs w:val="1"/>
          <w:color w:val="auto"/>
        </w:rPr>
        <w:t>Exhibit 31.1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BY CHIEF EXECUTIVE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Michael J. Happe, certify that:</w:t>
      </w:r>
    </w:p>
    <w:p>
      <w:pPr>
        <w:spacing w:after="0" w:line="86" w:lineRule="exact"/>
        <w:rPr>
          <w:sz w:val="20"/>
          <w:szCs w:val="20"/>
          <w:color w:val="auto"/>
        </w:rPr>
      </w:pPr>
    </w:p>
    <w:p>
      <w:pPr>
        <w:ind w:left="340" w:hanging="332"/>
        <w:spacing w:after="0"/>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1"/>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1"/>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420"/>
          </w:cols>
          <w:pgMar w:left="240" w:top="628" w:right="239" w:bottom="1440" w:gutter="0" w:footer="0" w:header="0"/>
        </w:sectPr>
      </w:pPr>
    </w:p>
    <w:bookmarkStart w:id="37" w:name="page38"/>
    <w:bookmarkEnd w:id="37"/>
    <w:p>
      <w:pPr>
        <w:jc w:val="center"/>
        <w:ind w:right="-19"/>
        <w:spacing w:after="0"/>
        <w:rPr>
          <w:sz w:val="20"/>
          <w:szCs w:val="20"/>
          <w:color w:val="auto"/>
        </w:rPr>
      </w:pPr>
      <w:r>
        <w:rPr>
          <w:rFonts w:ascii="Arial" w:cs="Arial" w:eastAsia="Arial" w:hAnsi="Arial"/>
          <w:sz w:val="18"/>
          <w:szCs w:val="18"/>
          <w:b w:val="1"/>
          <w:bCs w:val="1"/>
          <w:color w:val="auto"/>
        </w:rPr>
        <w:t>Exhibit 31.2</w:t>
      </w:r>
    </w:p>
    <w:p>
      <w:pPr>
        <w:spacing w:after="0" w:line="320"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CERTIFICATION BY CHIEF FINANCIAL OFFICER</w:t>
      </w:r>
    </w:p>
    <w:p>
      <w:pPr>
        <w:spacing w:after="0" w:line="3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PURSUANT TO 18 U.S.C. SECTION 1350,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AS ADOPTED PURSUANT TO SECTION 302</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OF THE SARBANES-OXLEY ACT OF 2002</w:t>
      </w:r>
    </w:p>
    <w:p>
      <w:pPr>
        <w:spacing w:after="0" w:line="302" w:lineRule="exact"/>
        <w:rPr>
          <w:sz w:val="20"/>
          <w:szCs w:val="20"/>
          <w:color w:val="auto"/>
        </w:rPr>
      </w:pPr>
    </w:p>
    <w:p>
      <w:pPr>
        <w:spacing w:after="0"/>
        <w:rPr>
          <w:sz w:val="20"/>
          <w:szCs w:val="20"/>
          <w:color w:val="auto"/>
        </w:rPr>
      </w:pPr>
      <w:r>
        <w:rPr>
          <w:rFonts w:ascii="Arial" w:cs="Arial" w:eastAsia="Arial" w:hAnsi="Arial"/>
          <w:sz w:val="16"/>
          <w:szCs w:val="16"/>
          <w:color w:val="auto"/>
        </w:rPr>
        <w:t>I, Bryan L. Hughes, certify that:</w:t>
      </w:r>
    </w:p>
    <w:p>
      <w:pPr>
        <w:spacing w:after="0" w:line="86" w:lineRule="exact"/>
        <w:rPr>
          <w:sz w:val="20"/>
          <w:szCs w:val="20"/>
          <w:color w:val="auto"/>
        </w:rPr>
      </w:pPr>
    </w:p>
    <w:p>
      <w:pPr>
        <w:ind w:left="340" w:hanging="332"/>
        <w:spacing w:after="0"/>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I have reviewed this Quarterly Report on Form 10-Q of Winnebago Industries, Inc. (the "Registrant");</w:t>
      </w:r>
    </w:p>
    <w:p>
      <w:pPr>
        <w:spacing w:after="0" w:line="315" w:lineRule="exact"/>
        <w:rPr>
          <w:rFonts w:ascii="Arial" w:cs="Arial" w:eastAsia="Arial" w:hAnsi="Arial"/>
          <w:sz w:val="16"/>
          <w:szCs w:val="16"/>
          <w:color w:val="auto"/>
        </w:rPr>
      </w:pPr>
    </w:p>
    <w:p>
      <w:pPr>
        <w:ind w:left="340" w:right="60" w:hanging="332"/>
        <w:spacing w:after="0" w:line="29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21" w:lineRule="exact"/>
        <w:rPr>
          <w:rFonts w:ascii="Arial" w:cs="Arial" w:eastAsia="Arial" w:hAnsi="Arial"/>
          <w:sz w:val="16"/>
          <w:szCs w:val="16"/>
          <w:color w:val="auto"/>
        </w:rPr>
      </w:pPr>
    </w:p>
    <w:p>
      <w:pPr>
        <w:ind w:left="340" w:right="120" w:hanging="332"/>
        <w:spacing w:after="0" w:line="29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1" w:lineRule="exact"/>
        <w:rPr>
          <w:rFonts w:ascii="Arial" w:cs="Arial" w:eastAsia="Arial" w:hAnsi="Arial"/>
          <w:sz w:val="16"/>
          <w:szCs w:val="16"/>
          <w:color w:val="auto"/>
        </w:rPr>
      </w:pPr>
    </w:p>
    <w:p>
      <w:pPr>
        <w:ind w:left="340" w:right="100" w:hanging="332"/>
        <w:spacing w:after="0" w:line="269"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37" w:lineRule="exact"/>
        <w:rPr>
          <w:rFonts w:ascii="Arial" w:cs="Arial" w:eastAsia="Arial" w:hAnsi="Arial"/>
          <w:sz w:val="16"/>
          <w:szCs w:val="16"/>
          <w:color w:val="auto"/>
        </w:rPr>
      </w:pPr>
    </w:p>
    <w:p>
      <w:pPr>
        <w:ind w:left="660" w:right="100" w:hanging="328"/>
        <w:spacing w:after="0" w:line="269"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37" w:lineRule="exact"/>
        <w:rPr>
          <w:rFonts w:ascii="Arial" w:cs="Arial" w:eastAsia="Arial" w:hAnsi="Arial"/>
          <w:sz w:val="16"/>
          <w:szCs w:val="16"/>
          <w:color w:val="auto"/>
        </w:rPr>
      </w:pPr>
    </w:p>
    <w:p>
      <w:pPr>
        <w:ind w:left="660" w:hanging="328"/>
        <w:spacing w:after="0" w:line="269"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37" w:lineRule="exact"/>
        <w:rPr>
          <w:rFonts w:ascii="Arial" w:cs="Arial" w:eastAsia="Arial" w:hAnsi="Arial"/>
          <w:sz w:val="16"/>
          <w:szCs w:val="16"/>
          <w:color w:val="auto"/>
        </w:rPr>
      </w:pPr>
    </w:p>
    <w:p>
      <w:pPr>
        <w:jc w:val="both"/>
        <w:ind w:left="660" w:right="920" w:hanging="328"/>
        <w:spacing w:after="0" w:line="291"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1" w:lineRule="exact"/>
        <w:rPr>
          <w:rFonts w:ascii="Arial" w:cs="Arial" w:eastAsia="Arial" w:hAnsi="Arial"/>
          <w:sz w:val="16"/>
          <w:szCs w:val="16"/>
          <w:color w:val="auto"/>
        </w:rPr>
      </w:pPr>
    </w:p>
    <w:p>
      <w:pPr>
        <w:ind w:left="660" w:right="20" w:hanging="328"/>
        <w:spacing w:after="0" w:line="269"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(the Registrant's third fiscal quarter in this case) that has materially affected, or is reasonably likely to materially affect, the Registrant's internal control over financial reporting; and</w:t>
      </w:r>
    </w:p>
    <w:p>
      <w:pPr>
        <w:spacing w:after="0" w:line="137" w:lineRule="exact"/>
        <w:rPr>
          <w:rFonts w:ascii="Arial" w:cs="Arial" w:eastAsia="Arial" w:hAnsi="Arial"/>
          <w:sz w:val="16"/>
          <w:szCs w:val="16"/>
          <w:color w:val="auto"/>
        </w:rPr>
      </w:pPr>
    </w:p>
    <w:p>
      <w:pPr>
        <w:ind w:left="340" w:right="620" w:hanging="332"/>
        <w:spacing w:after="0" w:line="291" w:lineRule="auto"/>
        <w:tabs>
          <w:tab w:leader="none" w:pos="340" w:val="left"/>
        </w:tabs>
        <w:numPr>
          <w:ilvl w:val="0"/>
          <w:numId w:val="22"/>
        </w:numPr>
        <w:rPr>
          <w:rFonts w:ascii="Arial" w:cs="Arial" w:eastAsia="Arial" w:hAnsi="Arial"/>
          <w:sz w:val="16"/>
          <w:szCs w:val="16"/>
          <w:color w:val="auto"/>
        </w:rPr>
      </w:pPr>
      <w:r>
        <w:rPr>
          <w:rFonts w:ascii="Arial" w:cs="Arial" w:eastAsia="Arial" w:hAnsi="Arial"/>
          <w:sz w:val="16"/>
          <w:szCs w:val="16"/>
          <w:color w:val="auto"/>
        </w:rPr>
        <w:t>The Registrant's other certifying officer and I have disclosed, based on our most recent evaluation of internal control over financial reporting, to the Registrant's auditors and the audit committee of Registrant's Board of Directors (or persons performing the equivalent functions):</w:t>
      </w:r>
    </w:p>
    <w:p>
      <w:pPr>
        <w:spacing w:after="0" w:line="121" w:lineRule="exact"/>
        <w:rPr>
          <w:rFonts w:ascii="Arial" w:cs="Arial" w:eastAsia="Arial" w:hAnsi="Arial"/>
          <w:sz w:val="16"/>
          <w:szCs w:val="16"/>
          <w:color w:val="auto"/>
        </w:rPr>
      </w:pPr>
    </w:p>
    <w:p>
      <w:pPr>
        <w:ind w:left="660" w:right="60" w:hanging="328"/>
        <w:spacing w:after="0" w:line="291"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1" w:lineRule="exact"/>
        <w:rPr>
          <w:rFonts w:ascii="Arial" w:cs="Arial" w:eastAsia="Arial" w:hAnsi="Arial"/>
          <w:sz w:val="16"/>
          <w:szCs w:val="16"/>
          <w:color w:val="auto"/>
        </w:rPr>
      </w:pPr>
    </w:p>
    <w:p>
      <w:pPr>
        <w:ind w:left="660" w:right="160" w:hanging="328"/>
        <w:spacing w:after="0" w:line="291" w:lineRule="auto"/>
        <w:tabs>
          <w:tab w:leader="none" w:pos="660" w:val="left"/>
        </w:tabs>
        <w:numPr>
          <w:ilvl w:val="1"/>
          <w:numId w:val="22"/>
        </w:numPr>
        <w:rPr>
          <w:rFonts w:ascii="Arial" w:cs="Arial" w:eastAsia="Arial" w:hAnsi="Arial"/>
          <w:sz w:val="16"/>
          <w:szCs w:val="16"/>
          <w:color w:val="auto"/>
        </w:rPr>
      </w:pPr>
      <w:r>
        <w:rPr>
          <w:rFonts w:ascii="Arial" w:cs="Arial" w:eastAsia="Arial" w:hAnsi="Arial"/>
          <w:sz w:val="16"/>
          <w:szCs w:val="16"/>
          <w:color w:val="auto"/>
        </w:rPr>
        <w:t>any fraud, whether or not material, that involved management or other employees who have a significant role in the Registrant's internal control over financial reporting.</w:t>
      </w:r>
    </w:p>
    <w:p>
      <w:pPr>
        <w:spacing w:after="0" w:line="310"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p>
      <w:pPr>
        <w:sectPr>
          <w:pgSz w:w="11900" w:h="16838" w:orient="portrait"/>
          <w:cols w:equalWidth="0" w:num="1">
            <w:col w:w="11420"/>
          </w:cols>
          <w:pgMar w:left="240" w:top="574" w:right="239" w:bottom="1440" w:gutter="0" w:footer="0" w:header="0"/>
        </w:sectPr>
      </w:pPr>
    </w:p>
    <w:bookmarkStart w:id="38" w:name="page39"/>
    <w:bookmarkEnd w:id="38"/>
    <w:p>
      <w:pPr>
        <w:jc w:val="center"/>
        <w:ind w:right="-59"/>
        <w:spacing w:after="0"/>
        <w:rPr>
          <w:sz w:val="20"/>
          <w:szCs w:val="20"/>
          <w:color w:val="auto"/>
        </w:rPr>
      </w:pPr>
      <w:r>
        <w:rPr>
          <w:rFonts w:ascii="Arial" w:cs="Arial" w:eastAsia="Arial" w:hAnsi="Arial"/>
          <w:sz w:val="18"/>
          <w:szCs w:val="18"/>
          <w:b w:val="1"/>
          <w:bCs w:val="1"/>
          <w:color w:val="auto"/>
        </w:rPr>
        <w:t>Exhibit 32.1</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jc w:val="both"/>
        <w:ind w:right="40"/>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27, 2017, I, Michael J. Happe, Chief Executive Officer and President of Winnebago Industries, Inc., certify that pursuant to 18 U.S.C. §1350 as adopted pursuant to §906 of the Sarbanes-Oxley Act of 2002, that:</w:t>
      </w:r>
    </w:p>
    <w:p>
      <w:pPr>
        <w:spacing w:after="0" w:line="138" w:lineRule="exact"/>
        <w:rPr>
          <w:sz w:val="20"/>
          <w:szCs w:val="20"/>
          <w:color w:val="auto"/>
        </w:rPr>
      </w:pPr>
    </w:p>
    <w:p>
      <w:pPr>
        <w:jc w:val="both"/>
        <w:ind w:left="660" w:right="80" w:hanging="328"/>
        <w:spacing w:after="0" w:line="269" w:lineRule="auto"/>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27, 2017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3"/>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Michael J. Happe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Michael J. Happe</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Chief Executive Officer, President</w:t>
      </w:r>
    </w:p>
    <w:p>
      <w:pPr>
        <w:sectPr>
          <w:pgSz w:w="11900" w:h="16838" w:orient="portrait"/>
          <w:cols w:equalWidth="0" w:num="1">
            <w:col w:w="11360"/>
          </w:cols>
          <w:pgMar w:left="240" w:top="628" w:right="299" w:bottom="1440" w:gutter="0" w:footer="0" w:header="0"/>
        </w:sectPr>
      </w:pPr>
    </w:p>
    <w:bookmarkStart w:id="39" w:name="page40"/>
    <w:bookmarkEnd w:id="39"/>
    <w:p>
      <w:pPr>
        <w:jc w:val="center"/>
        <w:ind w:right="-59"/>
        <w:spacing w:after="0"/>
        <w:rPr>
          <w:sz w:val="20"/>
          <w:szCs w:val="20"/>
          <w:color w:val="auto"/>
        </w:rPr>
      </w:pPr>
      <w:r>
        <w:rPr>
          <w:rFonts w:ascii="Arial" w:cs="Arial" w:eastAsia="Arial" w:hAnsi="Arial"/>
          <w:sz w:val="18"/>
          <w:szCs w:val="18"/>
          <w:b w:val="1"/>
          <w:bCs w:val="1"/>
          <w:color w:val="auto"/>
        </w:rPr>
        <w:t>Exhibit 32.2</w:t>
      </w:r>
    </w:p>
    <w:p>
      <w:pPr>
        <w:spacing w:after="0" w:line="360"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CERTIFICATION PURSUANT TO SECTION 906</w:t>
      </w:r>
    </w:p>
    <w:p>
      <w:pPr>
        <w:spacing w:after="0" w:line="33"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OF THE SARBANES-OXLEY ACT OF 2002</w:t>
      </w:r>
    </w:p>
    <w:p>
      <w:pPr>
        <w:spacing w:after="0" w:line="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(18 U.S.C. SECTION 1350)</w:t>
      </w:r>
    </w:p>
    <w:p>
      <w:pPr>
        <w:spacing w:after="0" w:line="181" w:lineRule="exact"/>
        <w:rPr>
          <w:sz w:val="20"/>
          <w:szCs w:val="20"/>
          <w:color w:val="auto"/>
        </w:rPr>
      </w:pPr>
    </w:p>
    <w:p>
      <w:pPr>
        <w:spacing w:after="0" w:line="269" w:lineRule="auto"/>
        <w:rPr>
          <w:sz w:val="20"/>
          <w:szCs w:val="20"/>
          <w:color w:val="auto"/>
        </w:rPr>
      </w:pPr>
      <w:r>
        <w:rPr>
          <w:rFonts w:ascii="Arial" w:cs="Arial" w:eastAsia="Arial" w:hAnsi="Arial"/>
          <w:sz w:val="16"/>
          <w:szCs w:val="16"/>
          <w:color w:val="auto"/>
        </w:rPr>
        <w:t>In connection with this Quarterly Report on Form 10-Q of Winnebago Industries, Inc. for the quarter ended May 27, 2017, I, Bryan L. Hughes, Vice President, Chief Financial Officer of Winnebago Industries, Inc., certify that pursuant to 18 U.S.C. §1350 as adopted pursuant to §906 of the Sarbanes-Oxley Act of 2002, that:</w:t>
      </w:r>
    </w:p>
    <w:p>
      <w:pPr>
        <w:spacing w:after="0" w:line="138" w:lineRule="exact"/>
        <w:rPr>
          <w:sz w:val="20"/>
          <w:szCs w:val="20"/>
          <w:color w:val="auto"/>
        </w:rPr>
      </w:pPr>
    </w:p>
    <w:p>
      <w:pPr>
        <w:jc w:val="both"/>
        <w:ind w:left="660" w:right="80" w:hanging="328"/>
        <w:spacing w:after="0" w:line="269" w:lineRule="auto"/>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This Quarterly Report on Form 10-Q (“periodic report”) of Winnebago Industries, Inc. (the “issuer”), for the fiscal quarter ended May 27, 2017 as filed with the Securities and Exchange Commission on the date of this certificate, which this statement accompanies, fully complies with the requirements of Section 13(a) or 15(d) of the Securities Exchange Act of 1934, and</w:t>
      </w:r>
    </w:p>
    <w:p>
      <w:pPr>
        <w:spacing w:after="0" w:line="137" w:lineRule="exact"/>
        <w:rPr>
          <w:rFonts w:ascii="Arial" w:cs="Arial" w:eastAsia="Arial" w:hAnsi="Arial"/>
          <w:sz w:val="16"/>
          <w:szCs w:val="16"/>
          <w:color w:val="auto"/>
        </w:rPr>
      </w:pPr>
    </w:p>
    <w:p>
      <w:pPr>
        <w:ind w:left="660" w:hanging="328"/>
        <w:spacing w:after="0"/>
        <w:tabs>
          <w:tab w:leader="none" w:pos="660" w:val="left"/>
        </w:tabs>
        <w:numPr>
          <w:ilvl w:val="0"/>
          <w:numId w:val="24"/>
        </w:numPr>
        <w:rPr>
          <w:rFonts w:ascii="Arial" w:cs="Arial" w:eastAsia="Arial" w:hAnsi="Arial"/>
          <w:sz w:val="16"/>
          <w:szCs w:val="16"/>
          <w:color w:val="auto"/>
        </w:rPr>
      </w:pPr>
      <w:r>
        <w:rPr>
          <w:rFonts w:ascii="Arial" w:cs="Arial" w:eastAsia="Arial" w:hAnsi="Arial"/>
          <w:sz w:val="16"/>
          <w:szCs w:val="16"/>
          <w:color w:val="auto"/>
        </w:rPr>
        <w:t>the information contained in this periodic report fairly represents, in all material respects, the financial condition and results of operations of the issuer.</w:t>
      </w:r>
    </w:p>
    <w:p>
      <w:pPr>
        <w:spacing w:after="0" w:line="200" w:lineRule="exact"/>
        <w:rPr>
          <w:sz w:val="20"/>
          <w:szCs w:val="20"/>
          <w:color w:val="auto"/>
        </w:rPr>
      </w:pPr>
    </w:p>
    <w:p>
      <w:pPr>
        <w:spacing w:after="0" w:line="264" w:lineRule="exact"/>
        <w:rPr>
          <w:sz w:val="20"/>
          <w:szCs w:val="20"/>
          <w:color w:val="auto"/>
        </w:rPr>
      </w:pPr>
    </w:p>
    <w:p>
      <w:pPr>
        <w:ind w:left="40"/>
        <w:spacing w:after="0"/>
        <w:tabs>
          <w:tab w:leader="none" w:pos="940" w:val="left"/>
          <w:tab w:leader="none" w:pos="6180" w:val="left"/>
          <w:tab w:leader="none" w:pos="7100" w:val="left"/>
        </w:tabs>
        <w:rPr>
          <w:sz w:val="20"/>
          <w:szCs w:val="20"/>
          <w:color w:val="auto"/>
        </w:rPr>
      </w:pPr>
      <w:r>
        <w:rPr>
          <w:rFonts w:ascii="Arial" w:cs="Arial" w:eastAsia="Arial" w:hAnsi="Arial"/>
          <w:sz w:val="16"/>
          <w:szCs w:val="16"/>
          <w:color w:val="auto"/>
        </w:rPr>
        <w:t>Date:</w:t>
      </w:r>
      <w:r>
        <w:rPr>
          <w:sz w:val="20"/>
          <w:szCs w:val="20"/>
          <w:color w:val="auto"/>
        </w:rPr>
        <w:tab/>
      </w:r>
      <w:r>
        <w:rPr>
          <w:rFonts w:ascii="Arial" w:cs="Arial" w:eastAsia="Arial" w:hAnsi="Arial"/>
          <w:sz w:val="16"/>
          <w:szCs w:val="16"/>
          <w:color w:val="auto"/>
        </w:rPr>
        <w:t>June 23, 2017</w:t>
      </w:r>
      <w:r>
        <w:rPr>
          <w:sz w:val="20"/>
          <w:szCs w:val="20"/>
          <w:color w:val="auto"/>
        </w:rPr>
        <w:tab/>
      </w:r>
      <w:r>
        <w:rPr>
          <w:rFonts w:ascii="Arial" w:cs="Arial" w:eastAsia="Arial" w:hAnsi="Arial"/>
          <w:sz w:val="16"/>
          <w:szCs w:val="16"/>
          <w:color w:val="auto"/>
        </w:rPr>
        <w:t>By:</w:t>
      </w:r>
      <w:r>
        <w:rPr>
          <w:sz w:val="20"/>
          <w:szCs w:val="20"/>
          <w:color w:val="auto"/>
        </w:rPr>
        <w:tab/>
      </w:r>
      <w:r>
        <w:rPr>
          <w:rFonts w:ascii="Arial" w:cs="Arial" w:eastAsia="Arial" w:hAnsi="Arial"/>
          <w:sz w:val="16"/>
          <w:szCs w:val="16"/>
          <w:i w:val="1"/>
          <w:iCs w:val="1"/>
          <w:color w:val="auto"/>
        </w:rPr>
        <w:t>/s/ Bryan L. Hughes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4498975</wp:posOffset>
            </wp:positionH>
            <wp:positionV relativeFrom="paragraph">
              <wp:posOffset>31750</wp:posOffset>
            </wp:positionV>
            <wp:extent cx="275272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2752725" cy="8890"/>
                    </a:xfrm>
                    <a:prstGeom prst="rect">
                      <a:avLst/>
                    </a:prstGeom>
                    <a:noFill/>
                  </pic:spPr>
                </pic:pic>
              </a:graphicData>
            </a:graphic>
          </wp:anchor>
        </w:drawing>
      </w:r>
    </w:p>
    <w:p>
      <w:pPr>
        <w:spacing w:after="0" w:line="6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Bryan L. Hughes</w:t>
      </w:r>
    </w:p>
    <w:p>
      <w:pPr>
        <w:spacing w:after="0" w:line="86" w:lineRule="exact"/>
        <w:rPr>
          <w:sz w:val="20"/>
          <w:szCs w:val="20"/>
          <w:color w:val="auto"/>
        </w:rPr>
      </w:pPr>
    </w:p>
    <w:p>
      <w:pPr>
        <w:ind w:left="7120"/>
        <w:spacing w:after="0"/>
        <w:rPr>
          <w:sz w:val="20"/>
          <w:szCs w:val="20"/>
          <w:color w:val="auto"/>
        </w:rPr>
      </w:pPr>
      <w:r>
        <w:rPr>
          <w:rFonts w:ascii="Arial" w:cs="Arial" w:eastAsia="Arial" w:hAnsi="Arial"/>
          <w:sz w:val="16"/>
          <w:szCs w:val="16"/>
          <w:color w:val="auto"/>
        </w:rPr>
        <w:t>Vice President, Chief Financial Officer</w:t>
      </w:r>
    </w:p>
    <w:sectPr>
      <w:pgSz w:w="11900" w:h="16838" w:orient="portrait"/>
      <w:cols w:equalWidth="0" w:num="1">
        <w:col w:w="11360"/>
      </w:cols>
      <w:pgMar w:left="240" w:top="628" w:right="2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40E0F76"/>
    <w:multiLevelType w:val="hybridMultilevel"/>
    <w:lvl w:ilvl="0">
      <w:lvlJc w:val="left"/>
      <w:lvlText w:val="x"/>
      <w:numFmt w:val="bullet"/>
      <w:start w:val="1"/>
    </w:lvl>
  </w:abstractNum>
  <w:abstractNum w:abstractNumId="1">
    <w:nsid w:val="3352255A"/>
    <w:multiLevelType w:val="hybridMultilevel"/>
    <w:lvl w:ilvl="0">
      <w:lvlJc w:val="left"/>
      <w:lvlText w:val="o"/>
      <w:numFmt w:val="bullet"/>
      <w:start w:val="1"/>
    </w:lvl>
  </w:abstractNum>
  <w:abstractNum w:abstractNumId="2">
    <w:nsid w:val="109CF92E"/>
    <w:multiLevelType w:val="hybridMultilevel"/>
    <w:lvl w:ilvl="0">
      <w:lvlJc w:val="left"/>
      <w:lvlText w:val="(%1)"/>
      <w:numFmt w:val="decimal"/>
      <w:start w:val="1"/>
    </w:lvl>
  </w:abstractNum>
  <w:abstractNum w:abstractNumId="3">
    <w:nsid w:val="DED7263"/>
    <w:multiLevelType w:val="hybridMultilevel"/>
    <w:lvl w:ilvl="0">
      <w:lvlJc w:val="left"/>
      <w:lvlText w:val="(%1)"/>
      <w:numFmt w:val="decimal"/>
      <w:start w:val="1"/>
    </w:lvl>
  </w:abstractNum>
  <w:abstractNum w:abstractNumId="4">
    <w:nsid w:val="7FDCC233"/>
    <w:multiLevelType w:val="hybridMultilevel"/>
    <w:lvl w:ilvl="0">
      <w:lvlJc w:val="left"/>
      <w:lvlText w:val="(%1)"/>
      <w:numFmt w:val="decimal"/>
      <w:start w:val="1"/>
    </w:lvl>
  </w:abstractNum>
  <w:abstractNum w:abstractNumId="5">
    <w:nsid w:val="1BEFD79F"/>
    <w:multiLevelType w:val="hybridMultilevel"/>
    <w:lvl w:ilvl="0">
      <w:lvlJc w:val="left"/>
      <w:lvlText w:val="(%1)"/>
      <w:numFmt w:val="decimal"/>
      <w:start w:val="1"/>
    </w:lvl>
  </w:abstractNum>
  <w:abstractNum w:abstractNumId="6">
    <w:nsid w:val="41A7C4C9"/>
    <w:multiLevelType w:val="hybridMultilevel"/>
    <w:lvl w:ilvl="0">
      <w:lvlJc w:val="left"/>
      <w:lvlText w:val="•"/>
      <w:numFmt w:val="bullet"/>
      <w:start w:val="1"/>
    </w:lvl>
  </w:abstractNum>
  <w:abstractNum w:abstractNumId="7">
    <w:nsid w:val="6B68079A"/>
    <w:multiLevelType w:val="hybridMultilevel"/>
    <w:lvl w:ilvl="0">
      <w:lvlJc w:val="left"/>
      <w:lvlText w:val="(%1)"/>
      <w:numFmt w:val="decimal"/>
      <w:start w:val="1"/>
    </w:lvl>
  </w:abstractNum>
  <w:abstractNum w:abstractNumId="8">
    <w:nsid w:val="4E6AFB66"/>
    <w:multiLevelType w:val="hybridMultilevel"/>
    <w:lvl w:ilvl="0">
      <w:lvlJc w:val="left"/>
      <w:lvlText w:val="(%1)"/>
      <w:numFmt w:val="decimal"/>
      <w:start w:val="1"/>
    </w:lvl>
  </w:abstractNum>
  <w:abstractNum w:abstractNumId="9">
    <w:nsid w:val="25E45D32"/>
    <w:multiLevelType w:val="hybridMultilevel"/>
    <w:lvl w:ilvl="0">
      <w:lvlJc w:val="left"/>
      <w:lvlText w:val="(%1)"/>
      <w:numFmt w:val="decimal"/>
      <w:start w:val="1"/>
    </w:lvl>
  </w:abstractNum>
  <w:abstractNum w:abstractNumId="10">
    <w:nsid w:val="519B500D"/>
    <w:multiLevelType w:val="hybridMultilevel"/>
    <w:lvl w:ilvl="0">
      <w:lvlJc w:val="left"/>
      <w:lvlText w:val="(%1)"/>
      <w:numFmt w:val="decimal"/>
      <w:start w:val="1"/>
    </w:lvl>
  </w:abstractNum>
  <w:abstractNum w:abstractNumId="11">
    <w:nsid w:val="431BD7B7"/>
    <w:multiLevelType w:val="hybridMultilevel"/>
    <w:lvl w:ilvl="0">
      <w:lvlJc w:val="left"/>
      <w:lvlText w:val="•"/>
      <w:numFmt w:val="bullet"/>
      <w:start w:val="1"/>
    </w:lvl>
  </w:abstractNum>
  <w:abstractNum w:abstractNumId="12">
    <w:nsid w:val="3F2DBA31"/>
    <w:multiLevelType w:val="hybridMultilevel"/>
    <w:lvl w:ilvl="0">
      <w:lvlJc w:val="left"/>
      <w:lvlText w:val="(%1)"/>
      <w:numFmt w:val="decimal"/>
      <w:start w:val="1"/>
    </w:lvl>
  </w:abstractNum>
  <w:abstractNum w:abstractNumId="13">
    <w:nsid w:val="7C83E458"/>
    <w:multiLevelType w:val="hybridMultilevel"/>
    <w:lvl w:ilvl="0">
      <w:lvlJc w:val="left"/>
      <w:lvlText w:val="(%1)"/>
      <w:numFmt w:val="decimal"/>
      <w:start w:val="1"/>
    </w:lvl>
  </w:abstractNum>
  <w:abstractNum w:abstractNumId="14">
    <w:nsid w:val="257130A3"/>
    <w:multiLevelType w:val="hybridMultilevel"/>
    <w:lvl w:ilvl="0">
      <w:lvlJc w:val="left"/>
      <w:lvlText w:val="(%1)"/>
      <w:numFmt w:val="decimal"/>
      <w:start w:val="1"/>
    </w:lvl>
  </w:abstractNum>
  <w:abstractNum w:abstractNumId="15">
    <w:nsid w:val="62BBD95A"/>
    <w:multiLevelType w:val="hybridMultilevel"/>
    <w:lvl w:ilvl="0">
      <w:lvlJc w:val="left"/>
      <w:lvlText w:val="•"/>
      <w:numFmt w:val="bullet"/>
      <w:start w:val="1"/>
    </w:lvl>
  </w:abstractNum>
  <w:abstractNum w:abstractNumId="16">
    <w:nsid w:val="436C6125"/>
    <w:multiLevelType w:val="hybridMultilevel"/>
    <w:lvl w:ilvl="0">
      <w:lvlJc w:val="left"/>
      <w:lvlText w:val="(%1)"/>
      <w:numFmt w:val="decimal"/>
      <w:start w:val="1"/>
    </w:lvl>
  </w:abstractNum>
  <w:abstractNum w:abstractNumId="17">
    <w:nsid w:val="628C895D"/>
    <w:multiLevelType w:val="hybridMultilevel"/>
    <w:lvl w:ilvl="0">
      <w:lvlJc w:val="left"/>
      <w:lvlText w:val="(%1)"/>
      <w:numFmt w:val="decimal"/>
      <w:start w:val="1"/>
    </w:lvl>
  </w:abstractNum>
  <w:abstractNum w:abstractNumId="18">
    <w:nsid w:val="333AB105"/>
    <w:multiLevelType w:val="hybridMultilevel"/>
    <w:lvl w:ilvl="0">
      <w:lvlJc w:val="left"/>
      <w:lvlText w:val="•"/>
      <w:numFmt w:val="bullet"/>
      <w:start w:val="1"/>
    </w:lvl>
  </w:abstractNum>
  <w:abstractNum w:abstractNumId="19">
    <w:nsid w:val="721DA317"/>
    <w:multiLevelType w:val="hybridMultilevel"/>
    <w:lvl w:ilvl="0">
      <w:lvlJc w:val="left"/>
      <w:lvlText w:val="(%1)"/>
      <w:numFmt w:val="decimal"/>
      <w:start w:val="1"/>
    </w:lvl>
  </w:abstractNum>
  <w:abstractNum w:abstractNumId="20">
    <w:nsid w:val="2443A858"/>
    <w:multiLevelType w:val="hybridMultilevel"/>
    <w:lvl w:ilvl="0">
      <w:lvlJc w:val="left"/>
      <w:lvlText w:val="%1."/>
      <w:numFmt w:val="decimal"/>
      <w:start w:val="1"/>
    </w:lvl>
    <w:lvl w:ilvl="1">
      <w:lvlJc w:val="left"/>
      <w:lvlText w:val="%2."/>
      <w:numFmt w:val="lowerLetter"/>
      <w:start w:val="1"/>
    </w:lvl>
  </w:abstractNum>
  <w:abstractNum w:abstractNumId="21">
    <w:nsid w:val="2D1D5AE9"/>
    <w:multiLevelType w:val="hybridMultilevel"/>
    <w:lvl w:ilvl="0">
      <w:lvlJc w:val="left"/>
      <w:lvlText w:val="%1."/>
      <w:numFmt w:val="decimal"/>
      <w:start w:val="1"/>
    </w:lvl>
    <w:lvl w:ilvl="1">
      <w:lvlJc w:val="left"/>
      <w:lvlText w:val="%2."/>
      <w:numFmt w:val="lowerLetter"/>
      <w:start w:val="1"/>
    </w:lvl>
  </w:abstractNum>
  <w:abstractNum w:abstractNumId="22">
    <w:nsid w:val="6763845E"/>
    <w:multiLevelType w:val="hybridMultilevel"/>
    <w:lvl w:ilvl="0">
      <w:lvlJc w:val="left"/>
      <w:lvlText w:val="%1."/>
      <w:numFmt w:val="lowerLetter"/>
      <w:start w:val="1"/>
    </w:lvl>
  </w:abstractNum>
  <w:abstractNum w:abstractNumId="23">
    <w:nsid w:val="75A2A8D4"/>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jpe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2019-12-29T05:27:35Z</dcterms:created>
  <dcterms:modified xsi:type="dcterms:W3CDTF">2019-12-29T05:27:35Z</dcterms:modified>
</cp:coreProperties>
</file>