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Armbruster Sara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10/14/2025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12,445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date of the reporting person's last ownership report, she transferred 5,019 shares of Issuer common stock to her ex-spouse pursuant to a domestic relations order.</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0597"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2025-10-16T12:42:18Z</dcterms:created>
  <dcterms:modified xsi:type="dcterms:W3CDTF">2025-10-16T12:42:18Z</dcterms:modified>
</cp:coreProperties>
</file>