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KENNETH J. VAUGHAN, ESQ.</w:t>
      </w:r>
    </w:p>
    <w:p>
      <w:pPr>
        <w:jc w:val="center"/>
        <w:ind w:right="1779"/>
        <w:spacing w:after="0" w:line="238" w:lineRule="auto"/>
        <w:rPr>
          <w:sz w:val="20"/>
          <w:szCs w:val="20"/>
          <w:color w:val="auto"/>
        </w:rPr>
      </w:pPr>
      <w:r>
        <w:rPr>
          <w:rFonts w:ascii="Courier New" w:cs="Courier New" w:eastAsia="Courier New" w:hAnsi="Courier New"/>
          <w:sz w:val="18"/>
          <w:szCs w:val="18"/>
          <w:color w:val="auto"/>
        </w:rPr>
        <w:t>CHAPMAN AND CUTLER</w:t>
      </w:r>
    </w:p>
    <w:p>
      <w:pPr>
        <w:jc w:val="center"/>
        <w:ind w:right="1779"/>
        <w:spacing w:after="0"/>
        <w:rPr>
          <w:sz w:val="20"/>
          <w:szCs w:val="20"/>
          <w:color w:val="auto"/>
        </w:rPr>
      </w:pPr>
      <w:r>
        <w:rPr>
          <w:rFonts w:ascii="Courier New" w:cs="Courier New" w:eastAsia="Courier New" w:hAnsi="Courier New"/>
          <w:sz w:val="18"/>
          <w:szCs w:val="18"/>
          <w:color w:val="auto"/>
        </w:rPr>
        <w:t>111 WEST MONROE STREET</w:t>
      </w:r>
    </w:p>
    <w:p>
      <w:pPr>
        <w:ind w:left="29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580"/>
        <w:spacing w:after="0" w:line="238" w:lineRule="auto"/>
        <w:rPr>
          <w:sz w:val="20"/>
          <w:szCs w:val="20"/>
          <w:color w:val="auto"/>
        </w:rPr>
      </w:pPr>
      <w:r>
        <w:rPr>
          <w:rFonts w:ascii="Courier New" w:cs="Courier New" w:eastAsia="Courier New" w:hAnsi="Courier New"/>
          <w:sz w:val="18"/>
          <w:szCs w:val="18"/>
          <w:color w:val="auto"/>
        </w:rPr>
        <w:t>312-845-3793</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JULY 3, 1996</w:t>
      </w:r>
    </w:p>
    <w:p>
      <w:pPr>
        <w:ind w:left="2740"/>
        <w:spacing w:after="0" w:line="238" w:lineRule="auto"/>
        <w:rPr>
          <w:sz w:val="20"/>
          <w:szCs w:val="20"/>
          <w:color w:val="auto"/>
        </w:rPr>
      </w:pPr>
      <w:r>
        <w:rPr>
          <w:rFonts w:ascii="Courier New" w:cs="Courier New" w:eastAsia="Courier New" w:hAnsi="Courier New"/>
          <w:sz w:val="18"/>
          <w:szCs w:val="18"/>
          <w:color w:val="auto"/>
        </w:rPr>
        <w:t>(Date of Event which Requires</w:t>
      </w:r>
    </w:p>
    <w:p>
      <w:pPr>
        <w:ind w:left="2860"/>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|_|.</w:t>
      </w:r>
    </w:p>
    <w:p>
      <w:pPr>
        <w:spacing w:after="0" w:line="178"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the statement |_|.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NOS. OF ABOVE PERSON.</w:t>
      </w:r>
    </w:p>
    <w:p>
      <w:pPr>
        <w:spacing w:after="0" w:line="202" w:lineRule="exact"/>
        <w:rPr>
          <w:sz w:val="24"/>
          <w:szCs w:val="24"/>
          <w:color w:val="auto"/>
        </w:rPr>
      </w:pPr>
    </w:p>
    <w:p>
      <w:pPr>
        <w:ind w:left="1060"/>
        <w:spacing w:after="0"/>
        <w:tabs>
          <w:tab w:leader="none" w:pos="3260" w:val="left"/>
        </w:tabs>
        <w:rPr>
          <w:sz w:val="20"/>
          <w:szCs w:val="20"/>
          <w:color w:val="auto"/>
        </w:rPr>
      </w:pPr>
      <w:r>
        <w:rPr>
          <w:rFonts w:ascii="Courier New" w:cs="Courier New" w:eastAsia="Courier New" w:hAnsi="Courier New"/>
          <w:sz w:val="18"/>
          <w:szCs w:val="18"/>
          <w:color w:val="auto"/>
        </w:rPr>
        <w:t>Luise V. Hanson</w:t>
      </w:r>
      <w:r>
        <w:rPr>
          <w:sz w:val="20"/>
          <w:szCs w:val="20"/>
          <w:color w:val="auto"/>
        </w:rPr>
        <w:tab/>
      </w:r>
      <w:r>
        <w:rPr>
          <w:rFonts w:ascii="Courier New" w:cs="Courier New" w:eastAsia="Courier New" w:hAnsi="Courier New"/>
          <w:sz w:val="16"/>
          <w:szCs w:val="16"/>
          <w:color w:val="auto"/>
        </w:rPr>
        <w:t>SS# ###-##-####</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7600" w:hanging="429"/>
        <w:spacing w:after="0" w:line="238" w:lineRule="auto"/>
        <w:tabs>
          <w:tab w:leader="none" w:pos="7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7600" w:hanging="429"/>
        <w:spacing w:after="0" w:line="238" w:lineRule="auto"/>
        <w:tabs>
          <w:tab w:leader="none" w:pos="7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7" w:lineRule="exact"/>
        <w:rPr>
          <w:sz w:val="24"/>
          <w:szCs w:val="24"/>
          <w:color w:val="auto"/>
        </w:rPr>
      </w:pPr>
    </w:p>
    <w:p>
      <w:pPr>
        <w:ind w:left="1700" w:right="1779" w:hanging="639"/>
        <w:spacing w:after="0" w:line="236" w:lineRule="auto"/>
        <w:tabs>
          <w:tab w:leader="none" w:pos="17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newly acquired shares were acquired by the reporting person by operation of law in her capacity as the executor of the Estate of John K. Hanson)</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right="2419" w:hanging="105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5CHECK IF DISCLOSURE OF LEGAL PROCEEDINGS IS REQUIRED PURSUANT TO ITEMS 2(d) OR 2(e)</w:t>
      </w:r>
    </w:p>
    <w:p>
      <w:pPr>
        <w:ind w:left="7600"/>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49" w:right="1440" w:bottom="0" w:gutter="0" w:footer="0" w:header="0"/>
        </w:sectPr>
      </w:pPr>
    </w:p>
    <w:bookmarkStart w:id="1" w:name="page2"/>
    <w:bookmarkEnd w:id="1"/>
    <w:p>
      <w:pPr>
        <w:ind w:left="1060" w:right="5259" w:hanging="1052"/>
        <w:spacing w:after="0" w:line="470"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12"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Courier New" w:cs="Courier New" w:eastAsia="Courier New" w:hAnsi="Courier New"/>
                <w:sz w:val="18"/>
                <w:szCs w:val="18"/>
                <w:color w:val="auto"/>
              </w:rPr>
              <w:t>Luise V. Hanson</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4,963,374(19.6%)</w:t>
            </w:r>
          </w:p>
        </w:tc>
      </w:tr>
      <w:tr>
        <w:trPr>
          <w:trHeight w:val="203"/>
        </w:trPr>
        <w:tc>
          <w:tcPr>
            <w:tcW w:w="2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Estate of John K. Hanson</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5,799,943(22.9%)</w:t>
            </w:r>
          </w:p>
        </w:tc>
      </w:tr>
      <w:tr>
        <w:trPr>
          <w:trHeight w:val="203"/>
        </w:trPr>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NUMBER OF</w:t>
            </w:r>
          </w:p>
        </w:tc>
        <w:tc>
          <w:tcPr>
            <w:tcW w:w="1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2160" w:type="dxa"/>
            <w:vAlign w:val="bottom"/>
          </w:tcPr>
          <w:p>
            <w:pPr>
              <w:jc w:val="center"/>
              <w:ind w:right="8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w:t>
            </w:r>
          </w:p>
        </w:tc>
        <w:tc>
          <w:tcPr>
            <w:tcW w:w="1840" w:type="dxa"/>
            <w:vAlign w:val="bottom"/>
          </w:tcPr>
          <w:p>
            <w:pPr>
              <w:spacing w:after="0"/>
              <w:rPr>
                <w:sz w:val="17"/>
                <w:szCs w:val="17"/>
                <w:color w:val="auto"/>
              </w:rPr>
            </w:pPr>
          </w:p>
        </w:tc>
      </w:tr>
      <w:tr>
        <w:trPr>
          <w:trHeight w:val="203"/>
        </w:trPr>
        <w:tc>
          <w:tcPr>
            <w:tcW w:w="216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840" w:type="dxa"/>
            <w:vAlign w:val="bottom"/>
          </w:tcPr>
          <w:p>
            <w:pPr>
              <w:spacing w:after="0"/>
              <w:rPr>
                <w:sz w:val="17"/>
                <w:szCs w:val="17"/>
                <w:color w:val="auto"/>
              </w:rPr>
            </w:pPr>
          </w:p>
        </w:tc>
      </w:tr>
      <w:tr>
        <w:trPr>
          <w:trHeight w:val="203"/>
        </w:trPr>
        <w:tc>
          <w:tcPr>
            <w:tcW w:w="2160" w:type="dxa"/>
            <w:vAlign w:val="bottom"/>
          </w:tcPr>
          <w:p>
            <w:pPr>
              <w:jc w:val="center"/>
              <w:ind w:right="8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216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EACH</w:t>
            </w:r>
          </w:p>
        </w:tc>
        <w:tc>
          <w:tcPr>
            <w:tcW w:w="1620" w:type="dxa"/>
            <w:vAlign w:val="bottom"/>
          </w:tcPr>
          <w:p>
            <w:pPr>
              <w:spacing w:after="0"/>
              <w:rPr>
                <w:sz w:val="17"/>
                <w:szCs w:val="17"/>
                <w:color w:val="auto"/>
              </w:rPr>
            </w:pPr>
          </w:p>
        </w:tc>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1840" w:type="dxa"/>
            <w:vAlign w:val="bottom"/>
          </w:tcPr>
          <w:p>
            <w:pPr>
              <w:spacing w:after="0"/>
              <w:rPr>
                <w:sz w:val="17"/>
                <w:szCs w:val="17"/>
                <w:color w:val="auto"/>
              </w:rPr>
            </w:pPr>
          </w:p>
        </w:tc>
      </w:tr>
      <w:tr>
        <w:trPr>
          <w:trHeight w:val="203"/>
        </w:trPr>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1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2160" w:type="dxa"/>
            <w:vAlign w:val="bottom"/>
          </w:tcPr>
          <w:p>
            <w:pPr>
              <w:jc w:val="center"/>
              <w:ind w:right="8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w:t>
            </w:r>
          </w:p>
        </w:tc>
        <w:tc>
          <w:tcPr>
            <w:tcW w:w="1840" w:type="dxa"/>
            <w:vAlign w:val="bottom"/>
          </w:tcPr>
          <w:p>
            <w:pPr>
              <w:spacing w:after="0"/>
              <w:rPr>
                <w:sz w:val="17"/>
                <w:szCs w:val="17"/>
                <w:color w:val="auto"/>
              </w:rPr>
            </w:pPr>
          </w:p>
        </w:tc>
      </w:tr>
      <w:tr>
        <w:trPr>
          <w:trHeight w:val="203"/>
        </w:trPr>
        <w:tc>
          <w:tcPr>
            <w:tcW w:w="216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WITH</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w:t>
            </w:r>
          </w:p>
        </w:tc>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840" w:type="dxa"/>
            <w:vAlign w:val="bottom"/>
          </w:tcPr>
          <w:p>
            <w:pPr>
              <w:spacing w:after="0"/>
              <w:rPr>
                <w:sz w:val="17"/>
                <w:szCs w:val="17"/>
                <w:color w:val="auto"/>
              </w:rPr>
            </w:pPr>
          </w:p>
        </w:tc>
      </w:tr>
      <w:tr>
        <w:trPr>
          <w:trHeight w:val="405"/>
        </w:trPr>
        <w:tc>
          <w:tcPr>
            <w:tcW w:w="2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700" w:type="dxa"/>
            <w:vAlign w:val="bottom"/>
          </w:tcPr>
          <w:p>
            <w:pPr>
              <w:spacing w:after="0"/>
              <w:rPr>
                <w:sz w:val="20"/>
                <w:szCs w:val="20"/>
                <w:color w:val="auto"/>
              </w:rPr>
            </w:pPr>
            <w:r>
              <w:rPr>
                <w:rFonts w:ascii="Courier New" w:cs="Courier New" w:eastAsia="Courier New" w:hAnsi="Courier New"/>
                <w:sz w:val="18"/>
                <w:szCs w:val="18"/>
                <w:color w:val="auto"/>
              </w:rPr>
              <w:t>Luise V. Hanson</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4,963,374(19.6%)</w:t>
            </w:r>
          </w:p>
        </w:tc>
      </w:tr>
      <w:tr>
        <w:trPr>
          <w:trHeight w:val="203"/>
        </w:trPr>
        <w:tc>
          <w:tcPr>
            <w:tcW w:w="2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Estate of John K. Hanson</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5,799,943(22.9%)</w:t>
            </w:r>
          </w:p>
        </w:tc>
      </w:tr>
    </w:tbl>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900" w:right="3679" w:hanging="521"/>
        <w:spacing w:after="0" w:line="470" w:lineRule="auto"/>
        <w:tabs>
          <w:tab w:leader="none" w:pos="39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Not Applicable.</w:t>
      </w:r>
    </w:p>
    <w:p>
      <w:pPr>
        <w:spacing w:after="0" w:line="1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10,763,317</w:t>
      </w:r>
    </w:p>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right="2199" w:hanging="105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12CHECK IF THE AGGREGATE AMOUNT IN ROW (11) EXCLUDES CERTAIN SHARES. (See Instructions.)</w:t>
      </w:r>
    </w:p>
    <w:p>
      <w:pPr>
        <w:spacing w:after="0" w:line="203" w:lineRule="exact"/>
        <w:rPr>
          <w:sz w:val="20"/>
          <w:szCs w:val="20"/>
          <w:color w:val="auto"/>
        </w:rPr>
      </w:pPr>
    </w:p>
    <w:p>
      <w:pPr>
        <w:ind w:left="7600"/>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42.5%</w:t>
      </w:r>
    </w:p>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 (See Instructions.)</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class of securities to which this statement relates is Common Stock, $.50 par value, of Winnebago Industries, Inc. ("WINNEBAGO"), an Iowa corporation. The address of Winnebago's principal executive offices is P.O. Box 152, Forest City, Iowa 50436.</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This statement is being filed by Luise V. Hanson. Mrs. Hanson is retired, and her residence address is 905 Highway 69 South, Forest City, Iowa 50436.</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Mrs. Hanson has not, during the last five years, been convicted in a criminal proceeding (excluding traffic violations or similar misdemeanors). Further, Mrs. Hanson has not, during the last five years, been a party to a civil proceeding of a judicial or administrative body of competent jurisdiction which resulted in Mrs. Hanson being subject to a judgement, decree or final order enjoining future violations of, or prohibiting or mandating activities subject to, federal or state securities law or finding any violation with respect to such laws.</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schedule is being filed to report a change in the direct and indirect beneficial ownership by Mrs. Hanson of an aggregate of 5,799,943 shares of Winnebago common stock, as a result of Mrs. Hanson acting as the executor of the estate of John K. Hanson (the "ESTATE").</w:t>
      </w:r>
    </w:p>
    <w:p>
      <w:pPr>
        <w:sectPr>
          <w:pgSz w:w="11900" w:h="16838" w:orient="portrait"/>
          <w:cols w:equalWidth="0" w:num="1">
            <w:col w:w="10219"/>
          </w:cols>
          <w:pgMar w:left="240" w:top="142" w:right="1440" w:bottom="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The undersigned does not presently have any plans or proposals which relate to or would result in:</w:t>
      </w:r>
    </w:p>
    <w:p>
      <w:pPr>
        <w:spacing w:after="0" w:line="208" w:lineRule="exact"/>
        <w:rPr>
          <w:sz w:val="20"/>
          <w:szCs w:val="20"/>
          <w:color w:val="auto"/>
        </w:rPr>
      </w:pPr>
    </w:p>
    <w:p>
      <w:pPr>
        <w:ind w:left="1900" w:right="1999" w:hanging="944"/>
        <w:spacing w:after="0" w:line="237" w:lineRule="auto"/>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of additional securities of Winnebago, or the disposition of securities of Winnebago, other than the disposition of shares of Common Stock held by the Estate in the course of administering the Estate;</w:t>
      </w:r>
    </w:p>
    <w:p>
      <w:pPr>
        <w:spacing w:after="0" w:line="207" w:lineRule="exact"/>
        <w:rPr>
          <w:rFonts w:ascii="Courier New" w:cs="Courier New" w:eastAsia="Courier New" w:hAnsi="Courier New"/>
          <w:sz w:val="18"/>
          <w:szCs w:val="18"/>
          <w:color w:val="auto"/>
        </w:rPr>
      </w:pPr>
    </w:p>
    <w:p>
      <w:pPr>
        <w:ind w:left="1900" w:right="1999" w:hanging="944"/>
        <w:spacing w:after="0" w:line="236" w:lineRule="auto"/>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1900" w:right="1779" w:hanging="944"/>
        <w:spacing w:after="0" w:line="235" w:lineRule="auto"/>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1900" w:right="1879" w:hanging="944"/>
        <w:spacing w:after="0" w:line="237" w:lineRule="auto"/>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present board of directors or management of Winnebago, including any plans or proposals to change the number or term of directors or to fill any existing vacancies on the board;</w:t>
      </w:r>
    </w:p>
    <w:p>
      <w:pPr>
        <w:spacing w:after="0" w:line="207" w:lineRule="exact"/>
        <w:rPr>
          <w:rFonts w:ascii="Courier New" w:cs="Courier New" w:eastAsia="Courier New" w:hAnsi="Courier New"/>
          <w:sz w:val="18"/>
          <w:szCs w:val="18"/>
          <w:color w:val="auto"/>
        </w:rPr>
      </w:pPr>
    </w:p>
    <w:p>
      <w:pPr>
        <w:ind w:left="1900" w:right="1879" w:hanging="944"/>
        <w:spacing w:after="0" w:line="235" w:lineRule="auto"/>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1900" w:right="1779" w:hanging="944"/>
        <w:spacing w:after="0" w:line="235" w:lineRule="auto"/>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1900" w:right="2099" w:hanging="944"/>
        <w:spacing w:after="0" w:line="236" w:lineRule="auto"/>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1900" w:right="1999" w:hanging="944"/>
        <w:spacing w:after="0" w:line="236" w:lineRule="auto"/>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class of equity securities of Winnebago becoming eligible for termination of registration pursuant to Section 12(g)(4) of the Act; or</w:t>
      </w:r>
    </w:p>
    <w:p>
      <w:pPr>
        <w:spacing w:after="0" w:line="203"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1900" w:right="1779" w:hanging="944"/>
        <w:spacing w:after="0" w:line="236" w:lineRule="auto"/>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Mrs. Hanson is the beneficial owner of 10,763,317 shares of Winnebago common stock, which represent approximately 42.5% of Winnebago's issued and outstanding common stock.</w:t>
      </w:r>
    </w:p>
    <w:p>
      <w:pPr>
        <w:spacing w:after="0" w:line="208" w:lineRule="exact"/>
        <w:rPr>
          <w:rFonts w:ascii="Courier New" w:cs="Courier New" w:eastAsia="Courier New" w:hAnsi="Courier New"/>
          <w:sz w:val="18"/>
          <w:szCs w:val="18"/>
          <w:color w:val="auto"/>
        </w:rPr>
      </w:pPr>
    </w:p>
    <w:p>
      <w:pPr>
        <w:ind w:left="1900" w:right="1999" w:hanging="944"/>
        <w:spacing w:after="0" w:line="236" w:lineRule="auto"/>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Mrs. Hanson has sole voting power and sole dispositive power with respect to the 10,763,317 shares of Winnebago common stock of which she is the beneficial owner.</w:t>
      </w:r>
    </w:p>
    <w:p>
      <w:pPr>
        <w:spacing w:after="0" w:line="208" w:lineRule="exact"/>
        <w:rPr>
          <w:rFonts w:ascii="Courier New" w:cs="Courier New" w:eastAsia="Courier New" w:hAnsi="Courier New"/>
          <w:sz w:val="18"/>
          <w:szCs w:val="18"/>
          <w:color w:val="auto"/>
        </w:rPr>
      </w:pPr>
    </w:p>
    <w:p>
      <w:pPr>
        <w:ind w:left="1900" w:right="1879" w:hanging="944"/>
        <w:spacing w:after="0" w:line="236" w:lineRule="auto"/>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Mrs. Hanson, John K. Hanson or the Estate has had any transactions in Winnebago common stock during the past 60 days.</w:t>
      </w:r>
    </w:p>
    <w:p>
      <w:pPr>
        <w:spacing w:after="0" w:line="203"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1999" w:hanging="1052"/>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CONTRACTS, ARRANGEMENTS, UNDERSTANDINGS OR RELATIONSHIPS WITH RESPECT TO SECURITIES OF THE ISSUER.</w:t>
      </w:r>
    </w:p>
    <w:p>
      <w:pPr>
        <w:spacing w:after="0" w:line="20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None (other than with respect to the distribution of the shares held by the Estate in the course of administering the Estate).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36" w:right="1440" w:bottom="134" w:gutter="0" w:footer="0" w:header="0"/>
        </w:sectPr>
      </w:pPr>
    </w:p>
    <w:bookmarkStart w:id="3" w:name="page4"/>
    <w:bookmarkEnd w:id="3"/>
    <w:p>
      <w:pPr>
        <w:ind w:left="5120"/>
        <w:spacing w:after="0"/>
        <w:rPr>
          <w:sz w:val="20"/>
          <w:szCs w:val="20"/>
          <w:color w:val="auto"/>
        </w:rPr>
      </w:pPr>
      <w:r>
        <w:rPr>
          <w:rFonts w:ascii="Courier New" w:cs="Courier New" w:eastAsia="Courier New" w:hAnsi="Courier New"/>
          <w:sz w:val="18"/>
          <w:szCs w:val="18"/>
          <w:color w:val="auto"/>
        </w:rPr>
        <w:t>July 17, 1996</w:t>
      </w:r>
    </w:p>
    <w:p>
      <w:pPr>
        <w:ind w:left="5540"/>
        <w:spacing w:after="0" w:line="238" w:lineRule="auto"/>
        <w:rPr>
          <w:sz w:val="20"/>
          <w:szCs w:val="20"/>
          <w:color w:val="auto"/>
        </w:rPr>
      </w:pPr>
      <w:r>
        <w:rPr>
          <w:rFonts w:ascii="Courier New" w:cs="Courier New" w:eastAsia="Courier New" w:hAnsi="Courier New"/>
          <w:sz w:val="18"/>
          <w:szCs w:val="18"/>
          <w:color w:val="auto"/>
        </w:rPr>
        <w:t>(Date)</w:t>
      </w:r>
    </w:p>
    <w:p>
      <w:pPr>
        <w:spacing w:after="0" w:line="207" w:lineRule="exact"/>
        <w:rPr>
          <w:sz w:val="20"/>
          <w:szCs w:val="20"/>
          <w:color w:val="auto"/>
        </w:rPr>
      </w:pPr>
    </w:p>
    <w:p>
      <w:pPr>
        <w:ind w:left="4920"/>
        <w:spacing w:after="0"/>
        <w:rPr>
          <w:sz w:val="20"/>
          <w:szCs w:val="20"/>
          <w:color w:val="auto"/>
        </w:rPr>
      </w:pPr>
      <w:r>
        <w:rPr>
          <w:rFonts w:ascii="Courier New" w:cs="Courier New" w:eastAsia="Courier New" w:hAnsi="Courier New"/>
          <w:sz w:val="16"/>
          <w:szCs w:val="16"/>
          <w:color w:val="auto"/>
        </w:rPr>
        <w:t>/s/ Luise V. Hanson</w:t>
      </w:r>
    </w:p>
    <w:p>
      <w:pPr>
        <w:spacing w:after="0" w:line="16" w:lineRule="exact"/>
        <w:rPr>
          <w:sz w:val="20"/>
          <w:szCs w:val="20"/>
          <w:color w:val="auto"/>
        </w:rPr>
      </w:pPr>
    </w:p>
    <w:p>
      <w:pPr>
        <w:ind w:left="5240"/>
        <w:spacing w:after="0"/>
        <w:rPr>
          <w:sz w:val="20"/>
          <w:szCs w:val="20"/>
          <w:color w:val="auto"/>
        </w:rPr>
      </w:pPr>
      <w:r>
        <w:rPr>
          <w:rFonts w:ascii="Courier New" w:cs="Courier New" w:eastAsia="Courier New" w:hAnsi="Courier New"/>
          <w:sz w:val="18"/>
          <w:szCs w:val="18"/>
          <w:color w:val="auto"/>
        </w:rPr>
        <w:t>Luise V. Hanson</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2"/>
      <w:numFmt w:val="upperLetter"/>
      <w:start w:val="1"/>
    </w:lvl>
  </w:abstractNum>
  <w:abstractNum w:abstractNumId="1">
    <w:nsid w:val="2EB141F2"/>
    <w:multiLevelType w:val="hybridMultilevel"/>
    <w:lvl w:ilvl="0">
      <w:lvlJc w:val="left"/>
      <w:lvlText w:val="-"/>
      <w:numFmt w:val="bullet"/>
      <w:start w:val="1"/>
    </w:lvl>
    <w:lvl w:ilvl="1">
      <w:lvlJc w:val="left"/>
      <w:lvlText w:val="(%2)"/>
      <w:numFmt w:val="lowerLetter"/>
      <w:start w:val="1"/>
    </w:lvl>
  </w:abstractNum>
  <w:abstractNum w:abstractNumId="2">
    <w:nsid w:val="41B71EFB"/>
    <w:multiLevelType w:val="hybridMultilevel"/>
    <w:lvl w:ilvl="0">
      <w:lvlJc w:val="left"/>
      <w:lvlText w:val="-"/>
      <w:numFmt w:val="bullet"/>
      <w:start w:val="1"/>
    </w:lvl>
    <w:lvl w:ilvl="1">
      <w:lvlJc w:val="left"/>
      <w:lvlText w:val="%2"/>
      <w:numFmt w:val="decimal"/>
    </w:lvl>
  </w:abstractNum>
  <w:abstractNum w:abstractNumId="3">
    <w:nsid w:val="79E2A9E3"/>
    <w:multiLevelType w:val="hybridMultilevel"/>
    <w:lvl w:ilvl="0">
      <w:lvlJc w:val="left"/>
      <w:lvlText w:val="6"/>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lvl w:ilvl="1">
      <w:lvlJc w:val="left"/>
      <w:lvlText w:val="%2"/>
      <w:numFmt w:val="decimal"/>
      <w:start w:val="10"/>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2019-12-13T08:14:20Z</dcterms:created>
  <dcterms:modified xsi:type="dcterms:W3CDTF">2019-12-13T08:14:20Z</dcterms:modified>
</cp:coreProperties>
</file>