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2"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line="24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-245110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27940</wp:posOffset>
            </wp:positionV>
            <wp:extent cx="7323455" cy="5840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40730"/>
                    </a:xfrm>
                    <a:prstGeom prst="rect">
                      <a:avLst/>
                    </a:prstGeom>
                    <a:noFill/>
                  </pic:spPr>
                </pic:pic>
              </a:graphicData>
            </a:graphic>
          </wp:anchor>
        </w:drawing>
      </w:r>
    </w:p>
    <w:p>
      <w:pPr>
        <w:spacing w:after="0" w:line="115" w:lineRule="exact"/>
        <w:rPr>
          <w:sz w:val="24"/>
          <w:szCs w:val="24"/>
          <w:color w:val="auto"/>
        </w:rPr>
      </w:pPr>
    </w:p>
    <w:p>
      <w:pPr>
        <w:sectPr>
          <w:pgSz w:w="11900" w:h="16838" w:orient="portrait"/>
          <w:cols w:equalWidth="0" w:num="2">
            <w:col w:w="2340" w:space="340"/>
            <w:col w:w="884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Degnan Steven Scott</w:t>
        </w:r>
      </w:hyperlink>
    </w:p>
    <w:p>
      <w:pPr>
        <w:spacing w:after="0" w:line="306"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0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7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WINNEBAGO INDUSTRIES, INC.</w:t>
            </w: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P.O. BOX 152</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FOREST CITY</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IA</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50436</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3980" w:type="dxa"/>
            <w:vAlign w:val="bottom"/>
            <w:gridSpan w:val="4"/>
          </w:tcPr>
          <w:p>
            <w:pPr>
              <w:ind w:left="60"/>
              <w:spacing w:after="0" w:line="214"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WINNEBAGO INDUSTRIES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92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900" w:type="dxa"/>
            <w:vAlign w:val="bottom"/>
            <w:tcBorders>
              <w:top w:val="single" w:sz="8" w:color="0000EE"/>
            </w:tcBorders>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ind w:left="140"/>
              <w:spacing w:after="0"/>
              <w:rPr>
                <w:sz w:val="20"/>
                <w:szCs w:val="20"/>
                <w:color w:val="auto"/>
              </w:rPr>
            </w:pPr>
            <w:r>
              <w:rPr>
                <w:rFonts w:ascii="Arial" w:cs="Arial" w:eastAsia="Arial" w:hAnsi="Arial"/>
                <w:sz w:val="13"/>
                <w:szCs w:val="13"/>
                <w:color w:val="auto"/>
              </w:rPr>
              <w:t>Director</w:t>
            </w:r>
          </w:p>
        </w:tc>
        <w:tc>
          <w:tcPr>
            <w:tcW w:w="150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290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440" w:type="dxa"/>
            <w:vAlign w:val="bottom"/>
          </w:tcPr>
          <w:p>
            <w:pPr>
              <w:ind w:left="14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29"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VP/General Manager - Towables</w:t>
            </w:r>
          </w:p>
        </w:tc>
        <w:tc>
          <w:tcPr>
            <w:tcW w:w="0" w:type="dxa"/>
            <w:vAlign w:val="bottom"/>
          </w:tcPr>
          <w:p>
            <w:pPr>
              <w:spacing w:after="0"/>
              <w:rPr>
                <w:sz w:val="1"/>
                <w:szCs w:val="1"/>
                <w:color w:val="auto"/>
              </w:rPr>
            </w:pPr>
          </w:p>
        </w:tc>
      </w:tr>
      <w:tr>
        <w:trPr>
          <w:trHeight w:val="227"/>
        </w:trPr>
        <w:tc>
          <w:tcPr>
            <w:tcW w:w="3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10/11/2016</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spacing w:after="0" w:line="7" w:lineRule="exact"/>
        <w:rPr>
          <w:sz w:val="24"/>
          <w:szCs w:val="24"/>
          <w:color w:val="auto"/>
        </w:rPr>
      </w:pPr>
    </w:p>
    <w:p>
      <w:pPr>
        <w:ind w:left="4260"/>
        <w:spacing w:after="0"/>
        <w:tabs>
          <w:tab w:leader="none" w:pos="458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Person</w:t>
      </w:r>
    </w:p>
    <w:p>
      <w:pPr>
        <w:spacing w:after="0" w:line="404" w:lineRule="exact"/>
        <w:rPr>
          <w:sz w:val="24"/>
          <w:szCs w:val="24"/>
          <w:color w:val="auto"/>
        </w:rPr>
      </w:pPr>
    </w:p>
    <w:p>
      <w:pPr>
        <w:sectPr>
          <w:pgSz w:w="11900" w:h="16838" w:orient="portrait"/>
          <w:cols w:equalWidth="0" w:num="2">
            <w:col w:w="3900" w:space="100"/>
            <w:col w:w="752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jc w:val="center"/>
              <w:ind w:left="62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00" w:type="dxa"/>
            <w:vAlign w:val="bottom"/>
            <w:tcBorders>
              <w:bottom w:val="single" w:sz="8" w:color="2C2C2C"/>
            </w:tcBorders>
            <w:gridSpan w:val="3"/>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920" w:type="dxa"/>
            <w:vAlign w:val="bottom"/>
            <w:tcBorders>
              <w:bottom w:val="single" w:sz="8" w:color="2C2C2C"/>
            </w:tcBorders>
            <w:gridSpan w:val="2"/>
          </w:tcPr>
          <w:p>
            <w:pPr>
              <w:jc w:val="center"/>
              <w:ind w:left="627"/>
              <w:spacing w:after="0"/>
              <w:rPr>
                <w:sz w:val="20"/>
                <w:szCs w:val="20"/>
                <w:color w:val="auto"/>
              </w:rPr>
            </w:pPr>
            <w:r>
              <w:rPr>
                <w:rFonts w:ascii="Times New Roman" w:cs="Times New Roman" w:eastAsia="Times New Roman" w:hAnsi="Times New Roman"/>
                <w:sz w:val="17"/>
                <w:szCs w:val="17"/>
                <w:color w:val="0000FF"/>
              </w:rPr>
              <w:t>10/11/2016</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107"/>
              <w:spacing w:after="0"/>
              <w:rPr>
                <w:sz w:val="20"/>
                <w:szCs w:val="20"/>
                <w:color w:val="auto"/>
              </w:rPr>
            </w:pPr>
            <w:r>
              <w:rPr>
                <w:rFonts w:ascii="Times New Roman" w:cs="Times New Roman" w:eastAsia="Times New Roman" w:hAnsi="Times New Roman"/>
                <w:sz w:val="17"/>
                <w:szCs w:val="17"/>
                <w:color w:val="0000FF"/>
                <w:w w:val="93"/>
              </w:rPr>
              <w:t>2,217</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27.89</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36,077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920" w:type="dxa"/>
            <w:vAlign w:val="bottom"/>
            <w:gridSpan w:val="2"/>
          </w:tcPr>
          <w:p>
            <w:pPr>
              <w:jc w:val="center"/>
              <w:ind w:left="627"/>
              <w:spacing w:after="0"/>
              <w:rPr>
                <w:sz w:val="20"/>
                <w:szCs w:val="20"/>
                <w:color w:val="auto"/>
              </w:rPr>
            </w:pPr>
            <w:r>
              <w:rPr>
                <w:rFonts w:ascii="Times New Roman" w:cs="Times New Roman" w:eastAsia="Times New Roman" w:hAnsi="Times New Roman"/>
                <w:sz w:val="17"/>
                <w:szCs w:val="17"/>
                <w:color w:val="0000FF"/>
              </w:rPr>
              <w:t>10/11/2016</w:t>
            </w: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center"/>
              <w:ind w:left="107"/>
              <w:spacing w:after="0"/>
              <w:rPr>
                <w:sz w:val="20"/>
                <w:szCs w:val="20"/>
                <w:color w:val="auto"/>
              </w:rPr>
            </w:pPr>
            <w:r>
              <w:rPr>
                <w:rFonts w:ascii="Times New Roman" w:cs="Times New Roman" w:eastAsia="Times New Roman" w:hAnsi="Times New Roman"/>
                <w:sz w:val="17"/>
                <w:szCs w:val="17"/>
                <w:color w:val="0000FF"/>
              </w:rPr>
              <w:t>1,130</w:t>
            </w:r>
          </w:p>
        </w:tc>
        <w:tc>
          <w:tcPr>
            <w:tcW w:w="6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tcPr>
          <w:p>
            <w:pPr>
              <w:jc w:val="center"/>
              <w:ind w:left="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27.89</w:t>
            </w:r>
          </w:p>
        </w:tc>
        <w:tc>
          <w:tcPr>
            <w:tcW w:w="80" w:type="dxa"/>
            <w:vAlign w:val="bottom"/>
          </w:tcPr>
          <w:p>
            <w:pPr>
              <w:spacing w:after="0"/>
              <w:rPr>
                <w:sz w:val="23"/>
                <w:szCs w:val="23"/>
                <w:color w:val="auto"/>
              </w:rPr>
            </w:pP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34,947</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920" w:type="dxa"/>
            <w:vAlign w:val="bottom"/>
            <w:tcBorders>
              <w:bottom w:val="single" w:sz="8" w:color="2C2C2C"/>
            </w:tcBorders>
            <w:gridSpan w:val="2"/>
          </w:tcPr>
          <w:p>
            <w:pPr>
              <w:jc w:val="center"/>
              <w:ind w:left="627"/>
              <w:spacing w:after="0"/>
              <w:rPr>
                <w:sz w:val="20"/>
                <w:szCs w:val="20"/>
                <w:color w:val="auto"/>
              </w:rPr>
            </w:pPr>
            <w:r>
              <w:rPr>
                <w:rFonts w:ascii="Times New Roman" w:cs="Times New Roman" w:eastAsia="Times New Roman" w:hAnsi="Times New Roman"/>
                <w:sz w:val="17"/>
                <w:szCs w:val="17"/>
                <w:color w:val="0000FF"/>
              </w:rPr>
              <w:t>10/11/2016</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107"/>
              <w:spacing w:after="0"/>
              <w:rPr>
                <w:sz w:val="20"/>
                <w:szCs w:val="20"/>
                <w:color w:val="auto"/>
              </w:rPr>
            </w:pPr>
            <w:r>
              <w:rPr>
                <w:rFonts w:ascii="Times New Roman" w:cs="Times New Roman" w:eastAsia="Times New Roman" w:hAnsi="Times New Roman"/>
                <w:sz w:val="17"/>
                <w:szCs w:val="17"/>
                <w:color w:val="0000FF"/>
                <w:w w:val="93"/>
              </w:rPr>
              <w:t>2,702</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27.89</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37,649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920" w:type="dxa"/>
            <w:vAlign w:val="bottom"/>
            <w:gridSpan w:val="2"/>
          </w:tcPr>
          <w:p>
            <w:pPr>
              <w:jc w:val="center"/>
              <w:ind w:left="627"/>
              <w:spacing w:after="0"/>
              <w:rPr>
                <w:sz w:val="20"/>
                <w:szCs w:val="20"/>
                <w:color w:val="auto"/>
              </w:rPr>
            </w:pPr>
            <w:r>
              <w:rPr>
                <w:rFonts w:ascii="Times New Roman" w:cs="Times New Roman" w:eastAsia="Times New Roman" w:hAnsi="Times New Roman"/>
                <w:sz w:val="17"/>
                <w:szCs w:val="17"/>
                <w:color w:val="0000FF"/>
              </w:rPr>
              <w:t>10/11/2016</w:t>
            </w: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center"/>
              <w:ind w:left="107"/>
              <w:spacing w:after="0"/>
              <w:rPr>
                <w:sz w:val="20"/>
                <w:szCs w:val="20"/>
                <w:color w:val="auto"/>
              </w:rPr>
            </w:pPr>
            <w:r>
              <w:rPr>
                <w:rFonts w:ascii="Times New Roman" w:cs="Times New Roman" w:eastAsia="Times New Roman" w:hAnsi="Times New Roman"/>
                <w:sz w:val="17"/>
                <w:szCs w:val="17"/>
                <w:color w:val="0000FF"/>
              </w:rPr>
              <w:t>1,377</w:t>
            </w:r>
          </w:p>
        </w:tc>
        <w:tc>
          <w:tcPr>
            <w:tcW w:w="6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tcPr>
          <w:p>
            <w:pPr>
              <w:jc w:val="center"/>
              <w:ind w:left="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27.89</w:t>
            </w:r>
          </w:p>
        </w:tc>
        <w:tc>
          <w:tcPr>
            <w:tcW w:w="80" w:type="dxa"/>
            <w:vAlign w:val="bottom"/>
          </w:tcPr>
          <w:p>
            <w:pPr>
              <w:spacing w:after="0"/>
              <w:rPr>
                <w:sz w:val="23"/>
                <w:szCs w:val="23"/>
                <w:color w:val="auto"/>
              </w:rPr>
            </w:pP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36,272</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920" w:type="dxa"/>
            <w:vAlign w:val="bottom"/>
            <w:tcBorders>
              <w:bottom w:val="single" w:sz="8" w:color="2C2C2C"/>
            </w:tcBorders>
            <w:gridSpan w:val="2"/>
          </w:tcPr>
          <w:p>
            <w:pPr>
              <w:jc w:val="center"/>
              <w:ind w:left="627"/>
              <w:spacing w:after="0"/>
              <w:rPr>
                <w:sz w:val="20"/>
                <w:szCs w:val="20"/>
                <w:color w:val="auto"/>
              </w:rPr>
            </w:pPr>
            <w:r>
              <w:rPr>
                <w:rFonts w:ascii="Times New Roman" w:cs="Times New Roman" w:eastAsia="Times New Roman" w:hAnsi="Times New Roman"/>
                <w:sz w:val="17"/>
                <w:szCs w:val="17"/>
                <w:color w:val="0000FF"/>
              </w:rPr>
              <w:t>10/11/2016</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107"/>
              <w:spacing w:after="0"/>
              <w:rPr>
                <w:sz w:val="20"/>
                <w:szCs w:val="20"/>
                <w:color w:val="auto"/>
              </w:rPr>
            </w:pPr>
            <w:r>
              <w:rPr>
                <w:rFonts w:ascii="Times New Roman" w:cs="Times New Roman" w:eastAsia="Times New Roman" w:hAnsi="Times New Roman"/>
                <w:sz w:val="17"/>
                <w:szCs w:val="17"/>
                <w:color w:val="0000FF"/>
                <w:w w:val="93"/>
              </w:rPr>
              <w:t>5,200</w:t>
            </w:r>
            <w:r>
              <w:rPr>
                <w:rFonts w:ascii="Times New Roman" w:cs="Times New Roman" w:eastAsia="Times New Roman" w:hAnsi="Times New Roman"/>
                <w:sz w:val="22"/>
                <w:szCs w:val="22"/>
                <w:color w:val="008000"/>
                <w:w w:val="93"/>
                <w:vertAlign w:val="superscript"/>
              </w:rPr>
              <w:t>(3)</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0.00</w:t>
            </w:r>
            <w:r>
              <w:rPr>
                <w:rFonts w:ascii="Times New Roman" w:cs="Times New Roman" w:eastAsia="Times New Roman" w:hAnsi="Times New Roman"/>
                <w:sz w:val="22"/>
                <w:szCs w:val="22"/>
                <w:color w:val="008000"/>
                <w:w w:val="92"/>
                <w:vertAlign w:val="superscript"/>
              </w:rPr>
              <w:t>(3)</w:t>
            </w:r>
          </w:p>
        </w:tc>
        <w:tc>
          <w:tcPr>
            <w:tcW w:w="124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41,472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w w:val="94"/>
              </w:rPr>
              <w:t>Derivative</w:t>
            </w:r>
          </w:p>
        </w:tc>
        <w:tc>
          <w:tcPr>
            <w:tcW w:w="300" w:type="dxa"/>
            <w:vAlign w:val="bottom"/>
          </w:tcPr>
          <w:p>
            <w:pPr>
              <w:spacing w:after="0"/>
              <w:rPr>
                <w:sz w:val="11"/>
                <w:szCs w:val="11"/>
                <w:color w:val="auto"/>
              </w:rPr>
            </w:pP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27.89</w:t>
            </w:r>
          </w:p>
        </w:tc>
        <w:tc>
          <w:tcPr>
            <w:tcW w:w="1080" w:type="dxa"/>
            <w:vAlign w:val="bottom"/>
          </w:tcPr>
          <w:p>
            <w:pPr>
              <w:jc w:val="right"/>
              <w:ind w:right="158"/>
              <w:spacing w:after="0"/>
              <w:rPr>
                <w:sz w:val="20"/>
                <w:szCs w:val="20"/>
                <w:color w:val="auto"/>
              </w:rPr>
            </w:pPr>
            <w:r>
              <w:rPr>
                <w:rFonts w:ascii="Times New Roman" w:cs="Times New Roman" w:eastAsia="Times New Roman" w:hAnsi="Times New Roman"/>
                <w:sz w:val="13"/>
                <w:szCs w:val="13"/>
                <w:color w:val="0000FF"/>
              </w:rPr>
              <w:t>10/11/2016</w:t>
            </w:r>
          </w:p>
        </w:tc>
        <w:tc>
          <w:tcPr>
            <w:tcW w:w="116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160"/>
              <w:spacing w:after="0" w:line="200" w:lineRule="exact"/>
              <w:rPr>
                <w:sz w:val="20"/>
                <w:szCs w:val="20"/>
                <w:color w:val="auto"/>
              </w:rPr>
            </w:pPr>
            <w:r>
              <w:rPr>
                <w:rFonts w:ascii="Times New Roman" w:cs="Times New Roman" w:eastAsia="Times New Roman" w:hAnsi="Times New Roman"/>
                <w:sz w:val="13"/>
                <w:szCs w:val="13"/>
                <w:color w:val="0000FF"/>
              </w:rPr>
              <w:t>5,200</w:t>
            </w:r>
            <w:r>
              <w:rPr>
                <w:rFonts w:ascii="Times New Roman" w:cs="Times New Roman" w:eastAsia="Times New Roman" w:hAnsi="Times New Roman"/>
                <w:sz w:val="22"/>
                <w:szCs w:val="22"/>
                <w:color w:val="008000"/>
                <w:vertAlign w:val="superscript"/>
              </w:rPr>
              <w:t>(4)</w:t>
            </w:r>
          </w:p>
        </w:tc>
        <w:tc>
          <w:tcPr>
            <w:tcW w:w="300" w:type="dxa"/>
            <w:vAlign w:val="bottom"/>
          </w:tcPr>
          <w:p>
            <w:pPr>
              <w:spacing w:after="0"/>
              <w:rPr>
                <w:sz w:val="17"/>
                <w:szCs w:val="17"/>
                <w:color w:val="auto"/>
              </w:rPr>
            </w:pP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10/11/2016</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27.89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27.89</w:t>
            </w:r>
          </w:p>
        </w:tc>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5,200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ind w:left="60"/>
              <w:spacing w:after="0" w:line="108" w:lineRule="exact"/>
              <w:rPr>
                <w:sz w:val="20"/>
                <w:szCs w:val="20"/>
                <w:color w:val="auto"/>
              </w:rPr>
            </w:pPr>
            <w:r>
              <w:rPr>
                <w:rFonts w:ascii="Times New Roman" w:cs="Times New Roman" w:eastAsia="Times New Roman" w:hAnsi="Times New Roman"/>
                <w:sz w:val="12"/>
                <w:szCs w:val="12"/>
                <w:color w:val="0000FF"/>
              </w:rPr>
              <w:t>(rights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ind w:left="120"/>
              <w:spacing w:after="0" w:line="108"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00" w:firstLine="7"/>
        <w:spacing w:after="0" w:line="273"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Winnebago Industries, Inc. 2014 Omnibus Equity, Performance Awards, and Incentive Compensation Plan which provides for stock grants to Executive Officers under the Officers' Incentive Compensation Plan for Fiscal Year 2016.</w:t>
      </w:r>
    </w:p>
    <w:p>
      <w:pPr>
        <w:spacing w:after="0" w:line="7" w:lineRule="exact"/>
        <w:rPr>
          <w:rFonts w:ascii="Times New Roman" w:cs="Times New Roman" w:eastAsia="Times New Roman" w:hAnsi="Times New Roman"/>
          <w:sz w:val="13"/>
          <w:szCs w:val="13"/>
          <w:color w:val="008000"/>
        </w:rPr>
      </w:pPr>
    </w:p>
    <w:p>
      <w:pPr>
        <w:ind w:left="40" w:right="400" w:firstLine="7"/>
        <w:spacing w:after="0" w:line="273"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Winnebago Industries, Inc. 2014 Omnibus Equity, Performance Awards and Incentive Compensation Plan which provides for stock grants to Executive Officers under the Officers' Long-Term Incentive Plan for Fiscal Three-Year Period 2014, 2015, and 2016.</w:t>
      </w:r>
    </w:p>
    <w:p>
      <w:pPr>
        <w:spacing w:after="0" w:line="7" w:lineRule="exact"/>
        <w:rPr>
          <w:rFonts w:ascii="Times New Roman" w:cs="Times New Roman" w:eastAsia="Times New Roman" w:hAnsi="Times New Roman"/>
          <w:sz w:val="13"/>
          <w:szCs w:val="13"/>
          <w:color w:val="008000"/>
        </w:rPr>
      </w:pPr>
    </w:p>
    <w:p>
      <w:pPr>
        <w:ind w:left="40" w:right="540" w:firstLine="7"/>
        <w:spacing w:after="0" w:line="273"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10/11/16 under the Winnebago Industries, Inc. 2014 Omnibus Equity, Performance Awards, and Incentive Compensation Plan. Restricted shares vest in annual increments of one-third beginning 10/11/2017.</w:t>
      </w:r>
    </w:p>
    <w:p>
      <w:pPr>
        <w:spacing w:after="0" w:line="7" w:lineRule="exact"/>
        <w:rPr>
          <w:rFonts w:ascii="Times New Roman" w:cs="Times New Roman" w:eastAsia="Times New Roman" w:hAnsi="Times New Roman"/>
          <w:sz w:val="13"/>
          <w:szCs w:val="13"/>
          <w:color w:val="008000"/>
        </w:rPr>
      </w:pPr>
    </w:p>
    <w:p>
      <w:pPr>
        <w:ind w:left="40" w:right="360" w:firstLine="7"/>
        <w:spacing w:after="0" w:line="273"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Winnebago Industries, Inc. 2014 Omnibus Equity, Performance Awards and Incentive Compensation Plan, which is a Section 16(b) Plan with options vesting in annual increments of one-third commencing 10/11/2017 and expiring ten years from date of grant.</w:t>
      </w:r>
    </w:p>
    <w:p>
      <w:pPr>
        <w:spacing w:after="0" w:line="32"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7"/>
          <w:szCs w:val="17"/>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-3810</wp:posOffset>
            </wp:positionV>
            <wp:extent cx="13366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1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7"/>
          <w:szCs w:val="17"/>
          <w:color w:val="0000FF"/>
        </w:rPr>
        <w:t>Winnebago Industries, Inc.</w:t>
      </w:r>
      <w:r>
        <w:rPr>
          <w:sz w:val="20"/>
          <w:szCs w:val="20"/>
          <w:color w:val="auto"/>
        </w:rPr>
        <w:tab/>
      </w:r>
      <w:r>
        <w:rPr>
          <w:rFonts w:ascii="Times New Roman" w:cs="Times New Roman" w:eastAsia="Times New Roman" w:hAnsi="Times New Roman"/>
          <w:sz w:val="17"/>
          <w:szCs w:val="17"/>
          <w:color w:val="0000FF"/>
        </w:rPr>
        <w:t>10/13/2016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951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1355"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098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spacing w:after="0" w:line="3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105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2019-12-05T12:30:54Z</dcterms:created>
  <dcterms:modified xsi:type="dcterms:W3CDTF">2019-12-05T12:30:54Z</dcterms:modified>
</cp:coreProperties>
</file>