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241935</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14,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1275715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169545</wp:posOffset>
            </wp:positionV>
            <wp:extent cx="1895475"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001-06403</w:t>
            </w:r>
          </w:p>
        </w:tc>
        <w:tc>
          <w:tcPr>
            <w:tcW w:w="22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ind w:right="130"/>
              <w:spacing w:after="0"/>
              <w:rPr>
                <w:sz w:val="20"/>
                <w:szCs w:val="20"/>
                <w:color w:val="auto"/>
              </w:rPr>
            </w:pPr>
            <w:r>
              <w:rPr>
                <w:rFonts w:ascii="Arial" w:cs="Arial" w:eastAsia="Arial" w:hAnsi="Arial"/>
                <w:sz w:val="18"/>
                <w:szCs w:val="18"/>
                <w:color w:val="auto"/>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tcPr>
          <w:p>
            <w:pPr>
              <w:jc w:val="center"/>
              <w:ind w:right="110"/>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20" w:type="dxa"/>
            <w:vAlign w:val="bottom"/>
          </w:tcPr>
          <w:p>
            <w:pPr>
              <w:jc w:val="center"/>
              <w:ind w:right="130"/>
              <w:spacing w:after="0"/>
              <w:rPr>
                <w:sz w:val="20"/>
                <w:szCs w:val="20"/>
                <w:color w:val="auto"/>
              </w:rPr>
            </w:pPr>
            <w:r>
              <w:rPr>
                <w:rFonts w:ascii="Arial" w:cs="Arial" w:eastAsia="Arial" w:hAnsi="Arial"/>
                <w:sz w:val="18"/>
                <w:szCs w:val="18"/>
                <w:color w:val="auto"/>
              </w:rPr>
              <w:t>(Zip Code)</w:t>
            </w:r>
          </w:p>
        </w:tc>
      </w:tr>
      <w:tr>
        <w:trPr>
          <w:trHeight w:val="486"/>
        </w:trPr>
        <w:tc>
          <w:tcPr>
            <w:tcW w:w="6100" w:type="dxa"/>
            <w:vAlign w:val="bottom"/>
            <w:gridSpan w:val="3"/>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 y satisfy the filing obligation of the registrant under any of the following provisions (see General Instruction A.2. below):</w:t>
      </w:r>
    </w:p>
    <w:p>
      <w:pPr>
        <w:spacing w:after="0" w:line="196"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 40.13e-4(c))</w:t>
      </w:r>
    </w:p>
    <w:p>
      <w:pPr>
        <w:sectPr>
          <w:pgSz w:w="11900" w:h="16838" w:orient="portrait"/>
          <w:cols w:equalWidth="0" w:num="1">
            <w:col w:w="11400"/>
          </w:cols>
          <w:pgMar w:left="240" w:top="71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Matters</w:t>
      </w:r>
    </w:p>
    <w:p>
      <w:pPr>
        <w:spacing w:after="0" w:line="290"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Winnebago Industries, Inc. (the "Company") held its annual meeting of shareholders (the "Annual Meeting") on December 14, 2010. At the Annual Meeting, the Company's shareholders were asked to vote on two proposals: (1) the election of three Class II directors and (2) the ratification of Deloitte &amp; Touche LLP as the Company's independent registered public accountant for the fiscal year ending August 27, 2011. The results of the shareholder vote are set forth below.</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Election of Directors.</w:t>
      </w:r>
    </w:p>
    <w:p>
      <w:pPr>
        <w:spacing w:after="0" w:line="290"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The shareholders elected three nominees, Robert M. Chiusano, Jerry N. Currie and Lawrence A. Erickson, as Class II directors to hold office until the a nnual meeting of shareholders to be held following the Company's 2013 fiscal year and until his respective successor is duly elected and qualified. Information as to the vote on each director standing for election is provided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39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Votes For</w:t>
            </w:r>
          </w:p>
        </w:tc>
        <w:tc>
          <w:tcPr>
            <w:tcW w:w="1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Votes Withheld</w:t>
            </w: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Broker Non-Votes</w:t>
            </w:r>
          </w:p>
        </w:tc>
      </w:tr>
      <w:tr>
        <w:trPr>
          <w:trHeight w:val="251"/>
        </w:trPr>
        <w:tc>
          <w:tcPr>
            <w:tcW w:w="3460" w:type="dxa"/>
            <w:vAlign w:val="bottom"/>
          </w:tcPr>
          <w:p>
            <w:pPr>
              <w:ind w:left="40"/>
              <w:spacing w:after="0"/>
              <w:rPr>
                <w:sz w:val="20"/>
                <w:szCs w:val="20"/>
                <w:color w:val="auto"/>
              </w:rPr>
            </w:pPr>
            <w:r>
              <w:rPr>
                <w:rFonts w:ascii="Arial" w:cs="Arial" w:eastAsia="Arial" w:hAnsi="Arial"/>
                <w:sz w:val="16"/>
                <w:szCs w:val="16"/>
                <w:color w:val="auto"/>
              </w:rPr>
              <w:t>Robert M. Chiusano</w:t>
            </w:r>
          </w:p>
        </w:tc>
        <w:tc>
          <w:tcPr>
            <w:tcW w:w="3900" w:type="dxa"/>
            <w:vAlign w:val="bottom"/>
          </w:tcPr>
          <w:p>
            <w:pPr>
              <w:jc w:val="right"/>
              <w:ind w:right="299"/>
              <w:spacing w:after="0"/>
              <w:rPr>
                <w:sz w:val="20"/>
                <w:szCs w:val="20"/>
                <w:color w:val="auto"/>
              </w:rPr>
            </w:pPr>
            <w:r>
              <w:rPr>
                <w:rFonts w:ascii="Arial" w:cs="Arial" w:eastAsia="Arial" w:hAnsi="Arial"/>
                <w:sz w:val="16"/>
                <w:szCs w:val="16"/>
                <w:color w:val="auto"/>
              </w:rPr>
              <w:t>19,147,561</w:t>
            </w:r>
          </w:p>
        </w:tc>
        <w:tc>
          <w:tcPr>
            <w:tcW w:w="1840" w:type="dxa"/>
            <w:vAlign w:val="bottom"/>
          </w:tcPr>
          <w:p>
            <w:pPr>
              <w:jc w:val="right"/>
              <w:spacing w:after="0"/>
              <w:rPr>
                <w:sz w:val="20"/>
                <w:szCs w:val="20"/>
                <w:color w:val="auto"/>
              </w:rPr>
            </w:pPr>
            <w:r>
              <w:rPr>
                <w:rFonts w:ascii="Arial" w:cs="Arial" w:eastAsia="Arial" w:hAnsi="Arial"/>
                <w:sz w:val="16"/>
                <w:szCs w:val="16"/>
                <w:color w:val="auto"/>
              </w:rPr>
              <w:t>4,444,750</w:t>
            </w:r>
          </w:p>
        </w:tc>
        <w:tc>
          <w:tcPr>
            <w:tcW w:w="500" w:type="dxa"/>
            <w:vAlign w:val="bottom"/>
          </w:tcPr>
          <w:p>
            <w:pPr>
              <w:spacing w:after="0"/>
              <w:rPr>
                <w:sz w:val="21"/>
                <w:szCs w:val="21"/>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2,561,735</w:t>
            </w:r>
          </w:p>
        </w:tc>
      </w:tr>
      <w:tr>
        <w:trPr>
          <w:trHeight w:val="248"/>
        </w:trPr>
        <w:tc>
          <w:tcPr>
            <w:tcW w:w="346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auto"/>
              </w:rPr>
              <w:t>&amp;nb</w:t>
            </w:r>
          </w:p>
        </w:tc>
        <w:tc>
          <w:tcPr>
            <w:tcW w:w="1720" w:type="dxa"/>
            <w:vAlign w:val="bottom"/>
          </w:tcPr>
          <w:p>
            <w:pPr>
              <w:spacing w:after="0"/>
              <w:rPr>
                <w:sz w:val="21"/>
                <w:szCs w:val="21"/>
                <w:color w:val="auto"/>
              </w:rPr>
            </w:pPr>
          </w:p>
        </w:tc>
      </w:tr>
      <w:tr>
        <w:trPr>
          <w:trHeight w:val="238"/>
        </w:trPr>
        <w:tc>
          <w:tcPr>
            <w:tcW w:w="3460" w:type="dxa"/>
            <w:vAlign w:val="bottom"/>
          </w:tcPr>
          <w:p>
            <w:pPr>
              <w:ind w:left="40"/>
              <w:spacing w:after="0"/>
              <w:rPr>
                <w:sz w:val="20"/>
                <w:szCs w:val="20"/>
                <w:color w:val="auto"/>
              </w:rPr>
            </w:pPr>
            <w:r>
              <w:rPr>
                <w:rFonts w:ascii="Arial" w:cs="Arial" w:eastAsia="Arial" w:hAnsi="Arial"/>
                <w:sz w:val="16"/>
                <w:szCs w:val="16"/>
                <w:color w:val="auto"/>
              </w:rPr>
              <w:t>Jerry N. Currie</w:t>
            </w:r>
          </w:p>
        </w:tc>
        <w:tc>
          <w:tcPr>
            <w:tcW w:w="3900" w:type="dxa"/>
            <w:vAlign w:val="bottom"/>
          </w:tcPr>
          <w:p>
            <w:pPr>
              <w:jc w:val="right"/>
              <w:ind w:right="1159"/>
              <w:spacing w:after="0"/>
              <w:rPr>
                <w:sz w:val="20"/>
                <w:szCs w:val="20"/>
                <w:color w:val="auto"/>
              </w:rPr>
            </w:pPr>
            <w:r>
              <w:rPr>
                <w:rFonts w:ascii="Arial" w:cs="Arial" w:eastAsia="Arial" w:hAnsi="Arial"/>
                <w:sz w:val="16"/>
                <w:szCs w:val="16"/>
                <w:color w:val="auto"/>
              </w:rPr>
              <w:t>19,089,057</w:t>
            </w:r>
          </w:p>
        </w:tc>
        <w:tc>
          <w:tcPr>
            <w:tcW w:w="1840" w:type="dxa"/>
            <w:vAlign w:val="bottom"/>
          </w:tcPr>
          <w:p>
            <w:pPr>
              <w:jc w:val="right"/>
              <w:spacing w:after="0"/>
              <w:rPr>
                <w:sz w:val="20"/>
                <w:szCs w:val="20"/>
                <w:color w:val="auto"/>
              </w:rPr>
            </w:pPr>
            <w:r>
              <w:rPr>
                <w:rFonts w:ascii="Arial" w:cs="Arial" w:eastAsia="Arial" w:hAnsi="Arial"/>
                <w:sz w:val="16"/>
                <w:szCs w:val="16"/>
                <w:color w:val="auto"/>
              </w:rPr>
              <w:t>4,503,254</w:t>
            </w:r>
          </w:p>
        </w:tc>
        <w:tc>
          <w:tcPr>
            <w:tcW w:w="500" w:type="dxa"/>
            <w:vAlign w:val="bottom"/>
          </w:tcPr>
          <w:p>
            <w:pPr>
              <w:ind w:left="60"/>
              <w:spacing w:after="0"/>
              <w:rPr>
                <w:sz w:val="20"/>
                <w:szCs w:val="20"/>
                <w:color w:val="auto"/>
              </w:rPr>
            </w:pPr>
            <w:r>
              <w:rPr>
                <w:rFonts w:ascii="Arial" w:cs="Arial" w:eastAsia="Arial" w:hAnsi="Arial"/>
                <w:sz w:val="18"/>
                <w:szCs w:val="18"/>
                <w:color w:val="auto"/>
              </w:rPr>
              <w:t>sp;</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2,561,735</w:t>
            </w:r>
          </w:p>
        </w:tc>
      </w:tr>
      <w:tr>
        <w:trPr>
          <w:trHeight w:val="297"/>
        </w:trPr>
        <w:tc>
          <w:tcPr>
            <w:tcW w:w="3460" w:type="dxa"/>
            <w:vAlign w:val="bottom"/>
          </w:tcPr>
          <w:p>
            <w:pPr>
              <w:ind w:left="40"/>
              <w:spacing w:after="0"/>
              <w:rPr>
                <w:sz w:val="20"/>
                <w:szCs w:val="20"/>
                <w:color w:val="auto"/>
              </w:rPr>
            </w:pPr>
            <w:r>
              <w:rPr>
                <w:rFonts w:ascii="Arial" w:cs="Arial" w:eastAsia="Arial" w:hAnsi="Arial"/>
                <w:sz w:val="16"/>
                <w:szCs w:val="16"/>
                <w:color w:val="auto"/>
              </w:rPr>
              <w:t>Lawrence A. Erickson</w:t>
            </w:r>
          </w:p>
        </w:tc>
        <w:tc>
          <w:tcPr>
            <w:tcW w:w="3900" w:type="dxa"/>
            <w:vAlign w:val="bottom"/>
          </w:tcPr>
          <w:p>
            <w:pPr>
              <w:jc w:val="right"/>
              <w:ind w:right="299"/>
              <w:spacing w:after="0"/>
              <w:rPr>
                <w:sz w:val="20"/>
                <w:szCs w:val="20"/>
                <w:color w:val="auto"/>
              </w:rPr>
            </w:pPr>
            <w:r>
              <w:rPr>
                <w:rFonts w:ascii="Arial" w:cs="Arial" w:eastAsia="Arial" w:hAnsi="Arial"/>
                <w:sz w:val="16"/>
                <w:szCs w:val="16"/>
                <w:color w:val="auto"/>
              </w:rPr>
              <w:t>19,148,743&lt; /font&gt;</w:t>
            </w:r>
          </w:p>
        </w:tc>
        <w:tc>
          <w:tcPr>
            <w:tcW w:w="1840" w:type="dxa"/>
            <w:vAlign w:val="bottom"/>
          </w:tcPr>
          <w:p>
            <w:pPr>
              <w:jc w:val="right"/>
              <w:spacing w:after="0"/>
              <w:rPr>
                <w:sz w:val="20"/>
                <w:szCs w:val="20"/>
                <w:color w:val="auto"/>
              </w:rPr>
            </w:pPr>
            <w:r>
              <w:rPr>
                <w:rFonts w:ascii="Arial" w:cs="Arial" w:eastAsia="Arial" w:hAnsi="Arial"/>
                <w:sz w:val="16"/>
                <w:szCs w:val="16"/>
                <w:color w:val="auto"/>
              </w:rPr>
              <w:t>4,443,568</w:t>
            </w:r>
          </w:p>
        </w:tc>
        <w:tc>
          <w:tcPr>
            <w:tcW w:w="500" w:type="dxa"/>
            <w:vAlign w:val="bottom"/>
          </w:tcPr>
          <w:p>
            <w:pPr>
              <w:spacing w:after="0"/>
              <w:rPr>
                <w:sz w:val="24"/>
                <w:szCs w:val="24"/>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2,561,735</w:t>
            </w:r>
          </w:p>
        </w:tc>
      </w:tr>
    </w:tbl>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Ratification of the Appointment of Independent Public Accounts for the Fiscal Year Ending August 27, 2011.</w:t>
      </w:r>
    </w:p>
    <w:p>
      <w:pPr>
        <w:spacing w:after="0" w:line="29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Shareholders ratified the appointment of Deloitte &amp; Touche LLP as the Company's independent registe red public accountants for the fiscal year ending August 27, 2011, as set forth below:</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Borders>
              <w:bottom w:val="single" w:sz="8" w:color="auto"/>
            </w:tcBorders>
          </w:tcPr>
          <w:p>
            <w:pPr>
              <w:jc w:val="right"/>
              <w:ind w:right="1299"/>
              <w:spacing w:after="0"/>
              <w:rPr>
                <w:sz w:val="20"/>
                <w:szCs w:val="20"/>
                <w:color w:val="auto"/>
              </w:rPr>
            </w:pPr>
            <w:r>
              <w:rPr>
                <w:rFonts w:ascii="Arial" w:cs="Arial" w:eastAsia="Arial" w:hAnsi="Arial"/>
                <w:sz w:val="16"/>
                <w:szCs w:val="16"/>
                <w:b w:val="1"/>
                <w:bCs w:val="1"/>
                <w:color w:val="auto"/>
              </w:rPr>
              <w:t>Votes For</w:t>
            </w:r>
          </w:p>
        </w:tc>
        <w:tc>
          <w:tcPr>
            <w:tcW w:w="316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Votes Withheld</w:t>
            </w:r>
          </w:p>
        </w:tc>
        <w:tc>
          <w:tcPr>
            <w:tcW w:w="296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Abstentions</w:t>
            </w:r>
          </w:p>
        </w:tc>
        <w:tc>
          <w:tcPr>
            <w:tcW w:w="246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Broker Non-Votes</w:t>
            </w:r>
          </w:p>
        </w:tc>
      </w:tr>
      <w:tr>
        <w:trPr>
          <w:trHeight w:val="251"/>
        </w:trPr>
        <w:tc>
          <w:tcPr>
            <w:tcW w:w="2840" w:type="dxa"/>
            <w:vAlign w:val="bottom"/>
          </w:tcPr>
          <w:p>
            <w:pPr>
              <w:jc w:val="right"/>
              <w:ind w:right="679"/>
              <w:spacing w:after="0"/>
              <w:rPr>
                <w:sz w:val="20"/>
                <w:szCs w:val="20"/>
                <w:color w:val="auto"/>
              </w:rPr>
            </w:pPr>
            <w:r>
              <w:rPr>
                <w:rFonts w:ascii="Arial" w:cs="Arial" w:eastAsia="Arial" w:hAnsi="Arial"/>
                <w:sz w:val="16"/>
                <w:szCs w:val="16"/>
                <w:color w:val="auto"/>
              </w:rPr>
              <w:t>25,963,015</w:t>
            </w:r>
          </w:p>
        </w:tc>
        <w:tc>
          <w:tcPr>
            <w:tcW w:w="3160" w:type="dxa"/>
            <w:vAlign w:val="bottom"/>
          </w:tcPr>
          <w:p>
            <w:pPr>
              <w:jc w:val="right"/>
              <w:ind w:right="739"/>
              <w:spacing w:after="0"/>
              <w:rPr>
                <w:sz w:val="20"/>
                <w:szCs w:val="20"/>
                <w:color w:val="auto"/>
              </w:rPr>
            </w:pPr>
            <w:r>
              <w:rPr>
                <w:rFonts w:ascii="Arial" w:cs="Arial" w:eastAsia="Arial" w:hAnsi="Arial"/>
                <w:sz w:val="16"/>
                <w:szCs w:val="16"/>
                <w:color w:val="auto"/>
              </w:rPr>
              <w:t>125,009</w:t>
            </w:r>
          </w:p>
        </w:tc>
        <w:tc>
          <w:tcPr>
            <w:tcW w:w="2960" w:type="dxa"/>
            <w:vAlign w:val="bottom"/>
          </w:tcPr>
          <w:p>
            <w:pPr>
              <w:jc w:val="right"/>
              <w:ind w:right="639"/>
              <w:spacing w:after="0"/>
              <w:rPr>
                <w:sz w:val="20"/>
                <w:szCs w:val="20"/>
                <w:color w:val="auto"/>
              </w:rPr>
            </w:pPr>
            <w:r>
              <w:rPr>
                <w:rFonts w:ascii="Arial" w:cs="Arial" w:eastAsia="Arial" w:hAnsi="Arial"/>
                <w:sz w:val="16"/>
                <w:szCs w:val="16"/>
                <w:color w:val="auto"/>
              </w:rPr>
              <w:t>24,430</w:t>
            </w:r>
          </w:p>
        </w:tc>
        <w:tc>
          <w:tcPr>
            <w:tcW w:w="2460" w:type="dxa"/>
            <w:vAlign w:val="bottom"/>
          </w:tcPr>
          <w:p>
            <w:pPr>
              <w:ind w:left="2180"/>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90"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WINNEBAGO INDUSTRIES, INC.</w:t>
      </w:r>
    </w:p>
    <w:p>
      <w:pPr>
        <w:spacing w:after="0" w:line="86"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(Registrant)</w:t>
      </w: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208"/>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680" w:type="dxa"/>
            <w:vAlign w:val="bottom"/>
          </w:tcPr>
          <w:p>
            <w:pPr>
              <w:ind w:left="200"/>
              <w:spacing w:after="0"/>
              <w:rPr>
                <w:sz w:val="20"/>
                <w:szCs w:val="20"/>
                <w:color w:val="auto"/>
              </w:rPr>
            </w:pPr>
            <w:r>
              <w:rPr>
                <w:rFonts w:ascii="Arial" w:cs="Arial" w:eastAsia="Arial" w:hAnsi="Arial"/>
                <w:sz w:val="16"/>
                <w:szCs w:val="16"/>
                <w:color w:val="auto"/>
              </w:rPr>
              <w:t>December 16, 2010</w:t>
            </w:r>
          </w:p>
        </w:tc>
        <w:tc>
          <w:tcPr>
            <w:tcW w:w="1840" w:type="dxa"/>
            <w:vAlign w:val="bottom"/>
          </w:tcPr>
          <w:p>
            <w:pPr>
              <w:ind w:left="1060"/>
              <w:spacing w:after="0"/>
              <w:rPr>
                <w:sz w:val="20"/>
                <w:szCs w:val="20"/>
                <w:color w:val="auto"/>
              </w:rPr>
            </w:pPr>
            <w:r>
              <w:rPr>
                <w:rFonts w:ascii="Arial" w:cs="Arial" w:eastAsia="Arial" w:hAnsi="Arial"/>
                <w:sz w:val="16"/>
                <w:szCs w:val="16"/>
                <w:color w:val="auto"/>
              </w:rPr>
              <w:t>By:</w:t>
            </w:r>
          </w:p>
        </w:tc>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Robert J. Olson</w:t>
            </w:r>
          </w:p>
        </w:tc>
      </w:tr>
      <w:tr>
        <w:trPr>
          <w:trHeight w:val="237"/>
        </w:trPr>
        <w:tc>
          <w:tcPr>
            <w:tcW w:w="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Name:</w:t>
            </w:r>
          </w:p>
        </w:tc>
        <w:tc>
          <w:tcPr>
            <w:tcW w:w="6260" w:type="dxa"/>
            <w:vAlign w:val="bottom"/>
          </w:tcPr>
          <w:p>
            <w:pPr>
              <w:ind w:left="20"/>
              <w:spacing w:after="0"/>
              <w:rPr>
                <w:sz w:val="20"/>
                <w:szCs w:val="20"/>
                <w:color w:val="auto"/>
              </w:rPr>
            </w:pPr>
            <w:r>
              <w:rPr>
                <w:rFonts w:ascii="Arial" w:cs="Arial" w:eastAsia="Arial" w:hAnsi="Arial"/>
                <w:sz w:val="16"/>
                <w:szCs w:val="16"/>
                <w:color w:val="auto"/>
              </w:rPr>
              <w:t>Robert J. Olson</w:t>
            </w:r>
          </w:p>
        </w:tc>
      </w:tr>
      <w:tr>
        <w:trPr>
          <w:trHeight w:val="243"/>
        </w:trPr>
        <w:tc>
          <w:tcPr>
            <w:tcW w:w="6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Title:</w:t>
            </w:r>
          </w:p>
        </w:tc>
        <w:tc>
          <w:tcPr>
            <w:tcW w:w="6260" w:type="dxa"/>
            <w:vAlign w:val="bottom"/>
          </w:tcPr>
          <w:p>
            <w:pPr>
              <w:ind w:left="20"/>
              <w:spacing w:after="0"/>
              <w:rPr>
                <w:sz w:val="20"/>
                <w:szCs w:val="20"/>
                <w:color w:val="auto"/>
              </w:rPr>
            </w:pPr>
            <w:r>
              <w:rPr>
                <w:rFonts w:ascii="Arial" w:cs="Arial" w:eastAsia="Arial" w:hAnsi="Arial"/>
                <w:sz w:val="16"/>
                <w:szCs w:val="16"/>
                <w:color w:val="auto"/>
              </w:rPr>
              <w:t>Chairman of the Board, Chief Executive Officer and President</w:t>
            </w:r>
          </w:p>
        </w:tc>
      </w:tr>
    </w:tbl>
    <w:p>
      <w:pPr>
        <w:spacing w:after="0" w:line="1" w:lineRule="exact"/>
        <w:rPr>
          <w:sz w:val="20"/>
          <w:szCs w:val="20"/>
          <w:color w:val="auto"/>
        </w:rPr>
      </w:pPr>
    </w:p>
    <w:sectPr>
      <w:pgSz w:w="11900" w:h="16838" w:orient="portrait"/>
      <w:cols w:equalWidth="0" w:num="1">
        <w:col w:w="11420"/>
      </w:cols>
      <w:pgMar w:left="240" w:top="6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2019-12-10T02:39:49Z</dcterms:created>
  <dcterms:modified xsi:type="dcterms:W3CDTF">2019-12-10T02:39:49Z</dcterms:modified>
</cp:coreProperties>
</file>