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59"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Winnebago Industries, Inc. is filing herewith a press release issued on December 17, 2015, as Exhibit 99.1 which is incorporated by reference herein. The press release was issued to report earnings for the first quarter of Fiscal 2016 ended November 28, 2015.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Winnebago Industries, Inc. (Winnebago Industries) is filing herewith a press release issued on December 17, 2015, as Exhibit 99.1 which is included herein. The press release was issued to report that on December 16, 2015, the Board of Winnebago Industries, Inc. approved a quarterly cash dividend of $0.10 per share of common stock, payable on January 27, 2016 to shareholders of record at the close of business on January 13, 2016.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December 17, 2015.</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800" w:type="dxa"/>
            <w:vAlign w:val="bottom"/>
          </w:tcPr>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8"/>
                <w:szCs w:val="18"/>
                <w:color w:val="auto"/>
              </w:rPr>
              <w:t>December 17, 2015</w:t>
            </w:r>
          </w:p>
        </w:tc>
        <w:tc>
          <w:tcPr>
            <w:tcW w:w="1260" w:type="dxa"/>
            <w:vAlign w:val="bottom"/>
          </w:tcPr>
          <w:p>
            <w:pPr>
              <w:ind w:left="62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 Folkers</w:t>
            </w:r>
          </w:p>
        </w:tc>
      </w:tr>
      <w:tr>
        <w:trPr>
          <w:trHeight w:val="237"/>
        </w:trPr>
        <w:tc>
          <w:tcPr>
            <w:tcW w:w="2800" w:type="dxa"/>
            <w:vAlign w:val="bottom"/>
          </w:tcPr>
          <w:p>
            <w:pPr>
              <w:spacing w:after="0"/>
              <w:rPr>
                <w:sz w:val="20"/>
                <w:szCs w:val="20"/>
                <w:color w:val="auto"/>
              </w:rPr>
            </w:pPr>
          </w:p>
        </w:tc>
        <w:tc>
          <w:tcPr>
            <w:tcW w:w="1260" w:type="dxa"/>
            <w:vAlign w:val="bottom"/>
          </w:tcPr>
          <w:p>
            <w:pPr>
              <w:ind w:left="620"/>
              <w:spacing w:after="0"/>
              <w:rPr>
                <w:sz w:val="20"/>
                <w:szCs w:val="20"/>
                <w:color w:val="auto"/>
              </w:rPr>
            </w:pPr>
            <w:r>
              <w:rPr>
                <w:rFonts w:ascii="Arial" w:cs="Arial" w:eastAsia="Arial" w:hAnsi="Arial"/>
                <w:sz w:val="16"/>
                <w:szCs w:val="16"/>
                <w:color w:val="auto"/>
              </w:rPr>
              <w:t>Name:</w:t>
            </w:r>
          </w:p>
        </w:tc>
        <w:tc>
          <w:tcPr>
            <w:tcW w:w="492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2800" w:type="dxa"/>
            <w:vAlign w:val="bottom"/>
          </w:tcPr>
          <w:p>
            <w:pPr>
              <w:spacing w:after="0"/>
              <w:rPr>
                <w:sz w:val="23"/>
                <w:szCs w:val="23"/>
                <w:color w:val="auto"/>
              </w:rPr>
            </w:pPr>
          </w:p>
        </w:tc>
        <w:tc>
          <w:tcPr>
            <w:tcW w:w="1260" w:type="dxa"/>
            <w:vAlign w:val="bottom"/>
          </w:tcPr>
          <w:p>
            <w:pPr>
              <w:ind w:left="620"/>
              <w:spacing w:after="0"/>
              <w:rPr>
                <w:sz w:val="20"/>
                <w:szCs w:val="20"/>
                <w:color w:val="auto"/>
              </w:rPr>
            </w:pPr>
            <w:r>
              <w:rPr>
                <w:rFonts w:ascii="Arial" w:cs="Arial" w:eastAsia="Arial" w:hAnsi="Arial"/>
                <w:sz w:val="16"/>
                <w:szCs w:val="16"/>
                <w:color w:val="auto"/>
              </w:rPr>
              <w:t>Title:</w:t>
            </w:r>
          </w:p>
        </w:tc>
        <w:tc>
          <w:tcPr>
            <w:tcW w:w="492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220"/>
          </w:cols>
          <w:pgMar w:left="240" w:top="571" w:right="43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-389255</wp:posOffset>
            </wp:positionV>
            <wp:extent cx="230695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Contact: Samantha Dugan - Investor Relations - 641-585-6160 - sdugan@wgo.net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77" w:lineRule="exact"/>
        <w:rPr>
          <w:sz w:val="20"/>
          <w:szCs w:val="20"/>
          <w:color w:val="auto"/>
        </w:rPr>
      </w:pPr>
    </w:p>
    <w:p>
      <w:pPr>
        <w:jc w:val="center"/>
        <w:ind w:left="280" w:right="2520"/>
        <w:spacing w:after="0" w:line="372" w:lineRule="auto"/>
        <w:rPr>
          <w:sz w:val="20"/>
          <w:szCs w:val="20"/>
          <w:color w:val="auto"/>
        </w:rPr>
      </w:pPr>
      <w:r>
        <w:rPr>
          <w:rFonts w:ascii="Arial" w:cs="Arial" w:eastAsia="Arial" w:hAnsi="Arial"/>
          <w:sz w:val="16"/>
          <w:szCs w:val="16"/>
          <w:b w:val="1"/>
          <w:bCs w:val="1"/>
          <w:color w:val="auto"/>
        </w:rPr>
        <w:t>WINNEBAGO INDUSTRIES ANNOUNCES FIRST QUARTER FISCAL 2016 RESULTS -- Gross Margin Improved 90 Basis Points Year-over-Year -- -- Board of Directors Approved Quarterly Cash Dividend of $0.10 Per Share --</w:t>
      </w:r>
    </w:p>
    <w:p>
      <w:pPr>
        <w:spacing w:after="0" w:line="299" w:lineRule="exact"/>
        <w:rPr>
          <w:sz w:val="20"/>
          <w:szCs w:val="20"/>
          <w:color w:val="auto"/>
        </w:rPr>
      </w:pPr>
    </w:p>
    <w:p>
      <w:pPr>
        <w:spacing w:after="0" w:line="419" w:lineRule="auto"/>
        <w:rPr>
          <w:sz w:val="20"/>
          <w:szCs w:val="20"/>
          <w:color w:val="auto"/>
        </w:rPr>
      </w:pPr>
      <w:r>
        <w:rPr>
          <w:rFonts w:ascii="Arial" w:cs="Arial" w:eastAsia="Arial" w:hAnsi="Arial"/>
          <w:sz w:val="16"/>
          <w:szCs w:val="16"/>
          <w:color w:val="auto"/>
        </w:rPr>
        <w:t>FOREST CITY, IOWA, December 17, 2015 - Winnebago Industries, Inc. (NYSE:WGO), a leading United States recreation vehicle manufacturer, today reported financial results for the Company's first quarter of Fiscal 2016.</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Quarter Fiscal 2016 Results</w:t>
      </w:r>
    </w:p>
    <w:p>
      <w:pPr>
        <w:spacing w:after="0" w:line="100" w:lineRule="exact"/>
        <w:rPr>
          <w:sz w:val="20"/>
          <w:szCs w:val="20"/>
          <w:color w:val="auto"/>
        </w:rPr>
      </w:pPr>
    </w:p>
    <w:p>
      <w:pPr>
        <w:ind w:right="20"/>
        <w:spacing w:after="0" w:line="412" w:lineRule="auto"/>
        <w:rPr>
          <w:sz w:val="20"/>
          <w:szCs w:val="20"/>
          <w:color w:val="auto"/>
        </w:rPr>
      </w:pPr>
      <w:r>
        <w:rPr>
          <w:rFonts w:ascii="Arial" w:cs="Arial" w:eastAsia="Arial" w:hAnsi="Arial"/>
          <w:sz w:val="16"/>
          <w:szCs w:val="16"/>
          <w:color w:val="auto"/>
        </w:rPr>
        <w:t>Revenues for the Fiscal 2016 first quarter ended November 28, 2015, were $214.2 million, a decrease of 4.5%, versus $224.4 million for the Fiscal 2015 period. Operating income was $12.8 million for the current quarter compared to $14.4 million in the first quarter of last year. Fiscal 2016 first quarter net income was $8.6 million, or $0.32 per diluted share, versus $9.9 million, or $0.37 per diluted share, in the same period last year.</w:t>
      </w:r>
    </w:p>
    <w:p>
      <w:pPr>
        <w:spacing w:after="0" w:line="241" w:lineRule="exact"/>
        <w:rPr>
          <w:sz w:val="20"/>
          <w:szCs w:val="20"/>
          <w:color w:val="auto"/>
        </w:rPr>
      </w:pPr>
    </w:p>
    <w:p>
      <w:pPr>
        <w:jc w:val="both"/>
        <w:ind w:right="80"/>
        <w:spacing w:after="0" w:line="359" w:lineRule="auto"/>
        <w:rPr>
          <w:sz w:val="20"/>
          <w:szCs w:val="20"/>
          <w:color w:val="auto"/>
        </w:rPr>
      </w:pPr>
      <w:r>
        <w:rPr>
          <w:rFonts w:ascii="Arial" w:cs="Arial" w:eastAsia="Arial" w:hAnsi="Arial"/>
          <w:sz w:val="16"/>
          <w:szCs w:val="16"/>
          <w:color w:val="auto"/>
        </w:rPr>
        <w:t>First quarter gross margin increased 90 basis points year-over-year due in part to improved motorized product mix, a greater contribution from towables, lower workers’ compensation expense and the realization of cost-saving benefits related to the Company’s strategic sourcing initiative. The improvement was partly offset by continued labor-related manufacturing inefficiencies and unfavorable trends in warranty expense.</w:t>
      </w:r>
    </w:p>
    <w:p>
      <w:pPr>
        <w:spacing w:after="0" w:line="268" w:lineRule="exact"/>
        <w:rPr>
          <w:sz w:val="20"/>
          <w:szCs w:val="20"/>
          <w:color w:val="auto"/>
        </w:rPr>
      </w:pPr>
    </w:p>
    <w:p>
      <w:pPr>
        <w:ind w:right="440"/>
        <w:spacing w:after="0" w:line="419" w:lineRule="auto"/>
        <w:rPr>
          <w:sz w:val="20"/>
          <w:szCs w:val="20"/>
          <w:color w:val="auto"/>
        </w:rPr>
      </w:pPr>
      <w:r>
        <w:rPr>
          <w:rFonts w:ascii="Arial" w:cs="Arial" w:eastAsia="Arial" w:hAnsi="Arial"/>
          <w:sz w:val="16"/>
          <w:szCs w:val="16"/>
          <w:color w:val="auto"/>
        </w:rPr>
        <w:t>Compared to Fiscal 2015, operating expenses increased in the Fiscal 2016 first quarter due mainly to $1.4 million incremental general and administrative expenses associated with the Company’s ERP implementation.</w:t>
      </w:r>
    </w:p>
    <w:p>
      <w:pPr>
        <w:spacing w:after="0" w:line="235" w:lineRule="exact"/>
        <w:rPr>
          <w:sz w:val="20"/>
          <w:szCs w:val="20"/>
          <w:color w:val="auto"/>
        </w:rPr>
      </w:pPr>
    </w:p>
    <w:p>
      <w:pPr>
        <w:ind w:right="200"/>
        <w:spacing w:after="0" w:line="359" w:lineRule="auto"/>
        <w:rPr>
          <w:sz w:val="20"/>
          <w:szCs w:val="20"/>
          <w:color w:val="auto"/>
        </w:rPr>
      </w:pPr>
      <w:r>
        <w:rPr>
          <w:rFonts w:ascii="Arial" w:cs="Arial" w:eastAsia="Arial" w:hAnsi="Arial"/>
          <w:sz w:val="16"/>
          <w:szCs w:val="16"/>
          <w:color w:val="auto"/>
        </w:rPr>
        <w:t>First quarter Fiscal 2016 consolidated revenues decreased due primarily to lower motorized unit shipments of 5.4%, driven by reduced throughput due to manufacturing inefficiencies and a heightened focus on quality. However, towable revenues grew 24.1%, due to higher towables unit volume of 49.5%, partly offset by lower average selling price (ASP) of 17.5%.</w:t>
      </w:r>
    </w:p>
    <w:p>
      <w:pPr>
        <w:spacing w:after="0" w:line="268" w:lineRule="exact"/>
        <w:rPr>
          <w:sz w:val="20"/>
          <w:szCs w:val="20"/>
          <w:color w:val="auto"/>
        </w:rPr>
      </w:pPr>
    </w:p>
    <w:p>
      <w:pPr>
        <w:ind w:right="780"/>
        <w:spacing w:after="0" w:line="419" w:lineRule="auto"/>
        <w:rPr>
          <w:sz w:val="20"/>
          <w:szCs w:val="20"/>
          <w:color w:val="auto"/>
        </w:rPr>
      </w:pPr>
      <w:r>
        <w:rPr>
          <w:rFonts w:ascii="Arial" w:cs="Arial" w:eastAsia="Arial" w:hAnsi="Arial"/>
          <w:sz w:val="16"/>
          <w:szCs w:val="16"/>
          <w:color w:val="auto"/>
        </w:rPr>
        <w:t>Year over year, motorhome retail registrations increased 3% in the Fiscal 2016 first quarter and 12% on a rolling 12-month basis, while towable retail registrations increased 10% in the Fiscal 2016 first quarter and 12% on a rolling 12-month basis, based on internally reported retail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280"/>
        <w:spacing w:after="0" w:line="366" w:lineRule="auto"/>
        <w:rPr>
          <w:sz w:val="20"/>
          <w:szCs w:val="20"/>
          <w:color w:val="auto"/>
        </w:rPr>
      </w:pPr>
      <w:r>
        <w:rPr>
          <w:rFonts w:ascii="Arial" w:cs="Arial" w:eastAsia="Arial" w:hAnsi="Arial"/>
          <w:sz w:val="16"/>
          <w:szCs w:val="16"/>
          <w:color w:val="auto"/>
        </w:rPr>
        <w:t>On December 16, 2015, the Company’s board of directors approved a quarterly cash dividend of $0.10 per share payable on January 27, 2016, to common stockholders of record at the close of business on January 13, 2016.</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Management Comments</w:t>
      </w:r>
    </w:p>
    <w:p>
      <w:pPr>
        <w:spacing w:after="0" w:line="86" w:lineRule="exact"/>
        <w:rPr>
          <w:sz w:val="20"/>
          <w:szCs w:val="20"/>
          <w:color w:val="auto"/>
        </w:rPr>
      </w:pPr>
    </w:p>
    <w:p>
      <w:pPr>
        <w:ind w:right="160"/>
        <w:spacing w:after="0" w:line="359" w:lineRule="auto"/>
        <w:rPr>
          <w:sz w:val="20"/>
          <w:szCs w:val="20"/>
          <w:color w:val="auto"/>
        </w:rPr>
      </w:pPr>
      <w:r>
        <w:rPr>
          <w:rFonts w:ascii="Arial" w:cs="Arial" w:eastAsia="Arial" w:hAnsi="Arial"/>
          <w:sz w:val="16"/>
          <w:szCs w:val="16"/>
          <w:color w:val="auto"/>
        </w:rPr>
        <w:t>Chief Financial Officer Sarah Nielsen commented, “First quarter gross margin was our highest since the fourth quarter of Fiscal 2013. This increase is largely due to continued double-digit revenue growth and significantly higher margin within towables, along with improved motorized product mix. To improve labor capacity within our motorized group, we sold our bus division assets and are in the process of ceasing aluminum extrusion operations."</w:t>
      </w:r>
    </w:p>
    <w:p>
      <w:pPr>
        <w:sectPr>
          <w:pgSz w:w="11900" w:h="16838" w:orient="portrait"/>
          <w:cols w:equalWidth="0" w:num="1">
            <w:col w:w="11400"/>
          </w:cols>
          <w:pgMar w:left="240" w:top="799" w:right="259" w:bottom="1440" w:gutter="0" w:footer="0" w:header="0"/>
        </w:sectPr>
      </w:pPr>
    </w:p>
    <w:bookmarkStart w:id="3" w:name="page4"/>
    <w:bookmarkEnd w:id="3"/>
    <w:p>
      <w:pPr>
        <w:ind w:right="80"/>
        <w:spacing w:after="0" w:line="356" w:lineRule="auto"/>
        <w:rPr>
          <w:sz w:val="20"/>
          <w:szCs w:val="20"/>
          <w:color w:val="auto"/>
        </w:rPr>
      </w:pPr>
      <w:r>
        <w:rPr>
          <w:rFonts w:ascii="Arial" w:cs="Arial" w:eastAsia="Arial" w:hAnsi="Arial"/>
          <w:sz w:val="16"/>
          <w:szCs w:val="16"/>
          <w:color w:val="auto"/>
        </w:rPr>
        <w:t>Nielsen concluded, "Our bookings were strong leading into the Louisville RVIA show, where we showcased new products and unveiled new floor plans. Further, we were very encouraged by the demand we received from our dealer partners at the event. During the show, we also announced our expansion to the West Coast for production of select, higher-end class A diesel products, which will ultimately improve our capacity in Forest City, Iowa for the production of class A gas and class C motorhomes."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100" w:lineRule="exact"/>
        <w:rPr>
          <w:sz w:val="20"/>
          <w:szCs w:val="20"/>
          <w:color w:val="auto"/>
        </w:rPr>
      </w:pPr>
    </w:p>
    <w:p>
      <w:pPr>
        <w:ind w:right="120"/>
        <w:spacing w:after="0" w:line="412" w:lineRule="auto"/>
        <w:rPr>
          <w:sz w:val="20"/>
          <w:szCs w:val="20"/>
          <w:color w:val="auto"/>
        </w:rPr>
      </w:pPr>
      <w:r>
        <w:rPr>
          <w:rFonts w:ascii="Arial" w:cs="Arial" w:eastAsia="Arial" w:hAnsi="Arial"/>
          <w:sz w:val="16"/>
          <w:szCs w:val="16"/>
          <w:color w:val="auto"/>
        </w:rPr>
        <w:t>Winnebago Industries, Inc. will conduct a conference call to discuss first quarter Fiscal 2016 results at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40" w:lineRule="exact"/>
        <w:rPr>
          <w:sz w:val="20"/>
          <w:szCs w:val="20"/>
          <w:color w:val="auto"/>
        </w:rPr>
      </w:pPr>
    </w:p>
    <w:p>
      <w:pPr>
        <w:ind w:right="100"/>
        <w:spacing w:after="0" w:line="345"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and fifth wheel products.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p>
    <w:p>
      <w:pPr>
        <w:spacing w:after="0" w:line="267" w:lineRule="exact"/>
        <w:rPr>
          <w:sz w:val="20"/>
          <w:szCs w:val="20"/>
          <w:color w:val="auto"/>
        </w:rPr>
      </w:pPr>
    </w:p>
    <w:p>
      <w:pPr>
        <w:spacing w:after="0" w:line="35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and strategic sourcing projects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400"/>
          </w:cols>
          <w:pgMar w:left="240" w:top="911"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64"/>
        </w:trPr>
        <w:tc>
          <w:tcPr>
            <w:tcW w:w="44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November 28, 2015</w:t>
            </w:r>
          </w:p>
        </w:tc>
        <w:tc>
          <w:tcPr>
            <w:tcW w:w="86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November 29, 2014</w:t>
            </w:r>
          </w:p>
        </w:tc>
        <w:tc>
          <w:tcPr>
            <w:tcW w:w="860" w:type="dxa"/>
            <w:vAlign w:val="bottom"/>
            <w:tcBorders>
              <w:bottom w:val="single" w:sz="8" w:color="auto"/>
            </w:tcBorders>
          </w:tcPr>
          <w:p>
            <w:pPr>
              <w:spacing w:after="0"/>
              <w:rPr>
                <w:sz w:val="22"/>
                <w:szCs w:val="22"/>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214,223</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224,403</w:t>
            </w: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188,974</w:t>
            </w:r>
          </w:p>
        </w:tc>
        <w:tc>
          <w:tcPr>
            <w:tcW w:w="3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88.2%</w:t>
            </w: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200,017</w:t>
            </w: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89.1%</w:t>
            </w:r>
          </w:p>
        </w:tc>
      </w:tr>
      <w:tr>
        <w:trPr>
          <w:trHeight w:val="257"/>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25,249</w:t>
            </w:r>
          </w:p>
        </w:tc>
        <w:tc>
          <w:tcPr>
            <w:tcW w:w="3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11.8%</w:t>
            </w:r>
          </w:p>
        </w:tc>
        <w:tc>
          <w:tcPr>
            <w:tcW w:w="4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24,386</w:t>
            </w:r>
          </w:p>
        </w:tc>
        <w:tc>
          <w:tcPr>
            <w:tcW w:w="34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10.9%</w:t>
            </w:r>
          </w:p>
        </w:tc>
      </w:tr>
      <w:tr>
        <w:trPr>
          <w:trHeight w:val="254"/>
        </w:trPr>
        <w:tc>
          <w:tcPr>
            <w:tcW w:w="44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0"/>
        </w:trPr>
        <w:tc>
          <w:tcPr>
            <w:tcW w:w="4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5,015</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w:t>
            </w: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4,707</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2.1%</w:t>
            </w:r>
          </w:p>
        </w:tc>
      </w:tr>
      <w:tr>
        <w:trPr>
          <w:trHeight w:val="264"/>
        </w:trPr>
        <w:tc>
          <w:tcPr>
            <w:tcW w:w="44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7,475</w:t>
            </w:r>
          </w:p>
        </w:tc>
        <w:tc>
          <w:tcPr>
            <w:tcW w:w="3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3.5%</w:t>
            </w: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5,237</w:t>
            </w: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w:t>
            </w:r>
          </w:p>
        </w:tc>
      </w:tr>
      <w:tr>
        <w:trPr>
          <w:trHeight w:val="250"/>
        </w:trPr>
        <w:tc>
          <w:tcPr>
            <w:tcW w:w="44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12,490</w:t>
            </w:r>
          </w:p>
        </w:tc>
        <w:tc>
          <w:tcPr>
            <w:tcW w:w="3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4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9,944</w:t>
            </w:r>
          </w:p>
        </w:tc>
        <w:tc>
          <w:tcPr>
            <w:tcW w:w="34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w:t>
            </w:r>
          </w:p>
        </w:tc>
      </w:tr>
      <w:tr>
        <w:trPr>
          <w:trHeight w:val="247"/>
        </w:trPr>
        <w:tc>
          <w:tcPr>
            <w:tcW w:w="44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12,759</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6.0%</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14,442</w:t>
            </w: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6.4%</w:t>
            </w:r>
          </w:p>
        </w:tc>
      </w:tr>
      <w:tr>
        <w:trPr>
          <w:trHeight w:val="273"/>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3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4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34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r>
      <w:tr>
        <w:trPr>
          <w:trHeight w:val="247"/>
        </w:trPr>
        <w:tc>
          <w:tcPr>
            <w:tcW w:w="44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12,894</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6.0%</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14,449</w:t>
            </w: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color w:val="auto"/>
              </w:rPr>
              <w:t>6.4%</w:t>
            </w:r>
          </w:p>
        </w:tc>
      </w:tr>
      <w:tr>
        <w:trPr>
          <w:trHeight w:val="273"/>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4,336</w:t>
            </w:r>
          </w:p>
        </w:tc>
        <w:tc>
          <w:tcPr>
            <w:tcW w:w="3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w:t>
            </w:r>
          </w:p>
        </w:tc>
        <w:tc>
          <w:tcPr>
            <w:tcW w:w="4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4,554</w:t>
            </w:r>
          </w:p>
        </w:tc>
        <w:tc>
          <w:tcPr>
            <w:tcW w:w="34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w:t>
            </w:r>
          </w:p>
        </w:tc>
      </w:tr>
      <w:tr>
        <w:trPr>
          <w:trHeight w:val="280"/>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8,558</w:t>
            </w:r>
          </w:p>
        </w:tc>
        <w:tc>
          <w:tcPr>
            <w:tcW w:w="3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w:t>
            </w:r>
          </w:p>
        </w:tc>
        <w:tc>
          <w:tcPr>
            <w:tcW w:w="4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9,895</w:t>
            </w:r>
          </w:p>
        </w:tc>
        <w:tc>
          <w:tcPr>
            <w:tcW w:w="34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4.4%</w:t>
            </w:r>
          </w:p>
        </w:tc>
      </w:tr>
      <w:tr>
        <w:trPr>
          <w:trHeight w:val="254"/>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0"/>
        </w:trPr>
        <w:tc>
          <w:tcPr>
            <w:tcW w:w="4480" w:type="dxa"/>
            <w:vAlign w:val="bottom"/>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0.32</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0.37</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0"/>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0"/>
        </w:trPr>
        <w:tc>
          <w:tcPr>
            <w:tcW w:w="448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80"/>
        </w:trPr>
        <w:tc>
          <w:tcPr>
            <w:tcW w:w="4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26,976</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26,969</w:t>
            </w: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51"/>
        </w:trPr>
        <w:tc>
          <w:tcPr>
            <w:tcW w:w="4480" w:type="dxa"/>
            <w:vAlign w:val="bottom"/>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27,067</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27,078</w:t>
            </w: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Nov 28,</w:t>
            </w:r>
          </w:p>
        </w:tc>
        <w:tc>
          <w:tcPr>
            <w:tcW w:w="280" w:type="dxa"/>
            <w:vAlign w:val="bottom"/>
          </w:tcPr>
          <w:p>
            <w:pPr>
              <w:spacing w:after="0"/>
              <w:rPr>
                <w:sz w:val="17"/>
                <w:szCs w:val="17"/>
                <w:color w:val="auto"/>
              </w:rPr>
            </w:pPr>
          </w:p>
        </w:tc>
        <w:tc>
          <w:tcPr>
            <w:tcW w:w="1320" w:type="dxa"/>
            <w:vAlign w:val="bottom"/>
          </w:tcPr>
          <w:p>
            <w:pPr>
              <w:jc w:val="right"/>
              <w:ind w:right="418"/>
              <w:spacing w:after="0"/>
              <w:rPr>
                <w:sz w:val="20"/>
                <w:szCs w:val="20"/>
                <w:color w:val="auto"/>
              </w:rPr>
            </w:pPr>
            <w:r>
              <w:rPr>
                <w:rFonts w:ascii="Arial" w:cs="Arial" w:eastAsia="Arial" w:hAnsi="Arial"/>
                <w:sz w:val="18"/>
                <w:szCs w:val="18"/>
                <w:b w:val="1"/>
                <w:bCs w:val="1"/>
                <w:color w:val="auto"/>
              </w:rPr>
              <w:t>Aug 29,</w:t>
            </w:r>
          </w:p>
        </w:tc>
      </w:tr>
      <w:tr>
        <w:trPr>
          <w:trHeight w:val="246"/>
        </w:trPr>
        <w:tc>
          <w:tcPr>
            <w:tcW w:w="79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2015</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55,721</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70,239</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Receivables, net</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59,312</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66,936</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136,364</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112,165</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7,083</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6,882</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9,995</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258,480</w:t>
            </w:r>
          </w:p>
        </w:tc>
        <w:tc>
          <w:tcPr>
            <w:tcW w:w="3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266,217</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39,094</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37,250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26,187</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26,172</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20,400</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21,994</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10,171</w:t>
            </w:r>
          </w:p>
        </w:tc>
        <w:tc>
          <w:tcPr>
            <w:tcW w:w="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10,541</w:t>
            </w:r>
          </w:p>
        </w:tc>
      </w:tr>
      <w:tr>
        <w:trPr>
          <w:trHeight w:val="24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354,332</w:t>
            </w: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362,174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4"/>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34,949</w:t>
            </w: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33,158</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3,159</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2,314</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42,134</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46,138</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80,242</w:t>
            </w:r>
          </w:p>
        </w:tc>
        <w:tc>
          <w:tcPr>
            <w:tcW w:w="3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81,610</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2,410</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2,511</w:t>
            </w:r>
          </w:p>
        </w:tc>
      </w:tr>
      <w:tr>
        <w:trPr>
          <w:trHeight w:val="273"/>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 net of current portion</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27,869</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57,090</w:t>
            </w:r>
          </w:p>
        </w:tc>
      </w:tr>
      <w:tr>
        <w:trPr>
          <w:trHeight w:val="247"/>
        </w:trPr>
        <w:tc>
          <w:tcPr>
            <w:tcW w:w="7900" w:type="dxa"/>
            <w:vAlign w:val="bottom"/>
          </w:tcPr>
          <w:p>
            <w:pPr>
              <w:ind w:left="500"/>
              <w:spacing w:after="0"/>
              <w:rPr>
                <w:sz w:val="20"/>
                <w:szCs w:val="20"/>
                <w:color w:val="auto"/>
              </w:rPr>
            </w:pPr>
            <w:r>
              <w:rPr>
                <w:rFonts w:ascii="Arial" w:cs="Arial" w:eastAsia="Arial" w:hAnsi="Arial"/>
                <w:sz w:val="16"/>
                <w:szCs w:val="16"/>
                <w:color w:val="auto"/>
              </w:rPr>
              <w:t>Total non-current liabilities</w:t>
            </w:r>
          </w:p>
        </w:tc>
        <w:tc>
          <w:tcPr>
            <w:tcW w:w="2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30,279</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59,601</w:t>
            </w: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243,811</w:t>
            </w:r>
          </w:p>
        </w:tc>
        <w:tc>
          <w:tcPr>
            <w:tcW w:w="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220,963</w:t>
            </w:r>
          </w:p>
        </w:tc>
      </w:tr>
      <w:tr>
        <w:trPr>
          <w:trHeight w:val="240"/>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354,332</w:t>
            </w:r>
          </w:p>
        </w:tc>
        <w:tc>
          <w:tcPr>
            <w:tcW w:w="3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362,174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8"/>
                <w:szCs w:val="18"/>
                <w:b w:val="1"/>
                <w:bCs w:val="1"/>
                <w:color w:val="auto"/>
              </w:rPr>
              <w:t>Three Months Ended</w:t>
            </w:r>
          </w:p>
        </w:tc>
      </w:tr>
      <w:tr>
        <w:trPr>
          <w:trHeight w:val="207"/>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338"/>
              <w:spacing w:after="0"/>
              <w:rPr>
                <w:sz w:val="20"/>
                <w:szCs w:val="20"/>
                <w:color w:val="auto"/>
              </w:rPr>
            </w:pPr>
            <w:r>
              <w:rPr>
                <w:rFonts w:ascii="Arial" w:cs="Arial" w:eastAsia="Arial" w:hAnsi="Arial"/>
                <w:sz w:val="18"/>
                <w:szCs w:val="18"/>
                <w:b w:val="1"/>
                <w:bCs w:val="1"/>
                <w:color w:val="auto"/>
              </w:rPr>
              <w:t>Nov 28,</w:t>
            </w:r>
          </w:p>
        </w:tc>
        <w:tc>
          <w:tcPr>
            <w:tcW w:w="360" w:type="dxa"/>
            <w:vAlign w:val="bottom"/>
          </w:tcPr>
          <w:p>
            <w:pPr>
              <w:spacing w:after="0"/>
              <w:rPr>
                <w:sz w:val="17"/>
                <w:szCs w:val="17"/>
                <w:color w:val="auto"/>
              </w:rPr>
            </w:pPr>
          </w:p>
        </w:tc>
        <w:tc>
          <w:tcPr>
            <w:tcW w:w="1280" w:type="dxa"/>
            <w:vAlign w:val="bottom"/>
          </w:tcPr>
          <w:p>
            <w:pPr>
              <w:jc w:val="right"/>
              <w:ind w:right="398"/>
              <w:spacing w:after="0"/>
              <w:rPr>
                <w:sz w:val="20"/>
                <w:szCs w:val="20"/>
                <w:color w:val="auto"/>
              </w:rPr>
            </w:pPr>
            <w:r>
              <w:rPr>
                <w:rFonts w:ascii="Arial" w:cs="Arial" w:eastAsia="Arial" w:hAnsi="Arial"/>
                <w:sz w:val="18"/>
                <w:szCs w:val="18"/>
                <w:b w:val="1"/>
                <w:bCs w:val="1"/>
                <w:color w:val="auto"/>
              </w:rPr>
              <w:t>Nov 29,</w:t>
            </w:r>
          </w:p>
        </w:tc>
      </w:tr>
      <w:tr>
        <w:trPr>
          <w:trHeight w:val="246"/>
        </w:trPr>
        <w:tc>
          <w:tcPr>
            <w:tcW w:w="8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2014</w:t>
            </w: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8,558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9,895</w:t>
            </w:r>
          </w:p>
        </w:tc>
      </w:tr>
      <w:tr>
        <w:trPr>
          <w:trHeight w:val="28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1,370</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1,061</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(income) expense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380</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623</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901</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382</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(447)</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(777)</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(154)</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doubtful accounts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13</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(4)</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Gain on disposal of property</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(17)</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(185)</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(187)</w:t>
            </w:r>
          </w:p>
        </w:tc>
      </w:tr>
      <w:tr>
        <w:trPr>
          <w:trHeight w:val="28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(24,109)</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(38,285)</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prepaid and other assets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7,366</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6,841</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Investment in operating leases, net of repurchase obligations</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154</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1,254</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1,794</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(1,375)</w:t>
            </w:r>
          </w:p>
        </w:tc>
        <w:tc>
          <w:tcPr>
            <w:tcW w:w="360" w:type="dxa"/>
            <w:vAlign w:val="bottom"/>
          </w:tcPr>
          <w:p>
            <w:pPr>
              <w:spacing w:after="0"/>
              <w:rPr>
                <w:sz w:val="20"/>
                <w:szCs w:val="20"/>
                <w:color w:val="auto"/>
              </w:rPr>
            </w:pPr>
          </w:p>
        </w:tc>
        <w:tc>
          <w:tcPr>
            <w:tcW w:w="1280" w:type="dxa"/>
            <w:vAlign w:val="bottom"/>
          </w:tcPr>
          <w:p>
            <w:pPr>
              <w:jc w:val="right"/>
              <w:ind w:right="78"/>
              <w:spacing w:after="0"/>
              <w:rPr>
                <w:sz w:val="20"/>
                <w:szCs w:val="20"/>
                <w:color w:val="auto"/>
              </w:rPr>
            </w:pPr>
            <w:r>
              <w:rPr>
                <w:rFonts w:ascii="Arial" w:cs="Arial" w:eastAsia="Arial" w:hAnsi="Arial"/>
                <w:sz w:val="16"/>
                <w:szCs w:val="16"/>
                <w:color w:val="auto"/>
              </w:rPr>
              <w:t>(632)</w:t>
            </w:r>
          </w:p>
        </w:tc>
      </w:tr>
      <w:tr>
        <w:trPr>
          <w:trHeight w:val="246"/>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(922)</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(19,622)</w:t>
            </w:r>
          </w:p>
        </w:tc>
      </w:tr>
      <w:tr>
        <w:trPr>
          <w:trHeight w:val="162"/>
        </w:trPr>
        <w:tc>
          <w:tcPr>
            <w:tcW w:w="8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(2,310)</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Proceeds from the sale of property</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Arial" w:cs="Arial" w:eastAsia="Arial" w:hAnsi="Arial"/>
                <w:sz w:val="16"/>
                <w:szCs w:val="16"/>
                <w:color w:val="auto"/>
              </w:rPr>
              <w:t>17</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295</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r>
      <w:tr>
        <w:trPr>
          <w:trHeight w:val="237"/>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293</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for 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Payments of cash dividends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(705)</w:t>
            </w:r>
          </w:p>
        </w:tc>
        <w:tc>
          <w:tcPr>
            <w:tcW w:w="54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(5,950)</w:t>
            </w:r>
          </w:p>
        </w:tc>
      </w:tr>
      <w:tr>
        <w:trPr>
          <w:trHeight w:val="243"/>
        </w:trPr>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(2,730)</w:t>
            </w:r>
          </w:p>
        </w:tc>
        <w:tc>
          <w:tcPr>
            <w:tcW w:w="54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(2,442)</w:t>
            </w:r>
          </w:p>
        </w:tc>
      </w:tr>
      <w:tr>
        <w:trPr>
          <w:trHeight w:val="256"/>
        </w:trPr>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w:t>
            </w:r>
          </w:p>
        </w:tc>
      </w:tr>
      <w:tr>
        <w:trPr>
          <w:trHeight w:val="237"/>
        </w:trPr>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w:t>
            </w: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(8,379)</w:t>
            </w:r>
          </w:p>
        </w:tc>
      </w:tr>
      <w:tr>
        <w:trPr>
          <w:trHeight w:val="507"/>
        </w:trPr>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(14,518)</w:t>
            </w:r>
          </w:p>
        </w:tc>
        <w:tc>
          <w:tcPr>
            <w:tcW w:w="540" w:type="dxa"/>
            <w:vAlign w:val="bottom"/>
          </w:tcPr>
          <w:p>
            <w:pPr>
              <w:spacing w:after="0"/>
              <w:rPr>
                <w:sz w:val="24"/>
                <w:szCs w:val="24"/>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(30,001)</w:t>
            </w:r>
          </w:p>
        </w:tc>
      </w:tr>
      <w:tr>
        <w:trPr>
          <w:trHeight w:val="256"/>
        </w:trPr>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70,239</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57,804</w:t>
            </w:r>
          </w:p>
        </w:tc>
      </w:tr>
      <w:tr>
        <w:trPr>
          <w:trHeight w:val="237"/>
        </w:trPr>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55,721</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27,803</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3140"/>
          </w:cols>
          <w:pgMar w:left="240" w:top="576" w:right="239" w:bottom="1440" w:gutter="0" w:footer="0" w:header="0"/>
          <w:type w:val="continuous"/>
        </w:sectPr>
      </w:pP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cash flow disclosure: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80" w:type="dxa"/>
            <w:vAlign w:val="bottom"/>
          </w:tcPr>
          <w:p>
            <w:pPr>
              <w:ind w:left="280"/>
              <w:spacing w:after="0"/>
              <w:rPr>
                <w:sz w:val="20"/>
                <w:szCs w:val="20"/>
                <w:color w:val="auto"/>
              </w:rPr>
            </w:pPr>
            <w:r>
              <w:rPr>
                <w:rFonts w:ascii="Arial" w:cs="Arial" w:eastAsia="Arial" w:hAnsi="Arial"/>
                <w:sz w:val="16"/>
                <w:szCs w:val="16"/>
                <w:color w:val="auto"/>
              </w:rPr>
              <w:t>Income taxes paid</w:t>
            </w:r>
          </w:p>
        </w:tc>
        <w:tc>
          <w:tcPr>
            <w:tcW w:w="30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2,675</w:t>
            </w:r>
          </w:p>
        </w:tc>
        <w:tc>
          <w:tcPr>
            <w:tcW w:w="6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3,207</w:t>
            </w:r>
          </w:p>
        </w:tc>
      </w:tr>
      <w:tr>
        <w:trPr>
          <w:trHeight w:val="293"/>
        </w:trPr>
        <w:tc>
          <w:tcPr>
            <w:tcW w:w="578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5780" w:type="dxa"/>
            <w:vAlign w:val="bottom"/>
          </w:tcPr>
          <w:p>
            <w:pPr>
              <w:ind w:left="40"/>
              <w:spacing w:after="0"/>
              <w:rPr>
                <w:sz w:val="20"/>
                <w:szCs w:val="20"/>
                <w:color w:val="auto"/>
              </w:rPr>
            </w:pPr>
            <w:r>
              <w:rPr>
                <w:rFonts w:ascii="Arial" w:cs="Arial" w:eastAsia="Arial" w:hAnsi="Arial"/>
                <w:sz w:val="16"/>
                <w:szCs w:val="16"/>
                <w:color w:val="auto"/>
              </w:rPr>
              <w:t>Non-cash transactions:</w:t>
            </w:r>
          </w:p>
        </w:tc>
        <w:tc>
          <w:tcPr>
            <w:tcW w:w="3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3"/>
        </w:trPr>
        <w:tc>
          <w:tcPr>
            <w:tcW w:w="5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30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826</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57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w w:val="98"/>
              </w:rPr>
              <w:t>Change</w:t>
            </w:r>
          </w:p>
        </w:tc>
      </w:tr>
      <w:tr>
        <w:trPr>
          <w:trHeight w:val="198"/>
        </w:trPr>
        <w:tc>
          <w:tcPr>
            <w:tcW w:w="3240" w:type="dxa"/>
            <w:vAlign w:val="bottom"/>
          </w:tcPr>
          <w:p>
            <w:pPr>
              <w:spacing w:after="0"/>
              <w:rPr>
                <w:sz w:val="17"/>
                <w:szCs w:val="17"/>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Nov 28,</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20" w:type="dxa"/>
            <w:vAlign w:val="bottom"/>
          </w:tcPr>
          <w:p>
            <w:pPr>
              <w:jc w:val="right"/>
              <w:ind w:right="459"/>
              <w:spacing w:after="0"/>
              <w:rPr>
                <w:sz w:val="20"/>
                <w:szCs w:val="20"/>
                <w:color w:val="auto"/>
              </w:rPr>
            </w:pPr>
            <w:r>
              <w:rPr>
                <w:rFonts w:ascii="Arial" w:cs="Arial" w:eastAsia="Arial" w:hAnsi="Arial"/>
                <w:sz w:val="16"/>
                <w:szCs w:val="16"/>
                <w:b w:val="1"/>
                <w:bCs w:val="1"/>
                <w:color w:val="auto"/>
              </w:rPr>
              <w:t>Nov 29,</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080" w:type="dxa"/>
            <w:vAlign w:val="bottom"/>
          </w:tcPr>
          <w:p>
            <w:pPr>
              <w:spacing w:after="0"/>
              <w:rPr>
                <w:sz w:val="17"/>
                <w:szCs w:val="17"/>
                <w:color w:val="auto"/>
              </w:rPr>
            </w:pPr>
          </w:p>
        </w:tc>
        <w:tc>
          <w:tcPr>
            <w:tcW w:w="166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34"/>
        </w:trPr>
        <w:tc>
          <w:tcPr>
            <w:tcW w:w="324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42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Units</w:t>
            </w:r>
          </w:p>
        </w:tc>
        <w:tc>
          <w:tcPr>
            <w:tcW w:w="166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565</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29.4%</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615</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6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186</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312</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(40.4)%</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751</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927</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(19.0)%</w:t>
            </w: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Class B</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239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188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27.1 %</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931</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916</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1.6 %</w:t>
            </w:r>
          </w:p>
        </w:tc>
      </w:tr>
      <w:tr>
        <w:trPr>
          <w:trHeight w:val="280"/>
        </w:trPr>
        <w:tc>
          <w:tcPr>
            <w:tcW w:w="32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motorhomes</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1,921</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2,031</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w:t>
            </w:r>
          </w:p>
        </w:tc>
      </w:tr>
      <w:tr>
        <w:trPr>
          <w:trHeight w:val="146"/>
        </w:trPr>
        <w:tc>
          <w:tcPr>
            <w:tcW w:w="3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260"/>
        </w:trPr>
        <w:tc>
          <w:tcPr>
            <w:tcW w:w="32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724</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88.7%</w:t>
            </w:r>
          </w:p>
        </w:tc>
        <w:tc>
          <w:tcPr>
            <w:tcW w:w="120" w:type="dxa"/>
            <w:vAlign w:val="bottom"/>
          </w:tcPr>
          <w:p>
            <w:pPr>
              <w:spacing w:after="0"/>
              <w:rPr>
                <w:sz w:val="22"/>
                <w:szCs w:val="22"/>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461</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57.0 %</w:t>
            </w:r>
          </w:p>
        </w:tc>
      </w:tr>
      <w:tr>
        <w:trPr>
          <w:trHeight w:val="273"/>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92</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85</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8.2 %</w:t>
            </w:r>
          </w:p>
        </w:tc>
      </w:tr>
      <w:tr>
        <w:trPr>
          <w:trHeight w:val="237"/>
        </w:trPr>
        <w:tc>
          <w:tcPr>
            <w:tcW w:w="324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816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546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49.5 %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3810</wp:posOffset>
            </wp:positionV>
            <wp:extent cx="519684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96840" cy="26035"/>
                    </a:xfrm>
                    <a:prstGeom prst="rect">
                      <a:avLst/>
                    </a:prstGeom>
                    <a:noFill/>
                  </pic:spPr>
                </pic:pic>
              </a:graphicData>
            </a:graphic>
          </wp:anchor>
        </w:drawing>
      </w:r>
    </w:p>
    <w:p>
      <w:pPr>
        <w:spacing w:after="0" w:line="2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w w:val="98"/>
              </w:rPr>
              <w:t>As Of</w:t>
            </w:r>
          </w:p>
        </w:tc>
        <w:tc>
          <w:tcPr>
            <w:tcW w:w="1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19"/>
                <w:szCs w:val="19"/>
                <w:color w:val="auto"/>
              </w:rPr>
            </w:pPr>
          </w:p>
        </w:tc>
      </w:tr>
      <w:tr>
        <w:trPr>
          <w:trHeight w:val="264"/>
        </w:trPr>
        <w:tc>
          <w:tcPr>
            <w:tcW w:w="3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2"/>
          </w:tcPr>
          <w:p>
            <w:pPr>
              <w:jc w:val="right"/>
              <w:ind w:right="302"/>
              <w:spacing w:after="0"/>
              <w:rPr>
                <w:sz w:val="20"/>
                <w:szCs w:val="20"/>
                <w:color w:val="auto"/>
              </w:rPr>
            </w:pPr>
            <w:r>
              <w:rPr>
                <w:rFonts w:ascii="Arial" w:cs="Arial" w:eastAsia="Arial" w:hAnsi="Arial"/>
                <w:sz w:val="16"/>
                <w:szCs w:val="16"/>
                <w:b w:val="1"/>
                <w:bCs w:val="1"/>
                <w:color w:val="auto"/>
              </w:rPr>
              <w:t>November 28, 2015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0" w:type="dxa"/>
            <w:vAlign w:val="bottom"/>
            <w:gridSpan w:val="3"/>
          </w:tcPr>
          <w:p>
            <w:pPr>
              <w:ind w:left="280"/>
              <w:spacing w:after="0"/>
              <w:rPr>
                <w:sz w:val="20"/>
                <w:szCs w:val="20"/>
                <w:color w:val="auto"/>
              </w:rPr>
            </w:pPr>
            <w:r>
              <w:rPr>
                <w:rFonts w:ascii="Arial" w:cs="Arial" w:eastAsia="Arial" w:hAnsi="Arial"/>
                <w:sz w:val="16"/>
                <w:szCs w:val="16"/>
                <w:b w:val="1"/>
                <w:bCs w:val="1"/>
                <w:color w:val="auto"/>
              </w:rPr>
              <w:t>November 29, 2014</w:t>
            </w: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4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70"/>
        </w:trPr>
        <w:tc>
          <w:tcPr>
            <w:tcW w:w="3340" w:type="dxa"/>
            <w:vAlign w:val="bottom"/>
            <w:tcBorders>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000" w:type="dxa"/>
            <w:vAlign w:val="bottom"/>
            <w:tcBorders>
              <w:top w:val="single" w:sz="8" w:color="auto"/>
              <w:bottom w:val="single" w:sz="8" w:color="auto"/>
            </w:tcBorders>
          </w:tcPr>
          <w:p>
            <w:pPr>
              <w:jc w:val="right"/>
              <w:ind w:right="30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4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160" w:type="dxa"/>
            <w:vAlign w:val="bottom"/>
            <w:tcBorders>
              <w:top w:val="single" w:sz="8" w:color="auto"/>
              <w:bottom w:val="single" w:sz="8" w:color="auto"/>
            </w:tcBorders>
          </w:tcPr>
          <w:p>
            <w:pPr>
              <w:jc w:val="right"/>
              <w:ind w:right="46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Units</w:t>
            </w: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429</w:t>
            </w: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(114)</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(26.6)%</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303</w:t>
            </w: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(114)</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w:t>
            </w:r>
          </w:p>
        </w:tc>
      </w:tr>
      <w:tr>
        <w:trPr>
          <w:trHeight w:val="257"/>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732</w:t>
            </w: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(228)</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(31.1)%</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tcPr>
          <w:p>
            <w:pPr>
              <w:spacing w:after="0"/>
              <w:rPr>
                <w:sz w:val="22"/>
                <w:szCs w:val="22"/>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450</w:t>
            </w:r>
          </w:p>
        </w:tc>
        <w:tc>
          <w:tcPr>
            <w:tcW w:w="1000" w:type="dxa"/>
            <w:vAlign w:val="bottom"/>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340</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color w:val="auto"/>
              </w:rPr>
              <w:t>110</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32.4 %</w:t>
            </w: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1,458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1,050</w:t>
            </w:r>
          </w:p>
        </w:tc>
        <w:tc>
          <w:tcPr>
            <w:tcW w:w="11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408</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38.9 %</w:t>
            </w:r>
          </w:p>
        </w:tc>
      </w:tr>
      <w:tr>
        <w:trPr>
          <w:trHeight w:val="283"/>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2,412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2,122</w:t>
            </w: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290</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13.7 %</w:t>
            </w:r>
          </w:p>
        </w:tc>
      </w:tr>
      <w:tr>
        <w:trPr>
          <w:trHeight w:val="170"/>
        </w:trPr>
        <w:tc>
          <w:tcPr>
            <w:tcW w:w="3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tcPr>
          <w:p>
            <w:pPr>
              <w:spacing w:after="0"/>
              <w:rPr>
                <w:sz w:val="22"/>
                <w:szCs w:val="22"/>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238</w:t>
            </w:r>
          </w:p>
        </w:tc>
        <w:tc>
          <w:tcPr>
            <w:tcW w:w="1000" w:type="dxa"/>
            <w:vAlign w:val="bottom"/>
          </w:tcPr>
          <w:p>
            <w:pPr>
              <w:jc w:val="right"/>
              <w:spacing w:after="0"/>
              <w:rPr>
                <w:sz w:val="20"/>
                <w:szCs w:val="20"/>
                <w:color w:val="auto"/>
              </w:rPr>
            </w:pPr>
            <w:r>
              <w:rPr>
                <w:rFonts w:ascii="Arial" w:cs="Arial" w:eastAsia="Arial" w:hAnsi="Arial"/>
                <w:sz w:val="16"/>
                <w:szCs w:val="16"/>
                <w:color w:val="auto"/>
              </w:rPr>
              <w:t>76.3%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94</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color w:val="auto"/>
              </w:rPr>
              <w:t>144</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153.2 %</w:t>
            </w: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60</w:t>
            </w:r>
          </w:p>
        </w:tc>
        <w:tc>
          <w:tcPr>
            <w:tcW w:w="11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14</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23.3 %</w:t>
            </w:r>
          </w:p>
        </w:tc>
      </w:tr>
      <w:tr>
        <w:trPr>
          <w:trHeight w:val="283"/>
        </w:trPr>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312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154</w:t>
            </w: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158</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102.6 %</w:t>
            </w:r>
          </w:p>
        </w:tc>
      </w:tr>
      <w:tr>
        <w:trPr>
          <w:trHeight w:val="143"/>
        </w:trPr>
        <w:tc>
          <w:tcPr>
            <w:tcW w:w="3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60"/>
        </w:trPr>
        <w:tc>
          <w:tcPr>
            <w:tcW w:w="4740" w:type="dxa"/>
            <w:vAlign w:val="bottom"/>
            <w:gridSpan w:val="3"/>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222,055</w:t>
            </w:r>
          </w:p>
        </w:tc>
        <w:tc>
          <w:tcPr>
            <w:tcW w:w="1000" w:type="dxa"/>
            <w:vAlign w:val="bottom"/>
            <w:shd w:val="clear" w:color="auto" w:fill="CCEEFF"/>
          </w:tcPr>
          <w:p>
            <w:pPr>
              <w:spacing w:after="0"/>
              <w:rPr>
                <w:sz w:val="24"/>
                <w:szCs w:val="24"/>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201,373</w:t>
            </w: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20,682</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10.3 %</w:t>
            </w:r>
          </w:p>
        </w:tc>
      </w:tr>
      <w:tr>
        <w:trPr>
          <w:trHeight w:val="251"/>
        </w:trPr>
        <w:tc>
          <w:tcPr>
            <w:tcW w:w="3340" w:type="dxa"/>
            <w:vAlign w:val="bottom"/>
          </w:tcPr>
          <w:p>
            <w:pPr>
              <w:ind w:left="40"/>
              <w:spacing w:after="0"/>
              <w:rPr>
                <w:sz w:val="20"/>
                <w:szCs w:val="20"/>
                <w:color w:val="auto"/>
              </w:rPr>
            </w:pPr>
            <w:r>
              <w:rPr>
                <w:rFonts w:ascii="Arial" w:cs="Arial" w:eastAsia="Arial" w:hAnsi="Arial"/>
                <w:sz w:val="16"/>
                <w:szCs w:val="16"/>
                <w:color w:val="auto"/>
              </w:rPr>
              <w:t>Towables</w:t>
            </w:r>
          </w:p>
        </w:tc>
        <w:tc>
          <w:tcPr>
            <w:tcW w:w="240" w:type="dxa"/>
            <w:vAlign w:val="bottom"/>
          </w:tcPr>
          <w:p>
            <w:pPr>
              <w:spacing w:after="0"/>
              <w:rPr>
                <w:sz w:val="21"/>
                <w:szCs w:val="21"/>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color w:val="auto"/>
              </w:rPr>
              <w:t>7,249</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4,837</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519"/>
              <w:spacing w:after="0"/>
              <w:rPr>
                <w:sz w:val="20"/>
                <w:szCs w:val="20"/>
                <w:color w:val="auto"/>
              </w:rPr>
            </w:pPr>
            <w:r>
              <w:rPr>
                <w:rFonts w:ascii="Arial" w:cs="Arial" w:eastAsia="Arial" w:hAnsi="Arial"/>
                <w:sz w:val="16"/>
                <w:szCs w:val="16"/>
                <w:color w:val="auto"/>
              </w:rPr>
              <w:t>2,412</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49.9 %</w:t>
            </w:r>
          </w:p>
        </w:tc>
      </w:tr>
    </w:tbl>
    <w:p>
      <w:pPr>
        <w:ind w:left="340" w:hanging="332"/>
        <w:spacing w:after="0" w:line="216"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340" w:right="640" w:hanging="332"/>
        <w:spacing w:after="0" w:line="218"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Units As Of</w:t>
            </w:r>
          </w:p>
        </w:tc>
        <w:tc>
          <w:tcPr>
            <w:tcW w:w="1100" w:type="dxa"/>
            <w:vAlign w:val="bottom"/>
            <w:tcBorders>
              <w:bottom w:val="single" w:sz="8" w:color="auto"/>
            </w:tcBorders>
          </w:tcPr>
          <w:p>
            <w:pPr>
              <w:spacing w:after="0"/>
              <w:rPr>
                <w:sz w:val="19"/>
                <w:szCs w:val="19"/>
                <w:color w:val="auto"/>
              </w:rPr>
            </w:pPr>
          </w:p>
        </w:tc>
        <w:tc>
          <w:tcPr>
            <w:tcW w:w="1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98"/>
        </w:trPr>
        <w:tc>
          <w:tcPr>
            <w:tcW w:w="5780" w:type="dxa"/>
            <w:vAlign w:val="bottom"/>
          </w:tcPr>
          <w:p>
            <w:pPr>
              <w:spacing w:after="0"/>
              <w:rPr>
                <w:sz w:val="17"/>
                <w:szCs w:val="17"/>
                <w:color w:val="auto"/>
              </w:rPr>
            </w:pPr>
          </w:p>
        </w:tc>
        <w:tc>
          <w:tcPr>
            <w:tcW w:w="1980" w:type="dxa"/>
            <w:vAlign w:val="bottom"/>
          </w:tcPr>
          <w:p>
            <w:pPr>
              <w:jc w:val="right"/>
              <w:ind w:right="859"/>
              <w:spacing w:after="0"/>
              <w:rPr>
                <w:sz w:val="20"/>
                <w:szCs w:val="20"/>
                <w:color w:val="auto"/>
              </w:rPr>
            </w:pPr>
            <w:r>
              <w:rPr>
                <w:rFonts w:ascii="Arial" w:cs="Arial" w:eastAsia="Arial" w:hAnsi="Arial"/>
                <w:sz w:val="16"/>
                <w:szCs w:val="16"/>
                <w:b w:val="1"/>
                <w:bCs w:val="1"/>
                <w:color w:val="auto"/>
              </w:rPr>
              <w:t>Nov 28,</w:t>
            </w: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Nov 29,</w:t>
            </w:r>
          </w:p>
        </w:tc>
        <w:tc>
          <w:tcPr>
            <w:tcW w:w="17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8"/>
        </w:trPr>
        <w:tc>
          <w:tcPr>
            <w:tcW w:w="57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2015</w:t>
            </w: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19"/>
                <w:szCs w:val="19"/>
                <w:color w:val="auto"/>
              </w:rPr>
            </w:pP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9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4,115</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4,192</w:t>
            </w:r>
          </w:p>
        </w:tc>
        <w:tc>
          <w:tcPr>
            <w:tcW w:w="17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(77)</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51"/>
        </w:trPr>
        <w:tc>
          <w:tcPr>
            <w:tcW w:w="5780" w:type="dxa"/>
            <w:vAlign w:val="bottom"/>
          </w:tcPr>
          <w:p>
            <w:pPr>
              <w:ind w:left="40"/>
              <w:spacing w:after="0"/>
              <w:rPr>
                <w:sz w:val="20"/>
                <w:szCs w:val="20"/>
                <w:color w:val="auto"/>
              </w:rPr>
            </w:pPr>
            <w:r>
              <w:rPr>
                <w:rFonts w:ascii="Arial" w:cs="Arial" w:eastAsia="Arial" w:hAnsi="Arial"/>
                <w:sz w:val="16"/>
                <w:szCs w:val="16"/>
                <w:color w:val="auto"/>
              </w:rPr>
              <w:t>Towables</w:t>
            </w:r>
          </w:p>
        </w:tc>
        <w:tc>
          <w:tcPr>
            <w:tcW w:w="1980" w:type="dxa"/>
            <w:vAlign w:val="bottom"/>
          </w:tcPr>
          <w:p>
            <w:pPr>
              <w:jc w:val="right"/>
              <w:ind w:right="579"/>
              <w:spacing w:after="0"/>
              <w:rPr>
                <w:sz w:val="20"/>
                <w:szCs w:val="20"/>
                <w:color w:val="auto"/>
              </w:rPr>
            </w:pPr>
            <w:r>
              <w:rPr>
                <w:rFonts w:ascii="Arial" w:cs="Arial" w:eastAsia="Arial" w:hAnsi="Arial"/>
                <w:sz w:val="16"/>
                <w:szCs w:val="16"/>
                <w:color w:val="auto"/>
              </w:rPr>
              <w:t>1,838</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1,682</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156</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9.3 %</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2019-12-05T17:34:43Z</dcterms:created>
  <dcterms:modified xsi:type="dcterms:W3CDTF">2019-12-05T17:34:43Z</dcterms:modified>
</cp:coreProperties>
</file>